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A9D30">
      <w:pPr>
        <w:pStyle w:val="3"/>
        <w:keepNext w:val="0"/>
        <w:keepLines w:val="0"/>
        <w:widowControl/>
        <w:suppressLineNumbers w:val="0"/>
        <w:pBdr>
          <w:bottom w:val="none" w:color="auto" w:sz="0" w:space="0"/>
        </w:pBdr>
        <w:jc w:val="center"/>
        <w:rPr>
          <w:rFonts w:hint="eastAsia" w:asciiTheme="majorEastAsia" w:hAnsiTheme="majorEastAsia" w:eastAsiaTheme="majorEastAsia" w:cstheme="majorEastAsia"/>
          <w:color w:val="333333"/>
          <w:spacing w:val="23"/>
          <w:sz w:val="44"/>
          <w:szCs w:val="44"/>
        </w:rPr>
      </w:pPr>
      <w:r>
        <w:rPr>
          <w:rStyle w:val="6"/>
          <w:rFonts w:hint="eastAsia" w:asciiTheme="majorEastAsia" w:hAnsiTheme="majorEastAsia" w:eastAsiaTheme="majorEastAsia" w:cstheme="majorEastAsia"/>
          <w:color w:val="333333"/>
          <w:spacing w:val="23"/>
          <w:sz w:val="44"/>
          <w:szCs w:val="44"/>
          <w:lang w:eastAsia="zh-CN"/>
        </w:rPr>
        <w:t>延津县</w:t>
      </w:r>
      <w:r>
        <w:rPr>
          <w:rStyle w:val="6"/>
          <w:rFonts w:hint="eastAsia" w:asciiTheme="majorEastAsia" w:hAnsiTheme="majorEastAsia" w:eastAsiaTheme="majorEastAsia" w:cstheme="majorEastAsia"/>
          <w:color w:val="333333"/>
          <w:spacing w:val="23"/>
          <w:sz w:val="44"/>
          <w:szCs w:val="44"/>
        </w:rPr>
        <w:t>市场监督管理局</w:t>
      </w:r>
    </w:p>
    <w:p w14:paraId="3EFDFDCD">
      <w:pPr>
        <w:pStyle w:val="3"/>
        <w:keepNext w:val="0"/>
        <w:keepLines w:val="0"/>
        <w:widowControl/>
        <w:suppressLineNumbers w:val="0"/>
        <w:pBdr>
          <w:bottom w:val="none" w:color="auto" w:sz="0" w:space="0"/>
        </w:pBdr>
        <w:jc w:val="center"/>
        <w:rPr>
          <w:rFonts w:hint="eastAsia" w:asciiTheme="majorEastAsia" w:hAnsiTheme="majorEastAsia" w:eastAsiaTheme="majorEastAsia" w:cstheme="majorEastAsia"/>
          <w:color w:val="333333"/>
          <w:spacing w:val="23"/>
          <w:sz w:val="44"/>
          <w:szCs w:val="44"/>
        </w:rPr>
      </w:pPr>
      <w:r>
        <w:rPr>
          <w:rStyle w:val="6"/>
          <w:rFonts w:hint="eastAsia" w:asciiTheme="majorEastAsia" w:hAnsiTheme="majorEastAsia" w:eastAsiaTheme="majorEastAsia" w:cstheme="majorEastAsia"/>
          <w:color w:val="333333"/>
          <w:spacing w:val="23"/>
          <w:sz w:val="44"/>
          <w:szCs w:val="44"/>
        </w:rPr>
        <w:t>无主涉案财物处理决定书</w:t>
      </w:r>
    </w:p>
    <w:p w14:paraId="0C7C81F6">
      <w:pPr>
        <w:keepNext w:val="0"/>
        <w:keepLines w:val="0"/>
        <w:widowControl/>
        <w:suppressLineNumbers w:val="0"/>
        <w:jc w:val="center"/>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延市监无主物处〔2024〕4号</w:t>
      </w:r>
    </w:p>
    <w:p w14:paraId="2E12585A">
      <w:pPr>
        <w:pStyle w:val="3"/>
        <w:keepNext w:val="0"/>
        <w:keepLines w:val="0"/>
        <w:pageBreakBefore w:val="0"/>
        <w:widowControl/>
        <w:suppressLineNumbers w:val="0"/>
        <w:kinsoku/>
        <w:wordWrap/>
        <w:overflowPunct/>
        <w:topLinePunct w:val="0"/>
        <w:autoSpaceDE/>
        <w:autoSpaceDN/>
        <w:bidi w:val="0"/>
        <w:adjustRightInd/>
        <w:snapToGrid/>
        <w:spacing w:line="570" w:lineRule="exact"/>
        <w:ind w:left="0" w:firstLine="1017" w:firstLineChars="318"/>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024年</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月2</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日，我局接群众举报称车牌号</w:t>
      </w:r>
      <w:r>
        <w:rPr>
          <w:rFonts w:hint="eastAsia" w:ascii="仿宋" w:hAnsi="仿宋" w:eastAsia="仿宋" w:cs="仿宋"/>
          <w:sz w:val="32"/>
          <w:szCs w:val="32"/>
          <w:lang w:val="en-US" w:eastAsia="zh-CN"/>
        </w:rPr>
        <w:t>豫NN6429、豫NWK83挂</w:t>
      </w:r>
      <w:r>
        <w:rPr>
          <w:rFonts w:hint="eastAsia" w:ascii="仿宋" w:hAnsi="仿宋" w:eastAsia="仿宋" w:cs="仿宋"/>
          <w:sz w:val="32"/>
          <w:szCs w:val="32"/>
          <w:lang w:eastAsia="zh-CN"/>
        </w:rPr>
        <w:t>冷藏式货</w:t>
      </w:r>
      <w:r>
        <w:rPr>
          <w:rFonts w:hint="eastAsia" w:ascii="仿宋" w:hAnsi="仿宋" w:eastAsia="仿宋" w:cs="仿宋"/>
          <w:sz w:val="32"/>
          <w:szCs w:val="32"/>
        </w:rPr>
        <w:t>车装载</w:t>
      </w:r>
      <w:r>
        <w:rPr>
          <w:rFonts w:hint="eastAsia" w:ascii="仿宋" w:hAnsi="仿宋" w:eastAsia="仿宋" w:cs="仿宋"/>
          <w:sz w:val="32"/>
          <w:szCs w:val="32"/>
          <w:lang w:eastAsia="zh-CN"/>
        </w:rPr>
        <w:t>有违反《中华人民共和国食品安全法》食品</w:t>
      </w:r>
      <w:r>
        <w:rPr>
          <w:rFonts w:hint="eastAsia" w:ascii="仿宋" w:hAnsi="仿宋" w:eastAsia="仿宋" w:cs="仿宋"/>
          <w:sz w:val="32"/>
          <w:szCs w:val="32"/>
        </w:rPr>
        <w:t>。接到</w:t>
      </w:r>
      <w:r>
        <w:rPr>
          <w:rFonts w:hint="eastAsia" w:ascii="仿宋" w:hAnsi="仿宋" w:eastAsia="仿宋" w:cs="仿宋"/>
          <w:sz w:val="32"/>
          <w:szCs w:val="32"/>
          <w:lang w:eastAsia="zh-CN"/>
        </w:rPr>
        <w:t>举报</w:t>
      </w:r>
      <w:r>
        <w:rPr>
          <w:rFonts w:hint="eastAsia" w:ascii="仿宋" w:hAnsi="仿宋" w:eastAsia="仿宋" w:cs="仿宋"/>
          <w:sz w:val="32"/>
          <w:szCs w:val="32"/>
        </w:rPr>
        <w:t>后，</w:t>
      </w:r>
      <w:r>
        <w:rPr>
          <w:rFonts w:hint="eastAsia" w:ascii="仿宋" w:hAnsi="仿宋" w:eastAsia="仿宋" w:cs="仿宋"/>
          <w:sz w:val="32"/>
          <w:szCs w:val="32"/>
          <w:lang w:eastAsia="zh-CN"/>
        </w:rPr>
        <w:t>我局</w:t>
      </w:r>
      <w:r>
        <w:rPr>
          <w:rFonts w:hint="eastAsia" w:ascii="仿宋" w:hAnsi="仿宋" w:eastAsia="仿宋" w:cs="仿宋"/>
          <w:sz w:val="32"/>
          <w:szCs w:val="32"/>
        </w:rPr>
        <w:t>执法人员</w:t>
      </w:r>
      <w:r>
        <w:rPr>
          <w:rFonts w:hint="eastAsia" w:ascii="仿宋" w:hAnsi="仿宋" w:eastAsia="仿宋" w:cs="仿宋"/>
          <w:sz w:val="32"/>
          <w:szCs w:val="32"/>
          <w:lang w:eastAsia="zh-CN"/>
        </w:rPr>
        <w:t>联合新乡市公安局交通管理支队长济高速大队及延津县公安局执法人员对上述车辆进行检查</w:t>
      </w:r>
      <w:r>
        <w:rPr>
          <w:rFonts w:hint="eastAsia" w:ascii="仿宋" w:hAnsi="仿宋" w:eastAsia="仿宋" w:cs="仿宋"/>
          <w:sz w:val="32"/>
          <w:szCs w:val="32"/>
        </w:rPr>
        <w:t>。经查，河南籍司机</w:t>
      </w:r>
      <w:r>
        <w:rPr>
          <w:rFonts w:hint="eastAsia" w:ascii="仿宋" w:hAnsi="仿宋" w:eastAsia="仿宋" w:cs="仿宋"/>
          <w:sz w:val="32"/>
          <w:szCs w:val="32"/>
          <w:lang w:eastAsia="zh-CN"/>
        </w:rPr>
        <w:t>孟磊</w:t>
      </w:r>
      <w:r>
        <w:rPr>
          <w:rFonts w:hint="eastAsia" w:ascii="仿宋" w:hAnsi="仿宋" w:eastAsia="仿宋" w:cs="仿宋"/>
          <w:sz w:val="32"/>
          <w:szCs w:val="32"/>
        </w:rPr>
        <w:t>驾驶的</w:t>
      </w:r>
      <w:r>
        <w:rPr>
          <w:rFonts w:hint="eastAsia" w:ascii="仿宋" w:hAnsi="仿宋" w:eastAsia="仿宋" w:cs="仿宋"/>
          <w:sz w:val="32"/>
          <w:szCs w:val="32"/>
          <w:lang w:val="en-US" w:eastAsia="zh-CN"/>
        </w:rPr>
        <w:t>豫NN6429、豫NWK83挂</w:t>
      </w:r>
      <w:r>
        <w:rPr>
          <w:rFonts w:hint="eastAsia" w:ascii="仿宋" w:hAnsi="仿宋" w:eastAsia="仿宋" w:cs="仿宋"/>
          <w:sz w:val="32"/>
          <w:szCs w:val="32"/>
          <w:lang w:eastAsia="zh-CN"/>
        </w:rPr>
        <w:t>冷藏式货车上装载有</w:t>
      </w:r>
      <w:r>
        <w:rPr>
          <w:rFonts w:hint="eastAsia" w:ascii="仿宋" w:hAnsi="仿宋" w:eastAsia="仿宋" w:cs="仿宋"/>
          <w:sz w:val="32"/>
          <w:szCs w:val="32"/>
          <w:lang w:val="en-US" w:eastAsia="zh-CN"/>
        </w:rPr>
        <w:t>外包装是纸箱，箱体两侧印制有：“AURORA COOP our brand”英文字母，箱体加贴有白色标签，有：“二维码，条形码，条形码下有（00）078911644074307540数字，ITEM:12196；LOTE:0424021911；ORDEM:20240219B；HORA：18:39:24”字样，经检查，该纸箱内是猪肚（共2272件）；牛肚的外包装是纸箱，箱体一侧有文字“□牛心管□牛金肚□牛百叶■牛蹄筋■牛肚□牛腱筋”字样（共76件）；鸡爪的外包装是纸箱，箱体无文字及标识（共60件）。</w:t>
      </w:r>
      <w:r>
        <w:rPr>
          <w:rFonts w:hint="eastAsia" w:ascii="仿宋" w:hAnsi="仿宋" w:eastAsia="仿宋" w:cs="仿宋"/>
          <w:sz w:val="32"/>
          <w:szCs w:val="32"/>
          <w:lang w:eastAsia="zh-CN"/>
        </w:rPr>
        <w:t>2024年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r>
        <w:rPr>
          <w:rFonts w:hint="eastAsia" w:ascii="仿宋" w:hAnsi="仿宋" w:eastAsia="仿宋" w:cs="仿宋"/>
          <w:sz w:val="32"/>
          <w:szCs w:val="32"/>
          <w:lang w:eastAsia="zh-CN"/>
        </w:rPr>
        <w:t>发货人通过虚拟电</w:t>
      </w:r>
      <w:r>
        <w:rPr>
          <w:rFonts w:hint="eastAsia" w:ascii="仿宋" w:hAnsi="仿宋" w:eastAsia="仿宋" w:cs="仿宋"/>
          <w:sz w:val="32"/>
          <w:szCs w:val="32"/>
          <w:lang w:val="en-US" w:eastAsia="zh-CN"/>
        </w:rPr>
        <w:t>话15617619590与承运人孟磊</w:t>
      </w:r>
      <w:r>
        <w:rPr>
          <w:rFonts w:hint="eastAsia" w:ascii="仿宋" w:hAnsi="仿宋" w:eastAsia="仿宋" w:cs="仿宋"/>
          <w:sz w:val="32"/>
          <w:szCs w:val="32"/>
        </w:rPr>
        <w:t>约定货至</w:t>
      </w:r>
      <w:r>
        <w:rPr>
          <w:rFonts w:hint="eastAsia" w:ascii="仿宋" w:hAnsi="仿宋" w:eastAsia="仿宋" w:cs="仿宋"/>
          <w:sz w:val="32"/>
          <w:szCs w:val="32"/>
          <w:lang w:eastAsia="zh-CN"/>
        </w:rPr>
        <w:t>原阳</w:t>
      </w:r>
      <w:r>
        <w:rPr>
          <w:rFonts w:hint="eastAsia" w:ascii="仿宋" w:hAnsi="仿宋" w:eastAsia="仿宋" w:cs="仿宋"/>
          <w:sz w:val="32"/>
          <w:szCs w:val="32"/>
        </w:rPr>
        <w:t>完成交货后结算运费，</w:t>
      </w:r>
      <w:r>
        <w:rPr>
          <w:rFonts w:hint="eastAsia" w:ascii="仿宋" w:hAnsi="仿宋" w:eastAsia="仿宋" w:cs="仿宋"/>
          <w:sz w:val="32"/>
          <w:szCs w:val="32"/>
          <w:lang w:eastAsia="zh-CN"/>
        </w:rPr>
        <w:t>说是车快到原阳的时候有人提前联系他并将货运至指定地点，承运人孟磊未能提供合法有效的该批产品相关手续。</w:t>
      </w:r>
      <w:r>
        <w:rPr>
          <w:rFonts w:hint="eastAsia" w:ascii="仿宋" w:hAnsi="仿宋" w:eastAsia="仿宋" w:cs="仿宋"/>
          <w:sz w:val="32"/>
          <w:szCs w:val="32"/>
        </w:rPr>
        <w:t>由于发货人使用虚拟号码单向联系，</w:t>
      </w:r>
      <w:r>
        <w:rPr>
          <w:rFonts w:hint="eastAsia" w:ascii="仿宋" w:hAnsi="仿宋" w:eastAsia="仿宋" w:cs="仿宋"/>
          <w:sz w:val="32"/>
          <w:szCs w:val="32"/>
          <w:lang w:eastAsia="zh-CN"/>
        </w:rPr>
        <w:t>孟磊</w:t>
      </w:r>
      <w:r>
        <w:rPr>
          <w:rFonts w:hint="eastAsia" w:ascii="仿宋" w:hAnsi="仿宋" w:eastAsia="仿宋" w:cs="仿宋"/>
          <w:sz w:val="32"/>
          <w:szCs w:val="32"/>
        </w:rPr>
        <w:t>及办案人员未能获取涉案</w:t>
      </w:r>
      <w:r>
        <w:rPr>
          <w:rFonts w:hint="eastAsia" w:ascii="仿宋" w:hAnsi="仿宋" w:eastAsia="仿宋" w:cs="仿宋"/>
          <w:sz w:val="32"/>
          <w:szCs w:val="32"/>
          <w:lang w:eastAsia="zh-CN"/>
        </w:rPr>
        <w:t>牛副（</w:t>
      </w:r>
      <w:r>
        <w:rPr>
          <w:rFonts w:hint="eastAsia" w:ascii="仿宋" w:hAnsi="仿宋" w:eastAsia="仿宋" w:cs="仿宋"/>
          <w:sz w:val="32"/>
          <w:szCs w:val="32"/>
        </w:rPr>
        <w:t>牛肚</w:t>
      </w:r>
      <w:r>
        <w:rPr>
          <w:rFonts w:hint="eastAsia" w:ascii="仿宋" w:hAnsi="仿宋" w:eastAsia="仿宋" w:cs="仿宋"/>
          <w:sz w:val="32"/>
          <w:szCs w:val="32"/>
          <w:lang w:eastAsia="zh-CN"/>
        </w:rPr>
        <w:t>）</w:t>
      </w:r>
      <w:r>
        <w:rPr>
          <w:rFonts w:hint="eastAsia" w:ascii="仿宋" w:hAnsi="仿宋" w:eastAsia="仿宋" w:cs="仿宋"/>
          <w:sz w:val="32"/>
          <w:szCs w:val="32"/>
        </w:rPr>
        <w:t>交易双方身份信息及联系方式。2024年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9日，</w:t>
      </w:r>
      <w:r>
        <w:rPr>
          <w:rFonts w:hint="eastAsia" w:ascii="仿宋" w:hAnsi="仿宋" w:eastAsia="仿宋" w:cs="仿宋"/>
          <w:sz w:val="32"/>
          <w:szCs w:val="32"/>
          <w:lang w:eastAsia="zh-CN"/>
        </w:rPr>
        <w:t>延津县市场监督管理局</w:t>
      </w:r>
      <w:r>
        <w:rPr>
          <w:rFonts w:hint="eastAsia" w:ascii="仿宋" w:hAnsi="仿宋" w:eastAsia="仿宋" w:cs="仿宋"/>
          <w:sz w:val="32"/>
          <w:szCs w:val="32"/>
        </w:rPr>
        <w:t>通过</w:t>
      </w:r>
      <w:r>
        <w:rPr>
          <w:rFonts w:hint="eastAsia" w:ascii="仿宋" w:hAnsi="仿宋" w:eastAsia="仿宋" w:cs="仿宋"/>
          <w:sz w:val="32"/>
          <w:szCs w:val="32"/>
          <w:lang w:eastAsia="zh-CN"/>
        </w:rPr>
        <w:t>延津县人民政府门户网站发布</w:t>
      </w:r>
      <w:r>
        <w:rPr>
          <w:rFonts w:hint="eastAsia" w:ascii="仿宋" w:hAnsi="仿宋" w:eastAsia="仿宋" w:cs="仿宋"/>
          <w:sz w:val="32"/>
          <w:szCs w:val="32"/>
        </w:rPr>
        <w:t>公告查找涉案</w:t>
      </w:r>
      <w:r>
        <w:rPr>
          <w:rFonts w:hint="eastAsia" w:ascii="仿宋" w:hAnsi="仿宋" w:eastAsia="仿宋" w:cs="仿宋"/>
          <w:sz w:val="32"/>
          <w:szCs w:val="32"/>
          <w:lang w:eastAsia="zh-CN"/>
        </w:rPr>
        <w:t>猪肚、</w:t>
      </w:r>
      <w:r>
        <w:rPr>
          <w:rFonts w:hint="eastAsia" w:ascii="仿宋" w:hAnsi="仿宋" w:eastAsia="仿宋" w:cs="仿宋"/>
          <w:sz w:val="32"/>
          <w:szCs w:val="32"/>
        </w:rPr>
        <w:t>牛肚物主，要求其30日内领取并接受调查处理，但在规定期限内无人认领。期间，执法人员对涉案</w:t>
      </w:r>
      <w:r>
        <w:rPr>
          <w:rFonts w:hint="eastAsia" w:ascii="仿宋" w:hAnsi="仿宋" w:eastAsia="仿宋" w:cs="仿宋"/>
          <w:sz w:val="32"/>
          <w:szCs w:val="32"/>
          <w:lang w:eastAsia="zh-CN"/>
        </w:rPr>
        <w:t>的猪肚、</w:t>
      </w:r>
      <w:r>
        <w:rPr>
          <w:rFonts w:hint="eastAsia" w:ascii="仿宋" w:hAnsi="仿宋" w:eastAsia="仿宋" w:cs="仿宋"/>
          <w:sz w:val="32"/>
          <w:szCs w:val="32"/>
        </w:rPr>
        <w:t>牛肚</w:t>
      </w:r>
      <w:r>
        <w:rPr>
          <w:rFonts w:hint="eastAsia" w:ascii="仿宋" w:hAnsi="仿宋" w:eastAsia="仿宋" w:cs="仿宋"/>
          <w:sz w:val="32"/>
          <w:szCs w:val="32"/>
          <w:lang w:eastAsia="zh-CN"/>
        </w:rPr>
        <w:t>、鸡爪</w:t>
      </w:r>
      <w:r>
        <w:rPr>
          <w:rFonts w:hint="eastAsia" w:ascii="仿宋" w:hAnsi="仿宋" w:eastAsia="仿宋" w:cs="仿宋"/>
          <w:sz w:val="32"/>
          <w:szCs w:val="32"/>
        </w:rPr>
        <w:t>抽样送</w:t>
      </w:r>
      <w:r>
        <w:rPr>
          <w:rFonts w:hint="eastAsia" w:ascii="仿宋" w:hAnsi="仿宋" w:eastAsia="仿宋" w:cs="仿宋"/>
          <w:sz w:val="32"/>
          <w:szCs w:val="32"/>
          <w:lang w:eastAsia="zh-CN"/>
        </w:rPr>
        <w:t>至河南泰庆质量检测有限公司、武汉市华测检测技术有限公司</w:t>
      </w:r>
      <w:r>
        <w:rPr>
          <w:rFonts w:hint="eastAsia" w:ascii="仿宋" w:hAnsi="仿宋" w:eastAsia="仿宋" w:cs="仿宋"/>
          <w:sz w:val="32"/>
          <w:szCs w:val="32"/>
        </w:rPr>
        <w:t>对</w:t>
      </w:r>
      <w:r>
        <w:rPr>
          <w:rFonts w:hint="eastAsia" w:ascii="仿宋" w:hAnsi="仿宋" w:eastAsia="仿宋" w:cs="仿宋"/>
          <w:sz w:val="32"/>
          <w:szCs w:val="32"/>
          <w:lang w:eastAsia="zh-CN"/>
        </w:rPr>
        <w:t>上述产品进行</w:t>
      </w:r>
      <w:r>
        <w:rPr>
          <w:rFonts w:hint="eastAsia" w:ascii="仿宋" w:hAnsi="仿宋" w:eastAsia="仿宋" w:cs="仿宋"/>
          <w:sz w:val="32"/>
          <w:szCs w:val="32"/>
        </w:rPr>
        <w:t>动物</w:t>
      </w:r>
      <w:r>
        <w:rPr>
          <w:rFonts w:hint="eastAsia" w:ascii="仿宋" w:hAnsi="仿宋" w:eastAsia="仿宋" w:cs="仿宋"/>
          <w:sz w:val="32"/>
          <w:szCs w:val="32"/>
          <w:lang w:eastAsia="zh-CN"/>
        </w:rPr>
        <w:t>检疫检验</w:t>
      </w:r>
      <w:r>
        <w:rPr>
          <w:rFonts w:hint="eastAsia" w:ascii="仿宋" w:hAnsi="仿宋" w:eastAsia="仿宋" w:cs="仿宋"/>
          <w:sz w:val="32"/>
          <w:szCs w:val="32"/>
        </w:rPr>
        <w:t>方面项目检测，检验结果均</w:t>
      </w:r>
      <w:r>
        <w:rPr>
          <w:rFonts w:hint="eastAsia" w:ascii="仿宋" w:hAnsi="仿宋" w:eastAsia="仿宋" w:cs="仿宋"/>
          <w:sz w:val="32"/>
          <w:szCs w:val="32"/>
          <w:lang w:eastAsia="zh-CN"/>
        </w:rPr>
        <w:t>合格</w:t>
      </w:r>
      <w:r>
        <w:rPr>
          <w:rFonts w:hint="eastAsia" w:ascii="仿宋" w:hAnsi="仿宋" w:eastAsia="仿宋" w:cs="仿宋"/>
          <w:sz w:val="32"/>
          <w:szCs w:val="32"/>
        </w:rPr>
        <w:t>。</w:t>
      </w:r>
    </w:p>
    <w:p w14:paraId="5BFD25F2">
      <w:pPr>
        <w:pStyle w:val="2"/>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kern w:val="0"/>
          <w:sz w:val="32"/>
          <w:szCs w:val="32"/>
          <w:lang w:val="en-US" w:eastAsia="zh-CN" w:bidi="ar"/>
        </w:rPr>
      </w:pPr>
      <w:r>
        <w:rPr>
          <w:rFonts w:hint="eastAsia" w:ascii="仿宋" w:hAnsi="仿宋" w:eastAsia="仿宋" w:cs="仿宋"/>
          <w:b w:val="0"/>
          <w:kern w:val="0"/>
          <w:sz w:val="32"/>
          <w:szCs w:val="32"/>
          <w:lang w:val="en-US" w:eastAsia="zh-CN" w:bidi="ar"/>
        </w:rPr>
        <w:t>本案不明物主生产经营未按规定检验检疫的肉类，违反《中华人民共和国食品安全法》第三十四条第八项“禁止生产经营下列食品、食品添加剂、食品相关产品：…（八）未按规定进行检疫或者检疫不合格的肉类，或者未经检验或者检验不合格的肉类制品；…”规定。</w:t>
      </w:r>
    </w:p>
    <w:p w14:paraId="6883AAE7">
      <w:pPr>
        <w:pStyle w:val="3"/>
        <w:keepNext w:val="0"/>
        <w:keepLines w:val="0"/>
        <w:pageBreakBefore w:val="0"/>
        <w:widowControl/>
        <w:suppressLineNumbers w:val="0"/>
        <w:kinsoku/>
        <w:wordWrap/>
        <w:overflowPunct/>
        <w:topLinePunct w:val="0"/>
        <w:autoSpaceDE/>
        <w:autoSpaceDN/>
        <w:bidi w:val="0"/>
        <w:adjustRightInd/>
        <w:snapToGrid/>
        <w:spacing w:line="570" w:lineRule="exact"/>
        <w:ind w:left="0" w:firstLine="1017" w:firstLineChars="318"/>
        <w:textAlignment w:val="auto"/>
        <w:rPr>
          <w:rFonts w:hint="eastAsia" w:ascii="仿宋" w:hAnsi="仿宋" w:eastAsia="仿宋" w:cs="仿宋"/>
          <w:sz w:val="32"/>
          <w:szCs w:val="32"/>
        </w:rPr>
      </w:pPr>
      <w:r>
        <w:rPr>
          <w:rFonts w:hint="eastAsia" w:ascii="仿宋" w:hAnsi="仿宋" w:eastAsia="仿宋" w:cs="仿宋"/>
          <w:sz w:val="32"/>
          <w:szCs w:val="32"/>
        </w:rPr>
        <w:t>依据《中华人民共和国食品安全法》第一百二十三条</w:t>
      </w:r>
      <w:r>
        <w:rPr>
          <w:rFonts w:hint="eastAsia" w:ascii="仿宋" w:hAnsi="仿宋" w:eastAsia="仿宋" w:cs="仿宋"/>
          <w:sz w:val="32"/>
          <w:szCs w:val="32"/>
          <w:lang w:eastAsia="zh-CN"/>
        </w:rPr>
        <w:t>第一款：</w:t>
      </w:r>
      <w:bookmarkStart w:id="0" w:name="_GoBack"/>
      <w:bookmarkEnd w:id="0"/>
      <w:r>
        <w:rPr>
          <w:rFonts w:hint="eastAsia" w:ascii="仿宋" w:hAnsi="仿宋" w:eastAsia="仿宋" w:cs="仿宋"/>
          <w:sz w:val="32"/>
          <w:szCs w:val="32"/>
        </w:rPr>
        <w:t>“违反本法规定，有下列情形之一，尚不构成犯罪的，由县级以上人民政府食品安全监督管理部门没收违法所得和违法生产经营的食品…：（四）经营未按规定进行检疫或者检疫不合格的肉类，或者生产经营未经检验或者检验不合格的肉类制品；…”，以及《市场监督管理行政处罚程序规定》第四十二条第三款“当事人下落不明或者无法确定涉案物品所有人的，应当按照本规定第八十二条第五项规定的公告送达方式告知</w:t>
      </w:r>
      <w:r>
        <w:rPr>
          <w:rFonts w:hint="eastAsia" w:ascii="仿宋" w:hAnsi="仿宋" w:eastAsia="仿宋" w:cs="仿宋"/>
          <w:sz w:val="32"/>
          <w:szCs w:val="32"/>
          <w:lang w:eastAsia="zh-CN"/>
        </w:rPr>
        <w:t>认领</w:t>
      </w:r>
      <w:r>
        <w:rPr>
          <w:rFonts w:hint="eastAsia" w:ascii="仿宋" w:hAnsi="仿宋" w:eastAsia="仿宋" w:cs="仿宋"/>
          <w:sz w:val="32"/>
          <w:szCs w:val="32"/>
        </w:rPr>
        <w:t>。公告期满仍无人</w:t>
      </w:r>
      <w:r>
        <w:rPr>
          <w:rFonts w:hint="eastAsia" w:ascii="仿宋" w:hAnsi="仿宋" w:eastAsia="仿宋" w:cs="仿宋"/>
          <w:sz w:val="32"/>
          <w:szCs w:val="32"/>
          <w:lang w:eastAsia="zh-CN"/>
        </w:rPr>
        <w:t>认领</w:t>
      </w:r>
      <w:r>
        <w:rPr>
          <w:rFonts w:hint="eastAsia" w:ascii="仿宋" w:hAnsi="仿宋" w:eastAsia="仿宋" w:cs="仿宋"/>
          <w:sz w:val="32"/>
          <w:szCs w:val="32"/>
        </w:rPr>
        <w:t>的，经市场监督管理部门负责人批准，将涉案物品上缴或者依法拍卖后将所得款项上缴国库。”的规定，本局依法决定拍卖上述涉案</w:t>
      </w:r>
      <w:r>
        <w:rPr>
          <w:rFonts w:hint="eastAsia" w:ascii="仿宋" w:hAnsi="仿宋" w:eastAsia="仿宋" w:cs="仿宋"/>
          <w:sz w:val="32"/>
          <w:szCs w:val="32"/>
          <w:lang w:eastAsia="zh-CN"/>
        </w:rPr>
        <w:t>猪肚、</w:t>
      </w:r>
      <w:r>
        <w:rPr>
          <w:rFonts w:hint="eastAsia" w:ascii="仿宋" w:hAnsi="仿宋" w:eastAsia="仿宋" w:cs="仿宋"/>
          <w:sz w:val="32"/>
          <w:szCs w:val="32"/>
        </w:rPr>
        <w:t>牛肚</w:t>
      </w:r>
      <w:r>
        <w:rPr>
          <w:rFonts w:hint="eastAsia" w:ascii="仿宋" w:hAnsi="仿宋" w:eastAsia="仿宋" w:cs="仿宋"/>
          <w:sz w:val="32"/>
          <w:szCs w:val="32"/>
          <w:lang w:eastAsia="zh-CN"/>
        </w:rPr>
        <w:t>、鸡爪</w:t>
      </w:r>
      <w:r>
        <w:rPr>
          <w:rFonts w:hint="eastAsia" w:ascii="仿宋" w:hAnsi="仿宋" w:eastAsia="仿宋" w:cs="仿宋"/>
          <w:sz w:val="32"/>
          <w:szCs w:val="32"/>
        </w:rPr>
        <w:t>，拍卖后将所得款项上缴国库。上述处理，不免除涉案物主的法律责任。</w:t>
      </w:r>
    </w:p>
    <w:p w14:paraId="07D4E4BE">
      <w:pPr>
        <w:pStyle w:val="3"/>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本处理决定书通</w:t>
      </w:r>
      <w:r>
        <w:rPr>
          <w:rFonts w:hint="eastAsia" w:ascii="仿宋" w:hAnsi="仿宋" w:eastAsia="仿宋" w:cs="仿宋"/>
          <w:sz w:val="32"/>
          <w:szCs w:val="32"/>
          <w:lang w:eastAsia="zh-CN"/>
        </w:rPr>
        <w:t>过延津县</w:t>
      </w:r>
      <w:r>
        <w:rPr>
          <w:rFonts w:hint="eastAsia" w:ascii="仿宋" w:hAnsi="仿宋" w:eastAsia="仿宋" w:cs="仿宋"/>
          <w:sz w:val="32"/>
          <w:szCs w:val="32"/>
        </w:rPr>
        <w:t>人民政府门户网站公告送达，自公告之日起三十日即视为送达。如对本处理决定不服，被没收财物物主可在收到本处理决定书之日起六十日内向</w:t>
      </w:r>
      <w:r>
        <w:rPr>
          <w:rFonts w:hint="eastAsia" w:ascii="仿宋" w:hAnsi="仿宋" w:eastAsia="仿宋" w:cs="仿宋"/>
          <w:sz w:val="32"/>
          <w:szCs w:val="32"/>
          <w:lang w:eastAsia="zh-CN"/>
        </w:rPr>
        <w:t>延津县</w:t>
      </w:r>
      <w:r>
        <w:rPr>
          <w:rFonts w:hint="eastAsia" w:ascii="仿宋" w:hAnsi="仿宋" w:eastAsia="仿宋" w:cs="仿宋"/>
          <w:sz w:val="32"/>
          <w:szCs w:val="32"/>
        </w:rPr>
        <w:t>人民政府申请行政复议，也可以在六个月内依法向</w:t>
      </w:r>
      <w:r>
        <w:rPr>
          <w:rFonts w:hint="eastAsia" w:ascii="仿宋" w:hAnsi="仿宋" w:eastAsia="仿宋" w:cs="仿宋"/>
          <w:sz w:val="32"/>
          <w:szCs w:val="32"/>
          <w:lang w:eastAsia="zh-CN"/>
        </w:rPr>
        <w:t>延津县</w:t>
      </w:r>
      <w:r>
        <w:rPr>
          <w:rFonts w:hint="eastAsia" w:ascii="仿宋" w:hAnsi="仿宋" w:eastAsia="仿宋" w:cs="仿宋"/>
          <w:sz w:val="32"/>
          <w:szCs w:val="32"/>
        </w:rPr>
        <w:t>人民法院提起诉讼。复议或者诉讼期间，本处理决定不停止执行。</w:t>
      </w:r>
    </w:p>
    <w:p w14:paraId="2014FCE0">
      <w:pPr>
        <w:pStyle w:val="3"/>
        <w:keepNext w:val="0"/>
        <w:keepLines w:val="0"/>
        <w:pageBreakBefore w:val="0"/>
        <w:widowControl/>
        <w:suppressLineNumbers w:val="0"/>
        <w:kinsoku/>
        <w:wordWrap/>
        <w:overflowPunct/>
        <w:topLinePunct w:val="0"/>
        <w:autoSpaceDE/>
        <w:autoSpaceDN/>
        <w:bidi w:val="0"/>
        <w:adjustRightInd/>
        <w:snapToGrid/>
        <w:spacing w:line="570" w:lineRule="exact"/>
        <w:ind w:left="0" w:firstLine="459"/>
        <w:textAlignment w:val="auto"/>
        <w:rPr>
          <w:rFonts w:hint="eastAsia" w:ascii="仿宋" w:hAnsi="仿宋" w:eastAsia="仿宋" w:cs="仿宋"/>
          <w:sz w:val="32"/>
          <w:szCs w:val="32"/>
        </w:rPr>
      </w:pPr>
    </w:p>
    <w:p w14:paraId="0042E4DF">
      <w:pPr>
        <w:pStyle w:val="3"/>
        <w:keepNext w:val="0"/>
        <w:keepLines w:val="0"/>
        <w:pageBreakBefore w:val="0"/>
        <w:widowControl/>
        <w:suppressLineNumbers w:val="0"/>
        <w:kinsoku/>
        <w:wordWrap/>
        <w:overflowPunct/>
        <w:topLinePunct w:val="0"/>
        <w:autoSpaceDE/>
        <w:autoSpaceDN/>
        <w:bidi w:val="0"/>
        <w:adjustRightInd/>
        <w:snapToGrid/>
        <w:spacing w:line="570" w:lineRule="exact"/>
        <w:ind w:left="0" w:firstLine="459"/>
        <w:jc w:val="right"/>
        <w:textAlignment w:val="auto"/>
        <w:rPr>
          <w:rFonts w:hint="eastAsia" w:ascii="仿宋" w:hAnsi="仿宋" w:eastAsia="仿宋" w:cs="仿宋"/>
          <w:sz w:val="32"/>
          <w:szCs w:val="32"/>
        </w:rPr>
      </w:pPr>
      <w:r>
        <w:rPr>
          <w:rFonts w:hint="eastAsia" w:ascii="仿宋" w:hAnsi="仿宋" w:eastAsia="仿宋" w:cs="仿宋"/>
          <w:sz w:val="32"/>
          <w:szCs w:val="32"/>
          <w:lang w:eastAsia="zh-CN"/>
        </w:rPr>
        <w:t>延津县</w:t>
      </w:r>
      <w:r>
        <w:rPr>
          <w:rFonts w:hint="eastAsia" w:ascii="仿宋" w:hAnsi="仿宋" w:eastAsia="仿宋" w:cs="仿宋"/>
          <w:sz w:val="32"/>
          <w:szCs w:val="32"/>
        </w:rPr>
        <w:t>市场监督管理局</w:t>
      </w:r>
    </w:p>
    <w:p w14:paraId="352FF49D">
      <w:pPr>
        <w:pStyle w:val="3"/>
        <w:keepNext w:val="0"/>
        <w:keepLines w:val="0"/>
        <w:pageBreakBefore w:val="0"/>
        <w:widowControl/>
        <w:suppressLineNumbers w:val="0"/>
        <w:kinsoku/>
        <w:wordWrap/>
        <w:overflowPunct/>
        <w:topLinePunct w:val="0"/>
        <w:autoSpaceDE/>
        <w:autoSpaceDN/>
        <w:bidi w:val="0"/>
        <w:adjustRightInd/>
        <w:snapToGrid/>
        <w:spacing w:line="570" w:lineRule="exact"/>
        <w:ind w:left="0" w:firstLine="459"/>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2024年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p>
    <w:p w14:paraId="60493BBE">
      <w:pPr>
        <w:pageBreakBefore w:val="0"/>
        <w:kinsoku/>
        <w:wordWrap/>
        <w:overflowPunct/>
        <w:topLinePunct w:val="0"/>
        <w:autoSpaceDE/>
        <w:autoSpaceDN/>
        <w:bidi w:val="0"/>
        <w:adjustRightInd/>
        <w:snapToGrid/>
        <w:spacing w:line="536"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MjJhZDYxOWIwN2UzYzg1YzQ2MmUyN2E3OGNjYWYifQ=="/>
  </w:docVars>
  <w:rsids>
    <w:rsidRoot w:val="5EDC0E3E"/>
    <w:rsid w:val="010D09C0"/>
    <w:rsid w:val="0D14243C"/>
    <w:rsid w:val="11A51D07"/>
    <w:rsid w:val="136B277A"/>
    <w:rsid w:val="2E4D7864"/>
    <w:rsid w:val="396F142D"/>
    <w:rsid w:val="458A0EA3"/>
    <w:rsid w:val="56231394"/>
    <w:rsid w:val="5EDC0E3E"/>
    <w:rsid w:val="6AF2448F"/>
    <w:rsid w:val="717774A0"/>
    <w:rsid w:val="7357566D"/>
    <w:rsid w:val="78EB0C44"/>
    <w:rsid w:val="7CF04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1201</Words>
  <Characters>1334</Characters>
  <Lines>0</Lines>
  <Paragraphs>0</Paragraphs>
  <TotalTime>5</TotalTime>
  <ScaleCrop>false</ScaleCrop>
  <LinksUpToDate>false</LinksUpToDate>
  <CharactersWithSpaces>1366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2024-10-10T00:54:00Z</dcterms:created>
  <dc:creator>Administrator</dc:creator>
  <cp:lastModifiedBy>Administrator</cp:lastModifiedBy>
  <cp:lastPrinted>2024-11-12T00:44:02Z</cp:lastPrinted>
  <dcterms:modified xsi:type="dcterms:W3CDTF">2024-11-12T00:44:57Z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C69C266DA2C64DD885F01FC3B0CAEC3E_11</vt:lpwstr>
  </property>
</Properties>
</file>