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image/emf"/>
  <Default Extension="bin" ContentType="application/vnd.openxmlformats-officedocument.oleObjec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仿宋_GB2312" w:eastAsia="仿宋_GB2312" w:cs="仿宋_GB2312" w:hAnsi="仿宋_GB2312"/>
          <w:sz w:val="36"/>
          <w:szCs w:val="36"/>
        </w:rPr>
      </w:pPr>
    </w:p>
    <w:p>
      <w:pPr>
        <w:outlineLvl w:val="9"/>
      </w:pPr>
    </w:p>
    <w:p>
      <w:pPr>
        <w:pStyle w:val="39"/>
      </w:pPr>
    </w:p>
    <w:p>
      <w:pPr>
        <w:bidi w:val="0"/>
        <w:rPr>
          <w:rFonts w:hint="eastAsia"/>
        </w:rPr>
      </w:pPr>
    </w:p>
    <w:p>
      <w:pPr>
        <w:keepNext w:val="0"/>
        <w:keepLines w:val="0"/>
        <w:pageBreakBefore w:val="0"/>
        <w:widowControl w:val="0"/>
        <w:kinsoku/>
        <w:wordWrap/>
        <w:overflowPunct/>
        <w:topLinePunct w:val="0"/>
        <w:autoSpaceDE/>
        <w:autoSpaceDN/>
        <w:bidi w:val="0"/>
        <w:adjustRightInd w:val="0"/>
        <w:snapToGrid w:val="0"/>
        <w:jc w:val="center"/>
        <w:textAlignment w:val="auto"/>
        <w:outlineLvl w:val="0"/>
        <w:rPr>
          <w:rFonts w:ascii="方正小标宋_GBK" w:eastAsia="方正小标宋_GBK" w:hint="eastAsia"/>
          <w:bCs/>
          <w:sz w:val="72"/>
          <w:szCs w:val="72"/>
        </w:rPr>
      </w:pPr>
      <w:r>
        <w:rPr>
          <w:rFonts w:ascii="黑体" w:eastAsia="黑体" w:cs="黑体" w:hAnsi="黑体" w:hint="eastAsia"/>
          <w:bCs/>
          <w:sz w:val="72"/>
          <w:szCs w:val="72"/>
        </w:rPr>
        <w:t>建设项目环境影响报告表</w:t>
      </w:r>
    </w:p>
    <w:p>
      <w:pPr>
        <w:keepNext w:val="0"/>
        <w:keepLines w:val="0"/>
        <w:pageBreakBefore w:val="0"/>
        <w:widowControl w:val="0"/>
        <w:kinsoku/>
        <w:wordWrap/>
        <w:overflowPunct/>
        <w:topLinePunct w:val="0"/>
        <w:autoSpaceDE/>
        <w:autoSpaceDN/>
        <w:bidi w:val="0"/>
        <w:adjustRightInd w:val="0"/>
        <w:snapToGrid w:val="0"/>
        <w:jc w:val="center"/>
        <w:textAlignment w:val="auto"/>
        <w:rPr>
          <w:rFonts w:ascii="楷体_GB2312" w:eastAsia="楷体_GB2312" w:hint="eastAsia"/>
          <w:bCs/>
          <w:sz w:val="48"/>
          <w:szCs w:val="48"/>
        </w:rPr>
      </w:pPr>
      <w:r>
        <w:rPr>
          <w:rFonts w:ascii="楷体_GB2312" w:eastAsia="楷体_GB2312" w:hint="eastAsia"/>
          <w:bCs/>
          <w:sz w:val="48"/>
          <w:szCs w:val="48"/>
        </w:rPr>
        <w:t>（污染影响类）</w:t>
      </w:r>
    </w:p>
    <w:p>
      <w:pPr>
        <w:bidi w:val="0"/>
      </w:pPr>
    </w:p>
    <w:p>
      <w:pPr>
        <w:ind w:firstLine="1040"/>
        <w:rPr>
          <w:rFonts w:eastAsia="仿宋"/>
          <w:sz w:val="44"/>
          <w:szCs w:val="44"/>
        </w:rPr>
      </w:pPr>
    </w:p>
    <w:p>
      <w:pPr>
        <w:outlineLvl w:val="9"/>
        <w:rPr>
          <w:rFonts w:eastAsia="仿宋"/>
          <w:sz w:val="44"/>
          <w:szCs w:val="44"/>
        </w:rPr>
      </w:pPr>
    </w:p>
    <w:p>
      <w:pPr>
        <w:outlineLvl w:val="9"/>
        <w:rPr>
          <w:rFonts w:eastAsia="仿宋"/>
          <w:sz w:val="44"/>
          <w:szCs w:val="44"/>
        </w:rPr>
      </w:pPr>
    </w:p>
    <w:p>
      <w:pPr>
        <w:outlineLvl w:val="9"/>
      </w:pPr>
    </w:p>
    <w:p>
      <w:pPr>
        <w:ind w:firstLine="1040"/>
        <w:rPr>
          <w:rFonts w:eastAsia="仿宋"/>
          <w:sz w:val="44"/>
          <w:szCs w:val="44"/>
        </w:rPr>
      </w:pPr>
    </w:p>
    <w:p>
      <w:pPr>
        <w:pStyle w:val="39"/>
      </w:pPr>
    </w:p>
    <w:p>
      <w:pPr>
        <w:ind w:firstLine="1040"/>
        <w:rPr>
          <w:rFonts w:eastAsia="仿宋"/>
          <w:sz w:val="44"/>
          <w:szCs w:val="44"/>
        </w:rPr>
      </w:pPr>
    </w:p>
    <w:p>
      <w:pPr>
        <w:ind w:firstLine="1040"/>
        <w:rPr>
          <w:rFonts w:eastAsia="仿宋"/>
          <w:sz w:val="44"/>
          <w:szCs w:val="44"/>
        </w:rPr>
      </w:pPr>
    </w:p>
    <w:p>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ascii="Times New Roman" w:eastAsia="宋体" w:cs="Times New Roman" w:hAnsi="Times New Roman"/>
          <w:sz w:val="36"/>
          <w:szCs w:val="36"/>
          <w:u w:val="single"/>
          <w:lang w:val="en-US" w:eastAsia="zh-CN"/>
        </w:rPr>
      </w:pPr>
      <w:r>
        <w:rPr>
          <w:rFonts w:ascii="Times New Roman" w:eastAsia="宋体" w:cs="Times New Roman" w:hAnsi="Times New Roman"/>
          <w:sz w:val="36"/>
          <w:szCs w:val="36"/>
        </w:rPr>
        <w:t>项目名称：</w:t>
      </w:r>
      <w:r>
        <w:rPr>
          <w:rFonts w:cs="Times New Roman" w:hint="eastAsia"/>
          <w:sz w:val="36"/>
          <w:szCs w:val="36"/>
          <w:u w:val="single"/>
          <w:lang w:val="en-US" w:eastAsia="zh-CN"/>
        </w:rPr>
        <w:t xml:space="preserve">  </w:t>
      </w:r>
      <w:r>
        <w:rPr>
          <w:rFonts w:ascii="Times New Roman" w:eastAsia="宋体" w:cs="Times New Roman" w:hAnsi="Times New Roman"/>
          <w:sz w:val="36"/>
          <w:szCs w:val="36"/>
          <w:u w:val="single"/>
          <w:lang w:val="en-US" w:eastAsia="zh-CN"/>
        </w:rPr>
        <w:t>延津县平延园区运营管理有限公司</w:t>
      </w:r>
      <w:r>
        <w:rPr>
          <w:rFonts w:cs="Times New Roman" w:hint="eastAsia"/>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88" w:lineRule="auto"/>
        <w:ind w:firstLineChars="500" w:firstLine="1800"/>
        <w:jc w:val="both"/>
        <w:textAlignment w:val="auto"/>
        <w:rPr>
          <w:rFonts w:ascii="Times New Roman" w:cs="Times New Roman" w:hAnsi="Times New Roman"/>
          <w:sz w:val="36"/>
          <w:szCs w:val="36"/>
          <w:u w:val="single"/>
          <w:lang w:val="en-US" w:eastAsia="zh-CN"/>
        </w:rPr>
      </w:pPr>
      <w:r>
        <w:rPr>
          <w:rFonts w:ascii="Times New Roman" w:eastAsia="宋体" w:cs="Times New Roman" w:hAnsi="Times New Roman" w:hint="eastAsia"/>
          <w:sz w:val="36"/>
          <w:szCs w:val="36"/>
          <w:u w:val="single"/>
          <w:lang w:val="en-US" w:eastAsia="zh-CN"/>
        </w:rPr>
        <w:t xml:space="preserve">      </w:t>
      </w:r>
      <w:r>
        <w:rPr>
          <w:rFonts w:cs="Times New Roman" w:hint="eastAsia"/>
          <w:sz w:val="36"/>
          <w:szCs w:val="36"/>
          <w:u w:val="single"/>
          <w:lang w:val="en-US" w:eastAsia="zh-CN"/>
        </w:rPr>
        <w:t xml:space="preserve"> </w:t>
      </w:r>
      <w:r>
        <w:rPr>
          <w:rFonts w:ascii="Times New Roman" w:eastAsia="宋体" w:cs="Times New Roman" w:hAnsi="Times New Roman" w:hint="eastAsia"/>
          <w:sz w:val="36"/>
          <w:szCs w:val="36"/>
          <w:u w:val="single"/>
          <w:lang w:val="en-US" w:eastAsia="zh-CN"/>
        </w:rPr>
        <w:t xml:space="preserve">   </w:t>
      </w:r>
      <w:r>
        <w:rPr>
          <w:rFonts w:ascii="Times New Roman" w:eastAsia="宋体" w:cs="Times New Roman" w:hAnsi="Times New Roman"/>
          <w:sz w:val="36"/>
          <w:szCs w:val="36"/>
          <w:u w:val="single"/>
          <w:lang w:val="en-US" w:eastAsia="zh-CN"/>
        </w:rPr>
        <w:t>加油站建设项目</w:t>
      </w:r>
      <w:r>
        <w:rPr>
          <w:rFonts w:ascii="Times New Roman" w:cs="Times New Roman" w:hAnsi="Times New Roman" w:hint="eastAsia"/>
          <w:sz w:val="36"/>
          <w:szCs w:val="36"/>
          <w:u w:val="single"/>
          <w:lang w:val="en-US" w:eastAsia="zh-CN"/>
        </w:rPr>
        <w:t xml:space="preserve">    </w:t>
      </w:r>
      <w:r>
        <w:rPr>
          <w:rFonts w:cs="Times New Roman" w:hint="eastAsia"/>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ascii="Times New Roman" w:eastAsia="宋体" w:cs="Times New Roman" w:hAnsi="Times New Roman"/>
          <w:sz w:val="36"/>
          <w:szCs w:val="36"/>
          <w:u w:val="single"/>
          <w:lang w:val="en-US" w:eastAsia="zh-CN"/>
        </w:rPr>
      </w:pPr>
      <w:r>
        <w:rPr>
          <w:rFonts w:ascii="Times New Roman" w:eastAsia="宋体" w:cs="Times New Roman" w:hAnsi="Times New Roman"/>
          <w:sz w:val="36"/>
          <w:szCs w:val="36"/>
        </w:rPr>
        <w:t>建设单位：</w:t>
      </w:r>
      <w:r>
        <w:rPr>
          <w:rFonts w:ascii="Times New Roman" w:eastAsia="宋体" w:cs="Times New Roman" w:hAnsi="Times New Roman" w:hint="eastAsia"/>
          <w:sz w:val="36"/>
          <w:szCs w:val="36"/>
          <w:u w:val="single"/>
          <w:lang w:val="en-US" w:eastAsia="zh-CN"/>
        </w:rPr>
        <w:t>延津县平延园区运营管理有限公司</w:t>
      </w:r>
      <w:r>
        <w:rPr>
          <w:rFonts w:cs="Times New Roman" w:hint="eastAsia"/>
          <w:sz w:val="36"/>
          <w:szCs w:val="36"/>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ascii="Times New Roman" w:eastAsia="宋体" w:cs="Times New Roman" w:hAnsi="Times New Roman"/>
          <w:sz w:val="36"/>
          <w:szCs w:val="36"/>
          <w:u w:val="single"/>
          <w:lang w:val="en-US"/>
        </w:rPr>
      </w:pPr>
      <w:r>
        <w:rPr>
          <w:rFonts w:ascii="Times New Roman" w:eastAsia="宋体" w:cs="Times New Roman" w:hAnsi="Times New Roman"/>
          <w:sz w:val="36"/>
          <w:szCs w:val="36"/>
        </w:rPr>
        <w:t>编制日期：</w:t>
      </w:r>
      <w:r>
        <w:rPr>
          <w:rFonts w:ascii="Times New Roman" w:eastAsia="宋体" w:cs="Times New Roman" w:hAnsi="Times New Roman"/>
          <w:sz w:val="36"/>
          <w:szCs w:val="36"/>
          <w:u w:val="single"/>
          <w:lang w:val="en-US" w:eastAsia="zh-CN"/>
        </w:rPr>
        <w:t xml:space="preserve">      </w:t>
      </w:r>
      <w:r>
        <w:rPr>
          <w:rFonts w:ascii="Times New Roman" w:eastAsia="宋体" w:cs="Times New Roman" w:hAnsi="Times New Roman" w:hint="eastAsia"/>
          <w:sz w:val="36"/>
          <w:szCs w:val="36"/>
          <w:u w:val="single"/>
          <w:lang w:val="en-US" w:eastAsia="zh-CN"/>
        </w:rPr>
        <w:t xml:space="preserve">    </w:t>
      </w:r>
      <w:r>
        <w:rPr>
          <w:rFonts w:ascii="Times New Roman" w:eastAsia="宋体" w:cs="Times New Roman" w:hAnsi="Times New Roman"/>
          <w:sz w:val="36"/>
          <w:szCs w:val="36"/>
          <w:u w:val="single"/>
          <w:lang w:val="en-US" w:eastAsia="zh-CN"/>
        </w:rPr>
        <w:t>202</w:t>
      </w:r>
      <w:r>
        <w:rPr>
          <w:rFonts w:cs="Times New Roman" w:hint="eastAsia"/>
          <w:sz w:val="36"/>
          <w:szCs w:val="36"/>
          <w:u w:val="single"/>
          <w:lang w:val="en-US" w:eastAsia="zh-CN"/>
        </w:rPr>
        <w:t>6</w:t>
      </w:r>
      <w:r>
        <w:rPr>
          <w:rFonts w:ascii="Times New Roman" w:eastAsia="宋体" w:cs="Times New Roman" w:hAnsi="Times New Roman"/>
          <w:sz w:val="36"/>
          <w:szCs w:val="36"/>
          <w:u w:val="single"/>
          <w:lang w:val="en-US" w:eastAsia="zh-CN"/>
        </w:rPr>
        <w:t>年</w:t>
      </w:r>
      <w:r>
        <w:rPr>
          <w:rFonts w:cs="Times New Roman" w:hint="eastAsia"/>
          <w:sz w:val="36"/>
          <w:szCs w:val="36"/>
          <w:u w:val="single"/>
          <w:lang w:val="en-US" w:eastAsia="zh-CN"/>
        </w:rPr>
        <w:t>8</w:t>
      </w:r>
      <w:r>
        <w:rPr>
          <w:rFonts w:ascii="Times New Roman" w:eastAsia="宋体" w:cs="Times New Roman" w:hAnsi="Times New Roman"/>
          <w:sz w:val="36"/>
          <w:szCs w:val="36"/>
          <w:u w:val="single"/>
          <w:lang w:val="en-US" w:eastAsia="zh-CN"/>
        </w:rPr>
        <w:t>月</w:t>
      </w:r>
      <w:r>
        <w:rPr>
          <w:rFonts w:ascii="Times New Roman" w:eastAsia="宋体" w:cs="Times New Roman" w:hAnsi="Times New Roman" w:hint="eastAsia"/>
          <w:sz w:val="36"/>
          <w:szCs w:val="36"/>
          <w:u w:val="single"/>
          <w:lang w:val="en-US" w:eastAsia="zh-CN"/>
        </w:rPr>
        <w:t xml:space="preserve">          </w:t>
      </w:r>
      <w:r>
        <w:rPr>
          <w:rFonts w:cs="Times New Roman" w:hint="eastAsia"/>
          <w:sz w:val="36"/>
          <w:szCs w:val="36"/>
          <w:u w:val="single"/>
          <w:lang w:val="en-US" w:eastAsia="zh-CN"/>
        </w:rPr>
        <w:t xml:space="preserve">   </w:t>
      </w:r>
    </w:p>
    <w:p>
      <w:pPr>
        <w:adjustRightInd w:val="0"/>
        <w:snapToGrid w:val="0"/>
        <w:spacing w:line="288" w:lineRule="auto"/>
        <w:ind w:firstLine="1040"/>
        <w:rPr>
          <w:rFonts w:ascii="仿宋_GB2312" w:eastAsia="仿宋_GB2312"/>
          <w:sz w:val="36"/>
          <w:szCs w:val="36"/>
          <w:u w:val="single"/>
        </w:rPr>
      </w:pPr>
      <w:bookmarkStart w:id="0" w:name="_Hlk57884087"/>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ascii="仿宋_GB2312" w:eastAsia="仿宋_GB2312"/>
          <w:sz w:val="36"/>
          <w:szCs w:val="36"/>
        </w:rPr>
      </w:pPr>
    </w:p>
    <w:p>
      <w:pPr>
        <w:outlineLvl w:val="9"/>
        <w:rPr>
          <w:rFonts w:ascii="仿宋_GB2312" w:eastAsia="仿宋_GB2312"/>
          <w:sz w:val="36"/>
          <w:szCs w:val="36"/>
        </w:rPr>
      </w:pPr>
    </w:p>
    <w:p>
      <w:pPr>
        <w:outlineLvl w:val="9"/>
      </w:pPr>
    </w:p>
    <w:p>
      <w:pPr>
        <w:outlineLvl w:val="9"/>
      </w:pPr>
    </w:p>
    <w:p>
      <w:pPr>
        <w:bidi w:val="0"/>
        <w:jc w:val="center"/>
        <w:rPr>
          <w:rFonts w:ascii="楷体_GB2312" w:eastAsia="楷体_GB2312" w:hint="eastAsia"/>
          <w:sz w:val="36"/>
          <w:szCs w:val="36"/>
        </w:rPr>
      </w:pPr>
      <w:bookmarkEnd w:id="0"/>
      <w:r>
        <w:rPr>
          <w:rFonts w:ascii="楷体_GB2312" w:eastAsia="楷体_GB2312" w:hint="eastAsia"/>
          <w:sz w:val="36"/>
          <w:szCs w:val="36"/>
        </w:rPr>
        <w:t>中华人民共和国生态环境部制</w:t>
      </w:r>
    </w:p>
    <w:p>
      <w:pPr>
        <w:jc w:val="center"/>
        <w:rPr>
          <w:rFonts w:ascii="仿宋_GB2312" w:eastAsia="仿宋_GB2312" w:cs="仿宋_GB2312" w:hAnsi="仿宋_GB2312"/>
          <w:sz w:val="36"/>
          <w:szCs w:val="36"/>
        </w:rPr>
      </w:pPr>
    </w:p>
    <w:p>
      <w:pPr>
        <w:sectPr>
          <w:headerReference w:type="default" r:id="rId2"/>
          <w:footerReference w:type="default" r:id="rId3"/>
          <w:pgSz w:w="11906" w:h="16838"/>
          <w:pgMar w:top="1440" w:right="1800" w:bottom="1440" w:left="1800" w:header="283" w:footer="283" w:gutter="0"/>
          <w:pgNumType w:fmt="decimalFullWidth" w:start="1"/>
          <w:cols w:num="1" w:space="720"/>
          <w:docGrid w:linePitch="312" w:charSpace="0"/>
        </w:sectPr>
      </w:pPr>
    </w:p>
    <w:p>
      <w:pPr>
        <w:bidi w:val="0"/>
        <w:spacing w:line="360" w:lineRule="auto"/>
        <w:jc w:val="center"/>
        <w:outlineLvl w:val="0"/>
        <w:rPr>
          <w:rFonts w:ascii="黑体" w:eastAsia="黑体" w:cs="黑体" w:hAnsi="黑体" w:hint="eastAsia"/>
          <w:b w:val="0"/>
          <w:bCs w:val="0"/>
          <w:sz w:val="30"/>
          <w:szCs w:val="30"/>
          <w:lang w:val="en-US" w:eastAsia="zh-CN"/>
        </w:rPr>
      </w:pPr>
      <w:r>
        <w:rPr>
          <w:rFonts w:ascii="黑体" w:eastAsia="黑体" w:cs="黑体" w:hAnsi="黑体" w:hint="eastAsia"/>
          <w:b w:val="0"/>
          <w:bCs w:val="0"/>
          <w:sz w:val="30"/>
          <w:szCs w:val="30"/>
        </w:rPr>
        <w:t>一、建设项目基本情况</w:t>
      </w:r>
    </w:p>
    <w:tbl>
      <w:tblPr>
        <w:jc w:val="center"/>
        <w:tblW w:w="500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19"/>
        <w:gridCol w:w="436"/>
        <w:gridCol w:w="1315"/>
        <w:gridCol w:w="1985"/>
        <w:gridCol w:w="2032"/>
        <w:gridCol w:w="3099"/>
      </w:tblGrid>
      <w:tr>
        <w:trPr>
          <w:trHeight w:val="567"/>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rPr>
            </w:pPr>
            <w:r>
              <w:rPr>
                <w:rFonts w:ascii="宋体" w:cs="Times New Roman" w:hAnsi="宋体"/>
                <w:sz w:val="24"/>
                <w:szCs w:val="20"/>
              </w:rPr>
              <w:t>建设项目名称</w:t>
            </w:r>
          </w:p>
        </w:tc>
        <w:tc>
          <w:tcPr>
            <w:tcW w:w="4003" w:type="pct"/>
            <w:gridSpan w:val="3"/>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olor w:val="000000"/>
                <w:sz w:val="24"/>
                <w:lang w:val="en-US" w:eastAsia="zh-CN"/>
                <w:highlight w:val="yellow"/>
              </w:rPr>
            </w:pPr>
            <w:r>
              <w:rPr>
                <w:rFonts w:ascii="宋体" w:cs="Times New Roman" w:hAnsi="宋体" w:hint="eastAsia"/>
                <w:color w:val="000000"/>
                <w:sz w:val="24"/>
                <w:szCs w:val="20"/>
                <w:lang w:val="en-US" w:eastAsia="zh-CN"/>
                <w:highlight w:val="none"/>
              </w:rPr>
              <w:t>延津县平延园区运营管理有限公司加油站建设项目</w:t>
            </w:r>
          </w:p>
        </w:tc>
      </w:tr>
      <w:tr>
        <w:trPr>
          <w:trHeight w:val="567"/>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rPr>
            </w:pPr>
            <w:r>
              <w:rPr>
                <w:rFonts w:ascii="宋体" w:cs="Times New Roman" w:hAnsi="宋体"/>
                <w:sz w:val="24"/>
                <w:szCs w:val="20"/>
              </w:rPr>
              <w:t>项目代码</w:t>
            </w:r>
          </w:p>
        </w:tc>
        <w:tc>
          <w:tcPr>
            <w:tcW w:w="4003" w:type="pct"/>
            <w:gridSpan w:val="3"/>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olor w:val="FF0000"/>
                <w:sz w:val="24"/>
                <w:lang w:val="en-US" w:eastAsia="zh-CN"/>
                <w:highlight w:val="yellow"/>
              </w:rPr>
            </w:pPr>
            <w:r>
              <w:rPr>
                <w:rFonts w:ascii="Times New Roman" w:eastAsia="宋体" w:cs="Times New Roman" w:hAnsi="Times New Roman"/>
                <w:color w:val="000000"/>
                <w:sz w:val="24"/>
                <w:szCs w:val="20"/>
                <w:lang w:val="en-US" w:eastAsia="zh-CN"/>
                <w:highlight w:val="none"/>
              </w:rPr>
              <w:t>2504-410726-04-01</w:t>
            </w:r>
            <w:r>
              <w:rPr>
                <w:rFonts w:ascii="Times New Roman" w:cs="Times New Roman" w:hAnsi="Times New Roman" w:hint="eastAsia"/>
                <w:color w:val="000000"/>
                <w:sz w:val="24"/>
                <w:szCs w:val="20"/>
                <w:lang w:val="en-US" w:eastAsia="zh-CN"/>
                <w:highlight w:val="none"/>
              </w:rPr>
              <w:t>-</w:t>
            </w:r>
            <w:r>
              <w:rPr>
                <w:rFonts w:ascii="Times New Roman" w:eastAsia="宋体" w:cs="Times New Roman" w:hAnsi="Times New Roman"/>
                <w:color w:val="000000"/>
                <w:sz w:val="24"/>
                <w:szCs w:val="20"/>
                <w:lang w:val="en-US" w:eastAsia="zh-CN"/>
                <w:highlight w:val="none"/>
              </w:rPr>
              <w:t>448598</w:t>
            </w:r>
          </w:p>
        </w:tc>
      </w:tr>
      <w:tr>
        <w:trPr>
          <w:trHeight w:val="438"/>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rPr>
            </w:pPr>
            <w:r>
              <w:rPr>
                <w:rFonts w:ascii="宋体" w:cs="Times New Roman" w:hAnsi="宋体"/>
                <w:sz w:val="24"/>
                <w:szCs w:val="20"/>
              </w:rPr>
              <w:t>建设单位联系人</w:t>
            </w:r>
          </w:p>
        </w:tc>
        <w:tc>
          <w:tcPr>
            <w:tcW w:w="1117" w:type="pct"/>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olor w:val="000000"/>
                <w:sz w:val="24"/>
                <w14:textFill>
                  <w14:solidFill>
                    <w14:srgbClr w14:val="000000"/>
                  </w14:solidFill>
                </w14:textFill>
                <w:lang w:val="en-US" w:eastAsia="zh-CN"/>
                <w:highlight w:val="none"/>
              </w:rPr>
            </w:pPr>
          </w:p>
        </w:tc>
        <w:tc>
          <w:tcPr>
            <w:tcW w:w="1143" w:type="pct"/>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000000"/>
                <w:sz w:val="24"/>
                <w14:textFill>
                  <w14:solidFill>
                    <w14:srgbClr w14:val="000000"/>
                  </w14:solidFill>
                </w14:textFill>
                <w:highlight w:val="none"/>
              </w:rPr>
            </w:pPr>
            <w:r>
              <w:rPr>
                <w:rFonts w:ascii="宋体" w:cs="Times New Roman" w:hAnsi="宋体"/>
                <w:color w:val="000000"/>
                <w:sz w:val="24"/>
                <w:szCs w:val="20"/>
                <w14:textFill>
                  <w14:solidFill>
                    <w14:srgbClr w14:val="000000"/>
                  </w14:solidFill>
                </w14:textFill>
                <w:highlight w:val="none"/>
              </w:rPr>
              <w:t>联系方式</w:t>
            </w:r>
          </w:p>
        </w:tc>
        <w:tc>
          <w:tcPr>
            <w:tcW w:w="1741" w:type="pct"/>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bCs/>
                <w:color w:val="000000"/>
                <w:sz w:val="24"/>
                <w14:textFill>
                  <w14:solidFill>
                    <w14:srgbClr w14:val="000000"/>
                  </w14:solidFill>
                </w14:textFill>
                <w:lang w:val="en-US" w:eastAsia="zh-CN"/>
                <w:highlight w:val="none"/>
              </w:rPr>
            </w:pPr>
          </w:p>
        </w:tc>
      </w:tr>
      <w:tr>
        <w:trPr>
          <w:trHeight w:val="567"/>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rPr>
            </w:pPr>
            <w:r>
              <w:rPr>
                <w:rFonts w:ascii="宋体" w:cs="Times New Roman" w:hAnsi="宋体"/>
                <w:sz w:val="24"/>
                <w:szCs w:val="20"/>
              </w:rPr>
              <w:t>建设单位法人</w:t>
            </w:r>
          </w:p>
        </w:tc>
        <w:tc>
          <w:tcPr>
            <w:tcW w:w="1117" w:type="pct"/>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hint="eastAsia"/>
                <w:bCs/>
                <w:color w:val="auto"/>
                <w:sz w:val="24"/>
                <w:lang w:val="en-US" w:eastAsia="zh-CN"/>
                <w:highlight w:val="yellow"/>
              </w:rPr>
            </w:pPr>
          </w:p>
        </w:tc>
        <w:tc>
          <w:tcPr>
            <w:tcW w:w="1143" w:type="pct"/>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auto"/>
                <w:sz w:val="24"/>
                <w:highlight w:val="none"/>
              </w:rPr>
            </w:pPr>
            <w:r>
              <w:rPr>
                <w:rFonts w:ascii="宋体" w:cs="Times New Roman" w:hAnsi="宋体"/>
                <w:color w:val="auto"/>
                <w:sz w:val="24"/>
                <w:szCs w:val="20"/>
                <w:highlight w:val="none"/>
              </w:rPr>
              <w:t>统一社会信用代码</w:t>
            </w:r>
          </w:p>
        </w:tc>
        <w:tc>
          <w:tcPr>
            <w:tcW w:w="1741" w:type="pct"/>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hint="eastAsia"/>
                <w:bCs/>
                <w:color w:val="auto"/>
                <w:sz w:val="24"/>
                <w:lang w:val="en-US" w:eastAsia="zh-CN"/>
                <w:highlight w:val="none"/>
              </w:rPr>
            </w:pPr>
          </w:p>
        </w:tc>
      </w:tr>
      <w:tr>
        <w:trPr>
          <w:trHeight w:val="505"/>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rPr>
            </w:pPr>
            <w:r>
              <w:rPr>
                <w:rFonts w:ascii="Times New Roman" w:cs="Times New Roman" w:hAnsi="宋体" w:hint="eastAsia"/>
                <w:color w:val="000000"/>
                <w:sz w:val="24"/>
                <w:szCs w:val="20"/>
              </w:rPr>
              <w:t>建设单位</w:t>
            </w:r>
          </w:p>
        </w:tc>
        <w:tc>
          <w:tcPr>
            <w:tcW w:w="4003" w:type="pct"/>
            <w:gridSpan w:val="3"/>
            <w:vAlign w:val="center"/>
          </w:tcPr>
          <w:p>
            <w:pPr>
              <w:pStyle w:val="29"/>
              <w:keepNext w:val="0"/>
              <w:keepLines w:val="0"/>
              <w:widowControl/>
              <w:suppressLineNumbers w:val="0"/>
              <w:spacing w:before="0" w:beforeAutospacing="0" w:after="0" w:afterAutospacing="0"/>
              <w:ind w:left="0" w:right="0" w:firstLine="0"/>
              <w:jc w:val="center"/>
              <w:rPr>
                <w:rFonts w:ascii="宋体" w:eastAsia="宋体" w:hAnsi="宋体"/>
                <w:color w:val="000000"/>
                <w:sz w:val="24"/>
                <w:lang w:val="en-US" w:eastAsia="zh-CN"/>
                <w:highlight w:val="yellow"/>
              </w:rPr>
            </w:pPr>
            <w:r>
              <w:rPr>
                <w:rFonts w:ascii="宋体" w:eastAsia="宋体" w:cs="Times New Roman" w:hAnsi="宋体"/>
                <w:color w:val="000000"/>
                <w:sz w:val="24"/>
                <w:szCs w:val="20"/>
                <w:lang w:val="en-US" w:eastAsia="zh-CN"/>
                <w:highlight w:val="none"/>
              </w:rPr>
              <w:t>延津县平延园区运营管理有限公司</w:t>
            </w:r>
          </w:p>
        </w:tc>
      </w:tr>
      <w:tr>
        <w:trPr>
          <w:trHeight w:val="505"/>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rPr>
            </w:pPr>
            <w:r>
              <w:rPr>
                <w:rFonts w:ascii="宋体" w:cs="Times New Roman" w:hAnsi="宋体"/>
                <w:sz w:val="24"/>
                <w:szCs w:val="20"/>
              </w:rPr>
              <w:t>建设地点</w:t>
            </w:r>
          </w:p>
        </w:tc>
        <w:tc>
          <w:tcPr>
            <w:tcW w:w="4003" w:type="pct"/>
            <w:gridSpan w:val="3"/>
            <w:vAlign w:val="center"/>
          </w:tcPr>
          <w:p>
            <w:pPr>
              <w:pStyle w:val="29"/>
              <w:keepNext w:val="0"/>
              <w:keepLines w:val="0"/>
              <w:widowControl/>
              <w:suppressLineNumbers w:val="0"/>
              <w:spacing w:before="0" w:beforeAutospacing="0" w:after="0" w:afterAutospacing="0"/>
              <w:ind w:left="0" w:right="0" w:firstLine="0"/>
              <w:jc w:val="center"/>
              <w:rPr>
                <w:rFonts w:ascii="宋体" w:eastAsia="宋体" w:hAnsi="宋体"/>
                <w:sz w:val="24"/>
                <w:lang w:val="en-US" w:eastAsia="zh-CN"/>
                <w:highlight w:val="yellow"/>
              </w:rPr>
            </w:pPr>
            <w:r>
              <w:rPr>
                <w:rFonts w:ascii="Times New Roman" w:cs="宋体" w:hAnsi="Times New Roman" w:hint="eastAsia"/>
                <w:color w:val="auto"/>
                <w:sz w:val="24"/>
                <w:szCs w:val="24"/>
                <w:lang w:val="en-US" w:eastAsia="zh-CN"/>
                <w:highlight w:val="none"/>
              </w:rPr>
              <w:t>新乡市延津县化工园区纬一路与榆林排交叉口东南角</w:t>
            </w:r>
          </w:p>
        </w:tc>
      </w:tr>
      <w:tr>
        <w:trPr>
          <w:trHeight w:val="567"/>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rPr>
            </w:pPr>
            <w:r>
              <w:rPr>
                <w:rFonts w:ascii="宋体" w:cs="Times New Roman" w:hAnsi="宋体"/>
                <w:sz w:val="24"/>
                <w:szCs w:val="20"/>
              </w:rPr>
              <w:t>地理坐标</w:t>
            </w:r>
          </w:p>
        </w:tc>
        <w:tc>
          <w:tcPr>
            <w:tcW w:w="4003" w:type="pct"/>
            <w:gridSpan w:val="3"/>
            <w:vAlign w:val="center"/>
          </w:tcPr>
          <w:p>
            <w:pPr>
              <w:keepNext w:val="0"/>
              <w:keepLines w:val="0"/>
              <w:suppressLineNumbers w:val="0"/>
              <w:spacing w:before="0" w:beforeAutospacing="0" w:after="0" w:afterAutospacing="0"/>
              <w:ind w:left="0" w:right="0"/>
              <w:jc w:val="center"/>
              <w:rPr>
                <w:rFonts w:ascii="宋体" w:hAnsi="宋体"/>
                <w:sz w:val="24"/>
                <w:highlight w:val="yellow"/>
              </w:rPr>
            </w:pPr>
            <w:r>
              <w:rPr>
                <w:rFonts w:ascii="Times New Roman" w:cs="Times New Roman" w:hAnsi="Times New Roman"/>
                <w:color w:val="auto"/>
                <w:sz w:val="24"/>
                <w:szCs w:val="20"/>
                <w:highlight w:val="none"/>
              </w:rPr>
              <w:t>（</w:t>
            </w:r>
            <w:r>
              <w:rPr>
                <w:rFonts w:ascii="Times New Roman" w:cs="Times New Roman" w:hAnsi="Times New Roman" w:hint="eastAsia"/>
                <w:color w:val="auto"/>
                <w:sz w:val="24"/>
                <w:szCs w:val="20"/>
                <w:u w:val="single"/>
                <w:lang w:val="en-US" w:eastAsia="zh-CN"/>
                <w:highlight w:val="none"/>
              </w:rPr>
              <w:t>114度5分48.419秒</w:t>
            </w:r>
            <w:r>
              <w:rPr>
                <w:rFonts w:ascii="Times New Roman" w:cs="Times New Roman" w:hAnsi="Times New Roman"/>
                <w:color w:val="auto"/>
                <w:sz w:val="24"/>
                <w:szCs w:val="20"/>
                <w:highlight w:val="none"/>
              </w:rPr>
              <w:t>，</w:t>
            </w:r>
            <w:r>
              <w:rPr>
                <w:rFonts w:ascii="Times New Roman" w:cs="Times New Roman" w:hAnsi="Times New Roman"/>
                <w:color w:val="auto"/>
                <w:sz w:val="24"/>
                <w:szCs w:val="20"/>
                <w:u w:val="single"/>
                <w:highlight w:val="none"/>
              </w:rPr>
              <w:t>35</w:t>
            </w:r>
            <w:r>
              <w:rPr>
                <w:rFonts w:ascii="Times New Roman" w:cs="Times New Roman" w:hAnsi="Times New Roman"/>
                <w:color w:val="auto"/>
                <w:sz w:val="24"/>
                <w:szCs w:val="20"/>
                <w:highlight w:val="none"/>
              </w:rPr>
              <w:t>度</w:t>
            </w:r>
            <w:r>
              <w:rPr>
                <w:rFonts w:ascii="Times New Roman" w:cs="Times New Roman" w:hAnsi="Times New Roman" w:hint="eastAsia"/>
                <w:color w:val="auto"/>
                <w:sz w:val="24"/>
                <w:szCs w:val="20"/>
                <w:u w:val="single"/>
                <w:lang w:val="en-US" w:eastAsia="zh-CN"/>
                <w:highlight w:val="none"/>
              </w:rPr>
              <w:t>15</w:t>
            </w:r>
            <w:r>
              <w:rPr>
                <w:rFonts w:ascii="Times New Roman" w:cs="Times New Roman" w:hAnsi="Times New Roman"/>
                <w:color w:val="auto"/>
                <w:sz w:val="24"/>
                <w:szCs w:val="20"/>
                <w:highlight w:val="none"/>
              </w:rPr>
              <w:t>分</w:t>
            </w:r>
            <w:r>
              <w:rPr>
                <w:rFonts w:ascii="Times New Roman" w:cs="Times New Roman" w:hAnsi="Times New Roman" w:hint="eastAsia"/>
                <w:color w:val="auto"/>
                <w:sz w:val="24"/>
                <w:szCs w:val="20"/>
                <w:u w:val="single"/>
                <w:lang w:val="en-US" w:eastAsia="zh-CN"/>
                <w:highlight w:val="none"/>
              </w:rPr>
              <w:t>53.096</w:t>
            </w:r>
            <w:r>
              <w:rPr>
                <w:rFonts w:ascii="Times New Roman" w:cs="Times New Roman" w:hAnsi="Times New Roman"/>
                <w:color w:val="auto"/>
                <w:sz w:val="24"/>
                <w:szCs w:val="20"/>
                <w:highlight w:val="none"/>
              </w:rPr>
              <w:t>秒）</w:t>
            </w:r>
          </w:p>
        </w:tc>
      </w:tr>
      <w:tr>
        <w:trPr>
          <w:trHeight w:val="808"/>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auto"/>
                <w:sz w:val="24"/>
              </w:rPr>
            </w:pPr>
            <w:r>
              <w:rPr>
                <w:rFonts w:ascii="宋体" w:cs="Times New Roman" w:hAnsi="宋体"/>
                <w:color w:val="auto"/>
                <w:sz w:val="24"/>
                <w:szCs w:val="20"/>
              </w:rPr>
              <w:t>国民经济</w:t>
            </w:r>
          </w:p>
          <w:p>
            <w:pPr>
              <w:keepNext w:val="0"/>
              <w:keepLines w:val="0"/>
              <w:suppressLineNumbers w:val="0"/>
              <w:adjustRightInd w:val="0"/>
              <w:snapToGrid w:val="0"/>
              <w:spacing w:before="0" w:beforeAutospacing="0" w:after="0" w:afterAutospacing="0"/>
              <w:ind w:left="0" w:right="0"/>
              <w:jc w:val="center"/>
              <w:rPr>
                <w:rFonts w:ascii="宋体" w:hAnsi="宋体"/>
                <w:color w:val="auto"/>
                <w:sz w:val="24"/>
              </w:rPr>
            </w:pPr>
            <w:r>
              <w:rPr>
                <w:rFonts w:ascii="宋体" w:cs="Times New Roman" w:hAnsi="宋体"/>
                <w:color w:val="auto"/>
                <w:sz w:val="24"/>
                <w:szCs w:val="20"/>
              </w:rPr>
              <w:t>行业类别</w:t>
            </w:r>
          </w:p>
        </w:tc>
        <w:tc>
          <w:tcPr>
            <w:tcW w:w="1117" w:type="pct"/>
            <w:vAlign w:val="center"/>
          </w:tcPr>
          <w:p>
            <w:pPr>
              <w:keepNext w:val="0"/>
              <w:keepLines w:val="0"/>
              <w:widowControl/>
              <w:suppressLineNumbers w:val="0"/>
              <w:spacing w:before="0" w:beforeAutospacing="0" w:after="0" w:afterAutospacing="0"/>
              <w:ind w:left="0" w:right="0"/>
              <w:jc w:val="center"/>
              <w:rPr>
                <w:rFonts w:ascii="宋体" w:hAnsi="宋体"/>
                <w:color w:val="auto"/>
                <w:sz w:val="24"/>
                <w:lang w:val="en-US"/>
                <w:highlight w:val="none"/>
              </w:rPr>
            </w:pPr>
            <w:r>
              <w:rPr>
                <w:rFonts w:ascii="Times New Roman" w:cs="Times New Roman" w:hAnsi="Times New Roman" w:hint="eastAsia"/>
                <w:color w:val="auto"/>
                <w:sz w:val="24"/>
                <w:szCs w:val="20"/>
                <w:lang w:val="en-US" w:eastAsia="zh-CN"/>
                <w:highlight w:val="none"/>
              </w:rPr>
              <w:t>F5265</w:t>
            </w:r>
            <w:r>
              <w:rPr>
                <w:rFonts w:ascii="Times New Roman" w:cs="宋体" w:hAnsi="Times New Roman" w:hint="eastAsia"/>
                <w:color w:val="auto"/>
                <w:sz w:val="24"/>
                <w:szCs w:val="24"/>
                <w:lang w:eastAsia="zh-CN"/>
                <w:highlight w:val="none"/>
              </w:rPr>
              <w:t>机动车燃油零售</w:t>
            </w:r>
          </w:p>
        </w:tc>
        <w:tc>
          <w:tcPr>
            <w:tcW w:w="1143" w:type="pct"/>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auto"/>
                <w:sz w:val="24"/>
                <w:highlight w:val="none"/>
              </w:rPr>
            </w:pPr>
            <w:r>
              <w:rPr>
                <w:rFonts w:ascii="宋体" w:cs="Times New Roman" w:hAnsi="宋体"/>
                <w:color w:val="auto"/>
                <w:sz w:val="24"/>
                <w:szCs w:val="20"/>
                <w:highlight w:val="none"/>
              </w:rPr>
              <w:t>建设项目</w:t>
            </w:r>
          </w:p>
          <w:p>
            <w:pPr>
              <w:keepNext w:val="0"/>
              <w:keepLines w:val="0"/>
              <w:suppressLineNumbers w:val="0"/>
              <w:adjustRightInd w:val="0"/>
              <w:snapToGrid w:val="0"/>
              <w:spacing w:before="0" w:beforeAutospacing="0" w:after="0" w:afterAutospacing="0"/>
              <w:ind w:left="0" w:right="0"/>
              <w:jc w:val="center"/>
              <w:rPr>
                <w:rFonts w:ascii="宋体" w:hAnsi="宋体"/>
                <w:color w:val="auto"/>
                <w:sz w:val="24"/>
                <w:highlight w:val="none"/>
              </w:rPr>
            </w:pPr>
            <w:r>
              <w:rPr>
                <w:rFonts w:ascii="宋体" w:cs="Times New Roman" w:hAnsi="宋体"/>
                <w:color w:val="auto"/>
                <w:sz w:val="24"/>
                <w:szCs w:val="20"/>
                <w:highlight w:val="none"/>
              </w:rPr>
              <w:t>行业类别</w:t>
            </w:r>
          </w:p>
        </w:tc>
        <w:tc>
          <w:tcPr>
            <w:tcW w:w="1741" w:type="pct"/>
            <w:vAlign w:val="center"/>
          </w:tcPr>
          <w:p>
            <w:pPr>
              <w:pStyle w:val="17"/>
              <w:keepNext w:val="0"/>
              <w:keepLines w:val="0"/>
              <w:suppressLineNumbers w:val="0"/>
              <w:spacing w:before="0" w:beforeAutospacing="0" w:after="0" w:afterAutospacing="0"/>
              <w:ind w:left="0" w:right="0"/>
              <w:rPr>
                <w:rFonts w:ascii="宋体" w:hAnsi="宋体"/>
                <w:color w:val="auto"/>
                <w:sz w:val="24"/>
                <w:lang w:val="en-US"/>
                <w:highlight w:val="none"/>
              </w:rPr>
            </w:pPr>
            <w:r>
              <w:rPr>
                <w:rFonts w:ascii="Times New Roman" w:cs="宋体" w:hAnsi="Times New Roman" w:hint="eastAsia"/>
                <w:color w:val="auto"/>
                <w:sz w:val="24"/>
                <w:szCs w:val="24"/>
                <w:lang w:eastAsia="zh-CN"/>
                <w:highlight w:val="none"/>
              </w:rPr>
              <w:t>五十、社会事业与服务业：119、加油、加气站</w:t>
            </w:r>
          </w:p>
        </w:tc>
      </w:tr>
      <w:tr>
        <w:trPr>
          <w:trHeight w:val="1308"/>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sz w:val="24"/>
              </w:rPr>
            </w:pPr>
            <w:r>
              <w:rPr>
                <w:rFonts w:ascii="Times New Roman" w:cs="Times New Roman" w:hAnsi="宋体"/>
                <w:sz w:val="24"/>
                <w:szCs w:val="20"/>
              </w:rPr>
              <w:t>建设性质</w:t>
            </w:r>
          </w:p>
        </w:tc>
        <w:tc>
          <w:tcPr>
            <w:tcW w:w="1117" w:type="pct"/>
            <w:vAlign w:val="center"/>
          </w:tcPr>
          <w:p>
            <w:pPr>
              <w:keepNext w:val="0"/>
              <w:keepLines w:val="0"/>
              <w:suppressLineNumbers w:val="0"/>
              <w:spacing w:before="0" w:beforeAutospacing="0" w:after="0" w:afterAutospacing="0"/>
              <w:ind w:left="0" w:right="0"/>
              <w:jc w:val="left"/>
              <w:rPr>
                <w:rFonts w:ascii="宋体" w:hAnsi="宋体"/>
                <w:sz w:val="24"/>
                <w:highlight w:val="none"/>
              </w:rPr>
            </w:pPr>
            <w:r>
              <w:rPr>
                <w:rFonts w:ascii="宋体" w:cs="Times New Roman" w:hAnsi="宋体" w:hint="eastAsia"/>
                <w:sz w:val="24"/>
                <w:szCs w:val="20"/>
                <w:lang w:eastAsia="zh-CN"/>
                <w:highlight w:val="none"/>
              </w:rPr>
              <w:t>☑</w:t>
            </w:r>
            <w:r>
              <w:rPr>
                <w:rFonts w:ascii="宋体" w:cs="Times New Roman" w:hAnsi="宋体"/>
                <w:sz w:val="24"/>
                <w:szCs w:val="20"/>
                <w:highlight w:val="none"/>
              </w:rPr>
              <w:t>新建（迁建）</w:t>
            </w:r>
          </w:p>
          <w:p>
            <w:pPr>
              <w:keepNext w:val="0"/>
              <w:keepLines w:val="0"/>
              <w:suppressLineNumbers w:val="0"/>
              <w:spacing w:before="0" w:beforeAutospacing="0" w:after="0" w:afterAutospacing="0"/>
              <w:ind w:left="0" w:right="0"/>
              <w:jc w:val="left"/>
              <w:rPr>
                <w:rFonts w:ascii="宋体" w:hAnsi="宋体"/>
                <w:sz w:val="24"/>
                <w:highlight w:val="none"/>
              </w:rPr>
            </w:pPr>
            <w:r>
              <w:rPr>
                <w:rFonts w:ascii="宋体" w:cs="Times New Roman" w:hAnsi="宋体" w:hint="eastAsia"/>
                <w:sz w:val="24"/>
                <w:szCs w:val="20"/>
                <w:lang w:eastAsia="zh-CN"/>
                <w:highlight w:val="none"/>
              </w:rPr>
              <w:t>□</w:t>
            </w:r>
            <w:r>
              <w:rPr>
                <w:rFonts w:ascii="宋体" w:cs="Times New Roman" w:hAnsi="宋体"/>
                <w:sz w:val="24"/>
                <w:szCs w:val="20"/>
                <w:highlight w:val="none"/>
              </w:rPr>
              <w:t>改建</w:t>
            </w:r>
          </w:p>
          <w:p>
            <w:pPr>
              <w:keepNext w:val="0"/>
              <w:keepLines w:val="0"/>
              <w:suppressLineNumbers w:val="0"/>
              <w:spacing w:before="0" w:beforeAutospacing="0" w:after="0" w:afterAutospacing="0"/>
              <w:ind w:left="0" w:right="0"/>
              <w:jc w:val="left"/>
              <w:rPr>
                <w:rFonts w:ascii="宋体" w:hAnsi="宋体"/>
                <w:sz w:val="24"/>
                <w:highlight w:val="none"/>
              </w:rPr>
            </w:pPr>
            <w:r>
              <w:rPr>
                <w:rFonts w:ascii="宋体" w:cs="Times New Roman" w:hAnsi="宋体" w:hint="eastAsia"/>
                <w:sz w:val="24"/>
                <w:szCs w:val="20"/>
                <w:lang w:eastAsia="zh-CN"/>
                <w:highlight w:val="none"/>
              </w:rPr>
              <w:t>□</w:t>
            </w:r>
            <w:r>
              <w:rPr>
                <w:rFonts w:ascii="宋体" w:cs="Times New Roman" w:hAnsi="宋体"/>
                <w:sz w:val="24"/>
                <w:szCs w:val="20"/>
                <w:highlight w:val="none"/>
              </w:rPr>
              <w:t>扩建</w:t>
            </w:r>
          </w:p>
          <w:p>
            <w:pPr>
              <w:keepNext w:val="0"/>
              <w:keepLines w:val="0"/>
              <w:suppressLineNumbers w:val="0"/>
              <w:spacing w:before="0" w:beforeAutospacing="0" w:after="0" w:afterAutospacing="0"/>
              <w:ind w:left="0" w:right="0"/>
              <w:jc w:val="left"/>
              <w:rPr>
                <w:sz w:val="24"/>
                <w:highlight w:val="none"/>
              </w:rPr>
            </w:pPr>
            <w:r>
              <w:rPr>
                <w:rFonts w:ascii="宋体" w:cs="Times New Roman" w:hAnsi="宋体"/>
                <w:sz w:val="24"/>
                <w:szCs w:val="20"/>
                <w:highlight w:val="none"/>
              </w:rPr>
              <w:t>□技术改造</w:t>
            </w:r>
          </w:p>
        </w:tc>
        <w:tc>
          <w:tcPr>
            <w:tcW w:w="1143" w:type="pct"/>
            <w:vAlign w:val="center"/>
          </w:tcPr>
          <w:p>
            <w:pPr>
              <w:keepNext w:val="0"/>
              <w:keepLines w:val="0"/>
              <w:suppressLineNumbers w:val="0"/>
              <w:adjustRightInd w:val="0"/>
              <w:snapToGrid w:val="0"/>
              <w:spacing w:before="0" w:beforeAutospacing="0" w:after="0" w:afterAutospacing="0"/>
              <w:ind w:left="0" w:right="0"/>
              <w:jc w:val="center"/>
              <w:rPr>
                <w:sz w:val="24"/>
                <w:highlight w:val="none"/>
              </w:rPr>
            </w:pPr>
            <w:r>
              <w:rPr>
                <w:rFonts w:ascii="Times New Roman" w:cs="Times New Roman" w:hAnsi="宋体"/>
                <w:sz w:val="24"/>
                <w:szCs w:val="20"/>
                <w:highlight w:val="none"/>
              </w:rPr>
              <w:t>建设项目</w:t>
            </w:r>
          </w:p>
          <w:p>
            <w:pPr>
              <w:keepNext w:val="0"/>
              <w:keepLines w:val="0"/>
              <w:suppressLineNumbers w:val="0"/>
              <w:adjustRightInd w:val="0"/>
              <w:snapToGrid w:val="0"/>
              <w:spacing w:before="0" w:beforeAutospacing="0" w:after="0" w:afterAutospacing="0"/>
              <w:ind w:left="0" w:right="0"/>
              <w:jc w:val="center"/>
              <w:rPr>
                <w:sz w:val="24"/>
                <w:highlight w:val="none"/>
              </w:rPr>
            </w:pPr>
            <w:r>
              <w:rPr>
                <w:rFonts w:ascii="Times New Roman" w:cs="Times New Roman" w:hAnsi="宋体"/>
                <w:sz w:val="24"/>
                <w:szCs w:val="20"/>
                <w:highlight w:val="none"/>
              </w:rPr>
              <w:t>申报情形</w:t>
            </w:r>
          </w:p>
        </w:tc>
        <w:tc>
          <w:tcPr>
            <w:tcW w:w="1741" w:type="pct"/>
            <w:vAlign w:val="center"/>
          </w:tcPr>
          <w:p>
            <w:pPr>
              <w:keepNext w:val="0"/>
              <w:keepLines w:val="0"/>
              <w:suppressLineNumbers w:val="0"/>
              <w:spacing w:before="0" w:beforeAutospacing="0" w:after="0" w:afterAutospacing="0"/>
              <w:ind w:left="0" w:right="0"/>
              <w:jc w:val="left"/>
              <w:rPr>
                <w:sz w:val="24"/>
                <w:highlight w:val="none"/>
              </w:rPr>
            </w:pPr>
            <w:r>
              <w:rPr>
                <w:rFonts w:ascii="宋体" w:cs="Times New Roman" w:hAnsi="宋体" w:hint="eastAsia"/>
                <w:sz w:val="24"/>
                <w:szCs w:val="20"/>
                <w:lang w:eastAsia="zh-CN"/>
                <w:highlight w:val="none"/>
              </w:rPr>
              <w:t>☑</w:t>
            </w:r>
            <w:r>
              <w:rPr>
                <w:rFonts w:ascii="Times New Roman" w:cs="Times New Roman" w:hAnsi="宋体"/>
                <w:sz w:val="24"/>
                <w:szCs w:val="20"/>
                <w:highlight w:val="none"/>
              </w:rPr>
              <w:t>首次申报项目</w:t>
            </w:r>
            <w:r>
              <w:rPr>
                <w:rFonts w:ascii="Times New Roman" w:cs="Times New Roman" w:hAnsi="Times New Roman"/>
                <w:sz w:val="24"/>
                <w:szCs w:val="20"/>
                <w:highlight w:val="none"/>
              </w:rPr>
              <w:t xml:space="preserve">             </w:t>
            </w:r>
          </w:p>
          <w:p>
            <w:pPr>
              <w:keepNext w:val="0"/>
              <w:keepLines w:val="0"/>
              <w:suppressLineNumbers w:val="0"/>
              <w:spacing w:before="0" w:beforeAutospacing="0" w:after="0" w:afterAutospacing="0"/>
              <w:ind w:left="0" w:right="0"/>
              <w:jc w:val="left"/>
              <w:rPr>
                <w:rFonts w:ascii="宋体" w:hAnsi="宋体"/>
                <w:sz w:val="24"/>
                <w:highlight w:val="none"/>
              </w:rPr>
            </w:pPr>
            <w:r>
              <w:rPr>
                <w:rFonts w:ascii="宋体" w:cs="Times New Roman" w:hAnsi="宋体"/>
                <w:sz w:val="24"/>
                <w:szCs w:val="20"/>
                <w:highlight w:val="none"/>
              </w:rPr>
              <w:t>□不予批准后再次申报项目</w:t>
            </w:r>
          </w:p>
          <w:p>
            <w:pPr>
              <w:keepNext w:val="0"/>
              <w:keepLines w:val="0"/>
              <w:suppressLineNumbers w:val="0"/>
              <w:spacing w:before="0" w:beforeAutospacing="0" w:after="0" w:afterAutospacing="0"/>
              <w:ind w:left="0" w:right="0"/>
              <w:jc w:val="left"/>
              <w:rPr>
                <w:rFonts w:ascii="宋体" w:hAnsi="宋体"/>
                <w:sz w:val="24"/>
                <w:highlight w:val="none"/>
              </w:rPr>
            </w:pPr>
            <w:r>
              <w:rPr>
                <w:rFonts w:ascii="宋体" w:cs="Times New Roman" w:hAnsi="宋体"/>
                <w:sz w:val="24"/>
                <w:szCs w:val="20"/>
                <w:highlight w:val="none"/>
              </w:rPr>
              <w:t xml:space="preserve">□超五年重新审核项目     </w:t>
            </w:r>
          </w:p>
          <w:p>
            <w:pPr>
              <w:keepNext w:val="0"/>
              <w:keepLines w:val="0"/>
              <w:suppressLineNumbers w:val="0"/>
              <w:spacing w:before="0" w:beforeAutospacing="0" w:after="0" w:afterAutospacing="0"/>
              <w:ind w:left="0" w:right="0"/>
              <w:jc w:val="left"/>
              <w:rPr>
                <w:sz w:val="24"/>
                <w:highlight w:val="none"/>
              </w:rPr>
            </w:pPr>
            <w:r>
              <w:rPr>
                <w:rFonts w:ascii="宋体" w:cs="Times New Roman" w:hAnsi="宋体"/>
                <w:sz w:val="24"/>
                <w:szCs w:val="20"/>
                <w:highlight w:val="none"/>
              </w:rPr>
              <w:t>□重大变动重新报批项目</w:t>
            </w:r>
          </w:p>
        </w:tc>
      </w:tr>
      <w:tr>
        <w:trPr>
          <w:trHeight w:val="567"/>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rPr>
            </w:pPr>
            <w:r>
              <w:rPr>
                <w:rFonts w:ascii="宋体" w:cs="Times New Roman" w:hAnsi="宋体"/>
                <w:sz w:val="24"/>
                <w:szCs w:val="20"/>
              </w:rPr>
              <w:t>项目审批（核准/</w:t>
            </w:r>
          </w:p>
          <w:p>
            <w:pPr>
              <w:keepNext w:val="0"/>
              <w:keepLines w:val="0"/>
              <w:suppressLineNumbers w:val="0"/>
              <w:adjustRightInd w:val="0"/>
              <w:snapToGrid w:val="0"/>
              <w:spacing w:before="0" w:beforeAutospacing="0" w:after="0" w:afterAutospacing="0"/>
              <w:ind w:left="0" w:right="0"/>
              <w:jc w:val="center"/>
              <w:rPr>
                <w:rFonts w:ascii="宋体" w:hAnsi="宋体"/>
                <w:sz w:val="24"/>
              </w:rPr>
            </w:pPr>
            <w:r>
              <w:rPr>
                <w:rFonts w:ascii="宋体" w:cs="Times New Roman" w:hAnsi="宋体"/>
                <w:sz w:val="24"/>
                <w:szCs w:val="20"/>
              </w:rPr>
              <w:t>备案）部门（选填）</w:t>
            </w:r>
          </w:p>
        </w:tc>
        <w:tc>
          <w:tcPr>
            <w:tcW w:w="1117" w:type="pct"/>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lang w:val="en-US"/>
                <w:highlight w:val="none"/>
              </w:rPr>
            </w:pPr>
            <w:r>
              <w:rPr>
                <w:rFonts w:ascii="宋体" w:cs="Times New Roman" w:hAnsi="宋体" w:hint="eastAsia"/>
                <w:sz w:val="24"/>
                <w:szCs w:val="20"/>
                <w:lang w:val="en-US" w:eastAsia="zh-CN"/>
                <w:highlight w:val="none"/>
              </w:rPr>
              <w:t>延津县先进制造业开发区管理委员会</w:t>
            </w:r>
          </w:p>
        </w:tc>
        <w:tc>
          <w:tcPr>
            <w:tcW w:w="1143" w:type="pct"/>
            <w:vAlign w:val="center"/>
          </w:tcPr>
          <w:p>
            <w:pPr>
              <w:keepNext w:val="0"/>
              <w:keepLines w:val="0"/>
              <w:suppressLineNumbers w:val="0"/>
              <w:adjustRightInd w:val="0"/>
              <w:snapToGrid w:val="0"/>
              <w:spacing w:before="0" w:beforeAutospacing="0" w:after="0" w:afterAutospacing="0"/>
              <w:ind w:left="0" w:right="0"/>
              <w:jc w:val="center"/>
              <w:rPr>
                <w:rFonts w:ascii="宋体" w:hAnsi="宋体"/>
                <w:sz w:val="24"/>
                <w:highlight w:val="none"/>
              </w:rPr>
            </w:pPr>
            <w:r>
              <w:rPr>
                <w:rFonts w:ascii="宋体" w:cs="Times New Roman" w:hAnsi="宋体"/>
                <w:sz w:val="24"/>
                <w:szCs w:val="20"/>
                <w:highlight w:val="none"/>
              </w:rPr>
              <w:t>项目审批（核准/</w:t>
            </w:r>
          </w:p>
          <w:p>
            <w:pPr>
              <w:keepNext w:val="0"/>
              <w:keepLines w:val="0"/>
              <w:suppressLineNumbers w:val="0"/>
              <w:adjustRightInd w:val="0"/>
              <w:snapToGrid w:val="0"/>
              <w:spacing w:before="0" w:beforeAutospacing="0" w:after="0" w:afterAutospacing="0"/>
              <w:ind w:left="0" w:right="0"/>
              <w:jc w:val="center"/>
              <w:rPr>
                <w:rFonts w:ascii="宋体" w:hAnsi="宋体"/>
                <w:sz w:val="24"/>
                <w:highlight w:val="none"/>
              </w:rPr>
            </w:pPr>
            <w:r>
              <w:rPr>
                <w:rFonts w:ascii="宋体" w:cs="Times New Roman" w:hAnsi="宋体"/>
                <w:sz w:val="24"/>
                <w:szCs w:val="20"/>
                <w:highlight w:val="none"/>
              </w:rPr>
              <w:t>备案）文号（选填）</w:t>
            </w:r>
          </w:p>
        </w:tc>
        <w:tc>
          <w:tcPr>
            <w:tcW w:w="1741" w:type="pct"/>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olor w:val="FF0000"/>
                <w:sz w:val="24"/>
                <w:lang w:val="en-US" w:eastAsia="zh-CN"/>
                <w:highlight w:val="none"/>
              </w:rPr>
            </w:pPr>
            <w:r>
              <w:rPr>
                <w:rFonts w:ascii="Times New Roman" w:eastAsia="宋体" w:cs="Times New Roman" w:hAnsi="Times New Roman"/>
                <w:color w:val="000000"/>
                <w:sz w:val="24"/>
                <w:szCs w:val="20"/>
                <w:lang w:val="en-US" w:eastAsia="zh-CN"/>
                <w:highlight w:val="none"/>
              </w:rPr>
              <w:t>2504-410726-04-01</w:t>
            </w:r>
            <w:r>
              <w:rPr>
                <w:rFonts w:ascii="Times New Roman" w:cs="Times New Roman" w:hAnsi="Times New Roman" w:hint="eastAsia"/>
                <w:color w:val="000000"/>
                <w:sz w:val="24"/>
                <w:szCs w:val="20"/>
                <w:lang w:val="en-US" w:eastAsia="zh-CN"/>
                <w:highlight w:val="none"/>
              </w:rPr>
              <w:t>-</w:t>
            </w:r>
            <w:r>
              <w:rPr>
                <w:rFonts w:ascii="Times New Roman" w:eastAsia="宋体" w:cs="Times New Roman" w:hAnsi="Times New Roman"/>
                <w:color w:val="000000"/>
                <w:sz w:val="24"/>
                <w:szCs w:val="20"/>
                <w:lang w:val="en-US" w:eastAsia="zh-CN"/>
                <w:highlight w:val="none"/>
              </w:rPr>
              <w:t>448598</w:t>
            </w:r>
          </w:p>
        </w:tc>
      </w:tr>
      <w:tr>
        <w:trPr>
          <w:trHeight w:val="368"/>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000000"/>
                <w:sz w:val="24"/>
                <w:highlight w:val="none"/>
              </w:rPr>
            </w:pPr>
            <w:r>
              <w:rPr>
                <w:rFonts w:ascii="宋体" w:cs="Times New Roman" w:hAnsi="宋体"/>
                <w:color w:val="000000"/>
                <w:sz w:val="24"/>
                <w:szCs w:val="20"/>
                <w:highlight w:val="none"/>
              </w:rPr>
              <w:t>总投资（万元）</w:t>
            </w:r>
          </w:p>
        </w:tc>
        <w:tc>
          <w:tcPr>
            <w:tcW w:w="1117" w:type="pct"/>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color w:val="auto"/>
                <w:sz w:val="24"/>
                <w:lang w:val="en-US" w:eastAsia="zh-CN"/>
                <w:highlight w:val="none"/>
              </w:rPr>
            </w:pPr>
            <w:r>
              <w:rPr>
                <w:rFonts w:ascii="Times New Roman" w:cs="Times New Roman" w:hAnsi="Times New Roman" w:hint="eastAsia"/>
                <w:color w:val="auto"/>
                <w:sz w:val="24"/>
                <w:szCs w:val="20"/>
                <w:lang w:val="en-US" w:eastAsia="zh-CN"/>
                <w:highlight w:val="none"/>
              </w:rPr>
              <w:t>1000</w:t>
            </w:r>
          </w:p>
        </w:tc>
        <w:tc>
          <w:tcPr>
            <w:tcW w:w="1143" w:type="pct"/>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Times New Roman" w:cs="Times New Roman" w:hAnsi="Times New Roman"/>
                <w:color w:val="auto"/>
                <w:sz w:val="24"/>
                <w:highlight w:val="none"/>
              </w:rPr>
            </w:pPr>
            <w:r>
              <w:rPr>
                <w:rFonts w:ascii="Times New Roman" w:cs="Times New Roman" w:hAnsi="Times New Roman"/>
                <w:color w:val="auto"/>
                <w:sz w:val="24"/>
                <w:szCs w:val="20"/>
                <w:highlight w:val="none"/>
              </w:rPr>
              <w:t>环保投资（万元）</w:t>
            </w:r>
          </w:p>
        </w:tc>
        <w:tc>
          <w:tcPr>
            <w:tcW w:w="1741" w:type="pct"/>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color w:val="auto"/>
                <w:sz w:val="24"/>
                <w:lang w:val="en-US" w:eastAsia="zh-CN"/>
                <w:highlight w:val="none"/>
              </w:rPr>
            </w:pPr>
            <w:r>
              <w:rPr>
                <w:rFonts w:ascii="Times New Roman" w:cs="Times New Roman" w:hAnsi="Times New Roman" w:hint="eastAsia"/>
                <w:color w:val="auto"/>
                <w:sz w:val="24"/>
                <w:szCs w:val="20"/>
                <w:lang w:val="en-US" w:eastAsia="zh-CN"/>
                <w:highlight w:val="none"/>
              </w:rPr>
              <w:t>10</w:t>
            </w:r>
          </w:p>
        </w:tc>
      </w:tr>
      <w:tr>
        <w:trPr>
          <w:trHeight w:val="505"/>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000000"/>
                <w:sz w:val="24"/>
                <w:highlight w:val="none"/>
              </w:rPr>
            </w:pPr>
            <w:r>
              <w:rPr>
                <w:rFonts w:ascii="宋体" w:cs="Times New Roman" w:hAnsi="宋体"/>
                <w:color w:val="000000"/>
                <w:sz w:val="24"/>
                <w:szCs w:val="20"/>
                <w:highlight w:val="none"/>
              </w:rPr>
              <w:t>环保投资占比（</w:t>
            </w:r>
            <w:r>
              <w:rPr>
                <w:rFonts w:ascii="Times New Roman" w:cs="Times New Roman" w:hAnsi="Times New Roman"/>
                <w:color w:val="000000"/>
                <w:sz w:val="24"/>
                <w:szCs w:val="20"/>
                <w:highlight w:val="none"/>
              </w:rPr>
              <w:t>%</w:t>
            </w:r>
            <w:r>
              <w:rPr>
                <w:rFonts w:ascii="宋体" w:cs="Times New Roman" w:hAnsi="宋体"/>
                <w:color w:val="000000"/>
                <w:sz w:val="24"/>
                <w:szCs w:val="20"/>
                <w:highlight w:val="none"/>
              </w:rPr>
              <w:t>）</w:t>
            </w:r>
          </w:p>
        </w:tc>
        <w:tc>
          <w:tcPr>
            <w:tcW w:w="1117" w:type="pct"/>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color w:val="auto"/>
                <w:sz w:val="24"/>
                <w:lang w:val="en-US" w:eastAsia="zh-CN"/>
                <w:highlight w:val="none"/>
              </w:rPr>
            </w:pPr>
            <w:r>
              <w:rPr>
                <w:rFonts w:ascii="Times New Roman" w:cs="Times New Roman" w:hAnsi="Times New Roman" w:hint="eastAsia"/>
                <w:color w:val="auto"/>
                <w:sz w:val="24"/>
                <w:szCs w:val="20"/>
                <w:lang w:val="en-US" w:eastAsia="zh-CN"/>
                <w:highlight w:val="none"/>
              </w:rPr>
              <w:t>1</w:t>
            </w:r>
          </w:p>
        </w:tc>
        <w:tc>
          <w:tcPr>
            <w:tcW w:w="1143" w:type="pct"/>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Times New Roman" w:cs="Times New Roman" w:hAnsi="Times New Roman"/>
                <w:color w:val="auto"/>
                <w:sz w:val="24"/>
                <w:highlight w:val="none"/>
              </w:rPr>
            </w:pPr>
            <w:r>
              <w:rPr>
                <w:rFonts w:ascii="Times New Roman" w:cs="Times New Roman" w:hAnsi="Times New Roman"/>
                <w:color w:val="auto"/>
                <w:sz w:val="24"/>
                <w:szCs w:val="20"/>
                <w:highlight w:val="none"/>
              </w:rPr>
              <w:t>施工工期</w:t>
            </w:r>
          </w:p>
        </w:tc>
        <w:tc>
          <w:tcPr>
            <w:tcW w:w="1741" w:type="pct"/>
            <w:vAlign w:val="center"/>
          </w:tcPr>
          <w:p>
            <w:pPr>
              <w:keepNext w:val="0"/>
              <w:keepLines w:val="0"/>
              <w:suppressLineNumbers w:val="0"/>
              <w:adjustRightInd w:val="0"/>
              <w:snapToGrid w:val="0"/>
              <w:spacing w:before="0" w:beforeAutospacing="0" w:after="0" w:afterAutospacing="0"/>
              <w:ind w:left="0" w:right="0"/>
              <w:jc w:val="center"/>
              <w:rPr>
                <w:rFonts w:ascii="Times New Roman" w:cs="Times New Roman" w:hAnsi="Times New Roman"/>
                <w:color w:val="auto"/>
                <w:sz w:val="24"/>
                <w:highlight w:val="none"/>
              </w:rPr>
            </w:pPr>
            <w:r>
              <w:rPr>
                <w:rFonts w:ascii="Times New Roman" w:cs="Times New Roman" w:hAnsi="Times New Roman" w:hint="eastAsia"/>
                <w:color w:val="auto"/>
                <w:sz w:val="24"/>
                <w:szCs w:val="20"/>
                <w:lang w:val="en-US" w:eastAsia="zh-CN"/>
                <w:highlight w:val="none"/>
              </w:rPr>
              <w:t>3</w:t>
            </w:r>
            <w:r>
              <w:rPr>
                <w:rFonts w:ascii="Times New Roman" w:cs="Times New Roman" w:hAnsi="Times New Roman"/>
                <w:color w:val="auto"/>
                <w:sz w:val="24"/>
                <w:szCs w:val="20"/>
                <w:highlight w:val="none"/>
              </w:rPr>
              <w:t>个月</w:t>
            </w:r>
          </w:p>
        </w:tc>
      </w:tr>
      <w:tr>
        <w:trPr>
          <w:trHeight w:val="533"/>
          <w:gridBefore w:val="1"/>
          <w:wBefore w:w="19" w:type="dxa"/>
        </w:trPr>
        <w:tc>
          <w:tcPr>
            <w:tcW w:w="985" w:type="pct"/>
            <w:gridSpan w:val="2"/>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sz w:val="24"/>
                <w:highlight w:val="none"/>
              </w:rPr>
            </w:pPr>
            <w:r>
              <w:rPr>
                <w:rFonts w:ascii="Times New Roman" w:cs="Times New Roman" w:hAnsi="宋体"/>
                <w:sz w:val="24"/>
                <w:szCs w:val="20"/>
                <w:highlight w:val="none"/>
              </w:rPr>
              <w:t>是否开工建设</w:t>
            </w:r>
          </w:p>
        </w:tc>
        <w:tc>
          <w:tcPr>
            <w:tcW w:w="1117" w:type="pct"/>
            <w:vAlign w:val="center"/>
          </w:tcPr>
          <w:p>
            <w:pPr>
              <w:keepNext w:val="0"/>
              <w:keepLines w:val="0"/>
              <w:suppressLineNumbers w:val="0"/>
              <w:adjustRightInd w:val="0"/>
              <w:snapToGrid w:val="0"/>
              <w:spacing w:before="0" w:beforeAutospacing="0" w:after="0" w:afterAutospacing="0"/>
              <w:ind w:left="0" w:right="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szCs w:val="20"/>
                <w14:textFill>
                  <w14:solidFill>
                    <w14:srgbClr w14:val="000000"/>
                  </w14:solidFill>
                </w14:textFill>
                <w:lang w:eastAsia="zh-CN"/>
                <w:highlight w:val="none"/>
              </w:rPr>
              <w:t>☑</w:t>
            </w:r>
            <w:r>
              <w:rPr>
                <w:rFonts w:ascii="Times New Roman" w:cs="Times New Roman" w:hAnsi="Times New Roman"/>
                <w:color w:val="000000"/>
                <w:sz w:val="24"/>
                <w:szCs w:val="20"/>
                <w14:textFill>
                  <w14:solidFill>
                    <w14:srgbClr w14:val="000000"/>
                  </w14:solidFill>
                </w14:textFill>
                <w:highlight w:val="none"/>
              </w:rPr>
              <w:t>否</w:t>
            </w:r>
          </w:p>
          <w:p>
            <w:pPr>
              <w:keepNext w:val="0"/>
              <w:keepLines w:val="0"/>
              <w:suppressLineNumbers w:val="0"/>
              <w:adjustRightInd w:val="0"/>
              <w:snapToGrid w:val="0"/>
              <w:spacing w:before="0" w:beforeAutospacing="0" w:after="0" w:afterAutospacing="0"/>
              <w:ind w:left="0" w:right="0"/>
              <w:rPr>
                <w:rFonts w:ascii="Times New Roman" w:cs="Times New Roman" w:hAnsi="Times New Roman"/>
                <w:color w:val="0000FF"/>
                <w:sz w:val="24"/>
                <w:highlight w:val="none"/>
              </w:rPr>
            </w:pPr>
            <w:r>
              <w:rPr>
                <w:rFonts w:ascii="Times New Roman" w:cs="Times New Roman" w:hAnsi="Times New Roman" w:hint="eastAsia"/>
                <w:color w:val="000000"/>
                <w:sz w:val="24"/>
                <w:szCs w:val="20"/>
                <w14:textFill>
                  <w14:solidFill>
                    <w14:srgbClr w14:val="000000"/>
                  </w14:solidFill>
                </w14:textFill>
                <w:lang w:eastAsia="zh-CN"/>
                <w:highlight w:val="none"/>
              </w:rPr>
              <w:t>□</w:t>
            </w:r>
            <w:r>
              <w:rPr>
                <w:rFonts w:ascii="Times New Roman" w:cs="Times New Roman" w:hAnsi="Times New Roman"/>
                <w:color w:val="000000"/>
                <w:sz w:val="24"/>
                <w:szCs w:val="20"/>
                <w14:textFill>
                  <w14:solidFill>
                    <w14:srgbClr w14:val="000000"/>
                  </w14:solidFill>
                </w14:textFill>
                <w:highlight w:val="none"/>
              </w:rPr>
              <w:t>是：</w:t>
            </w:r>
            <w:r>
              <w:rPr>
                <w:rFonts w:ascii="Times New Roman" w:cs="Times New Roman" w:hAnsi="Times New Roman"/>
                <w:color w:val="000000"/>
                <w:sz w:val="24"/>
                <w:szCs w:val="20"/>
                <w:u w:val="single"/>
                <w14:textFill>
                  <w14:solidFill>
                    <w14:srgbClr w14:val="000000"/>
                  </w14:solidFill>
                </w14:textFill>
                <w:highlight w:val="none"/>
              </w:rPr>
              <w:t xml:space="preserve">             </w:t>
            </w:r>
          </w:p>
        </w:tc>
        <w:tc>
          <w:tcPr>
            <w:tcW w:w="1143" w:type="pct"/>
            <w:tcMar>
              <w:top w:w="16" w:type="dxa"/>
              <w:left w:w="16" w:type="dxa"/>
              <w:right w:w="16" w:type="dxa"/>
            </w:tcMar>
            <w:vAlign w:val="center"/>
          </w:tcPr>
          <w:p>
            <w:pPr>
              <w:keepNext w:val="0"/>
              <w:keepLines w:val="0"/>
              <w:suppressLineNumbers w:val="0"/>
              <w:adjustRightInd w:val="0"/>
              <w:snapToGrid w:val="0"/>
              <w:spacing w:before="0" w:beforeAutospacing="0" w:after="0" w:afterAutospacing="0"/>
              <w:ind w:left="0" w:right="0"/>
              <w:jc w:val="center"/>
              <w:rPr>
                <w:rFonts w:ascii="Times New Roman" w:cs="Times New Roman" w:hAnsi="Times New Roman"/>
                <w:spacing w:val="-6"/>
                <w:sz w:val="24"/>
                <w:highlight w:val="none"/>
              </w:rPr>
            </w:pPr>
            <w:r>
              <w:rPr>
                <w:rFonts w:ascii="Times New Roman" w:cs="Times New Roman" w:hAnsi="Times New Roman"/>
                <w:spacing w:val="-6"/>
                <w:sz w:val="24"/>
                <w:szCs w:val="20"/>
                <w:highlight w:val="none"/>
              </w:rPr>
              <w:t>用地面积（m</w:t>
            </w:r>
            <w:r>
              <w:rPr>
                <w:rFonts w:ascii="Times New Roman" w:cs="Times New Roman" w:hAnsi="Times New Roman"/>
                <w:spacing w:val="-6"/>
                <w:sz w:val="24"/>
                <w:szCs w:val="20"/>
                <w:vertAlign w:val="superscript"/>
                <w:highlight w:val="none"/>
              </w:rPr>
              <w:t>2</w:t>
            </w:r>
            <w:r>
              <w:rPr>
                <w:rFonts w:ascii="Times New Roman" w:cs="Times New Roman" w:hAnsi="Times New Roman"/>
                <w:spacing w:val="-6"/>
                <w:sz w:val="24"/>
                <w:szCs w:val="20"/>
                <w:highlight w:val="none"/>
              </w:rPr>
              <w:t>）</w:t>
            </w:r>
          </w:p>
        </w:tc>
        <w:tc>
          <w:tcPr>
            <w:tcW w:w="1741" w:type="pct"/>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sz w:val="24"/>
                <w:lang w:val="en-US" w:eastAsia="zh-CN"/>
                <w:highlight w:val="none"/>
              </w:rPr>
            </w:pPr>
            <w:r>
              <w:rPr>
                <w:rFonts w:ascii="Times New Roman" w:cs="Times New Roman" w:hAnsi="Times New Roman" w:hint="eastAsia"/>
                <w:color w:val="auto"/>
                <w:sz w:val="24"/>
                <w:szCs w:val="20"/>
                <w:lang w:val="en-US" w:eastAsia="zh-CN"/>
                <w:highlight w:val="none"/>
              </w:rPr>
              <w:t>2095.29</w:t>
            </w:r>
          </w:p>
        </w:tc>
      </w:tr>
      <w:tr>
        <w:trPr>
          <w:trHeight w:val="446"/>
          <w:gridBefore w:val="1"/>
          <w:wBefore w:w="19" w:type="dxa"/>
        </w:trPr>
        <w:tc>
          <w:tcPr>
            <w:tcW w:w="985" w:type="pct"/>
            <w:gridSpan w:val="2"/>
            <w:tcMar>
              <w:left w:w="108"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kern w:val="0"/>
                <w:sz w:val="24"/>
              </w:rPr>
            </w:pPr>
            <w:r>
              <w:rPr>
                <w:rFonts w:ascii="Times New Roman" w:cs="Times New Roman" w:hAnsi="宋体"/>
                <w:kern w:val="0"/>
                <w:sz w:val="24"/>
                <w:szCs w:val="20"/>
              </w:rPr>
              <w:t>专项评价设置情况</w:t>
            </w:r>
          </w:p>
        </w:tc>
        <w:tc>
          <w:tcPr>
            <w:tcW w:w="4003" w:type="pct"/>
            <w:gridSpan w:val="3"/>
            <w:tcMar>
              <w:left w:w="108"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eastAsia="宋体" w:hint="eastAsia"/>
                <w:kern w:val="0"/>
                <w:sz w:val="24"/>
                <w:lang w:eastAsia="zh-CN"/>
              </w:rPr>
            </w:pPr>
            <w:r>
              <w:rPr>
                <w:rFonts w:ascii="Times New Roman" w:cs="Times New Roman" w:hAnsi="Times New Roman" w:hint="eastAsia"/>
                <w:kern w:val="0"/>
                <w:sz w:val="24"/>
                <w:szCs w:val="20"/>
                <w:lang w:val="en-US" w:eastAsia="zh-CN"/>
              </w:rPr>
              <w:t>无</w:t>
            </w:r>
          </w:p>
        </w:tc>
      </w:tr>
      <w:tr>
        <w:trPr>
          <w:trHeight w:val="1255"/>
          <w:gridBefore w:val="1"/>
          <w:wBefore w:w="19" w:type="dxa"/>
        </w:trPr>
        <w:tc>
          <w:tcPr>
            <w:tcW w:w="985" w:type="pct"/>
            <w:gridSpan w:val="2"/>
            <w:tcMar>
              <w:left w:w="108"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kern w:val="0"/>
                <w:sz w:val="24"/>
              </w:rPr>
            </w:pPr>
            <w:r>
              <w:rPr>
                <w:rFonts w:ascii="Times New Roman" w:cs="Times New Roman" w:hAnsi="宋体"/>
                <w:sz w:val="24"/>
                <w:szCs w:val="20"/>
              </w:rPr>
              <w:t>规划情况</w:t>
            </w:r>
          </w:p>
        </w:tc>
        <w:tc>
          <w:tcPr>
            <w:tcW w:w="4003" w:type="pct"/>
            <w:gridSpan w:val="3"/>
            <w:tcMar>
              <w:left w:w="108" w:type="dxa"/>
            </w:tcMar>
            <w:vAlign w:val="center"/>
          </w:tcPr>
          <w:p>
            <w:pPr>
              <w:keepNext w:val="0"/>
              <w:keepLines w:val="0"/>
              <w:suppressLineNumbers w:val="0"/>
              <w:spacing w:before="0" w:beforeAutospacing="0" w:after="0" w:afterAutospacing="0" w:line="240" w:lineRule="auto"/>
              <w:ind w:left="0" w:right="0"/>
              <w:jc w:val="left"/>
              <w:rPr>
                <w:color w:val="auto"/>
                <w:kern w:val="0"/>
                <w:sz w:val="24"/>
                <w:szCs w:val="24"/>
              </w:rPr>
            </w:pPr>
            <w:r>
              <w:rPr>
                <w:rFonts w:ascii="Times New Roman" w:cs="Times New Roman" w:hAnsi="Times New Roman"/>
                <w:color w:val="auto"/>
                <w:kern w:val="0"/>
                <w:sz w:val="24"/>
                <w:szCs w:val="24"/>
              </w:rPr>
              <w:t>规划名称：延津县产业集聚区发展规划调整方案</w:t>
            </w:r>
          </w:p>
          <w:p>
            <w:pPr>
              <w:keepNext w:val="0"/>
              <w:keepLines w:val="0"/>
              <w:suppressLineNumbers w:val="0"/>
              <w:spacing w:before="0" w:beforeAutospacing="0" w:after="0" w:afterAutospacing="0" w:line="240" w:lineRule="auto"/>
              <w:ind w:left="0" w:right="0"/>
              <w:jc w:val="left"/>
              <w:rPr>
                <w:color w:val="auto"/>
                <w:kern w:val="0"/>
                <w:sz w:val="24"/>
                <w:szCs w:val="24"/>
              </w:rPr>
            </w:pPr>
            <w:r>
              <w:rPr>
                <w:rFonts w:ascii="Times New Roman" w:cs="Times New Roman" w:hAnsi="Times New Roman"/>
                <w:color w:val="auto"/>
                <w:kern w:val="0"/>
                <w:sz w:val="24"/>
                <w:szCs w:val="24"/>
              </w:rPr>
              <w:t>审批机关：河南省发展和改革委员会</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lang w:val="en-US" w:eastAsia="zh-CN"/>
              </w:rPr>
            </w:pPr>
            <w:r>
              <w:rPr>
                <w:rFonts w:ascii="Times New Roman" w:cs="Times New Roman" w:hAnsi="Times New Roman"/>
                <w:color w:val="auto"/>
                <w:kern w:val="0"/>
                <w:sz w:val="24"/>
                <w:szCs w:val="24"/>
              </w:rPr>
              <w:t>审批文件名称及文号：《河南省发展和改革委员会关于延津县产业集聚区发展规划调整方案的批复》（豫发改工业[2012]2016号）</w:t>
            </w:r>
          </w:p>
        </w:tc>
      </w:tr>
      <w:tr>
        <w:trPr>
          <w:trHeight w:val="1595"/>
          <w:gridBefore w:val="1"/>
          <w:wBefore w:w="19" w:type="dxa"/>
        </w:trPr>
        <w:tc>
          <w:tcPr>
            <w:tcW w:w="985" w:type="pct"/>
            <w:gridSpan w:val="2"/>
            <w:tcMar>
              <w:left w:w="108" w:type="dxa"/>
            </w:tcMar>
            <w:vAlign w:val="center"/>
          </w:tcPr>
          <w:p>
            <w:pPr>
              <w:keepNext w:val="0"/>
              <w:keepLines w:val="0"/>
              <w:suppressLineNumbers w:val="0"/>
              <w:adjustRightInd w:val="0"/>
              <w:snapToGrid w:val="0"/>
              <w:spacing w:before="0" w:beforeAutospacing="0" w:after="0" w:afterAutospacing="0"/>
              <w:ind w:left="0" w:right="0"/>
              <w:jc w:val="center"/>
              <w:rPr>
                <w:sz w:val="24"/>
              </w:rPr>
            </w:pPr>
            <w:r>
              <w:rPr>
                <w:rFonts w:ascii="Times New Roman" w:cs="Times New Roman" w:hAnsi="宋体"/>
                <w:sz w:val="24"/>
                <w:szCs w:val="20"/>
              </w:rPr>
              <w:t>规划环境影响</w:t>
            </w:r>
          </w:p>
          <w:p>
            <w:pPr>
              <w:keepNext w:val="0"/>
              <w:keepLines w:val="0"/>
              <w:suppressLineNumbers w:val="0"/>
              <w:adjustRightInd w:val="0"/>
              <w:snapToGrid w:val="0"/>
              <w:spacing w:before="0" w:beforeAutospacing="0" w:after="0" w:afterAutospacing="0"/>
              <w:ind w:left="0" w:right="0"/>
              <w:jc w:val="center"/>
              <w:rPr>
                <w:kern w:val="0"/>
                <w:sz w:val="24"/>
              </w:rPr>
            </w:pPr>
            <w:r>
              <w:rPr>
                <w:rFonts w:ascii="Times New Roman" w:cs="Times New Roman" w:hAnsi="宋体"/>
                <w:sz w:val="24"/>
                <w:szCs w:val="20"/>
              </w:rPr>
              <w:t>评价情况</w:t>
            </w:r>
          </w:p>
        </w:tc>
        <w:tc>
          <w:tcPr>
            <w:tcW w:w="4003" w:type="pct"/>
            <w:gridSpan w:val="3"/>
            <w:tcMar>
              <w:left w:w="108" w:type="dxa"/>
            </w:tcMar>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color w:val="auto"/>
                <w:sz w:val="24"/>
                <w:szCs w:val="24"/>
              </w:rPr>
            </w:pPr>
            <w:r>
              <w:rPr>
                <w:rFonts w:ascii="Times New Roman" w:cs="Times New Roman" w:hAnsi="Times New Roman"/>
                <w:color w:val="auto"/>
                <w:sz w:val="24"/>
                <w:szCs w:val="24"/>
              </w:rPr>
              <w:t>规划环境影响评价文件：《延津县产业集聚区北区发展规划（2012-2020）环境影响报告书》</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color w:val="auto"/>
                <w:sz w:val="24"/>
                <w:szCs w:val="24"/>
              </w:rPr>
            </w:pPr>
            <w:r>
              <w:rPr>
                <w:rFonts w:ascii="Times New Roman" w:cs="Times New Roman" w:hAnsi="Times New Roman"/>
                <w:color w:val="auto"/>
                <w:sz w:val="24"/>
                <w:szCs w:val="24"/>
              </w:rPr>
              <w:t>审查机关：河南省生态环境厅</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color w:val="auto"/>
                <w:sz w:val="24"/>
                <w:szCs w:val="24"/>
              </w:rPr>
            </w:pPr>
            <w:r>
              <w:rPr>
                <w:rFonts w:ascii="Times New Roman" w:cs="Times New Roman" w:hAnsi="Times New Roman"/>
                <w:color w:val="auto"/>
                <w:sz w:val="24"/>
                <w:szCs w:val="24"/>
              </w:rPr>
              <w:t>审查文号：豫环审</w:t>
            </w:r>
            <w:r>
              <w:rPr>
                <w:rFonts w:ascii="Times New Roman" w:cs="Times New Roman" w:hAnsi="Times New Roman" w:hint="eastAsia"/>
                <w:color w:val="auto"/>
                <w:sz w:val="24"/>
                <w:szCs w:val="24"/>
                <w:lang w:val="en-US" w:eastAsia="zh-CN"/>
              </w:rPr>
              <w:t>[</w:t>
            </w:r>
            <w:r>
              <w:rPr>
                <w:rFonts w:ascii="Times New Roman" w:cs="Times New Roman" w:hAnsi="Times New Roman"/>
                <w:color w:val="auto"/>
                <w:sz w:val="24"/>
                <w:szCs w:val="24"/>
              </w:rPr>
              <w:t>2013</w:t>
            </w:r>
            <w:r>
              <w:rPr>
                <w:rFonts w:ascii="Times New Roman" w:cs="Times New Roman" w:hAnsi="Times New Roman" w:hint="eastAsia"/>
                <w:color w:val="auto"/>
                <w:sz w:val="24"/>
                <w:szCs w:val="24"/>
                <w:lang w:val="en-US" w:eastAsia="zh-CN"/>
              </w:rPr>
              <w:t>]</w:t>
            </w:r>
            <w:r>
              <w:rPr>
                <w:rFonts w:ascii="Times New Roman" w:cs="Times New Roman" w:hAnsi="Times New Roman"/>
                <w:color w:val="auto"/>
                <w:sz w:val="24"/>
                <w:szCs w:val="24"/>
              </w:rPr>
              <w:t>210号</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color w:val="auto"/>
                <w:sz w:val="24"/>
                <w:szCs w:val="24"/>
              </w:rPr>
            </w:pPr>
            <w:r>
              <w:rPr>
                <w:rFonts w:ascii="Times New Roman" w:cs="Times New Roman" w:hAnsi="Times New Roman"/>
                <w:color w:val="auto"/>
                <w:sz w:val="24"/>
                <w:szCs w:val="24"/>
              </w:rPr>
              <w:t>环境影响跟踪评价文件：《延津县产业集聚区（北区）发展规划（2012-2020）环境影响跟踪评价报告书》</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color w:val="auto"/>
                <w:sz w:val="24"/>
                <w:szCs w:val="24"/>
              </w:rPr>
            </w:pPr>
            <w:r>
              <w:rPr>
                <w:rFonts w:ascii="Times New Roman" w:cs="Times New Roman" w:hAnsi="Times New Roman"/>
                <w:color w:val="auto"/>
                <w:sz w:val="24"/>
                <w:szCs w:val="24"/>
              </w:rPr>
              <w:t>审查机关：河南省生态环境厅</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left"/>
              <w:textAlignment w:val="auto"/>
              <w:rPr>
                <w:rFonts w:eastAsia="宋体" w:hint="eastAsia"/>
                <w:kern w:val="0"/>
                <w:lang w:eastAsia="zh-CN"/>
              </w:rPr>
            </w:pPr>
            <w:r>
              <w:rPr>
                <w:rFonts w:ascii="Times New Roman" w:cs="Times New Roman" w:hAnsi="Times New Roman"/>
                <w:color w:val="auto"/>
                <w:sz w:val="24"/>
                <w:szCs w:val="24"/>
              </w:rPr>
              <w:t>审查文号：豫环函[2020]156号</w:t>
            </w:r>
          </w:p>
        </w:tc>
      </w:tr>
      <w:tr>
        <w:trPr>
          <w:trHeight w:val="13715"/>
        </w:trPr>
        <w:tc>
          <w:tcPr>
            <w:tcW w:w="256" w:type="pct"/>
            <w:gridSpan w:val="2"/>
            <w:tcMar>
              <w:left w:w="108" w:type="dxa"/>
            </w:tcMar>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Ansi="宋体"/>
                <w:kern w:val="0"/>
                <w:sz w:val="24"/>
              </w:rPr>
            </w:pPr>
            <w:r>
              <w:rPr>
                <w:rFonts w:ascii="Times New Roman" w:cs="Times New Roman" w:hAnsi="宋体"/>
                <w:kern w:val="0"/>
                <w:sz w:val="24"/>
                <w:szCs w:val="20"/>
              </w:rPr>
              <w:t>规划及规划环境影响评价符合性分析</w:t>
            </w:r>
          </w:p>
        </w:tc>
        <w:tc>
          <w:tcPr>
            <w:tcW w:w="4743" w:type="pct"/>
            <w:gridSpan w:val="4"/>
            <w:tcMar>
              <w:left w:w="108" w:type="dxa"/>
            </w:tcMar>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520" w:lineRule="exact"/>
              <w:ind w:left="0" w:right="0" w:firstLineChars="200" w:firstLine="480"/>
              <w:jc w:val="both"/>
              <w:textAlignment w:val="auto"/>
              <w:rPr>
                <w:rFonts w:ascii="宋体" w:cs="宋体" w:hAnsi="宋体"/>
                <w:b/>
                <w:bCs/>
                <w:color w:val="auto"/>
                <w:kern w:val="0"/>
                <w:sz w:val="24"/>
              </w:rPr>
            </w:pPr>
            <w:r>
              <w:rPr>
                <w:rFonts w:ascii="Times New Roman" w:cs="Times New Roman" w:hAnsi="Times New Roman" w:hint="eastAsia"/>
                <w:b/>
                <w:bCs/>
                <w:color w:val="auto"/>
                <w:sz w:val="24"/>
                <w:szCs w:val="20"/>
              </w:rPr>
              <w:t>1、本项目与《延津县产业集聚区北区发展规划环境影响报告书》的准入条件对照分析</w:t>
            </w:r>
          </w:p>
          <w:p>
            <w:pPr>
              <w:keepNext w:val="0"/>
              <w:keepLines w:val="0"/>
              <w:pageBreakBefore w:val="0"/>
              <w:widowControl w:val="0"/>
              <w:suppressLineNumbers w:val="0"/>
              <w:kinsoku/>
              <w:wordWrap/>
              <w:overflowPunct/>
              <w:topLinePunct w:val="0"/>
              <w:bidi w:val="0"/>
              <w:spacing w:before="0" w:beforeAutospacing="0" w:after="0" w:afterAutospacing="0" w:line="520" w:lineRule="exact"/>
              <w:ind w:left="0" w:right="0" w:firstLineChars="200" w:firstLine="480"/>
              <w:jc w:val="both"/>
              <w:textAlignment w:val="auto"/>
              <w:rPr>
                <w:color w:val="auto"/>
                <w:sz w:val="24"/>
              </w:rPr>
            </w:pPr>
            <w:r>
              <w:rPr>
                <w:rFonts w:ascii="Times New Roman" w:cs="Times New Roman" w:hAnsi="Times New Roman" w:hint="eastAsia"/>
                <w:color w:val="auto"/>
                <w:sz w:val="24"/>
                <w:szCs w:val="20"/>
              </w:rPr>
              <w:t>本项目与《延津县产业集聚区北区发展规划环境影响报告书》中准入条件对照分析见下表。</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hint="eastAsia"/>
                <w:sz w:val="24"/>
                <w:szCs w:val="20"/>
                <w:lang w:val="en-US" w:eastAsia="zh-CN"/>
              </w:rPr>
              <w:t xml:space="preserve">    </w:t>
            </w:r>
            <w:r>
              <w:rPr>
                <w:rFonts w:ascii="Times New Roman" w:cs="Times New Roman" w:hAnsi="Times New Roman"/>
                <w:sz w:val="24"/>
                <w:szCs w:val="20"/>
              </w:rPr>
              <w:t>集聚区项目准入条件与本项目对比一览表</w:t>
            </w:r>
          </w:p>
          <w:tbl>
            <w:tblPr>
              <w:jc w:val="cente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92"/>
              <w:gridCol w:w="3544"/>
              <w:gridCol w:w="3228"/>
              <w:gridCol w:w="729"/>
            </w:tblGrid>
            <w:tr>
              <w:trPr>
                <w:trHeight w:val="439"/>
              </w:trPr>
              <w:tc>
                <w:tcPr>
                  <w:tcW w:w="42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color w:val="auto"/>
                      <w:sz w:val="21"/>
                      <w:szCs w:val="21"/>
                    </w:rPr>
                  </w:pPr>
                  <w:r>
                    <w:rPr>
                      <w:rFonts w:ascii="Times New Roman" w:cs="Times New Roman" w:hAnsi="Times New Roman"/>
                      <w:b/>
                      <w:bCs/>
                      <w:color w:val="auto"/>
                      <w:sz w:val="21"/>
                      <w:szCs w:val="21"/>
                    </w:rPr>
                    <w:t>类别</w:t>
                  </w: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color w:val="auto"/>
                      <w:sz w:val="21"/>
                      <w:szCs w:val="21"/>
                    </w:rPr>
                  </w:pPr>
                  <w:r>
                    <w:rPr>
                      <w:rFonts w:ascii="Times New Roman" w:cs="Times New Roman" w:hAnsi="Times New Roman"/>
                      <w:b/>
                      <w:bCs/>
                      <w:color w:val="auto"/>
                      <w:sz w:val="21"/>
                      <w:szCs w:val="21"/>
                    </w:rPr>
                    <w:t>项目准入条件</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color w:val="auto"/>
                      <w:sz w:val="21"/>
                      <w:szCs w:val="21"/>
                    </w:rPr>
                  </w:pPr>
                  <w:r>
                    <w:rPr>
                      <w:rFonts w:ascii="Times New Roman" w:cs="Times New Roman" w:hAnsi="Times New Roman"/>
                      <w:b/>
                      <w:bCs/>
                      <w:color w:val="auto"/>
                      <w:sz w:val="21"/>
                      <w:szCs w:val="21"/>
                    </w:rPr>
                    <w:t>项目情况</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color w:val="auto"/>
                      <w:sz w:val="21"/>
                      <w:szCs w:val="21"/>
                    </w:rPr>
                  </w:pPr>
                  <w:r>
                    <w:rPr>
                      <w:rFonts w:ascii="Times New Roman" w:cs="Times New Roman" w:hAnsi="Times New Roman"/>
                      <w:b/>
                      <w:bCs/>
                      <w:color w:val="auto"/>
                      <w:sz w:val="21"/>
                      <w:szCs w:val="21"/>
                    </w:rPr>
                    <w:t>对照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color w:val="auto"/>
                      <w:sz w:val="21"/>
                      <w:szCs w:val="21"/>
                    </w:rPr>
                  </w:pPr>
                  <w:r>
                    <w:rPr>
                      <w:rFonts w:ascii="Times New Roman" w:cs="Times New Roman" w:hAnsi="Times New Roman"/>
                      <w:b/>
                      <w:bCs/>
                      <w:color w:val="auto"/>
                      <w:sz w:val="21"/>
                      <w:szCs w:val="21"/>
                    </w:rPr>
                    <w:t>结果</w:t>
                  </w:r>
                </w:p>
              </w:tc>
            </w:tr>
            <w:tr>
              <w:trPr>
                <w:trHeight w:val="90"/>
              </w:trPr>
              <w:tc>
                <w:tcPr>
                  <w:tcW w:w="422"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产业</w:t>
                  </w: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eastAsia="宋体" w:cs="Times New Roman" w:hAnsi="Times New Roman"/>
                      <w:color w:val="auto"/>
                      <w:kern w:val="2"/>
                      <w:sz w:val="21"/>
                      <w:szCs w:val="21"/>
                      <w:lang w:val="en-US" w:eastAsia="zh-CN" w:bidi="ar-SA"/>
                    </w:rPr>
                    <w:t>（1）</w:t>
                  </w:r>
                  <w:r>
                    <w:rPr>
                      <w:rFonts w:ascii="Times New Roman" w:cs="Times New Roman" w:hAnsi="Times New Roman"/>
                      <w:color w:val="auto"/>
                      <w:sz w:val="21"/>
                      <w:szCs w:val="21"/>
                    </w:rPr>
                    <w:t>集聚区规划主导产业为机械</w:t>
                  </w:r>
                  <w:r>
                    <w:rPr>
                      <w:rFonts w:ascii="Times New Roman" w:cs="Times New Roman" w:hAnsi="Times New Roman" w:hint="eastAsia"/>
                      <w:color w:val="auto"/>
                      <w:sz w:val="21"/>
                      <w:szCs w:val="21"/>
                      <w:lang w:eastAsia="zh-CN"/>
                    </w:rPr>
                    <w:t>化工</w:t>
                  </w:r>
                  <w:r>
                    <w:rPr>
                      <w:rFonts w:ascii="Times New Roman" w:cs="Times New Roman" w:hAnsi="Times New Roman"/>
                      <w:color w:val="auto"/>
                      <w:sz w:val="21"/>
                      <w:szCs w:val="21"/>
                    </w:rPr>
                    <w:t>，与主导产业相关的项目优先入园。</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pacing w:val="-4"/>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color w:val="auto"/>
                      <w:sz w:val="21"/>
                      <w:szCs w:val="21"/>
                      <w:lang w:eastAsia="zh-CN"/>
                      <w:highlight w:val="none"/>
                    </w:rPr>
                    <w:t>，</w:t>
                  </w:r>
                  <w:r>
                    <w:rPr>
                      <w:rFonts w:ascii="Times New Roman" w:cs="Times New Roman" w:hAnsi="Times New Roman" w:hint="eastAsia"/>
                      <w:color w:val="auto"/>
                      <w:sz w:val="21"/>
                      <w:szCs w:val="21"/>
                      <w:lang w:val="en-US" w:eastAsia="zh-CN"/>
                      <w:highlight w:val="none"/>
                    </w:rPr>
                    <w:t>为园区车辆配套服务</w:t>
                  </w:r>
                  <w:r>
                    <w:rPr>
                      <w:rFonts w:ascii="Times New Roman" w:cs="Times New Roman" w:hAnsi="Times New Roman" w:hint="eastAsia"/>
                      <w:color w:val="auto"/>
                      <w:sz w:val="21"/>
                      <w:szCs w:val="21"/>
                      <w:lang w:eastAsia="zh-CN"/>
                      <w:highlight w:val="none"/>
                    </w:rPr>
                    <w:t>。</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250"/>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eastAsia="宋体" w:cs="Times New Roman" w:hAnsi="Times New Roman"/>
                      <w:color w:val="auto"/>
                      <w:kern w:val="2"/>
                      <w:sz w:val="21"/>
                      <w:szCs w:val="21"/>
                      <w:lang w:val="en-US" w:eastAsia="zh-CN" w:bidi="ar-SA"/>
                    </w:rPr>
                    <w:t>（2）</w:t>
                  </w:r>
                  <w:r>
                    <w:rPr>
                      <w:rFonts w:ascii="Times New Roman" w:cs="Times New Roman" w:hAnsi="Times New Roman"/>
                      <w:color w:val="auto"/>
                      <w:sz w:val="21"/>
                      <w:szCs w:val="21"/>
                    </w:rPr>
                    <w:t>按照国家相关产业政策，严禁高毒、高污染的淘汰和限制类工业企业入园。</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pacing w:val="-4"/>
                      <w:sz w:val="21"/>
                      <w:szCs w:val="21"/>
                    </w:rPr>
                  </w:pPr>
                  <w:r>
                    <w:rPr>
                      <w:rFonts w:ascii="Times New Roman" w:cs="Times New Roman" w:hAnsi="Times New Roman"/>
                      <w:color w:val="auto"/>
                      <w:spacing w:val="-4"/>
                      <w:sz w:val="21"/>
                      <w:szCs w:val="21"/>
                    </w:rPr>
                    <w:t>根据《产业结构调整指导目录》（</w:t>
                  </w:r>
                  <w:r>
                    <w:rPr>
                      <w:rFonts w:ascii="Times New Roman" w:cs="Times New Roman" w:hAnsi="Times New Roman" w:hint="eastAsia"/>
                      <w:color w:val="auto"/>
                      <w:spacing w:val="-4"/>
                      <w:sz w:val="21"/>
                      <w:szCs w:val="21"/>
                      <w:lang w:val="en-US" w:eastAsia="zh-CN"/>
                    </w:rPr>
                    <w:t>2024</w:t>
                  </w:r>
                  <w:r>
                    <w:rPr>
                      <w:rFonts w:ascii="Times New Roman" w:cs="Times New Roman" w:hAnsi="Times New Roman"/>
                      <w:color w:val="auto"/>
                      <w:spacing w:val="-4"/>
                      <w:sz w:val="21"/>
                      <w:szCs w:val="21"/>
                    </w:rPr>
                    <w:t>年本）</w:t>
                  </w:r>
                  <w:r>
                    <w:rPr>
                      <w:rFonts w:ascii="Times New Roman" w:cs="Times New Roman" w:hAnsi="Times New Roman"/>
                      <w:color w:val="auto"/>
                      <w:sz w:val="21"/>
                      <w:szCs w:val="21"/>
                    </w:rPr>
                    <w:t>，本项目不属于淘汰和限制类工业企业，属于允许类。</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397"/>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（3）对县域范围内布局不合理的、符合集聚区主导产业的项目，按环保要求可以搬迁入集聚区。</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pacing w:val="-4"/>
                      <w:sz w:val="21"/>
                      <w:szCs w:val="21"/>
                    </w:rPr>
                  </w:pPr>
                  <w:r>
                    <w:rPr>
                      <w:rFonts w:ascii="Times New Roman" w:cs="Times New Roman" w:hAnsi="Times New Roman"/>
                      <w:bCs/>
                      <w:color w:val="auto"/>
                      <w:spacing w:val="-4"/>
                      <w:sz w:val="21"/>
                      <w:szCs w:val="21"/>
                    </w:rPr>
                    <w:t>本项目不属于</w:t>
                  </w:r>
                  <w:r>
                    <w:rPr>
                      <w:rFonts w:ascii="Times New Roman" w:cs="Times New Roman" w:hAnsi="Times New Roman"/>
                      <w:color w:val="auto"/>
                      <w:sz w:val="21"/>
                      <w:szCs w:val="21"/>
                    </w:rPr>
                    <w:t>环保搬迁入园的企业。</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不属于</w:t>
                  </w:r>
                </w:p>
              </w:tc>
            </w:tr>
            <w:tr>
              <w:trPr>
                <w:trHeight w:val="397"/>
              </w:trPr>
              <w:tc>
                <w:tcPr>
                  <w:tcW w:w="422"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生产规模和工艺装备水平</w:t>
                  </w: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（1）入园企业建设规模应符合国家产业政策的最小经济规模要求。</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pacing w:val="-4"/>
                      <w:sz w:val="21"/>
                      <w:szCs w:val="21"/>
                    </w:rPr>
                    <w:t>根据《产业结构调整指导目录》（</w:t>
                  </w:r>
                  <w:r>
                    <w:rPr>
                      <w:rFonts w:ascii="Times New Roman" w:cs="Times New Roman" w:hAnsi="Times New Roman" w:hint="eastAsia"/>
                      <w:color w:val="auto"/>
                      <w:spacing w:val="-4"/>
                      <w:sz w:val="21"/>
                      <w:szCs w:val="21"/>
                      <w:lang w:val="en-US" w:eastAsia="zh-CN"/>
                    </w:rPr>
                    <w:t>2024</w:t>
                  </w:r>
                  <w:r>
                    <w:rPr>
                      <w:rFonts w:ascii="Times New Roman" w:cs="Times New Roman" w:hAnsi="Times New Roman"/>
                      <w:color w:val="auto"/>
                      <w:spacing w:val="-4"/>
                      <w:sz w:val="21"/>
                      <w:szCs w:val="21"/>
                    </w:rPr>
                    <w:t>年本）</w:t>
                  </w:r>
                  <w:r>
                    <w:rPr>
                      <w:rFonts w:ascii="Times New Roman" w:cs="Times New Roman" w:hAnsi="Times New Roman"/>
                      <w:color w:val="auto"/>
                      <w:sz w:val="21"/>
                      <w:szCs w:val="21"/>
                    </w:rPr>
                    <w:t>，本项目不属于淘汰和限制类工业企业，属于允许类。本项目属于</w:t>
                  </w:r>
                  <w:r>
                    <w:rPr>
                      <w:rFonts w:ascii="Times New Roman" w:cs="Times New Roman" w:hAnsi="Times New Roman"/>
                      <w:color w:val="auto"/>
                      <w:sz w:val="21"/>
                      <w:szCs w:val="21"/>
                      <w:lang w:eastAsia="zh-CN"/>
                    </w:rPr>
                    <w:t>社会事业与服务业</w:t>
                  </w:r>
                  <w:r>
                    <w:rPr>
                      <w:rFonts w:ascii="Times New Roman" w:cs="Times New Roman" w:hAnsi="Times New Roman"/>
                      <w:color w:val="auto"/>
                      <w:sz w:val="21"/>
                      <w:szCs w:val="21"/>
                    </w:rPr>
                    <w:t>，无最小经济规模要求。</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90"/>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（2）环保搬迁入园的企业应进行产品和生产工艺的升级改造，达到国家相关规定的要求。</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bCs/>
                      <w:color w:val="auto"/>
                      <w:spacing w:val="-4"/>
                      <w:sz w:val="21"/>
                      <w:szCs w:val="21"/>
                    </w:rPr>
                  </w:pPr>
                  <w:r>
                    <w:rPr>
                      <w:rFonts w:ascii="Times New Roman" w:cs="Times New Roman" w:hAnsi="Times New Roman"/>
                      <w:bCs/>
                      <w:color w:val="auto"/>
                      <w:spacing w:val="-4"/>
                      <w:sz w:val="21"/>
                      <w:szCs w:val="21"/>
                    </w:rPr>
                    <w:t>本项目不属于</w:t>
                  </w:r>
                  <w:r>
                    <w:rPr>
                      <w:rFonts w:ascii="Times New Roman" w:cs="Times New Roman" w:hAnsi="Times New Roman"/>
                      <w:color w:val="auto"/>
                      <w:sz w:val="21"/>
                      <w:szCs w:val="21"/>
                    </w:rPr>
                    <w:t>环保搬迁入园的企业。</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不属于</w:t>
                  </w:r>
                </w:p>
              </w:tc>
            </w:tr>
            <w:tr>
              <w:trPr>
                <w:trHeight w:val="397"/>
              </w:trPr>
              <w:tc>
                <w:tcPr>
                  <w:tcW w:w="422"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清洁生产水平</w:t>
                  </w: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（1）入园项目在单位产品水耗、能耗、污染物排放量等清洁生产指标应达到国内同类行业先进水平。</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项目单位产品水耗、能耗、污染物排放量等清洁生产指标均较低，能够达到国内同类行业先进水平。</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397"/>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（2）在生产工艺技术水平上，要求入园项目达到国内先进行业清洁生产水平。</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lang w:val="en-US" w:eastAsia="zh-CN"/>
                    </w:rPr>
                    <w:t>本</w:t>
                  </w:r>
                  <w:r>
                    <w:rPr>
                      <w:rFonts w:ascii="Times New Roman" w:cs="Times New Roman" w:hAnsi="Times New Roman"/>
                      <w:color w:val="auto"/>
                      <w:sz w:val="21"/>
                      <w:szCs w:val="21"/>
                    </w:rPr>
                    <w:t>项目</w:t>
                  </w:r>
                  <w:r>
                    <w:rPr>
                      <w:rFonts w:ascii="Times New Roman" w:cs="Times New Roman" w:hAnsi="Times New Roman"/>
                      <w:color w:val="auto"/>
                      <w:sz w:val="21"/>
                      <w:szCs w:val="21"/>
                      <w:lang w:val="en-US" w:eastAsia="zh-CN"/>
                    </w:rPr>
                    <w:t>为加油站，</w:t>
                  </w:r>
                  <w:r>
                    <w:rPr>
                      <w:rFonts w:ascii="Times New Roman" w:cs="Times New Roman" w:hAnsi="Times New Roman"/>
                      <w:color w:val="auto"/>
                      <w:sz w:val="21"/>
                      <w:szCs w:val="21"/>
                    </w:rPr>
                    <w:t>属于</w:t>
                  </w:r>
                  <w:r>
                    <w:rPr>
                      <w:rFonts w:ascii="Times New Roman" w:cs="Times New Roman" w:hAnsi="Times New Roman"/>
                      <w:color w:val="auto"/>
                      <w:sz w:val="21"/>
                      <w:szCs w:val="21"/>
                      <w:lang w:eastAsia="zh-CN"/>
                    </w:rPr>
                    <w:t>社会事业与服务业</w:t>
                  </w:r>
                  <w:r>
                    <w:rPr>
                      <w:rFonts w:ascii="Times New Roman" w:cs="Times New Roman" w:hAnsi="Times New Roman"/>
                      <w:color w:val="auto"/>
                      <w:sz w:val="21"/>
                      <w:szCs w:val="21"/>
                    </w:rPr>
                    <w:t>。</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397"/>
              </w:trPr>
              <w:tc>
                <w:tcPr>
                  <w:tcW w:w="422"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污染物排放总量控制</w:t>
                  </w: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（1）新建项目的污染物排放指标必须在提高区域内现有工业污染负荷削减量中调剂。</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hint="eastAsia"/>
                      <w:color w:val="auto"/>
                      <w:sz w:val="21"/>
                      <w:szCs w:val="21"/>
                      <w:lang w:eastAsia="zh-CN"/>
                    </w:rPr>
                  </w:pPr>
                  <w:r>
                    <w:rPr>
                      <w:rFonts w:ascii="Times New Roman" w:cs="Times New Roman" w:hAnsi="Times New Roman"/>
                      <w:color w:val="auto"/>
                      <w:sz w:val="21"/>
                      <w:szCs w:val="21"/>
                    </w:rPr>
                    <w:t>本项目属于</w:t>
                  </w:r>
                  <w:r>
                    <w:rPr>
                      <w:rFonts w:ascii="Times New Roman" w:cs="Times New Roman" w:hAnsi="Times New Roman" w:hint="eastAsia"/>
                      <w:color w:val="auto"/>
                      <w:sz w:val="21"/>
                      <w:szCs w:val="21"/>
                      <w:lang w:eastAsia="zh-CN"/>
                    </w:rPr>
                    <w:t>新建项目，</w:t>
                  </w:r>
                  <w:r>
                    <w:rPr>
                      <w:rFonts w:ascii="Times New Roman" w:cs="Times New Roman" w:hAnsi="Times New Roman" w:hint="eastAsia"/>
                      <w:color w:val="auto"/>
                      <w:sz w:val="21"/>
                      <w:szCs w:val="21"/>
                      <w:lang w:val="en-US" w:eastAsia="zh-CN"/>
                    </w:rPr>
                    <w:t>污染物排放实行区域削减替代</w:t>
                  </w:r>
                  <w:r>
                    <w:rPr>
                      <w:rFonts w:ascii="Times New Roman" w:cs="Times New Roman" w:hAnsi="Times New Roman" w:hint="eastAsia"/>
                      <w:color w:val="auto"/>
                      <w:sz w:val="21"/>
                      <w:szCs w:val="21"/>
                      <w:lang w:eastAsia="zh-CN"/>
                    </w:rPr>
                    <w:t>。</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397"/>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（2）禁止发展环境污染严重、无污染治理技术或治理技术在技术经济上根本不可行的项目。</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bCs/>
                      <w:color w:val="auto"/>
                      <w:kern w:val="0"/>
                      <w:sz w:val="21"/>
                      <w:szCs w:val="21"/>
                    </w:rPr>
                    <w:t>。</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不属于</w:t>
                  </w:r>
                </w:p>
              </w:tc>
            </w:tr>
            <w:tr>
              <w:trPr>
                <w:trHeight w:val="397"/>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（3）限值高耗水和排水量大的工业企业入住集聚区。</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本项目不属于高耗水和排水量大的工业企业。</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不属于</w:t>
                  </w:r>
                </w:p>
              </w:tc>
            </w:tr>
            <w:tr>
              <w:trPr>
                <w:trHeight w:val="397"/>
              </w:trPr>
              <w:tc>
                <w:tcPr>
                  <w:tcW w:w="42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土地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利用</w:t>
                  </w: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入园项目必须达到《河南省工业项目建设用地控制指标》要求，近期投资强度不得低于100万元/亩，远期投资强度不得低于120万元。</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hint="eastAsia"/>
                      <w:sz w:val="21"/>
                      <w:szCs w:val="21"/>
                      <w:lang w:val="en-US" w:eastAsia="zh-CN"/>
                    </w:rPr>
                    <w:t>项目</w:t>
                  </w:r>
                  <w:r>
                    <w:rPr>
                      <w:rFonts w:ascii="Times New Roman" w:cs="Times New Roman" w:hAnsi="Times New Roman"/>
                      <w:sz w:val="21"/>
                      <w:szCs w:val="21"/>
                      <w:lang w:val="en-US" w:eastAsia="zh-CN"/>
                    </w:rPr>
                    <w:t>，</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color w:val="auto"/>
                      <w:sz w:val="21"/>
                      <w:szCs w:val="21"/>
                    </w:rPr>
                    <w:t>。</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397"/>
              </w:trPr>
              <w:tc>
                <w:tcPr>
                  <w:tcW w:w="422"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其他</w:t>
                  </w: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（1）入园项目用地必须符合园区土地利用规划要求，禁止在一二类工业用地之上建设三类项目。</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sz w:val="21"/>
                      <w:szCs w:val="21"/>
                    </w:rPr>
                    <w:t>。</w:t>
                  </w:r>
                  <w:r>
                    <w:rPr>
                      <w:rFonts w:ascii="Times New Roman" w:cs="Times New Roman" w:hAnsi="Times New Roman"/>
                      <w:color w:val="auto"/>
                      <w:sz w:val="21"/>
                      <w:szCs w:val="21"/>
                    </w:rPr>
                    <w:t>不属于三类项目。符合园区土地利用规划。</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不属于</w:t>
                  </w:r>
                </w:p>
              </w:tc>
            </w:tr>
            <w:tr>
              <w:trPr>
                <w:trHeight w:val="397"/>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（2）按照循环经济发展之路，评价建议与园区已有产业或项目能够形成良好循环经济链条的项目可优先入园。</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color w:val="auto"/>
                      <w:sz w:val="21"/>
                      <w:szCs w:val="21"/>
                      <w:lang w:eastAsia="zh-CN"/>
                      <w:highlight w:val="none"/>
                    </w:rPr>
                    <w:t>，</w:t>
                  </w:r>
                  <w:r>
                    <w:rPr>
                      <w:rFonts w:ascii="Times New Roman" w:cs="Times New Roman" w:hAnsi="Times New Roman" w:hint="eastAsia"/>
                      <w:color w:val="auto"/>
                      <w:sz w:val="21"/>
                      <w:szCs w:val="21"/>
                      <w:lang w:val="en-US" w:eastAsia="zh-CN"/>
                      <w:highlight w:val="none"/>
                    </w:rPr>
                    <w:t>为园区车辆配套服务</w:t>
                  </w:r>
                  <w:r>
                    <w:rPr>
                      <w:rFonts w:ascii="Times New Roman" w:cs="Times New Roman" w:hAnsi="Times New Roman"/>
                      <w:sz w:val="21"/>
                      <w:szCs w:val="21"/>
                    </w:rPr>
                    <w:t>。</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397"/>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（3）项目入驻时应考虑集聚区万元产值排水量≤8m</w:t>
                  </w:r>
                  <w:r>
                    <w:rPr>
                      <w:rFonts w:ascii="Times New Roman" w:cs="Times New Roman" w:hAnsi="Times New Roman"/>
                      <w:color w:val="auto"/>
                      <w:sz w:val="21"/>
                      <w:szCs w:val="21"/>
                      <w:vertAlign w:val="superscript"/>
                    </w:rPr>
                    <w:t>3</w:t>
                  </w:r>
                  <w:r>
                    <w:rPr>
                      <w:rFonts w:ascii="Times New Roman" w:cs="Times New Roman" w:hAnsi="Times New Roman"/>
                      <w:color w:val="auto"/>
                      <w:sz w:val="21"/>
                      <w:szCs w:val="21"/>
                    </w:rPr>
                    <w:t>/万元的总体要求。</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sz w:val="21"/>
                      <w:szCs w:val="21"/>
                    </w:rPr>
                    <w:t>。</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489"/>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（4）项目入驻时应考虑集聚区万元产值排放量COD≤1kg/万元的总体要求。</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sz w:val="21"/>
                      <w:szCs w:val="21"/>
                    </w:rPr>
                    <w:t>。</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符合</w:t>
                  </w:r>
                </w:p>
              </w:tc>
            </w:tr>
            <w:tr>
              <w:trPr>
                <w:trHeight w:val="397"/>
              </w:trPr>
              <w:tc>
                <w:tcPr>
                  <w:tcW w:w="422" w:type="pct"/>
                  <w:vMerge/>
                  <w:vAlign w:val="center"/>
                </w:tcPr>
                <w:p/>
              </w:tc>
              <w:tc>
                <w:tcPr>
                  <w:tcW w:w="216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（5）项目入驻时应考虑集聚区万元产值SO</w:t>
                  </w:r>
                  <w:r>
                    <w:rPr>
                      <w:rFonts w:ascii="Times New Roman" w:cs="Times New Roman" w:hAnsi="Times New Roman"/>
                      <w:color w:val="auto"/>
                      <w:sz w:val="21"/>
                      <w:szCs w:val="21"/>
                      <w:vertAlign w:val="subscript"/>
                    </w:rPr>
                    <w:t>2</w:t>
                  </w:r>
                  <w:r>
                    <w:rPr>
                      <w:rFonts w:ascii="Times New Roman" w:cs="Times New Roman" w:hAnsi="Times New Roman"/>
                      <w:color w:val="auto"/>
                      <w:sz w:val="21"/>
                      <w:szCs w:val="21"/>
                    </w:rPr>
                    <w:t>排放量≤1kg/万元的总体要求。</w:t>
                  </w:r>
                </w:p>
              </w:tc>
              <w:tc>
                <w:tcPr>
                  <w:tcW w:w="196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sz w:val="21"/>
                      <w:szCs w:val="21"/>
                    </w:rPr>
                    <w:t>。</w:t>
                  </w:r>
                </w:p>
              </w:tc>
              <w:tc>
                <w:tcPr>
                  <w:tcW w:w="44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rPr>
                  </w:pPr>
                  <w:r>
                    <w:rPr>
                      <w:rFonts w:ascii="Times New Roman" w:cs="Times New Roman" w:hAnsi="Times New Roman"/>
                      <w:color w:val="auto"/>
                      <w:sz w:val="21"/>
                      <w:szCs w:val="21"/>
                    </w:rPr>
                    <w:t>不涉及</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Chars="200" w:firstLine="480"/>
              <w:jc w:val="both"/>
              <w:textAlignment w:val="baseline"/>
              <w:rPr>
                <w:b/>
                <w:bCs/>
                <w:color w:val="auto"/>
                <w:sz w:val="24"/>
              </w:rPr>
            </w:pPr>
            <w:r>
              <w:rPr>
                <w:rFonts w:ascii="Times New Roman" w:cs="Times New Roman" w:hAnsi="Times New Roman" w:hint="eastAsia"/>
                <w:b/>
                <w:color w:val="auto"/>
                <w:sz w:val="24"/>
                <w:szCs w:val="20"/>
                <w:lang w:val="en-US" w:eastAsia="zh-CN"/>
              </w:rPr>
              <w:t>2、</w:t>
            </w:r>
            <w:r>
              <w:rPr>
                <w:rFonts w:ascii="Times New Roman" w:cs="Times New Roman" w:hAnsi="Times New Roman"/>
                <w:b/>
                <w:color w:val="auto"/>
                <w:sz w:val="24"/>
                <w:szCs w:val="20"/>
              </w:rPr>
              <w:t>项目与《</w:t>
            </w:r>
            <w:r>
              <w:rPr>
                <w:rFonts w:ascii="Times New Roman" w:cs="Times New Roman" w:hAnsi="Times New Roman" w:hint="eastAsia"/>
                <w:b/>
                <w:color w:val="auto"/>
                <w:sz w:val="24"/>
                <w:szCs w:val="20"/>
              </w:rPr>
              <w:t>延津县产业集聚区北区发展规划环境影响报告书</w:t>
            </w:r>
            <w:r>
              <w:rPr>
                <w:rFonts w:ascii="Times New Roman" w:cs="Times New Roman" w:hAnsi="Times New Roman"/>
                <w:b/>
                <w:color w:val="auto"/>
                <w:sz w:val="24"/>
                <w:szCs w:val="20"/>
              </w:rPr>
              <w:t>》</w:t>
            </w:r>
            <w:r>
              <w:rPr>
                <w:rFonts w:ascii="Times New Roman" w:cs="Times New Roman" w:hAnsi="Times New Roman" w:hint="eastAsia"/>
                <w:b/>
                <w:color w:val="auto"/>
                <w:sz w:val="24"/>
                <w:szCs w:val="20"/>
              </w:rPr>
              <w:t>规划环评结论及审查意见的相符性分析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Chars="200" w:firstLine="480"/>
              <w:jc w:val="both"/>
            </w:pPr>
            <w:r>
              <w:rPr>
                <w:rFonts w:ascii="Times New Roman" w:cs="Times New Roman" w:hAnsi="Times New Roman" w:hint="eastAsia"/>
                <w:color w:val="auto"/>
                <w:sz w:val="24"/>
                <w:szCs w:val="20"/>
              </w:rPr>
              <w:t>根据《延津县产业集聚区北区发展规划环境影响报告书》规划环评结论内容，详情如下：</w:t>
            </w:r>
          </w:p>
          <w:p>
            <w:pPr>
              <w:pStyle w:val="75"/>
              <w:keepNext/>
              <w:keepLines w:val="0"/>
              <w:suppressLineNumbers w:val="0"/>
              <w:bidi w:val="0"/>
              <w:spacing w:before="0" w:beforeAutospacing="0" w:after="0" w:afterAutospacing="0"/>
              <w:ind w:left="0" w:right="0" w:firstLine="420"/>
            </w:pPr>
            <w:r>
              <w:rPr>
                <w:rFonts w:ascii="Times New Roman" w:eastAsia="宋体" w:cs="Times New Roman" w:hAnsi="Times New Roman" w:hint="eastAsia"/>
                <w:sz w:val="24"/>
                <w:szCs w:val="20"/>
                <w:lang w:val="en-US" w:eastAsia="zh-CN"/>
              </w:rPr>
              <w:t xml:space="preserve"> 本项目与规划环评结论分析一览表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46"/>
              <w:gridCol w:w="4376"/>
              <w:gridCol w:w="2468"/>
              <w:gridCol w:w="712"/>
            </w:tblGrid>
            <w:tr>
              <w:trPr>
                <w:trHeight w:val="552"/>
              </w:trPr>
              <w:tc>
                <w:tcPr>
                  <w:tcW w:w="394" w:type="pct"/>
                  <w:tcBorders>
                    <w:bottom w:val="single" w:sz="8"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bCs w:val="0"/>
                      <w:color w:val="auto"/>
                      <w:sz w:val="21"/>
                      <w:szCs w:val="21"/>
                    </w:rPr>
                  </w:pPr>
                  <w:r>
                    <w:rPr>
                      <w:rFonts w:ascii="Times New Roman" w:cs="Times New Roman" w:hAnsi="Times New Roman"/>
                      <w:b/>
                      <w:bCs w:val="0"/>
                      <w:color w:val="auto"/>
                      <w:sz w:val="21"/>
                      <w:szCs w:val="21"/>
                    </w:rPr>
                    <w:t>类别</w:t>
                  </w:r>
                </w:p>
              </w:tc>
              <w:tc>
                <w:tcPr>
                  <w:tcW w:w="2667" w:type="pct"/>
                  <w:tcBorders>
                    <w:bottom w:val="single" w:sz="8"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bCs w:val="0"/>
                      <w:color w:val="auto"/>
                      <w:sz w:val="21"/>
                      <w:szCs w:val="21"/>
                    </w:rPr>
                  </w:pPr>
                  <w:r>
                    <w:rPr>
                      <w:rFonts w:ascii="Times New Roman" w:cs="Times New Roman" w:hAnsi="Times New Roman"/>
                      <w:b/>
                      <w:bCs/>
                      <w:color w:val="auto"/>
                      <w:sz w:val="21"/>
                      <w:szCs w:val="21"/>
                    </w:rPr>
                    <w:t>规划环评结论</w:t>
                  </w:r>
                </w:p>
              </w:tc>
              <w:tc>
                <w:tcPr>
                  <w:tcW w:w="1504" w:type="pct"/>
                  <w:tcBorders>
                    <w:bottom w:val="single" w:sz="8"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bCs w:val="0"/>
                      <w:color w:val="auto"/>
                      <w:sz w:val="21"/>
                      <w:szCs w:val="21"/>
                    </w:rPr>
                  </w:pPr>
                  <w:r>
                    <w:rPr>
                      <w:rFonts w:ascii="Times New Roman" w:cs="Times New Roman" w:hAnsi="Times New Roman"/>
                      <w:b/>
                      <w:bCs w:val="0"/>
                      <w:color w:val="auto"/>
                      <w:sz w:val="21"/>
                      <w:szCs w:val="21"/>
                    </w:rPr>
                    <w:t>本项目情况</w:t>
                  </w:r>
                </w:p>
              </w:tc>
              <w:tc>
                <w:tcPr>
                  <w:tcW w:w="434" w:type="pct"/>
                  <w:tcBorders>
                    <w:bottom w:val="single" w:sz="8"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bCs w:val="0"/>
                      <w:color w:val="auto"/>
                      <w:sz w:val="21"/>
                      <w:szCs w:val="21"/>
                    </w:rPr>
                  </w:pPr>
                  <w:r>
                    <w:rPr>
                      <w:rFonts w:ascii="Times New Roman" w:cs="Times New Roman" w:hAnsi="Times New Roman"/>
                      <w:b/>
                      <w:bCs w:val="0"/>
                      <w:color w:val="auto"/>
                      <w:sz w:val="21"/>
                      <w:szCs w:val="21"/>
                    </w:rPr>
                    <w:t>对比结果</w:t>
                  </w:r>
                </w:p>
              </w:tc>
            </w:tr>
            <w:tr>
              <w:trPr>
                <w:trHeight w:val="397"/>
              </w:trPr>
              <w:tc>
                <w:tcPr>
                  <w:tcW w:w="394" w:type="pct"/>
                  <w:tcBorders>
                    <w:top w:val="single" w:sz="8"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规划</w:t>
                  </w:r>
                </w:p>
              </w:tc>
              <w:tc>
                <w:tcPr>
                  <w:tcW w:w="2667" w:type="pct"/>
                  <w:tcBorders>
                    <w:top w:val="single" w:sz="8"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规划范围：西至经十一路、东至经十八路、北至济东高速、南至规划南环路，总规划面积11.55平方公里。</w:t>
                  </w:r>
                </w:p>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主导产业：机械、化工</w:t>
                  </w:r>
                </w:p>
              </w:tc>
              <w:tc>
                <w:tcPr>
                  <w:tcW w:w="1504" w:type="pct"/>
                  <w:tcBorders>
                    <w:top w:val="single" w:sz="8"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b w:val="0"/>
                      <w:bCs/>
                      <w:color w:val="auto"/>
                      <w:sz w:val="21"/>
                      <w:szCs w:val="21"/>
                    </w:rPr>
                    <w:t>，</w:t>
                  </w:r>
                  <w:r>
                    <w:rPr>
                      <w:rFonts w:ascii="Times New Roman" w:cs="Times New Roman" w:hAnsi="Times New Roman" w:hint="eastAsia"/>
                      <w:color w:val="auto"/>
                      <w:sz w:val="21"/>
                      <w:szCs w:val="21"/>
                      <w:lang w:val="en-US" w:eastAsia="zh-CN"/>
                      <w:highlight w:val="none"/>
                    </w:rPr>
                    <w:t>为园区车辆配套服务，</w:t>
                  </w:r>
                  <w:r>
                    <w:rPr>
                      <w:rFonts w:ascii="Times New Roman" w:cs="Times New Roman" w:hAnsi="Times New Roman" w:hint="eastAsia"/>
                      <w:b w:val="0"/>
                      <w:bCs/>
                      <w:color w:val="auto"/>
                      <w:sz w:val="21"/>
                      <w:szCs w:val="21"/>
                    </w:rPr>
                    <w:t>位于</w:t>
                  </w:r>
                  <w:r>
                    <w:rPr>
                      <w:rFonts w:ascii="Times New Roman" w:cs="Times New Roman" w:hAnsi="Times New Roman" w:hint="eastAsia"/>
                      <w:b w:val="0"/>
                      <w:bCs/>
                      <w:color w:val="auto"/>
                      <w:kern w:val="0"/>
                      <w:sz w:val="21"/>
                      <w:szCs w:val="21"/>
                      <w:lang w:eastAsia="zh-CN"/>
                    </w:rPr>
                    <w:t>新乡市延津县化工园区纬一路与榆林排交叉口东南角</w:t>
                  </w:r>
                  <w:r>
                    <w:rPr>
                      <w:rFonts w:ascii="Times New Roman" w:cs="Times New Roman" w:hAnsi="Times New Roman"/>
                      <w:b w:val="0"/>
                      <w:bCs/>
                      <w:color w:val="auto"/>
                      <w:sz w:val="21"/>
                      <w:szCs w:val="21"/>
                    </w:rPr>
                    <w:t>，</w:t>
                  </w:r>
                  <w:r>
                    <w:rPr>
                      <w:rFonts w:ascii="Times New Roman" w:cs="Times New Roman" w:hAnsi="Times New Roman" w:hint="eastAsia"/>
                      <w:b w:val="0"/>
                      <w:bCs/>
                      <w:color w:val="auto"/>
                      <w:sz w:val="21"/>
                      <w:szCs w:val="21"/>
                      <w:lang w:eastAsia="zh-CN"/>
                    </w:rPr>
                    <w:t>属于</w:t>
                  </w:r>
                  <w:r>
                    <w:rPr>
                      <w:rFonts w:ascii="Times New Roman" w:cs="Times New Roman" w:hAnsi="Times New Roman"/>
                      <w:b w:val="0"/>
                      <w:bCs/>
                      <w:color w:val="auto"/>
                      <w:sz w:val="21"/>
                      <w:szCs w:val="21"/>
                    </w:rPr>
                    <w:t>集聚区范围内。</w:t>
                  </w:r>
                </w:p>
              </w:tc>
              <w:tc>
                <w:tcPr>
                  <w:tcW w:w="434" w:type="pct"/>
                  <w:tcBorders>
                    <w:top w:val="single" w:sz="8"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符合</w:t>
                  </w:r>
                </w:p>
              </w:tc>
            </w:tr>
            <w:tr>
              <w:trPr>
                <w:trHeight w:val="397"/>
              </w:trPr>
              <w:tc>
                <w:tcPr>
                  <w:tcW w:w="394"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大气环境影响预测</w:t>
                  </w:r>
                </w:p>
              </w:tc>
              <w:tc>
                <w:tcPr>
                  <w:tcW w:w="2667"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根据规划方案污染源预测，至规划远期2020年，经采取综合整治、推行清洁生产审核等措施，综合规划区工业布局、能源结构变化分析，区域气象特征分析，区外影响源分布情况分析，评价认为园区规划方案的实施不会对区域大气环境产生明显不利影响。</w:t>
                  </w:r>
                </w:p>
              </w:tc>
              <w:tc>
                <w:tcPr>
                  <w:tcW w:w="150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hint="eastAsia"/>
                      <w:b w:val="0"/>
                      <w:bCs/>
                      <w:color w:val="auto"/>
                      <w:sz w:val="21"/>
                      <w:szCs w:val="21"/>
                    </w:rPr>
                    <w:t>根据</w:t>
                  </w:r>
                  <w:r>
                    <w:rPr>
                      <w:rFonts w:ascii="Times New Roman" w:cs="Times New Roman" w:hAnsi="Times New Roman" w:hint="eastAsia"/>
                      <w:b w:val="0"/>
                      <w:bCs/>
                      <w:color w:val="auto"/>
                      <w:sz w:val="21"/>
                      <w:szCs w:val="21"/>
                      <w:lang w:val="en-US" w:eastAsia="zh-CN"/>
                    </w:rPr>
                    <w:t>土地证</w:t>
                  </w:r>
                  <w:r>
                    <w:rPr>
                      <w:rFonts w:ascii="Times New Roman" w:cs="Times New Roman" w:hAnsi="Times New Roman"/>
                      <w:b w:val="0"/>
                      <w:bCs/>
                      <w:color w:val="auto"/>
                      <w:sz w:val="21"/>
                      <w:szCs w:val="21"/>
                    </w:rPr>
                    <w:t>，本项目</w:t>
                  </w:r>
                  <w:r>
                    <w:rPr>
                      <w:rFonts w:ascii="Times New Roman" w:cs="Times New Roman" w:hAnsi="Times New Roman" w:hint="eastAsia"/>
                      <w:b w:val="0"/>
                      <w:bCs/>
                      <w:color w:val="auto"/>
                      <w:sz w:val="21"/>
                      <w:szCs w:val="21"/>
                      <w:lang w:val="en-US" w:eastAsia="zh-CN"/>
                    </w:rPr>
                    <w:t>属于零售商业</w:t>
                  </w:r>
                  <w:r>
                    <w:rPr>
                      <w:rFonts w:ascii="Times New Roman" w:cs="Times New Roman" w:hAnsi="Times New Roman"/>
                      <w:b w:val="0"/>
                      <w:bCs/>
                      <w:color w:val="auto"/>
                      <w:sz w:val="21"/>
                      <w:szCs w:val="21"/>
                    </w:rPr>
                    <w:t>用地，符合园区规划。</w:t>
                  </w:r>
                </w:p>
              </w:tc>
              <w:tc>
                <w:tcPr>
                  <w:tcW w:w="43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符合</w:t>
                  </w:r>
                </w:p>
              </w:tc>
            </w:tr>
            <w:tr>
              <w:trPr>
                <w:trHeight w:val="397"/>
              </w:trPr>
              <w:tc>
                <w:tcPr>
                  <w:tcW w:w="394"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地表水影响预测</w:t>
                  </w:r>
                </w:p>
              </w:tc>
              <w:tc>
                <w:tcPr>
                  <w:tcW w:w="2667"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在规划园区废水达标排放的条件下，预测园区近期及远期排水后大沙河吴安屯控制断面水质均不能满足其V类水体功能区划水质目标值，但与现状值相比，污染物浓度均有所降低，说明规划园区排水不会加重大沙河控制断面水质污染情况。</w:t>
                  </w:r>
                </w:p>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根据水环境容量计算章节分析，园区污水处理厂排水COD浓度达到50mg/L、NH</w:t>
                  </w:r>
                  <w:r>
                    <w:rPr>
                      <w:rFonts w:ascii="Times New Roman" w:cs="Times New Roman" w:hAnsi="Times New Roman"/>
                      <w:color w:val="auto"/>
                      <w:sz w:val="21"/>
                      <w:szCs w:val="21"/>
                      <w:vertAlign w:val="subscript"/>
                    </w:rPr>
                    <w:t>3</w:t>
                  </w:r>
                  <w:r>
                    <w:rPr>
                      <w:rFonts w:ascii="Times New Roman" w:cs="Times New Roman" w:hAnsi="Times New Roman"/>
                      <w:color w:val="auto"/>
                      <w:sz w:val="21"/>
                      <w:szCs w:val="21"/>
                    </w:rPr>
                    <w:t>-N浓度达到3mg/L后，经河流自净削减后到达大沙河吴安屯COD、NH</w:t>
                  </w:r>
                  <w:r>
                    <w:rPr>
                      <w:rFonts w:ascii="Times New Roman" w:cs="Times New Roman" w:hAnsi="Times New Roman"/>
                      <w:color w:val="auto"/>
                      <w:sz w:val="21"/>
                      <w:szCs w:val="21"/>
                      <w:vertAlign w:val="subscript"/>
                    </w:rPr>
                    <w:t>3</w:t>
                  </w:r>
                  <w:r>
                    <w:rPr>
                      <w:rFonts w:ascii="Times New Roman" w:cs="Times New Roman" w:hAnsi="Times New Roman"/>
                      <w:color w:val="auto"/>
                      <w:sz w:val="21"/>
                      <w:szCs w:val="21"/>
                    </w:rPr>
                    <w:t>-N浓度可分别达到40mg/L和2mg/L，满足该断面水质目标要求，因此，规划园区排水不会影响纳污水体控制断面水质达标情况。</w:t>
                  </w:r>
                </w:p>
              </w:tc>
              <w:tc>
                <w:tcPr>
                  <w:tcW w:w="150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b w:val="0"/>
                      <w:bCs/>
                      <w:color w:val="auto"/>
                      <w:sz w:val="21"/>
                      <w:szCs w:val="21"/>
                    </w:rPr>
                    <w:t>；不属于高耗水和排水量大的工业企业；本公司不属于高毒、高污染的淘汰和限制类工业企业。</w:t>
                  </w:r>
                </w:p>
              </w:tc>
              <w:tc>
                <w:tcPr>
                  <w:tcW w:w="43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符合</w:t>
                  </w:r>
                </w:p>
              </w:tc>
            </w:tr>
            <w:tr>
              <w:trPr>
                <w:trHeight w:val="397"/>
              </w:trPr>
              <w:tc>
                <w:tcPr>
                  <w:tcW w:w="394"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地下水影响分析</w:t>
                  </w:r>
                </w:p>
              </w:tc>
              <w:tc>
                <w:tcPr>
                  <w:tcW w:w="2667"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按照规划，园区开发建成过程中将逐步取消企业自备井，统一使用自来水公司提供，可有效降低地下水超采不利影响。</w:t>
                  </w:r>
                </w:p>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由地下水现状监测资料可以看出，评价区域地下水中各监测因子均可以满足GB/T14848-93《地下水环境质量标准》Ⅲ类标准要求，说明评价区域地下水尚未受到人类开发活动的影响。随着规划区的规范建设，现状生活污水和企业生产废水均经完善的管网进入污水处理厂，减少了现状生活污水面源污染和工业废水对区域地下水的污染。废水经污水处理厂处理后按照严格的《城镇污水处理厂污染物排放标准》（GB18918-2002）中一级标准的A标准排放，其排放水质较现状河流中的水质浓度低，因此不会加重区域地表水污染，同时也不会加重地表水对沿岸地下水的污染。</w:t>
                  </w:r>
                </w:p>
              </w:tc>
              <w:tc>
                <w:tcPr>
                  <w:tcW w:w="150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sz w:val="21"/>
                      <w:szCs w:val="21"/>
                    </w:rPr>
                    <w:t>本项目</w:t>
                  </w:r>
                  <w:r>
                    <w:rPr>
                      <w:rFonts w:ascii="Times New Roman" w:cs="Times New Roman" w:hAnsi="Times New Roman"/>
                      <w:sz w:val="21"/>
                      <w:szCs w:val="21"/>
                      <w:lang w:val="en-US" w:eastAsia="zh-CN"/>
                    </w:rPr>
                    <w:t>生活污水经化粪池处理后由管网排入延津县第二污水处理厂进行处理</w:t>
                  </w:r>
                </w:p>
              </w:tc>
              <w:tc>
                <w:tcPr>
                  <w:tcW w:w="43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符合</w:t>
                  </w:r>
                </w:p>
              </w:tc>
            </w:tr>
            <w:tr>
              <w:trPr>
                <w:trHeight w:val="397"/>
              </w:trPr>
              <w:tc>
                <w:tcPr>
                  <w:tcW w:w="394"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声环境影响分析</w:t>
                  </w:r>
                </w:p>
              </w:tc>
              <w:tc>
                <w:tcPr>
                  <w:tcW w:w="2667"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本园区规划主导产业为机械化工，规划入区企业设备噪声源强较小，在采取隔声、减震、合理布局、绿化等措施后，工业噪声可以得到有效控制，不会对区域声环境产生不利影响。</w:t>
                  </w:r>
                </w:p>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规划园区路网成方格网状，随着今后社会经济的发展和货运量的增加，车流量也将逐年增加，交通噪声污染将逐渐加重。建议在道路的两侧应设置50m防护带，同时种植相对较高的植物进行降噪，并尽量将办公服务区等环境敏感点设置在噪声防护距离以外。同时应合理制定区域内噪声功能区划，并加强道路的建设与交通的管理，采取必要的跟踪监测和减噪防噪措施，以保证良好的声环境。</w:t>
                  </w:r>
                </w:p>
              </w:tc>
              <w:tc>
                <w:tcPr>
                  <w:tcW w:w="150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color w:val="auto"/>
                      <w:sz w:val="21"/>
                      <w:szCs w:val="21"/>
                    </w:rPr>
                    <w:t>本项目采取距离衰减</w:t>
                  </w:r>
                  <w:r>
                    <w:rPr>
                      <w:rFonts w:ascii="Times New Roman" w:cs="Times New Roman" w:hAnsi="Times New Roman" w:hint="eastAsia"/>
                      <w:color w:val="auto"/>
                      <w:sz w:val="21"/>
                      <w:szCs w:val="21"/>
                    </w:rPr>
                    <w:t>、厂房隔声</w:t>
                  </w:r>
                  <w:r>
                    <w:rPr>
                      <w:rFonts w:ascii="Times New Roman" w:cs="Times New Roman" w:hAnsi="Times New Roman"/>
                      <w:color w:val="auto"/>
                      <w:sz w:val="21"/>
                      <w:szCs w:val="21"/>
                    </w:rPr>
                    <w:t>等措施后，项目各厂界噪声预测值能够满足《工业企业厂界环境噪声排放标准》（GB12348-2008）2级标准昼间≤60dB（A）</w:t>
                  </w:r>
                  <w:r>
                    <w:rPr>
                      <w:rFonts w:ascii="Times New Roman" w:cs="Times New Roman" w:hAnsi="Times New Roman" w:hint="eastAsia"/>
                      <w:color w:val="auto"/>
                      <w:sz w:val="21"/>
                      <w:szCs w:val="21"/>
                      <w:lang w:eastAsia="zh-CN"/>
                    </w:rPr>
                    <w:t>、夜间50</w:t>
                  </w:r>
                  <w:r>
                    <w:rPr>
                      <w:rFonts w:ascii="Times New Roman" w:cs="Times New Roman" w:hAnsi="Times New Roman"/>
                      <w:color w:val="auto"/>
                      <w:sz w:val="21"/>
                      <w:szCs w:val="21"/>
                    </w:rPr>
                    <w:t>dB（A）要求。</w:t>
                  </w:r>
                </w:p>
              </w:tc>
              <w:tc>
                <w:tcPr>
                  <w:tcW w:w="43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符合</w:t>
                  </w:r>
                </w:p>
              </w:tc>
            </w:tr>
            <w:tr>
              <w:trPr>
                <w:trHeight w:val="90"/>
              </w:trPr>
              <w:tc>
                <w:tcPr>
                  <w:tcW w:w="394"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固体废物处理/处置方式及其影响分析</w:t>
                  </w:r>
                </w:p>
              </w:tc>
              <w:tc>
                <w:tcPr>
                  <w:tcW w:w="2667"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（1）一般固体废物</w:t>
                  </w:r>
                </w:p>
                <w:p>
                  <w:pPr>
                    <w:pStyle w:val="64"/>
                    <w:keepNext w:val="0"/>
                    <w:keepLines w:val="0"/>
                    <w:suppressLineNumbers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根据分析，园区企业内部污水处理站产生的污泥出售给制砖企业，包装材料等厂家回收。综合分析，一般工业固体废物基本能实现综合利用率达到100%，处置率达到100％。</w:t>
                  </w:r>
                </w:p>
                <w:p>
                  <w:pPr>
                    <w:pStyle w:val="64"/>
                    <w:keepNext w:val="0"/>
                    <w:keepLines w:val="0"/>
                    <w:suppressLineNumbers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（2）危险废物</w:t>
                  </w:r>
                </w:p>
                <w:p>
                  <w:pPr>
                    <w:pStyle w:val="64"/>
                    <w:keepNext w:val="0"/>
                    <w:keepLines w:val="0"/>
                    <w:suppressLineNumbers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据污染源分析，远期（2020年）园区内危险废物产生量约178t/a，可送往有资质的危险废物处置中心进行处理，不得作为一般固体废物或生活垃圾随意处置，并由园区环境管理单位监督执行。</w:t>
                  </w:r>
                </w:p>
                <w:p>
                  <w:pPr>
                    <w:pStyle w:val="64"/>
                    <w:keepNext w:val="0"/>
                    <w:keepLines w:val="0"/>
                    <w:suppressLineNumbers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（3）生活垃圾</w:t>
                  </w:r>
                </w:p>
                <w:p>
                  <w:pPr>
                    <w:pStyle w:val="64"/>
                    <w:keepNext w:val="0"/>
                    <w:keepLines w:val="0"/>
                    <w:suppressLineNumbers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根据生活垃圾预测结果，远期（2020年）生活垃圾产生量约为29200t/a，集中收集后，经垃圾中转站压缩，运往垃圾处理场卫生填埋，不会对周围环境造成较大影响。</w:t>
                  </w:r>
                </w:p>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因此规划实施后固体废物的处理/处置方式不会对周围环境造成较大影响。</w:t>
                  </w:r>
                </w:p>
              </w:tc>
              <w:tc>
                <w:tcPr>
                  <w:tcW w:w="150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color w:val="auto"/>
                      <w:sz w:val="21"/>
                      <w:szCs w:val="21"/>
                    </w:rPr>
                    <w:t>本项目固体废物全部妥善处置，不会造成环境的二次污染，不会对当地的</w:t>
                  </w:r>
                  <w:r>
                    <w:rPr>
                      <w:rFonts w:ascii="Times New Roman" w:cs="Times New Roman" w:hAnsi="Times New Roman" w:hint="eastAsia"/>
                      <w:color w:val="auto"/>
                      <w:sz w:val="21"/>
                      <w:szCs w:val="21"/>
                      <w:lang w:val="en-US" w:eastAsia="zh-CN"/>
                    </w:rPr>
                    <w:t>周围</w:t>
                  </w:r>
                  <w:r>
                    <w:rPr>
                      <w:rFonts w:ascii="Times New Roman" w:cs="Times New Roman" w:hAnsi="Times New Roman"/>
                      <w:color w:val="auto"/>
                      <w:sz w:val="21"/>
                      <w:szCs w:val="21"/>
                    </w:rPr>
                    <w:t>环境和生态环境产生不利影响</w:t>
                  </w:r>
                  <w:r>
                    <w:rPr>
                      <w:rFonts w:ascii="Times New Roman" w:cs="Times New Roman" w:hAnsi="Times New Roman"/>
                      <w:b w:val="0"/>
                      <w:bCs/>
                      <w:color w:val="auto"/>
                      <w:sz w:val="21"/>
                      <w:szCs w:val="21"/>
                    </w:rPr>
                    <w:t>。</w:t>
                  </w:r>
                </w:p>
              </w:tc>
              <w:tc>
                <w:tcPr>
                  <w:tcW w:w="43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符合</w:t>
                  </w:r>
                </w:p>
              </w:tc>
            </w:tr>
            <w:tr>
              <w:trPr>
                <w:trHeight w:val="397"/>
              </w:trPr>
              <w:tc>
                <w:tcPr>
                  <w:tcW w:w="394"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社会影响分析</w:t>
                  </w:r>
                </w:p>
              </w:tc>
              <w:tc>
                <w:tcPr>
                  <w:tcW w:w="2667" w:type="pct"/>
                  <w:tcBorders>
                    <w:top w:val="single" w:sz="4" w:space="0" w:color="auto"/>
                    <w:bottom w:val="single" w:sz="4" w:space="0" w:color="auto"/>
                  </w:tcBorders>
                  <w:vAlign w:val="center"/>
                </w:tcPr>
                <w:p>
                  <w:pPr>
                    <w:pStyle w:val="64"/>
                    <w:keepNext w:val="0"/>
                    <w:keepLines w:val="0"/>
                    <w:suppressLineNumbers w:val="0"/>
                    <w:spacing w:before="0" w:beforeAutospacing="0" w:after="0" w:afterAutospacing="0" w:line="240" w:lineRule="auto"/>
                    <w:ind w:left="0" w:right="0"/>
                    <w:jc w:val="center"/>
                    <w:rPr>
                      <w:b w:val="0"/>
                      <w:bCs/>
                      <w:color w:val="auto"/>
                      <w:sz w:val="21"/>
                      <w:szCs w:val="21"/>
                    </w:rPr>
                  </w:pPr>
                  <w:r>
                    <w:rPr>
                      <w:rFonts w:ascii="Times New Roman" w:cs="Times New Roman" w:hAnsi="Times New Roman"/>
                      <w:color w:val="auto"/>
                      <w:sz w:val="21"/>
                      <w:szCs w:val="21"/>
                    </w:rPr>
                    <w:t>随着规划区的建设，新建居住小区的医院、学校、通讯、交通、供水等基础设施将日臻完善，居民的生活环境也将随之发生改变。通过对园区规划方案实施前后居民生活环境影响因子的变化分析可知，规划方案的实施，对区内及周围居民的生活环境有较大改善，对提高居民整体生活质量极为有利。但因园区规划中没有搬迁方案和居民补偿方案的相关内容，评价建议延津县相关部门尽快制定一套详尽、具体的《搬迁和居民补偿方案》，明确补偿措施等，以便园区的建设顺利进行。</w:t>
                  </w:r>
                </w:p>
              </w:tc>
              <w:tc>
                <w:tcPr>
                  <w:tcW w:w="150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本项目位于</w:t>
                  </w:r>
                  <w:r>
                    <w:rPr>
                      <w:rFonts w:ascii="Times New Roman" w:cs="Times New Roman" w:hAnsi="Times New Roman" w:hint="eastAsia"/>
                      <w:b w:val="0"/>
                      <w:bCs/>
                      <w:color w:val="auto"/>
                      <w:kern w:val="0"/>
                      <w:sz w:val="21"/>
                      <w:szCs w:val="21"/>
                      <w:lang w:eastAsia="zh-CN"/>
                    </w:rPr>
                    <w:t>新乡市延津县化工园区纬一路与榆林排交叉口东南角</w:t>
                  </w:r>
                  <w:r>
                    <w:rPr>
                      <w:rFonts w:ascii="Times New Roman" w:cs="Times New Roman" w:hAnsi="Times New Roman"/>
                      <w:b w:val="0"/>
                      <w:bCs/>
                      <w:color w:val="auto"/>
                      <w:sz w:val="21"/>
                      <w:szCs w:val="21"/>
                    </w:rPr>
                    <w:t>。评价区域内无重点保护的野生动植物、风景名胜区、自然保护区及文化遗产等特殊保护目标。</w:t>
                  </w:r>
                </w:p>
              </w:tc>
              <w:tc>
                <w:tcPr>
                  <w:tcW w:w="434" w:type="pct"/>
                  <w:tcBorders>
                    <w:top w:val="single" w:sz="4" w:space="0" w:color="auto"/>
                    <w:bottom w:val="single" w:sz="4" w:space="0" w:color="auto"/>
                  </w:tcBorders>
                  <w:vAlign w:val="center"/>
                </w:tcPr>
                <w:p>
                  <w:pPr>
                    <w:pStyle w:val="6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contextualSpacing/>
                    <w:jc w:val="center"/>
                    <w:textAlignment w:val="auto"/>
                    <w:rPr>
                      <w:b w:val="0"/>
                      <w:bCs/>
                      <w:color w:val="auto"/>
                      <w:sz w:val="21"/>
                      <w:szCs w:val="21"/>
                    </w:rPr>
                  </w:pPr>
                  <w:r>
                    <w:rPr>
                      <w:rFonts w:ascii="Times New Roman" w:cs="Times New Roman" w:hAnsi="Times New Roman"/>
                      <w:b w:val="0"/>
                      <w:bCs/>
                      <w:color w:val="auto"/>
                      <w:sz w:val="21"/>
                      <w:szCs w:val="21"/>
                    </w:rPr>
                    <w:t>符合</w:t>
                  </w:r>
                </w:p>
              </w:tc>
            </w:tr>
          </w:tbl>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Chars="200" w:firstLine="480"/>
              <w:jc w:val="left"/>
              <w:textAlignment w:val="auto"/>
              <w:rPr>
                <w:rFonts w:hint="eastAsia"/>
                <w:color w:val="auto"/>
                <w:sz w:val="24"/>
              </w:rPr>
            </w:pPr>
            <w:r>
              <w:rPr>
                <w:rFonts w:ascii="Times New Roman" w:cs="Times New Roman" w:hAnsi="Times New Roman" w:hint="eastAsia"/>
                <w:color w:val="auto"/>
                <w:sz w:val="24"/>
                <w:szCs w:val="20"/>
              </w:rPr>
              <w:t>本项目与规划环评结论不冲突，符合《延津县产业集聚区北区发展规划环境影响报告书》结论要求。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Chars="200" w:firstLine="480"/>
              <w:textAlignment w:val="auto"/>
              <w:rPr>
                <w:rFonts w:hint="eastAsia"/>
                <w:color w:val="auto"/>
                <w:sz w:val="24"/>
              </w:rPr>
            </w:pPr>
            <w:r>
              <w:rPr>
                <w:rFonts w:ascii="Times New Roman" w:cs="Times New Roman" w:hAnsi="Times New Roman" w:hint="eastAsia"/>
                <w:color w:val="auto"/>
                <w:sz w:val="24"/>
                <w:szCs w:val="20"/>
              </w:rPr>
              <w:t>本项目与《延津县产业集聚区北区发展规划环境影响报告书》审查意见对照分析见下表。</w:t>
            </w: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本项目与审查意见对比分析一览表</w:t>
            </w:r>
          </w:p>
          <w:tbl>
            <w:tblPr>
              <w:jc w:val="cente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091"/>
              <w:gridCol w:w="3979"/>
              <w:gridCol w:w="2342"/>
              <w:gridCol w:w="778"/>
            </w:tblGrid>
            <w:tr>
              <w:trPr>
                <w:trHeight w:val="397"/>
              </w:trPr>
              <w:tc>
                <w:tcPr>
                  <w:tcW w:w="666"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hint="eastAsia"/>
                      <w:b/>
                      <w:bCs/>
                      <w:sz w:val="21"/>
                      <w:szCs w:val="21"/>
                    </w:rPr>
                    <w:t>类别</w:t>
                  </w:r>
                </w:p>
              </w:tc>
              <w:tc>
                <w:tcPr>
                  <w:tcW w:w="242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hint="eastAsia"/>
                      <w:b/>
                      <w:bCs/>
                      <w:sz w:val="21"/>
                      <w:szCs w:val="21"/>
                    </w:rPr>
                    <w:t>审查意见内容</w:t>
                  </w:r>
                </w:p>
              </w:tc>
              <w:tc>
                <w:tcPr>
                  <w:tcW w:w="1429"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b/>
                      <w:bCs/>
                      <w:sz w:val="21"/>
                      <w:szCs w:val="21"/>
                    </w:rPr>
                    <w:t>本项目情况</w:t>
                  </w:r>
                </w:p>
              </w:tc>
              <w:tc>
                <w:tcPr>
                  <w:tcW w:w="47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hint="eastAsia"/>
                      <w:b/>
                      <w:bCs/>
                      <w:sz w:val="21"/>
                      <w:szCs w:val="21"/>
                    </w:rPr>
                    <w:t>相符性</w:t>
                  </w:r>
                </w:p>
              </w:tc>
            </w:tr>
            <w:tr>
              <w:trPr>
                <w:trHeight w:val="397"/>
              </w:trPr>
              <w:tc>
                <w:tcPr>
                  <w:tcW w:w="666"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（一）合理用地布局</w:t>
                  </w:r>
                </w:p>
              </w:tc>
              <w:tc>
                <w:tcPr>
                  <w:tcW w:w="242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color w:val="auto"/>
                      <w:sz w:val="21"/>
                      <w:szCs w:val="21"/>
                    </w:rPr>
                  </w:pPr>
                  <w:r>
                    <w:rPr>
                      <w:rFonts w:ascii="Times New Roman" w:cs="Times New Roman" w:hAnsi="Times New Roman" w:hint="eastAsia"/>
                      <w:color w:val="auto"/>
                      <w:sz w:val="21"/>
                      <w:szCs w:val="21"/>
                    </w:rPr>
                    <w:t>优化用地布局，在开发过程中不应随意改变各功能区的使用功能、并注重节约集约用地。应充分考虑各功能区相互干扰、影响问题，减小各功能区之间的不利影响，工业区与生活居住区之间应设置绿化隔离带。待条件成熟，将区内食品加工企业逐步搬迁。在区内建设项目的大气环境防护范围内，不得规划新建居住区、学校、医院、行政办公等环境敏感目标。</w:t>
                  </w:r>
                </w:p>
              </w:tc>
              <w:tc>
                <w:tcPr>
                  <w:tcW w:w="1429"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color w:val="auto"/>
                      <w:sz w:val="21"/>
                      <w:szCs w:val="21"/>
                    </w:rPr>
                  </w:pPr>
                  <w:r>
                    <w:rPr>
                      <w:rFonts w:ascii="Times New Roman" w:cs="Times New Roman" w:hAnsi="Times New Roman"/>
                      <w:b w:val="0"/>
                      <w:bCs/>
                      <w:color w:val="auto"/>
                      <w:sz w:val="21"/>
                      <w:szCs w:val="21"/>
                    </w:rPr>
                    <w:t>本项目位于</w:t>
                  </w:r>
                  <w:r>
                    <w:rPr>
                      <w:rFonts w:ascii="Times New Roman" w:cs="Times New Roman" w:hAnsi="Times New Roman" w:hint="eastAsia"/>
                      <w:b w:val="0"/>
                      <w:bCs/>
                      <w:color w:val="auto"/>
                      <w:kern w:val="0"/>
                      <w:sz w:val="21"/>
                      <w:szCs w:val="21"/>
                      <w:lang w:eastAsia="zh-CN"/>
                    </w:rPr>
                    <w:t>新乡市延津县化工园区纬一路与榆林排交叉口东南角，</w:t>
                  </w:r>
                  <w:r>
                    <w:rPr>
                      <w:rFonts w:ascii="Times New Roman" w:cs="Times New Roman" w:hAnsi="Times New Roman" w:hint="eastAsia"/>
                      <w:b w:val="0"/>
                      <w:bCs/>
                      <w:color w:val="auto"/>
                      <w:kern w:val="0"/>
                      <w:sz w:val="21"/>
                      <w:szCs w:val="21"/>
                      <w:u w:val="single"/>
                      <w:lang w:val="en-US" w:eastAsia="zh-CN"/>
                    </w:rPr>
                    <w:t>根据延津县先进制造业开发区总体规划--公共设施规划图（2023-2035）及</w:t>
                  </w:r>
                  <w:r>
                    <w:rPr>
                      <w:rFonts w:ascii="Times New Roman" w:cs="Times New Roman" w:hAnsi="Times New Roman" w:hint="eastAsia"/>
                      <w:b w:val="0"/>
                      <w:bCs/>
                      <w:color w:val="auto"/>
                      <w:sz w:val="21"/>
                      <w:szCs w:val="21"/>
                      <w:u w:val="single"/>
                      <w:lang w:val="en-US" w:eastAsia="zh-CN"/>
                    </w:rPr>
                    <w:t>土地证本项目属于零售</w:t>
                  </w:r>
                  <w:r>
                    <w:rPr>
                      <w:rFonts w:ascii="Times New Roman" w:cs="Times New Roman" w:hAnsi="Times New Roman" w:hint="eastAsia"/>
                      <w:b w:val="0"/>
                      <w:bCs/>
                      <w:color w:val="auto"/>
                      <w:sz w:val="21"/>
                      <w:szCs w:val="21"/>
                      <w:lang w:val="en-US" w:eastAsia="zh-CN"/>
                    </w:rPr>
                    <w:t>商业用地（加油站）</w:t>
                  </w:r>
                  <w:r>
                    <w:rPr>
                      <w:rFonts w:ascii="Times New Roman" w:cs="Times New Roman" w:hAnsi="Times New Roman"/>
                      <w:b w:val="0"/>
                      <w:bCs/>
                      <w:color w:val="auto"/>
                      <w:sz w:val="21"/>
                      <w:szCs w:val="21"/>
                    </w:rPr>
                    <w:t>。</w:t>
                  </w:r>
                </w:p>
              </w:tc>
              <w:tc>
                <w:tcPr>
                  <w:tcW w:w="47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666"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（二）优化产业结构</w:t>
                  </w:r>
                </w:p>
              </w:tc>
              <w:tc>
                <w:tcPr>
                  <w:tcW w:w="242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hint="eastAsia"/>
                      <w:sz w:val="21"/>
                      <w:szCs w:val="21"/>
                    </w:rPr>
                  </w:pPr>
                  <w:r>
                    <w:rPr>
                      <w:rFonts w:ascii="Times New Roman" w:cs="Times New Roman" w:hAnsi="Times New Roman" w:hint="eastAsia"/>
                      <w:sz w:val="21"/>
                      <w:szCs w:val="21"/>
                    </w:rPr>
                    <w:t>入驻项目应遵循循环经济理念，实施清洁生产，逐步优化产业结构，构筑循环经济产业链。鼓励能够延长集聚区产业链条，国家产业政策鼓励的，符合集聚区功能定位的项目入驻；入驻化工项目优先考虑晋开集团延化化工有限公司合成氨和尿素项目的情况，尽量布置与之相关的上下游产业；限制高耗水和排水量大的工业企业入驻；严禁高毒、高污染的淘汰和限制类工业企业入园。</w:t>
                  </w:r>
                </w:p>
              </w:tc>
              <w:tc>
                <w:tcPr>
                  <w:tcW w:w="1429"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lang w:val="en-US"/>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color w:val="auto"/>
                      <w:sz w:val="21"/>
                      <w:szCs w:val="21"/>
                      <w:lang w:eastAsia="zh-CN"/>
                      <w:highlight w:val="none"/>
                    </w:rPr>
                    <w:t>，</w:t>
                  </w:r>
                  <w:r>
                    <w:rPr>
                      <w:rFonts w:ascii="Times New Roman" w:cs="Times New Roman" w:hAnsi="Times New Roman" w:hint="eastAsia"/>
                      <w:color w:val="auto"/>
                      <w:sz w:val="21"/>
                      <w:szCs w:val="21"/>
                      <w:lang w:val="en-US" w:eastAsia="zh-CN"/>
                      <w:highlight w:val="none"/>
                    </w:rPr>
                    <w:t>为园区车辆配套服务</w:t>
                  </w:r>
                  <w:r>
                    <w:rPr>
                      <w:rFonts w:ascii="Times New Roman" w:cs="Times New Roman" w:hAnsi="Times New Roman" w:hint="eastAsia"/>
                      <w:color w:val="auto"/>
                      <w:sz w:val="21"/>
                      <w:szCs w:val="21"/>
                      <w:lang w:eastAsia="zh-CN"/>
                      <w:highlight w:val="none"/>
                    </w:rPr>
                    <w:t>；</w:t>
                  </w:r>
                  <w:r>
                    <w:rPr>
                      <w:rFonts w:ascii="Times New Roman" w:cs="Times New Roman" w:hAnsi="Times New Roman" w:hint="eastAsia"/>
                      <w:color w:val="auto"/>
                      <w:sz w:val="21"/>
                      <w:szCs w:val="21"/>
                      <w:lang w:val="en-US" w:eastAsia="zh-CN"/>
                      <w:highlight w:val="none"/>
                    </w:rPr>
                    <w:t>不属于高耗水和排水量大的工业企业；不属于高毒、高污染的淘汰和限制类工业企业。</w:t>
                  </w:r>
                </w:p>
              </w:tc>
              <w:tc>
                <w:tcPr>
                  <w:tcW w:w="47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hint="eastAsia"/>
                      <w:sz w:val="21"/>
                      <w:szCs w:val="21"/>
                    </w:rPr>
                  </w:pPr>
                  <w:r>
                    <w:rPr>
                      <w:rFonts w:ascii="Times New Roman" w:cs="Times New Roman" w:hAnsi="Times New Roman" w:hint="eastAsia"/>
                      <w:sz w:val="21"/>
                      <w:szCs w:val="21"/>
                    </w:rPr>
                    <w:t>符合</w:t>
                  </w:r>
                </w:p>
              </w:tc>
            </w:tr>
            <w:tr>
              <w:trPr>
                <w:trHeight w:val="397"/>
              </w:trPr>
              <w:tc>
                <w:tcPr>
                  <w:tcW w:w="666"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（三）尽快完善环保基础设施</w:t>
                  </w:r>
                </w:p>
              </w:tc>
              <w:tc>
                <w:tcPr>
                  <w:tcW w:w="242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hint="eastAsia"/>
                      <w:sz w:val="21"/>
                      <w:szCs w:val="21"/>
                      <w:highlight w:val="none"/>
                    </w:rPr>
                  </w:pPr>
                  <w:r>
                    <w:rPr>
                      <w:rFonts w:ascii="Times New Roman" w:cs="Times New Roman" w:hAnsi="Times New Roman" w:hint="eastAsia"/>
                      <w:sz w:val="21"/>
                      <w:szCs w:val="21"/>
                      <w:highlight w:val="none"/>
                    </w:rPr>
                    <w:t>按照“清污分流、雨污分流、中水回用”的要求，优先建设污水集中处理及中水深度处理回用工程，加快配套污水管网建设，确保入区企业外排废水全部经管网收集后进入污水处理厂，入园企业均不得单独设置废水排放口，减少对纳污水体的影响。集聚区应实施集中供热、供气，进一步优化能源结构，近期由新奥燃气供热厂集中供热，远期依托晋开集团供热，实现集聚区集中供热，逐步拆除区内企业自备锅炉。</w:t>
                  </w:r>
                </w:p>
                <w:p>
                  <w:pPr>
                    <w:pStyle w:val="77"/>
                    <w:keepNext w:val="0"/>
                    <w:keepLines w:val="0"/>
                    <w:suppressLineNumbers w:val="0"/>
                    <w:spacing w:before="0" w:beforeAutospacing="0" w:after="0" w:afterAutospacing="0" w:line="240" w:lineRule="auto"/>
                    <w:ind w:left="0" w:right="0" w:firstLineChars="0" w:firstLine="0"/>
                    <w:jc w:val="center"/>
                    <w:rPr>
                      <w:rFonts w:cs="Times New Roman" w:hint="eastAsia"/>
                      <w:sz w:val="21"/>
                      <w:szCs w:val="21"/>
                      <w:highlight w:val="none"/>
                    </w:rPr>
                  </w:pPr>
                  <w:r>
                    <w:rPr>
                      <w:rFonts w:ascii="Times New Roman" w:cs="Times New Roman" w:hAnsi="Times New Roman" w:hint="eastAsia"/>
                      <w:sz w:val="21"/>
                      <w:szCs w:val="21"/>
                      <w:highlight w:val="none"/>
                    </w:rPr>
                    <w:t>按照循环经济的要求，提高固体废物的综合利用率，一般工业固废回收或综合利用，外排固废应统一运至专用处置场安全处置，严禁企业随意弃置；危险废物要做到安全处置，危险固废的收集、贮存应满足《危险废物贮存污染控制标准》（GB18597-2001）的要求，并送有资质的危险废物处置单位处置，危险废物的转运应执行《危险废物转移联单管理办法》的有关规定。</w:t>
                  </w:r>
                </w:p>
              </w:tc>
              <w:tc>
                <w:tcPr>
                  <w:tcW w:w="1429"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hint="eastAsia"/>
                      <w:sz w:val="21"/>
                      <w:szCs w:val="21"/>
                      <w:highlight w:val="none"/>
                    </w:rPr>
                  </w:pPr>
                  <w:r>
                    <w:rPr>
                      <w:rFonts w:ascii="Times New Roman" w:cs="Times New Roman" w:hAnsi="Times New Roman"/>
                      <w:sz w:val="21"/>
                      <w:szCs w:val="21"/>
                    </w:rPr>
                    <w:t>本项目</w:t>
                  </w:r>
                  <w:r>
                    <w:rPr>
                      <w:rFonts w:ascii="Times New Roman" w:cs="Times New Roman" w:hAnsi="Times New Roman"/>
                      <w:sz w:val="21"/>
                      <w:szCs w:val="21"/>
                      <w:lang w:val="en-US" w:eastAsia="zh-CN"/>
                    </w:rPr>
                    <w:t>生活污水经化粪池处理后由管网排入延津县第二污水处理厂进行处理</w:t>
                  </w:r>
                  <w:r>
                    <w:rPr>
                      <w:rFonts w:ascii="Times New Roman" w:cs="Times New Roman" w:hAnsi="Times New Roman" w:hint="eastAsia"/>
                      <w:sz w:val="21"/>
                      <w:szCs w:val="21"/>
                      <w:lang w:val="en-US" w:eastAsia="zh-CN"/>
                    </w:rPr>
                    <w:t>，</w:t>
                  </w:r>
                  <w:r>
                    <w:rPr>
                      <w:rFonts w:ascii="Times New Roman" w:cs="Times New Roman" w:hAnsi="Times New Roman"/>
                      <w:sz w:val="21"/>
                      <w:szCs w:val="21"/>
                      <w:lang w:val="en-US" w:eastAsia="zh-CN"/>
                    </w:rPr>
                    <w:t>危险废物的收集、转运及处理符合相关规定的要求</w:t>
                  </w:r>
                  <w:r>
                    <w:rPr>
                      <w:rFonts w:ascii="Times New Roman" w:cs="Times New Roman" w:hAnsi="Times New Roman"/>
                      <w:sz w:val="21"/>
                      <w:szCs w:val="21"/>
                    </w:rPr>
                    <w:t>。</w:t>
                  </w:r>
                </w:p>
              </w:tc>
              <w:tc>
                <w:tcPr>
                  <w:tcW w:w="47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hint="eastAsia"/>
                      <w:sz w:val="21"/>
                      <w:szCs w:val="21"/>
                    </w:rPr>
                  </w:pPr>
                  <w:r>
                    <w:rPr>
                      <w:rFonts w:ascii="Times New Roman" w:cs="Times New Roman" w:hAnsi="Times New Roman" w:hint="eastAsia"/>
                      <w:sz w:val="21"/>
                      <w:szCs w:val="21"/>
                    </w:rPr>
                    <w:t>符合</w:t>
                  </w:r>
                </w:p>
              </w:tc>
            </w:tr>
            <w:tr>
              <w:trPr>
                <w:trHeight w:val="397"/>
              </w:trPr>
              <w:tc>
                <w:tcPr>
                  <w:tcW w:w="666"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（四）严格控制污染物排放</w:t>
                  </w:r>
                </w:p>
              </w:tc>
              <w:tc>
                <w:tcPr>
                  <w:tcW w:w="242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color w:val="auto"/>
                      <w:sz w:val="21"/>
                      <w:szCs w:val="21"/>
                      <w:highlight w:val="none"/>
                    </w:rPr>
                  </w:pPr>
                  <w:r>
                    <w:rPr>
                      <w:rFonts w:ascii="Times New Roman" w:cs="Times New Roman" w:hAnsi="Times New Roman" w:hint="eastAsia"/>
                      <w:color w:val="auto"/>
                      <w:sz w:val="21"/>
                      <w:szCs w:val="21"/>
                      <w:highlight w:val="none"/>
                    </w:rPr>
                    <w:t>严格执行污染物排放总量控制制度，区内现有企业改扩建工程应做到“增产不增污”，新建项目应实现区域“增产减污”。采取集中供热、调整能源结构等措施，严格控制大气污染物的排放。抓紧实施污水集中处理及中水回用工程，保证污水处理设施的正常运行，确保污水处理厂出水满足《城镇污水处理厂污染物排放标准》（GB18918-2002）一级标准的A标准。尽快实现集聚区集中供水，逐步关停企业自备水井。定期对地下水质进行监测，发现问题，及时采取有效防治措施，避免对地下水造成污染。</w:t>
                  </w:r>
                </w:p>
              </w:tc>
              <w:tc>
                <w:tcPr>
                  <w:tcW w:w="1429"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eastAsia="宋体" w:cs="Times New Roman"/>
                      <w:color w:val="auto"/>
                      <w:sz w:val="21"/>
                      <w:szCs w:val="21"/>
                      <w:lang w:val="en-US" w:eastAsia="zh-CN"/>
                      <w:highlight w:val="none"/>
                    </w:rPr>
                  </w:pPr>
                  <w:r>
                    <w:rPr>
                      <w:rFonts w:ascii="Times New Roman" w:cs="Times New Roman" w:hAnsi="Times New Roman" w:hint="eastAsia"/>
                      <w:color w:val="auto"/>
                      <w:sz w:val="21"/>
                      <w:szCs w:val="21"/>
                      <w:highlight w:val="none"/>
                    </w:rPr>
                    <w:t>项目废气</w:t>
                  </w:r>
                  <w:r>
                    <w:rPr>
                      <w:rFonts w:ascii="Times New Roman" w:cs="Times New Roman" w:hAnsi="Times New Roman" w:hint="eastAsia"/>
                      <w:color w:val="auto"/>
                      <w:sz w:val="21"/>
                      <w:szCs w:val="21"/>
                      <w:lang w:val="en-US" w:eastAsia="zh-CN"/>
                      <w:highlight w:val="none"/>
                    </w:rPr>
                    <w:t>主要为非甲烷总烃，申请总量控制指标</w:t>
                  </w:r>
                  <w:r>
                    <w:rPr>
                      <w:rFonts w:ascii="Times New Roman" w:cs="Times New Roman" w:hAnsi="Times New Roman" w:hint="eastAsia"/>
                      <w:color w:val="auto"/>
                      <w:sz w:val="21"/>
                      <w:szCs w:val="21"/>
                      <w:highlight w:val="none"/>
                    </w:rPr>
                    <w:t>实现区域“增产减污。</w:t>
                  </w:r>
                  <w:r>
                    <w:rPr>
                      <w:rFonts w:ascii="Times New Roman" w:cs="Times New Roman" w:hAnsi="Times New Roman" w:hint="eastAsia"/>
                      <w:color w:val="auto"/>
                      <w:sz w:val="21"/>
                      <w:szCs w:val="21"/>
                      <w:lang w:val="en-US" w:eastAsia="zh-CN"/>
                      <w:highlight w:val="none"/>
                    </w:rPr>
                    <w:t>生活污水经化粪池处理后</w:t>
                  </w:r>
                  <w:r>
                    <w:rPr>
                      <w:rFonts w:ascii="Times New Roman" w:cs="Times New Roman" w:hAnsi="Times New Roman"/>
                      <w:sz w:val="21"/>
                      <w:szCs w:val="21"/>
                      <w:lang w:val="en-US" w:eastAsia="zh-CN"/>
                    </w:rPr>
                    <w:t>由管网排入延津县第二污水处理厂进行处理</w:t>
                  </w:r>
                  <w:r>
                    <w:rPr>
                      <w:rFonts w:ascii="Times New Roman" w:cs="Times New Roman" w:hAnsi="Times New Roman" w:hint="eastAsia"/>
                      <w:color w:val="auto"/>
                      <w:sz w:val="21"/>
                      <w:szCs w:val="21"/>
                      <w:lang w:val="en-US" w:eastAsia="zh-CN"/>
                      <w:highlight w:val="none"/>
                    </w:rPr>
                    <w:t>。</w:t>
                  </w:r>
                </w:p>
              </w:tc>
              <w:tc>
                <w:tcPr>
                  <w:tcW w:w="47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color w:val="auto"/>
                      <w:sz w:val="21"/>
                      <w:szCs w:val="21"/>
                    </w:rPr>
                  </w:pPr>
                  <w:r>
                    <w:rPr>
                      <w:rFonts w:ascii="Times New Roman" w:cs="Times New Roman" w:hAnsi="Times New Roman" w:hint="eastAsia"/>
                      <w:color w:val="auto"/>
                      <w:sz w:val="21"/>
                      <w:szCs w:val="21"/>
                    </w:rPr>
                    <w:t>符合</w:t>
                  </w:r>
                </w:p>
              </w:tc>
            </w:tr>
            <w:tr>
              <w:trPr>
                <w:trHeight w:val="397"/>
              </w:trPr>
              <w:tc>
                <w:tcPr>
                  <w:tcW w:w="666"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（五）建立事故风险防范和应急处置体系</w:t>
                  </w:r>
                </w:p>
              </w:tc>
              <w:tc>
                <w:tcPr>
                  <w:tcW w:w="242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加强集聚区环境安全管理工作，严格危险化学品管理，建立集聚区风险防范体系以及风险防范应急预案，在基础设施和企业内部生产运营管理中，认真落实环境风险防范措施，杜绝发生污染事故。区内具有重大危险源的企业应在厂区内修建消防废水应急水池，在发生事故时，对消防废水或未经处理的高浓度废水进行收集，防止对地表水产生影响。</w:t>
                  </w:r>
                </w:p>
              </w:tc>
              <w:tc>
                <w:tcPr>
                  <w:tcW w:w="1429"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sz w:val="21"/>
                      <w:szCs w:val="21"/>
                    </w:rPr>
                    <w:t>本项目</w:t>
                  </w:r>
                  <w:r>
                    <w:rPr>
                      <w:rFonts w:ascii="Times New Roman" w:cs="Times New Roman" w:hAnsi="Times New Roman"/>
                      <w:sz w:val="21"/>
                      <w:szCs w:val="21"/>
                      <w:lang w:eastAsia="zh-CN"/>
                    </w:rPr>
                    <w:t>建成后加强</w:t>
                  </w:r>
                  <w:r>
                    <w:rPr>
                      <w:rFonts w:ascii="Times New Roman" w:cs="Times New Roman" w:hAnsi="Times New Roman"/>
                      <w:sz w:val="21"/>
                      <w:szCs w:val="21"/>
                    </w:rPr>
                    <w:t>环境风险防</w:t>
                  </w:r>
                  <w:r>
                    <w:rPr>
                      <w:rFonts w:ascii="Times New Roman" w:cs="Times New Roman" w:hAnsi="Times New Roman"/>
                      <w:sz w:val="21"/>
                      <w:szCs w:val="21"/>
                      <w:lang w:eastAsia="zh-CN"/>
                    </w:rPr>
                    <w:t>控，积极配合园区</w:t>
                  </w:r>
                  <w:r>
                    <w:rPr>
                      <w:rFonts w:ascii="Times New Roman" w:cs="Times New Roman" w:hAnsi="Times New Roman"/>
                      <w:sz w:val="21"/>
                      <w:szCs w:val="21"/>
                    </w:rPr>
                    <w:t>环境风险防控体系</w:t>
                  </w:r>
                  <w:r>
                    <w:rPr>
                      <w:rFonts w:ascii="Times New Roman" w:cs="Times New Roman" w:hAnsi="Times New Roman"/>
                      <w:sz w:val="21"/>
                      <w:szCs w:val="21"/>
                      <w:lang w:eastAsia="zh-CN"/>
                    </w:rPr>
                    <w:t>建设</w:t>
                  </w:r>
                  <w:r>
                    <w:rPr>
                      <w:rFonts w:ascii="Times New Roman" w:cs="Times New Roman" w:hAnsi="Times New Roman" w:hint="eastAsia"/>
                      <w:sz w:val="21"/>
                      <w:szCs w:val="21"/>
                      <w:lang w:eastAsia="zh-CN"/>
                    </w:rPr>
                    <w:t>。</w:t>
                  </w:r>
                </w:p>
              </w:tc>
              <w:tc>
                <w:tcPr>
                  <w:tcW w:w="47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color w:val="auto"/>
                      <w:sz w:val="21"/>
                      <w:szCs w:val="21"/>
                    </w:rPr>
                    <w:t>符合</w:t>
                  </w:r>
                </w:p>
              </w:tc>
            </w:tr>
            <w:tr>
              <w:trPr>
                <w:trHeight w:val="397"/>
              </w:trPr>
              <w:tc>
                <w:tcPr>
                  <w:tcW w:w="666"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（六）注重生态环境建设</w:t>
                  </w:r>
                </w:p>
              </w:tc>
              <w:tc>
                <w:tcPr>
                  <w:tcW w:w="242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加强生态环境建设，落实规划和报告书提出的生态建设方案。在园区边界、集聚区各组团之间、园区道路两侧应适当建设绿化（隔离）带，将集聚区建设对集聚区周边的不利影响降至最低程度。加强水土保持工作，结合区内地形条件，在项目施工时，尽量减少挖填方量，避免造成水土流失。</w:t>
                  </w:r>
                </w:p>
              </w:tc>
              <w:tc>
                <w:tcPr>
                  <w:tcW w:w="1429"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ascii="Times New Roman" w:eastAsia="宋体" w:cs="Times New Roman" w:hAnsi="Times New Roman"/>
                      <w:sz w:val="21"/>
                      <w:szCs w:val="21"/>
                      <w:lang w:val="en-US" w:eastAsia="zh-CN"/>
                    </w:rPr>
                  </w:pPr>
                  <w:r>
                    <w:rPr>
                      <w:rFonts w:ascii="Times New Roman" w:cs="Times New Roman" w:hAnsi="Times New Roman" w:hint="eastAsia"/>
                      <w:sz w:val="21"/>
                      <w:szCs w:val="21"/>
                      <w:lang w:val="en-US" w:eastAsia="zh-CN"/>
                    </w:rPr>
                    <w:t>本项目不涉及</w:t>
                  </w:r>
                </w:p>
              </w:tc>
              <w:tc>
                <w:tcPr>
                  <w:tcW w:w="47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ascii="Times New Roman" w:eastAsia="宋体" w:cs="Times New Roman" w:hAnsi="Times New Roman"/>
                      <w:sz w:val="21"/>
                      <w:szCs w:val="21"/>
                      <w:lang w:val="en-US" w:eastAsia="zh-CN"/>
                    </w:rPr>
                  </w:pPr>
                  <w:r>
                    <w:rPr>
                      <w:rFonts w:ascii="Times New Roman" w:cs="Times New Roman" w:hAnsi="Times New Roman" w:hint="eastAsia"/>
                      <w:sz w:val="21"/>
                      <w:szCs w:val="21"/>
                      <w:lang w:val="en-US" w:eastAsia="zh-CN"/>
                    </w:rPr>
                    <w:t>/</w:t>
                  </w:r>
                </w:p>
              </w:tc>
            </w:tr>
            <w:tr>
              <w:trPr>
                <w:trHeight w:val="397"/>
              </w:trPr>
              <w:tc>
                <w:tcPr>
                  <w:tcW w:w="666"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（七）妥善安置搬迁居民</w:t>
                  </w:r>
                </w:p>
              </w:tc>
              <w:tc>
                <w:tcPr>
                  <w:tcW w:w="242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根据规划实施的进度，制定详细的搬迁计划，对居民及时拆迁，妥善安置。当地人民政府应加强组织协调，按照《报告书》提出的建议制定详细的搬迁计划和方案，认真组织落实。加强拆迁居民的培训，积极拓宽就业渠道，注意加强搬迁居民的就业、医疗、社会救助等保障体系建设，保证其生活基本稳定，构建和谐社会。</w:t>
                  </w:r>
                </w:p>
              </w:tc>
              <w:tc>
                <w:tcPr>
                  <w:tcW w:w="1429"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eastAsia="宋体" w:cs="Times New Roman"/>
                      <w:sz w:val="21"/>
                      <w:szCs w:val="21"/>
                      <w:lang w:val="en-US" w:eastAsia="zh-CN"/>
                    </w:rPr>
                  </w:pPr>
                  <w:r>
                    <w:rPr>
                      <w:rFonts w:ascii="Times New Roman" w:cs="Times New Roman" w:hAnsi="Times New Roman" w:hint="eastAsia"/>
                      <w:sz w:val="21"/>
                      <w:szCs w:val="21"/>
                      <w:lang w:val="en-US" w:eastAsia="zh-CN"/>
                    </w:rPr>
                    <w:t>本项目不涉及</w:t>
                  </w:r>
                </w:p>
              </w:tc>
              <w:tc>
                <w:tcPr>
                  <w:tcW w:w="47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eastAsia="宋体" w:cs="Times New Roman" w:hint="eastAsia"/>
                      <w:sz w:val="21"/>
                      <w:szCs w:val="21"/>
                      <w:lang w:eastAsia="zh-CN"/>
                    </w:rPr>
                  </w:pPr>
                  <w:r>
                    <w:rPr>
                      <w:rFonts w:ascii="Times New Roman" w:cs="Times New Roman" w:hAnsi="Times New Roman" w:hint="eastAsia"/>
                      <w:color w:val="auto"/>
                      <w:sz w:val="21"/>
                      <w:szCs w:val="21"/>
                      <w:lang w:val="en-US" w:eastAsia="zh-CN"/>
                    </w:rPr>
                    <w:t>/</w:t>
                  </w:r>
                </w:p>
              </w:tc>
            </w:tr>
          </w:tbl>
          <w:p>
            <w:pPr>
              <w:keepNext w:val="0"/>
              <w:keepLines w:val="0"/>
              <w:suppressLineNumbers w:val="0"/>
              <w:autoSpaceDE w:val="0"/>
              <w:autoSpaceDN w:val="0"/>
              <w:adjustRightInd w:val="0"/>
              <w:snapToGrid w:val="0"/>
              <w:spacing w:before="0" w:beforeAutospacing="0" w:after="0" w:afterAutospacing="0" w:line="460" w:lineRule="exact"/>
              <w:ind w:left="0" w:right="0" w:firstLineChars="200" w:firstLine="480"/>
              <w:rPr>
                <w:sz w:val="24"/>
              </w:rPr>
            </w:pPr>
            <w:r>
              <w:rPr>
                <w:rFonts w:ascii="Times New Roman" w:cs="Times New Roman" w:hAnsi="Times New Roman"/>
                <w:sz w:val="24"/>
                <w:szCs w:val="20"/>
              </w:rPr>
              <w:t>由上表可知，项目符合《</w:t>
            </w:r>
            <w:r>
              <w:rPr>
                <w:rFonts w:ascii="Times New Roman" w:cs="Times New Roman" w:hAnsi="Times New Roman" w:hint="eastAsia"/>
                <w:color w:val="000000"/>
                <w:sz w:val="24"/>
                <w:szCs w:val="20"/>
              </w:rPr>
              <w:t>延津县产业集聚区北区发展规划环境影响报告书</w:t>
            </w:r>
            <w:r>
              <w:rPr>
                <w:rFonts w:ascii="Times New Roman" w:cs="Times New Roman" w:hAnsi="Times New Roman"/>
                <w:sz w:val="24"/>
                <w:szCs w:val="20"/>
              </w:rPr>
              <w:t>》的</w:t>
            </w:r>
            <w:r>
              <w:rPr>
                <w:rFonts w:ascii="Times New Roman" w:cs="Times New Roman" w:hAnsi="Times New Roman" w:hint="eastAsia"/>
                <w:sz w:val="24"/>
                <w:szCs w:val="20"/>
              </w:rPr>
              <w:t>审查</w:t>
            </w:r>
            <w:r>
              <w:rPr>
                <w:rFonts w:ascii="Times New Roman" w:cs="Times New Roman" w:hAnsi="Times New Roman"/>
                <w:sz w:val="24"/>
                <w:szCs w:val="20"/>
              </w:rPr>
              <w:t>意见要求。</w:t>
            </w:r>
          </w:p>
          <w:p>
            <w:pPr>
              <w:keepNext w:val="0"/>
              <w:keepLines w:val="0"/>
              <w:suppressLineNumbers w:val="0"/>
              <w:autoSpaceDE w:val="0"/>
              <w:autoSpaceDN w:val="0"/>
              <w:adjustRightInd w:val="0"/>
              <w:snapToGrid w:val="0"/>
              <w:spacing w:before="0" w:beforeAutospacing="0" w:after="0" w:afterAutospacing="0" w:line="460" w:lineRule="exact"/>
              <w:ind w:left="0" w:right="0" w:firstLineChars="200" w:firstLine="480"/>
              <w:rPr>
                <w:rFonts w:ascii="宋体" w:cs="宋体" w:hAnsi="宋体"/>
                <w:b/>
                <w:bCs/>
                <w:kern w:val="0"/>
                <w:sz w:val="24"/>
              </w:rPr>
            </w:pPr>
            <w:r>
              <w:rPr>
                <w:rFonts w:ascii="Times New Roman" w:cs="Times New Roman" w:hAnsi="Times New Roman" w:hint="eastAsia"/>
                <w:b/>
                <w:bCs/>
                <w:sz w:val="24"/>
                <w:szCs w:val="20"/>
              </w:rPr>
              <w:t>3、本项目与《延津县产业集聚区北区发展规划（2013-2020）环境影响跟踪评价报告书》的准入条件对照分析</w:t>
            </w:r>
          </w:p>
          <w:p>
            <w:pPr>
              <w:keepNext w:val="0"/>
              <w:keepLines w:val="0"/>
              <w:suppressLineNumbers w:val="0"/>
              <w:spacing w:before="0" w:beforeAutospacing="0" w:after="0" w:afterAutospacing="0" w:line="460" w:lineRule="exact"/>
              <w:ind w:left="0" w:right="0" w:firstLineChars="200" w:firstLine="480"/>
              <w:rPr>
                <w:sz w:val="24"/>
              </w:rPr>
            </w:pPr>
            <w:r>
              <w:rPr>
                <w:rFonts w:ascii="Times New Roman" w:cs="Times New Roman" w:hAnsi="Times New Roman" w:hint="eastAsia"/>
                <w:sz w:val="24"/>
                <w:szCs w:val="20"/>
              </w:rPr>
              <w:t>本项目与《延津县产业集聚区北区发展规划（2013-2020）环境影响跟踪评价报告书》中准入条件对照分析见下表。</w:t>
            </w: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本项目与准入条件对照分析一览表</w:t>
            </w:r>
          </w:p>
          <w:tbl>
            <w:tblPr>
              <w:jc w:val="center"/>
              <w:tblW w:w="4997"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00"/>
              <w:gridCol w:w="644"/>
              <w:gridCol w:w="3127"/>
              <w:gridCol w:w="3335"/>
              <w:gridCol w:w="680"/>
            </w:tblGrid>
            <w:tr>
              <w:trPr>
                <w:trHeight w:val="397"/>
              </w:trPr>
              <w:tc>
                <w:tcPr>
                  <w:tcW w:w="24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
                      <w:bCs w:val="0"/>
                      <w:color w:val="auto"/>
                      <w:kern w:val="2"/>
                      <w:sz w:val="21"/>
                      <w:szCs w:val="21"/>
                      <w:lang w:val="en-US" w:eastAsia="zh-CN" w:bidi="ar-SA"/>
                    </w:rPr>
                  </w:pPr>
                  <w:r>
                    <w:rPr>
                      <w:rFonts w:ascii="Times New Roman" w:cs="Times New Roman" w:hAnsi="Times New Roman"/>
                      <w:b/>
                      <w:bCs w:val="0"/>
                      <w:color w:val="auto"/>
                      <w:sz w:val="21"/>
                      <w:szCs w:val="21"/>
                    </w:rPr>
                    <w:t>序号</w:t>
                  </w:r>
                </w:p>
              </w:tc>
              <w:tc>
                <w:tcPr>
                  <w:tcW w:w="393"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
                      <w:bCs w:val="0"/>
                      <w:color w:val="auto"/>
                      <w:kern w:val="2"/>
                      <w:sz w:val="21"/>
                      <w:szCs w:val="21"/>
                      <w:lang w:val="en-US" w:eastAsia="zh-CN" w:bidi="ar-SA"/>
                    </w:rPr>
                  </w:pPr>
                  <w:r>
                    <w:rPr>
                      <w:rFonts w:ascii="Times New Roman" w:cs="Times New Roman" w:hAnsi="Times New Roman"/>
                      <w:b/>
                      <w:bCs w:val="0"/>
                      <w:color w:val="auto"/>
                      <w:sz w:val="21"/>
                      <w:szCs w:val="21"/>
                    </w:rPr>
                    <w:t>分类</w:t>
                  </w:r>
                </w:p>
              </w:tc>
              <w:tc>
                <w:tcPr>
                  <w:tcW w:w="190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
                      <w:bCs w:val="0"/>
                      <w:color w:val="auto"/>
                      <w:kern w:val="2"/>
                      <w:sz w:val="21"/>
                      <w:szCs w:val="21"/>
                      <w:lang w:val="en-US" w:eastAsia="zh-CN" w:bidi="ar-SA"/>
                    </w:rPr>
                  </w:pPr>
                  <w:r>
                    <w:rPr>
                      <w:rFonts w:ascii="Times New Roman" w:cs="Times New Roman" w:hAnsi="Times New Roman"/>
                      <w:b/>
                      <w:bCs w:val="0"/>
                      <w:color w:val="auto"/>
                      <w:sz w:val="21"/>
                      <w:szCs w:val="21"/>
                    </w:rPr>
                    <w:t>园区后续发展的准入条件</w:t>
                  </w:r>
                </w:p>
              </w:tc>
              <w:tc>
                <w:tcPr>
                  <w:tcW w:w="203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
                      <w:bCs w:val="0"/>
                      <w:color w:val="auto"/>
                      <w:kern w:val="2"/>
                      <w:sz w:val="21"/>
                      <w:szCs w:val="21"/>
                      <w:lang w:val="en-US" w:eastAsia="zh-CN" w:bidi="ar-SA"/>
                    </w:rPr>
                  </w:pPr>
                  <w:r>
                    <w:rPr>
                      <w:rFonts w:ascii="Times New Roman" w:cs="Times New Roman" w:hAnsi="Times New Roman"/>
                      <w:b/>
                      <w:bCs w:val="0"/>
                      <w:color w:val="auto"/>
                      <w:sz w:val="21"/>
                      <w:szCs w:val="21"/>
                    </w:rPr>
                    <w:t>本项目情况</w:t>
                  </w:r>
                </w:p>
              </w:tc>
              <w:tc>
                <w:tcPr>
                  <w:tcW w:w="41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hint="eastAsia"/>
                      <w:b/>
                      <w:bCs/>
                      <w:sz w:val="21"/>
                      <w:szCs w:val="21"/>
                    </w:rPr>
                    <w:t>相符性</w:t>
                  </w:r>
                </w:p>
              </w:tc>
            </w:tr>
            <w:tr>
              <w:trPr>
                <w:trHeight w:val="397"/>
              </w:trPr>
              <w:tc>
                <w:tcPr>
                  <w:tcW w:w="244"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黑体" w:cs="Times New Roman" w:hAnsi="Times New Roman" w:hint="eastAsia"/>
                      <w:bCs/>
                      <w:color w:val="auto"/>
                      <w:kern w:val="2"/>
                      <w:sz w:val="21"/>
                      <w:szCs w:val="21"/>
                      <w:lang w:val="en-US" w:eastAsia="zh-CN" w:bidi="ar-SA"/>
                    </w:rPr>
                  </w:pPr>
                  <w:r>
                    <w:rPr>
                      <w:rFonts w:ascii="Times New Roman" w:eastAsia="黑体" w:cs="Times New Roman" w:hAnsi="Times New Roman"/>
                      <w:bCs/>
                      <w:color w:val="auto"/>
                      <w:sz w:val="21"/>
                      <w:szCs w:val="21"/>
                    </w:rPr>
                    <w:t>1</w:t>
                  </w:r>
                </w:p>
              </w:tc>
              <w:tc>
                <w:tcPr>
                  <w:tcW w:w="393"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基本条件</w:t>
                  </w:r>
                </w:p>
              </w:tc>
              <w:tc>
                <w:tcPr>
                  <w:tcW w:w="1909" w:type="pct"/>
                  <w:tcBorders>
                    <w:tl2br w:val="nil"/>
                    <w:tr2bl w:val="nil"/>
                  </w:tcBorders>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黑体" w:cs="Times New Roman" w:hAnsi="Times New Roman" w:hint="eastAsia"/>
                      <w:bCs/>
                      <w:color w:val="auto"/>
                      <w:kern w:val="0"/>
                      <w:sz w:val="21"/>
                      <w:szCs w:val="21"/>
                      <w:lang w:val="en-US" w:eastAsia="zh-CN" w:bidi="ar-SA"/>
                    </w:rPr>
                  </w:pPr>
                  <w:r>
                    <w:rPr>
                      <w:rFonts w:ascii="Times New Roman" w:cs="Times New Roman" w:hAnsi="Times New Roman"/>
                      <w:bCs/>
                      <w:color w:val="auto"/>
                      <w:kern w:val="2"/>
                      <w:sz w:val="21"/>
                      <w:szCs w:val="21"/>
                    </w:rPr>
                    <w:t>1、原则上仅允许入驻符合延津县产业集聚区北区产业定位和延津县静脉产业园区规划布局的项目，以及上下游补链、延链行业的项目；</w:t>
                  </w:r>
                </w:p>
              </w:tc>
              <w:tc>
                <w:tcPr>
                  <w:tcW w:w="203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color w:val="auto"/>
                      <w:sz w:val="21"/>
                      <w:szCs w:val="21"/>
                      <w:lang w:eastAsia="zh-CN"/>
                      <w:highlight w:val="none"/>
                    </w:rPr>
                    <w:t>，</w:t>
                  </w:r>
                  <w:r>
                    <w:rPr>
                      <w:rFonts w:ascii="Times New Roman" w:cs="Times New Roman" w:hAnsi="Times New Roman" w:hint="eastAsia"/>
                      <w:color w:val="auto"/>
                      <w:sz w:val="21"/>
                      <w:szCs w:val="21"/>
                      <w:lang w:val="en-US" w:eastAsia="zh-CN"/>
                      <w:highlight w:val="none"/>
                    </w:rPr>
                    <w:t>为园区车辆配套服务</w:t>
                  </w:r>
                  <w:r>
                    <w:rPr>
                      <w:rFonts w:ascii="Times New Roman" w:cs="Times New Roman" w:hAnsi="Times New Roman"/>
                      <w:color w:val="auto"/>
                      <w:spacing w:val="-4"/>
                      <w:sz w:val="21"/>
                      <w:szCs w:val="21"/>
                    </w:rPr>
                    <w:t>。</w:t>
                  </w:r>
                </w:p>
              </w:tc>
              <w:tc>
                <w:tcPr>
                  <w:tcW w:w="41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tcBorders>
                    <w:tl2br w:val="nil"/>
                    <w:tr2bl w:val="nil"/>
                  </w:tcBorders>
                  <w:shd w:val="clear" w:color="auto" w:fill="auto"/>
                  <w:vAlign w:val="center"/>
                </w:tcPr>
                <w:p/>
              </w:tc>
              <w:tc>
                <w:tcPr>
                  <w:tcW w:w="393" w:type="pct"/>
                  <w:vMerge/>
                  <w:tcBorders>
                    <w:tl2br w:val="nil"/>
                    <w:tr2bl w:val="nil"/>
                  </w:tcBorders>
                  <w:shd w:val="clear" w:color="auto" w:fill="auto"/>
                  <w:vAlign w:val="center"/>
                </w:tcPr>
                <w:p/>
              </w:tc>
              <w:tc>
                <w:tcPr>
                  <w:tcW w:w="190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2、入驻项目应符合国家产业政策、行业准入条件、地方环保管理要求和其他相关规划要求；</w:t>
                  </w:r>
                </w:p>
              </w:tc>
              <w:tc>
                <w:tcPr>
                  <w:tcW w:w="203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color w:val="auto"/>
                      <w:spacing w:val="-4"/>
                      <w:kern w:val="2"/>
                      <w:sz w:val="21"/>
                      <w:szCs w:val="21"/>
                      <w:lang w:val="en-US" w:eastAsia="zh-CN" w:bidi="ar-SA"/>
                    </w:rPr>
                  </w:pPr>
                  <w:r>
                    <w:rPr>
                      <w:rFonts w:ascii="Times New Roman" w:cs="Times New Roman" w:hAnsi="Times New Roman"/>
                      <w:color w:val="auto"/>
                      <w:spacing w:val="-4"/>
                      <w:sz w:val="21"/>
                      <w:szCs w:val="21"/>
                    </w:rPr>
                    <w:t>根据《产业结构调整指导目录》（</w:t>
                  </w:r>
                  <w:r>
                    <w:rPr>
                      <w:rFonts w:ascii="Times New Roman" w:cs="Times New Roman" w:hAnsi="Times New Roman" w:hint="eastAsia"/>
                      <w:color w:val="auto"/>
                      <w:spacing w:val="-4"/>
                      <w:sz w:val="21"/>
                      <w:szCs w:val="21"/>
                      <w:lang w:val="en-US" w:eastAsia="zh-CN"/>
                    </w:rPr>
                    <w:t>2024</w:t>
                  </w:r>
                  <w:r>
                    <w:rPr>
                      <w:rFonts w:ascii="Times New Roman" w:cs="Times New Roman" w:hAnsi="Times New Roman"/>
                      <w:color w:val="auto"/>
                      <w:spacing w:val="-4"/>
                      <w:sz w:val="21"/>
                      <w:szCs w:val="21"/>
                    </w:rPr>
                    <w:t>年本）</w:t>
                  </w:r>
                  <w:r>
                    <w:rPr>
                      <w:rFonts w:ascii="Times New Roman" w:cs="Times New Roman" w:hAnsi="Times New Roman"/>
                      <w:color w:val="auto"/>
                      <w:sz w:val="21"/>
                      <w:szCs w:val="21"/>
                    </w:rPr>
                    <w:t>，本项目不属于淘汰和限制类，属于允许类，符合国家</w:t>
                  </w:r>
                  <w:r>
                    <w:rPr>
                      <w:rFonts w:ascii="Times New Roman" w:cs="Times New Roman" w:hAnsi="Times New Roman"/>
                      <w:bCs/>
                      <w:color w:val="auto"/>
                      <w:sz w:val="21"/>
                      <w:szCs w:val="21"/>
                    </w:rPr>
                    <w:t>产业政策，同时符合地方环保管理要求和其他相关规划要求</w:t>
                  </w:r>
                  <w:r>
                    <w:rPr>
                      <w:rFonts w:ascii="Times New Roman" w:cs="Times New Roman" w:hAnsi="Times New Roman"/>
                      <w:color w:val="auto"/>
                      <w:sz w:val="21"/>
                      <w:szCs w:val="21"/>
                    </w:rPr>
                    <w:t>。</w:t>
                  </w:r>
                </w:p>
              </w:tc>
              <w:tc>
                <w:tcPr>
                  <w:tcW w:w="41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tcBorders>
                    <w:tl2br w:val="nil"/>
                    <w:tr2bl w:val="nil"/>
                  </w:tcBorders>
                  <w:shd w:val="clear" w:color="auto" w:fill="auto"/>
                  <w:vAlign w:val="center"/>
                </w:tcPr>
                <w:p/>
              </w:tc>
              <w:tc>
                <w:tcPr>
                  <w:tcW w:w="393" w:type="pct"/>
                  <w:vMerge/>
                  <w:tcBorders>
                    <w:tl2br w:val="nil"/>
                    <w:tr2bl w:val="nil"/>
                  </w:tcBorders>
                  <w:shd w:val="clear" w:color="auto" w:fill="auto"/>
                  <w:vAlign w:val="center"/>
                </w:tcPr>
                <w:p/>
              </w:tc>
              <w:tc>
                <w:tcPr>
                  <w:tcW w:w="190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3、入驻项目必须满足污染物达标排放的要求；</w:t>
                  </w:r>
                </w:p>
              </w:tc>
              <w:tc>
                <w:tcPr>
                  <w:tcW w:w="203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color w:val="auto"/>
                      <w:spacing w:val="-4"/>
                      <w:kern w:val="2"/>
                      <w:sz w:val="21"/>
                      <w:szCs w:val="21"/>
                      <w:lang w:val="en-US" w:eastAsia="zh-CN" w:bidi="ar-SA"/>
                    </w:rPr>
                  </w:pPr>
                  <w:r>
                    <w:rPr>
                      <w:rFonts w:ascii="Times New Roman" w:cs="Times New Roman" w:hAnsi="Times New Roman"/>
                      <w:color w:val="auto"/>
                      <w:spacing w:val="-4"/>
                      <w:sz w:val="21"/>
                      <w:szCs w:val="21"/>
                    </w:rPr>
                    <w:t>本项目废水、废气、噪声经处理后均能够达标排放，</w:t>
                  </w:r>
                  <w:r>
                    <w:rPr>
                      <w:rFonts w:ascii="Times New Roman" w:cs="Times New Roman" w:hAnsi="Times New Roman"/>
                      <w:bCs/>
                      <w:color w:val="auto"/>
                      <w:sz w:val="21"/>
                      <w:szCs w:val="21"/>
                    </w:rPr>
                    <w:t>满足污染物达标排放的要求</w:t>
                  </w:r>
                  <w:r>
                    <w:rPr>
                      <w:rFonts w:ascii="Times New Roman" w:cs="Times New Roman" w:hAnsi="Times New Roman"/>
                      <w:color w:val="auto"/>
                      <w:sz w:val="21"/>
                      <w:szCs w:val="21"/>
                    </w:rPr>
                    <w:t>。</w:t>
                  </w:r>
                </w:p>
              </w:tc>
              <w:tc>
                <w:tcPr>
                  <w:tcW w:w="41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tcBorders>
                    <w:tl2br w:val="nil"/>
                    <w:tr2bl w:val="nil"/>
                  </w:tcBorders>
                  <w:shd w:val="clear" w:color="auto" w:fill="auto"/>
                  <w:vAlign w:val="center"/>
                </w:tcPr>
                <w:p/>
              </w:tc>
              <w:tc>
                <w:tcPr>
                  <w:tcW w:w="393" w:type="pct"/>
                  <w:vMerge/>
                  <w:tcBorders>
                    <w:tl2br w:val="nil"/>
                    <w:tr2bl w:val="nil"/>
                  </w:tcBorders>
                  <w:shd w:val="clear" w:color="auto" w:fill="auto"/>
                  <w:vAlign w:val="center"/>
                </w:tcPr>
                <w:p/>
              </w:tc>
              <w:tc>
                <w:tcPr>
                  <w:tcW w:w="190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4、入驻项目应严格按照国家的环保法律和规定做到执行环境影响评价、“三同时” 制度以及排污许可证制度；</w:t>
                  </w:r>
                </w:p>
              </w:tc>
              <w:tc>
                <w:tcPr>
                  <w:tcW w:w="203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color w:val="auto"/>
                      <w:spacing w:val="-4"/>
                      <w:kern w:val="2"/>
                      <w:sz w:val="21"/>
                      <w:szCs w:val="21"/>
                      <w:lang w:val="en-US" w:eastAsia="zh-CN" w:bidi="ar-SA"/>
                    </w:rPr>
                  </w:pPr>
                  <w:r>
                    <w:rPr>
                      <w:rFonts w:ascii="Times New Roman" w:cs="Times New Roman" w:hAnsi="Times New Roman"/>
                      <w:color w:val="auto"/>
                      <w:spacing w:val="-4"/>
                      <w:sz w:val="21"/>
                      <w:szCs w:val="21"/>
                    </w:rPr>
                    <w:t>本项目将按照</w:t>
                  </w:r>
                  <w:r>
                    <w:rPr>
                      <w:rFonts w:ascii="Times New Roman" w:cs="Times New Roman" w:hAnsi="Times New Roman"/>
                      <w:bCs/>
                      <w:color w:val="auto"/>
                      <w:sz w:val="21"/>
                      <w:szCs w:val="21"/>
                    </w:rPr>
                    <w:t>国家的环保法律和规定做到执行环境影响评价、“三同时” 制度以及排污许可证制度</w:t>
                  </w:r>
                  <w:r>
                    <w:rPr>
                      <w:rFonts w:ascii="Times New Roman" w:cs="Times New Roman" w:hAnsi="Times New Roman"/>
                      <w:color w:val="auto"/>
                      <w:sz w:val="21"/>
                      <w:szCs w:val="21"/>
                    </w:rPr>
                    <w:t>。</w:t>
                  </w:r>
                </w:p>
              </w:tc>
              <w:tc>
                <w:tcPr>
                  <w:tcW w:w="41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tcBorders>
                    <w:tl2br w:val="nil"/>
                    <w:tr2bl w:val="nil"/>
                  </w:tcBorders>
                  <w:shd w:val="clear" w:color="auto" w:fill="auto"/>
                  <w:vAlign w:val="center"/>
                </w:tcPr>
                <w:p/>
              </w:tc>
              <w:tc>
                <w:tcPr>
                  <w:tcW w:w="393" w:type="pct"/>
                  <w:vMerge/>
                  <w:tcBorders>
                    <w:tl2br w:val="nil"/>
                    <w:tr2bl w:val="nil"/>
                  </w:tcBorders>
                  <w:shd w:val="clear" w:color="auto" w:fill="auto"/>
                  <w:vAlign w:val="center"/>
                </w:tcPr>
                <w:p/>
              </w:tc>
              <w:tc>
                <w:tcPr>
                  <w:tcW w:w="190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5、依托现有企业入驻的项目，应满足产业负面清单要求。</w:t>
                  </w:r>
                </w:p>
              </w:tc>
              <w:tc>
                <w:tcPr>
                  <w:tcW w:w="2036" w:type="pct"/>
                  <w:tcBorders>
                    <w:tl2br w:val="nil"/>
                    <w:tr2bl w:val="nil"/>
                  </w:tcBorders>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hint="eastAsia"/>
                      <w:bCs/>
                      <w:color w:val="auto"/>
                      <w:kern w:val="2"/>
                      <w:sz w:val="21"/>
                      <w:szCs w:val="21"/>
                      <w:lang w:eastAsia="zh-CN"/>
                    </w:rPr>
                    <w:t>本项目</w:t>
                  </w:r>
                  <w:r>
                    <w:rPr>
                      <w:rFonts w:ascii="Times New Roman" w:cs="Times New Roman" w:hAnsi="Times New Roman" w:hint="eastAsia"/>
                      <w:bCs/>
                      <w:color w:val="auto"/>
                      <w:kern w:val="2"/>
                      <w:sz w:val="21"/>
                      <w:szCs w:val="21"/>
                      <w:lang w:val="en-US" w:eastAsia="zh-CN"/>
                    </w:rPr>
                    <w:t>不</w:t>
                  </w:r>
                  <w:r>
                    <w:rPr>
                      <w:rFonts w:ascii="Times New Roman" w:cs="Times New Roman" w:hAnsi="Times New Roman"/>
                      <w:bCs/>
                      <w:color w:val="auto"/>
                      <w:kern w:val="2"/>
                      <w:sz w:val="21"/>
                      <w:szCs w:val="21"/>
                    </w:rPr>
                    <w:t>属于</w:t>
                  </w:r>
                  <w:r>
                    <w:rPr>
                      <w:rFonts w:ascii="Times New Roman" w:cs="Times New Roman" w:hAnsi="Times New Roman"/>
                      <w:bCs/>
                      <w:color w:val="auto"/>
                      <w:sz w:val="21"/>
                      <w:szCs w:val="21"/>
                    </w:rPr>
                    <w:t>依托现有企业入驻的项目</w:t>
                  </w:r>
                  <w:r>
                    <w:rPr>
                      <w:rFonts w:ascii="Times New Roman" w:cs="Times New Roman" w:hAnsi="Times New Roman" w:hint="eastAsia"/>
                      <w:bCs/>
                      <w:color w:val="auto"/>
                      <w:kern w:val="2"/>
                      <w:sz w:val="21"/>
                      <w:szCs w:val="21"/>
                      <w:lang w:eastAsia="zh-CN"/>
                    </w:rPr>
                    <w:t>。</w:t>
                  </w:r>
                </w:p>
              </w:tc>
              <w:tc>
                <w:tcPr>
                  <w:tcW w:w="41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黑体" w:cs="Times New Roman" w:hAnsi="Times New Roman" w:hint="eastAsia"/>
                      <w:bCs/>
                      <w:color w:val="auto"/>
                      <w:kern w:val="2"/>
                      <w:sz w:val="21"/>
                      <w:szCs w:val="21"/>
                      <w:lang w:val="en-US" w:eastAsia="zh-CN" w:bidi="ar-SA"/>
                    </w:rPr>
                  </w:pPr>
                  <w:r>
                    <w:rPr>
                      <w:rFonts w:ascii="Times New Roman" w:eastAsia="黑体" w:cs="Times New Roman" w:hAnsi="Times New Roman"/>
                      <w:bCs/>
                      <w:color w:val="auto"/>
                      <w:sz w:val="21"/>
                      <w:szCs w:val="21"/>
                    </w:rPr>
                    <w:t>2</w:t>
                  </w:r>
                </w:p>
              </w:tc>
              <w:tc>
                <w:tcPr>
                  <w:tcW w:w="393" w:type="pct"/>
                  <w:vMerge w:val="restart"/>
                  <w:tcBorders>
                    <w:tl2br w:val="nil"/>
                    <w:tr2bl w:val="nil"/>
                  </w:tcBorders>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hint="eastAsia"/>
                      <w:bCs/>
                      <w:color w:val="auto"/>
                      <w:kern w:val="0"/>
                      <w:sz w:val="21"/>
                      <w:szCs w:val="21"/>
                      <w:lang w:val="en-US" w:eastAsia="zh-CN" w:bidi="ar-SA"/>
                    </w:rPr>
                  </w:pPr>
                  <w:r>
                    <w:rPr>
                      <w:rFonts w:ascii="Times New Roman" w:cs="Times New Roman" w:hAnsi="Times New Roman"/>
                      <w:bCs/>
                      <w:color w:val="auto"/>
                      <w:kern w:val="2"/>
                      <w:sz w:val="21"/>
                      <w:szCs w:val="21"/>
                    </w:rPr>
                    <w:t>生产规模和工艺技术先进性要求</w:t>
                  </w:r>
                </w:p>
              </w:tc>
              <w:tc>
                <w:tcPr>
                  <w:tcW w:w="1909" w:type="pct"/>
                  <w:tcBorders>
                    <w:tl2br w:val="nil"/>
                    <w:tr2bl w:val="nil"/>
                  </w:tcBorders>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黑体" w:cs="Times New Roman" w:hAnsi="Times New Roman" w:hint="eastAsia"/>
                      <w:bCs/>
                      <w:color w:val="auto"/>
                      <w:kern w:val="0"/>
                      <w:sz w:val="21"/>
                      <w:szCs w:val="21"/>
                      <w:lang w:val="en-US" w:eastAsia="zh-CN" w:bidi="ar-SA"/>
                    </w:rPr>
                  </w:pPr>
                  <w:r>
                    <w:rPr>
                      <w:rFonts w:ascii="Times New Roman" w:cs="Times New Roman" w:hAnsi="Times New Roman"/>
                      <w:bCs/>
                      <w:color w:val="auto"/>
                      <w:kern w:val="2"/>
                      <w:sz w:val="21"/>
                      <w:szCs w:val="21"/>
                    </w:rPr>
                    <w:t>1、在工艺技术水平上，要求入驻项目达到国内同行业领先水平、或具备国际先进水平；</w:t>
                  </w:r>
                </w:p>
              </w:tc>
              <w:tc>
                <w:tcPr>
                  <w:tcW w:w="2036" w:type="pct"/>
                  <w:tcBorders>
                    <w:tl2br w:val="nil"/>
                    <w:tr2bl w:val="nil"/>
                  </w:tcBorders>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bCs/>
                      <w:color w:val="auto"/>
                      <w:kern w:val="2"/>
                      <w:sz w:val="21"/>
                      <w:szCs w:val="21"/>
                    </w:rPr>
                    <w:t>。</w:t>
                  </w:r>
                </w:p>
              </w:tc>
              <w:tc>
                <w:tcPr>
                  <w:tcW w:w="415"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shd w:val="clear" w:color="auto" w:fill="auto"/>
                  <w:vAlign w:val="center"/>
                </w:tcPr>
                <w:p/>
              </w:tc>
              <w:tc>
                <w:tcPr>
                  <w:tcW w:w="393" w:type="pct"/>
                  <w:vMerge/>
                  <w:shd w:val="clear" w:color="auto" w:fill="auto"/>
                  <w:vAlign w:val="center"/>
                </w:tcP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2、建设规模应符合国家相关行业准入条件中的经济、产品规模和生产工艺要求；</w:t>
                  </w:r>
                </w:p>
              </w:tc>
              <w:tc>
                <w:tcPr>
                  <w:tcW w:w="203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sz w:val="21"/>
                      <w:szCs w:val="21"/>
                    </w:rPr>
                    <w:t>本项目无国家相关行业准入条件中的经济、产品规模和生产工艺要求。</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shd w:val="clear" w:color="auto" w:fill="auto"/>
                  <w:vAlign w:val="center"/>
                </w:tcPr>
                <w:p/>
              </w:tc>
              <w:tc>
                <w:tcPr>
                  <w:tcW w:w="393" w:type="pct"/>
                  <w:vMerge/>
                  <w:shd w:val="clear" w:color="auto" w:fill="auto"/>
                  <w:vAlign w:val="center"/>
                </w:tcP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3、环保搬迁入驻企业应进行产品和生产技术的升级改造，达到国家相关规定要求。</w:t>
                  </w:r>
                </w:p>
              </w:tc>
              <w:tc>
                <w:tcPr>
                  <w:tcW w:w="2036"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本项目不属于环保搬迁入驻企业。</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黑体" w:cs="Times New Roman" w:hAnsi="Times New Roman"/>
                      <w:bCs/>
                      <w:color w:val="auto"/>
                      <w:kern w:val="2"/>
                      <w:sz w:val="21"/>
                      <w:szCs w:val="21"/>
                      <w:lang w:val="en-US" w:eastAsia="zh-CN" w:bidi="ar-SA"/>
                    </w:rPr>
                  </w:pPr>
                  <w:r>
                    <w:rPr>
                      <w:rFonts w:ascii="Times New Roman" w:eastAsia="黑体" w:cs="Times New Roman" w:hAnsi="Times New Roman"/>
                      <w:bCs/>
                      <w:color w:val="auto"/>
                      <w:sz w:val="21"/>
                      <w:szCs w:val="21"/>
                    </w:rPr>
                    <w:t>3</w:t>
                  </w:r>
                </w:p>
              </w:tc>
              <w:tc>
                <w:tcPr>
                  <w:tcW w:w="393" w:type="pct"/>
                  <w:vMerge w:val="restar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0"/>
                      <w:sz w:val="21"/>
                      <w:szCs w:val="21"/>
                      <w:lang w:val="en-US" w:eastAsia="zh-CN" w:bidi="ar-SA"/>
                    </w:rPr>
                  </w:pPr>
                  <w:r>
                    <w:rPr>
                      <w:rFonts w:ascii="Times New Roman" w:cs="Times New Roman" w:hAnsi="Times New Roman"/>
                      <w:bCs/>
                      <w:color w:val="auto"/>
                      <w:kern w:val="2"/>
                      <w:sz w:val="21"/>
                      <w:szCs w:val="21"/>
                    </w:rPr>
                    <w:t>污染控制</w:t>
                  </w: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黑体" w:cs="Times New Roman" w:hAnsi="Times New Roman"/>
                      <w:bCs/>
                      <w:color w:val="auto"/>
                      <w:kern w:val="0"/>
                      <w:sz w:val="21"/>
                      <w:szCs w:val="21"/>
                      <w:lang w:val="en-US" w:eastAsia="zh-CN" w:bidi="ar-SA"/>
                    </w:rPr>
                  </w:pPr>
                  <w:r>
                    <w:rPr>
                      <w:rFonts w:ascii="Times New Roman" w:cs="Times New Roman" w:hAnsi="Times New Roman"/>
                      <w:bCs/>
                      <w:color w:val="auto"/>
                      <w:kern w:val="2"/>
                      <w:sz w:val="21"/>
                      <w:szCs w:val="21"/>
                    </w:rPr>
                    <w:t>1、入驻项目不得建设燃煤锅炉，区内燃料优先使用清洁能源，新建、改建燃气锅炉均应配套建设低氮燃烧设备；</w:t>
                  </w:r>
                </w:p>
              </w:tc>
              <w:tc>
                <w:tcPr>
                  <w:tcW w:w="203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bCs/>
                      <w:color w:val="auto"/>
                      <w:sz w:val="21"/>
                      <w:szCs w:val="21"/>
                    </w:rPr>
                    <w:t>。</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shd w:val="clear" w:color="auto" w:fill="auto"/>
                  <w:vAlign w:val="center"/>
                </w:tcPr>
                <w:p/>
              </w:tc>
              <w:tc>
                <w:tcPr>
                  <w:tcW w:w="393" w:type="pct"/>
                  <w:vMerge/>
                  <w:shd w:val="clear" w:color="auto" w:fill="auto"/>
                  <w:vAlign w:val="center"/>
                </w:tcP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2、集聚区内所有废水需经集聚区污水管网排入污水处理厂内集中处理，企业不得私自设置直接排入周围地表水的排放口。</w:t>
                  </w:r>
                </w:p>
              </w:tc>
              <w:tc>
                <w:tcPr>
                  <w:tcW w:w="203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color w:val="auto"/>
                      <w:kern w:val="2"/>
                      <w:sz w:val="21"/>
                      <w:szCs w:val="21"/>
                      <w:lang w:val="en-US" w:eastAsia="zh-CN" w:bidi="ar-SA"/>
                    </w:rPr>
                  </w:pPr>
                  <w:r>
                    <w:rPr>
                      <w:rFonts w:ascii="Times New Roman" w:cs="Times New Roman" w:hAnsi="Times New Roman"/>
                      <w:sz w:val="21"/>
                      <w:szCs w:val="21"/>
                    </w:rPr>
                    <w:t>本项目</w:t>
                  </w:r>
                  <w:r>
                    <w:rPr>
                      <w:rFonts w:ascii="Times New Roman" w:cs="Times New Roman" w:hAnsi="Times New Roman"/>
                      <w:sz w:val="21"/>
                      <w:szCs w:val="21"/>
                      <w:lang w:val="en-US" w:eastAsia="zh-CN"/>
                    </w:rPr>
                    <w:t>生活污水经化粪池处理后由管网排入延津县第二污水处理厂进行处理</w:t>
                  </w:r>
                  <w:r>
                    <w:rPr>
                      <w:rFonts w:ascii="Times New Roman" w:eastAsia="宋体" w:cs="Times New Roman" w:hAnsi="Times New Roman"/>
                      <w:b w:val="0"/>
                      <w:color w:val="auto"/>
                      <w:kern w:val="2"/>
                      <w:sz w:val="21"/>
                      <w:szCs w:val="21"/>
                    </w:rPr>
                    <w:t>。</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黑体" w:cs="Times New Roman" w:hAnsi="Times New Roman"/>
                      <w:bCs/>
                      <w:color w:val="auto"/>
                      <w:kern w:val="2"/>
                      <w:sz w:val="21"/>
                      <w:szCs w:val="21"/>
                      <w:lang w:val="en-US" w:eastAsia="zh-CN" w:bidi="ar-SA"/>
                    </w:rPr>
                  </w:pPr>
                  <w:r>
                    <w:rPr>
                      <w:rFonts w:ascii="Times New Roman" w:eastAsia="黑体" w:cs="Times New Roman" w:hAnsi="Times New Roman"/>
                      <w:bCs/>
                      <w:color w:val="auto"/>
                      <w:sz w:val="21"/>
                      <w:szCs w:val="21"/>
                    </w:rPr>
                    <w:t>4</w:t>
                  </w:r>
                </w:p>
              </w:tc>
              <w:tc>
                <w:tcPr>
                  <w:tcW w:w="393" w:type="pct"/>
                  <w:vMerge w:val="restar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0"/>
                      <w:sz w:val="21"/>
                      <w:szCs w:val="21"/>
                      <w:lang w:val="en-US" w:eastAsia="zh-CN" w:bidi="ar-SA"/>
                    </w:rPr>
                  </w:pPr>
                  <w:r>
                    <w:rPr>
                      <w:rFonts w:ascii="Times New Roman" w:cs="Times New Roman" w:hAnsi="Times New Roman"/>
                      <w:bCs/>
                      <w:color w:val="auto"/>
                      <w:kern w:val="2"/>
                      <w:sz w:val="21"/>
                      <w:szCs w:val="21"/>
                    </w:rPr>
                    <w:t>清洁生产水平</w:t>
                  </w: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黑体" w:cs="Times New Roman" w:hAnsi="Times New Roman"/>
                      <w:bCs/>
                      <w:color w:val="auto"/>
                      <w:kern w:val="0"/>
                      <w:sz w:val="21"/>
                      <w:szCs w:val="21"/>
                      <w:lang w:val="en-US" w:eastAsia="zh-CN" w:bidi="ar-SA"/>
                    </w:rPr>
                  </w:pPr>
                  <w:r>
                    <w:rPr>
                      <w:rFonts w:ascii="Times New Roman" w:cs="Times New Roman" w:hAnsi="Times New Roman"/>
                      <w:bCs/>
                      <w:color w:val="auto"/>
                      <w:kern w:val="2"/>
                      <w:sz w:val="21"/>
                      <w:szCs w:val="21"/>
                    </w:rPr>
                    <w:t>1、应符合国家和行业环境保护标准和清洁生产标准要求；</w:t>
                  </w:r>
                </w:p>
              </w:tc>
              <w:tc>
                <w:tcPr>
                  <w:tcW w:w="203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sz w:val="21"/>
                      <w:szCs w:val="21"/>
                    </w:rPr>
                    <w:t>本项目符合国家和行业环境保护标准和清洁生产标准要求。</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shd w:val="clear" w:color="auto" w:fill="auto"/>
                  <w:vAlign w:val="center"/>
                </w:tcPr>
                <w:p/>
              </w:tc>
              <w:tc>
                <w:tcPr>
                  <w:tcW w:w="393" w:type="pct"/>
                  <w:vMerge/>
                  <w:shd w:val="clear" w:color="auto" w:fill="auto"/>
                  <w:vAlign w:val="center"/>
                </w:tcP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2、入驻项目的单位产品水耗、电耗、综合能耗等清洁生产指标应达到国内相关行业指标要求；</w:t>
                  </w:r>
                </w:p>
              </w:tc>
              <w:tc>
                <w:tcPr>
                  <w:tcW w:w="203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bCs/>
                      <w:color w:val="auto"/>
                      <w:sz w:val="21"/>
                      <w:szCs w:val="21"/>
                    </w:rPr>
                    <w:t>。</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shd w:val="clear" w:color="auto" w:fill="auto"/>
                  <w:vAlign w:val="center"/>
                </w:tcPr>
                <w:p/>
              </w:tc>
              <w:tc>
                <w:tcPr>
                  <w:tcW w:w="393" w:type="pct"/>
                  <w:vMerge/>
                  <w:shd w:val="clear" w:color="auto" w:fill="auto"/>
                  <w:vAlign w:val="center"/>
                </w:tcP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3、入驻企业清洁生产水平应达到国内同行业先进水平或领先水平。</w:t>
                  </w:r>
                </w:p>
              </w:tc>
              <w:tc>
                <w:tcPr>
                  <w:tcW w:w="203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bCs/>
                      <w:color w:val="auto"/>
                      <w:sz w:val="21"/>
                      <w:szCs w:val="21"/>
                    </w:rPr>
                    <w:t>。</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黑体" w:cs="Times New Roman" w:hAnsi="Times New Roman"/>
                      <w:bCs/>
                      <w:color w:val="auto"/>
                      <w:kern w:val="2"/>
                      <w:sz w:val="21"/>
                      <w:szCs w:val="21"/>
                      <w:lang w:val="en-US" w:eastAsia="zh-CN" w:bidi="ar-SA"/>
                    </w:rPr>
                  </w:pPr>
                  <w:r>
                    <w:rPr>
                      <w:rFonts w:ascii="Times New Roman" w:eastAsia="黑体" w:cs="Times New Roman" w:hAnsi="Times New Roman"/>
                      <w:bCs/>
                      <w:color w:val="auto"/>
                      <w:sz w:val="21"/>
                      <w:szCs w:val="21"/>
                    </w:rPr>
                    <w:t>5</w:t>
                  </w:r>
                </w:p>
              </w:tc>
              <w:tc>
                <w:tcPr>
                  <w:tcW w:w="393" w:type="pct"/>
                  <w:vMerge w:val="restar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0"/>
                      <w:sz w:val="21"/>
                      <w:szCs w:val="21"/>
                      <w:lang w:val="en-US" w:eastAsia="zh-CN" w:bidi="ar-SA"/>
                    </w:rPr>
                  </w:pPr>
                  <w:r>
                    <w:rPr>
                      <w:rFonts w:ascii="Times New Roman" w:cs="Times New Roman" w:hAnsi="Times New Roman"/>
                      <w:bCs/>
                      <w:color w:val="auto"/>
                      <w:kern w:val="2"/>
                      <w:sz w:val="21"/>
                      <w:szCs w:val="21"/>
                    </w:rPr>
                    <w:t>总量控制</w:t>
                  </w: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0"/>
                      <w:sz w:val="21"/>
                      <w:szCs w:val="21"/>
                      <w:lang w:val="en-US" w:eastAsia="zh-CN" w:bidi="ar-SA"/>
                    </w:rPr>
                  </w:pPr>
                  <w:r>
                    <w:rPr>
                      <w:rFonts w:ascii="Times New Roman" w:cs="Times New Roman" w:hAnsi="Times New Roman"/>
                      <w:bCs/>
                      <w:color w:val="auto"/>
                      <w:kern w:val="2"/>
                      <w:sz w:val="21"/>
                      <w:szCs w:val="21"/>
                    </w:rPr>
                    <w:t>1、新建项目的污染物排放指标必须满足区域总量要求；</w:t>
                  </w:r>
                </w:p>
              </w:tc>
              <w:tc>
                <w:tcPr>
                  <w:tcW w:w="203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sz w:val="21"/>
                      <w:szCs w:val="21"/>
                    </w:rPr>
                    <w:t>本项目属于</w:t>
                  </w:r>
                  <w:r>
                    <w:rPr>
                      <w:rFonts w:ascii="Times New Roman" w:cs="Times New Roman" w:hAnsi="Times New Roman" w:hint="eastAsia"/>
                      <w:bCs/>
                      <w:color w:val="auto"/>
                      <w:sz w:val="21"/>
                      <w:szCs w:val="21"/>
                      <w:lang w:val="en-US" w:eastAsia="zh-CN"/>
                    </w:rPr>
                    <w:t>新</w:t>
                  </w:r>
                  <w:r>
                    <w:rPr>
                      <w:rFonts w:ascii="Times New Roman" w:cs="Times New Roman" w:hAnsi="Times New Roman" w:hint="eastAsia"/>
                      <w:bCs/>
                      <w:color w:val="auto"/>
                      <w:sz w:val="21"/>
                      <w:szCs w:val="21"/>
                      <w:lang w:eastAsia="zh-CN"/>
                    </w:rPr>
                    <w:t>建</w:t>
                  </w:r>
                  <w:r>
                    <w:rPr>
                      <w:rFonts w:ascii="Times New Roman" w:cs="Times New Roman" w:hAnsi="Times New Roman"/>
                      <w:bCs/>
                      <w:color w:val="auto"/>
                      <w:sz w:val="21"/>
                      <w:szCs w:val="21"/>
                    </w:rPr>
                    <w:t>项目，污染物排放指标满足区域总量要求；</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shd w:val="clear" w:color="auto" w:fill="auto"/>
                  <w:vAlign w:val="center"/>
                </w:tcPr>
                <w:p/>
              </w:tc>
              <w:tc>
                <w:tcPr>
                  <w:tcW w:w="393" w:type="pct"/>
                  <w:vMerge/>
                  <w:shd w:val="clear" w:color="auto" w:fill="auto"/>
                  <w:vAlign w:val="center"/>
                </w:tcP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2</w:t>
                  </w:r>
                  <w:r>
                    <w:rPr>
                      <w:rFonts w:ascii="Times New Roman" w:cs="Times New Roman" w:hAnsi="Times New Roman"/>
                      <w:bCs/>
                      <w:color w:val="auto"/>
                      <w:spacing w:val="-4"/>
                      <w:kern w:val="2"/>
                      <w:sz w:val="21"/>
                      <w:szCs w:val="21"/>
                    </w:rPr>
                    <w:t>、禁止发展无污染治理技术或治理技术在技术经济上不可行的项目。</w:t>
                  </w:r>
                </w:p>
              </w:tc>
              <w:tc>
                <w:tcPr>
                  <w:tcW w:w="203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sz w:val="21"/>
                      <w:szCs w:val="21"/>
                    </w:rPr>
                    <w:t>本项目</w:t>
                  </w:r>
                  <w:r>
                    <w:rPr>
                      <w:rFonts w:ascii="Times New Roman" w:cs="Times New Roman" w:hAnsi="Times New Roman" w:hint="eastAsia"/>
                      <w:sz w:val="21"/>
                      <w:szCs w:val="21"/>
                    </w:rPr>
                    <w:t>采取的污染</w:t>
                  </w:r>
                  <w:r>
                    <w:rPr>
                      <w:rFonts w:ascii="Times New Roman" w:cs="Times New Roman" w:hAnsi="Times New Roman"/>
                      <w:sz w:val="21"/>
                      <w:szCs w:val="21"/>
                    </w:rPr>
                    <w:t>治理技术在技术经济上</w:t>
                  </w:r>
                  <w:r>
                    <w:rPr>
                      <w:rFonts w:ascii="Times New Roman" w:cs="Times New Roman" w:hAnsi="Times New Roman" w:hint="eastAsia"/>
                      <w:sz w:val="21"/>
                      <w:szCs w:val="21"/>
                    </w:rPr>
                    <w:t>均</w:t>
                  </w:r>
                  <w:r>
                    <w:rPr>
                      <w:rFonts w:ascii="Times New Roman" w:cs="Times New Roman" w:hAnsi="Times New Roman"/>
                      <w:sz w:val="21"/>
                      <w:szCs w:val="21"/>
                    </w:rPr>
                    <w:t>可行</w:t>
                  </w:r>
                  <w:r>
                    <w:rPr>
                      <w:rFonts w:ascii="Times New Roman" w:cs="Times New Roman" w:hAnsi="Times New Roman" w:hint="eastAsia"/>
                      <w:sz w:val="21"/>
                      <w:szCs w:val="21"/>
                    </w:rPr>
                    <w:t>。</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黑体" w:cs="Times New Roman" w:hAnsi="Times New Roman"/>
                      <w:bCs/>
                      <w:color w:val="auto"/>
                      <w:kern w:val="2"/>
                      <w:sz w:val="21"/>
                      <w:szCs w:val="21"/>
                      <w:lang w:val="en-US" w:eastAsia="zh-CN" w:bidi="ar-SA"/>
                    </w:rPr>
                  </w:pPr>
                  <w:r>
                    <w:rPr>
                      <w:rFonts w:ascii="Times New Roman" w:eastAsia="黑体" w:cs="Times New Roman" w:hAnsi="Times New Roman"/>
                      <w:bCs/>
                      <w:color w:val="auto"/>
                      <w:sz w:val="21"/>
                      <w:szCs w:val="21"/>
                    </w:rPr>
                    <w:t>6</w:t>
                  </w:r>
                </w:p>
              </w:tc>
              <w:tc>
                <w:tcPr>
                  <w:tcW w:w="393" w:type="pct"/>
                  <w:vMerge w:val="restar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0"/>
                      <w:sz w:val="21"/>
                      <w:szCs w:val="21"/>
                      <w:lang w:val="en-US" w:eastAsia="zh-CN" w:bidi="ar-SA"/>
                    </w:rPr>
                  </w:pPr>
                  <w:r>
                    <w:rPr>
                      <w:rFonts w:ascii="Times New Roman" w:cs="Times New Roman" w:hAnsi="Times New Roman"/>
                      <w:bCs/>
                      <w:color w:val="auto"/>
                      <w:kern w:val="2"/>
                      <w:sz w:val="21"/>
                      <w:szCs w:val="21"/>
                    </w:rPr>
                    <w:t>鼓励项目</w:t>
                  </w: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0"/>
                      <w:sz w:val="21"/>
                      <w:szCs w:val="21"/>
                      <w:lang w:val="en-US" w:eastAsia="zh-CN" w:bidi="ar-SA"/>
                    </w:rPr>
                  </w:pPr>
                  <w:r>
                    <w:rPr>
                      <w:rFonts w:ascii="Times New Roman" w:cs="Times New Roman" w:hAnsi="Times New Roman"/>
                      <w:bCs/>
                      <w:color w:val="auto"/>
                      <w:kern w:val="2"/>
                      <w:sz w:val="21"/>
                      <w:szCs w:val="21"/>
                    </w:rPr>
                    <w:t>1、鼓励符合集聚区主导产业要求及延津县静脉产业园区规划布置的项目入驻；</w:t>
                  </w:r>
                </w:p>
              </w:tc>
              <w:tc>
                <w:tcPr>
                  <w:tcW w:w="203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sz w:val="21"/>
                      <w:szCs w:val="21"/>
                    </w:rPr>
                    <w:t>项目</w:t>
                  </w:r>
                  <w:r>
                    <w:rPr>
                      <w:rFonts w:ascii="Times New Roman" w:cs="Times New Roman" w:hAnsi="Times New Roman"/>
                      <w:bCs/>
                      <w:color w:val="auto"/>
                      <w:sz w:val="21"/>
                      <w:szCs w:val="21"/>
                      <w:lang w:val="en-US" w:eastAsia="zh-CN"/>
                    </w:rPr>
                    <w:t>为加油站，</w:t>
                  </w:r>
                  <w:r>
                    <w:rPr>
                      <w:rFonts w:ascii="Times New Roman" w:cs="Times New Roman" w:hAnsi="Times New Roman"/>
                      <w:bCs/>
                      <w:color w:val="auto"/>
                      <w:sz w:val="21"/>
                      <w:szCs w:val="21"/>
                    </w:rPr>
                    <w:t>属于</w:t>
                  </w:r>
                  <w:r>
                    <w:rPr>
                      <w:rFonts w:ascii="Times New Roman" w:cs="Times New Roman" w:hAnsi="Times New Roman"/>
                      <w:bCs/>
                      <w:color w:val="auto"/>
                      <w:sz w:val="21"/>
                      <w:szCs w:val="21"/>
                      <w:lang w:eastAsia="zh-CN"/>
                    </w:rPr>
                    <w:t>社会事业与服务业</w:t>
                  </w:r>
                  <w:r>
                    <w:rPr>
                      <w:rFonts w:ascii="Times New Roman" w:cs="Times New Roman" w:hAnsi="Times New Roman"/>
                      <w:bCs/>
                      <w:color w:val="auto"/>
                      <w:sz w:val="21"/>
                      <w:szCs w:val="21"/>
                      <w:lang w:val="en-US" w:eastAsia="zh-CN"/>
                    </w:rPr>
                    <w:t>，为园区车辆配套服务</w:t>
                  </w:r>
                  <w:r>
                    <w:rPr>
                      <w:rFonts w:ascii="Times New Roman" w:cs="Times New Roman" w:hAnsi="Times New Roman"/>
                      <w:bCs/>
                      <w:color w:val="auto"/>
                      <w:sz w:val="21"/>
                      <w:szCs w:val="21"/>
                    </w:rPr>
                    <w:t>。</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shd w:val="clear" w:color="auto" w:fill="auto"/>
                  <w:vAlign w:val="center"/>
                </w:tcPr>
                <w:p/>
              </w:tc>
              <w:tc>
                <w:tcPr>
                  <w:tcW w:w="393" w:type="pct"/>
                  <w:vMerge/>
                  <w:shd w:val="clear" w:color="auto" w:fill="auto"/>
                  <w:vAlign w:val="center"/>
                </w:tcP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2、鼓励高新技术产业、市政基础设施、资源综合利用、有利于节能减排的技术改造项目入驻；</w:t>
                  </w:r>
                </w:p>
              </w:tc>
              <w:tc>
                <w:tcPr>
                  <w:tcW w:w="2036"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sz w:val="21"/>
                      <w:szCs w:val="21"/>
                      <w:lang w:eastAsia="zh-CN"/>
                    </w:rPr>
                    <w:t>社会事业与服务业</w:t>
                  </w:r>
                  <w:r>
                    <w:rPr>
                      <w:rFonts w:ascii="Times New Roman" w:cs="Times New Roman" w:hAnsi="Times New Roman"/>
                      <w:sz w:val="21"/>
                      <w:szCs w:val="21"/>
                      <w:lang w:val="en-US" w:eastAsia="zh-CN"/>
                    </w:rPr>
                    <w:t>，为园区车辆配套服务</w:t>
                  </w:r>
                  <w:r>
                    <w:rPr>
                      <w:rFonts w:ascii="Times New Roman" w:cs="Times New Roman" w:hAnsi="Times New Roman"/>
                      <w:color w:val="auto"/>
                      <w:sz w:val="21"/>
                      <w:szCs w:val="21"/>
                    </w:rPr>
                    <w:t>。</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shd w:val="clear" w:color="auto" w:fill="auto"/>
                  <w:vAlign w:val="center"/>
                </w:tcPr>
                <w:p/>
              </w:tc>
              <w:tc>
                <w:tcPr>
                  <w:tcW w:w="393" w:type="pct"/>
                  <w:vMerge/>
                  <w:shd w:val="clear" w:color="auto" w:fill="auto"/>
                  <w:vAlign w:val="center"/>
                </w:tcP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3、鼓励集聚区主导产业的配套上下链条产业及配套项目入驻；</w:t>
                  </w:r>
                </w:p>
              </w:tc>
              <w:tc>
                <w:tcPr>
                  <w:tcW w:w="2036"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color w:val="auto"/>
                      <w:sz w:val="21"/>
                      <w:szCs w:val="21"/>
                      <w:lang w:eastAsia="zh-CN"/>
                      <w:highlight w:val="none"/>
                    </w:rPr>
                    <w:t>，</w:t>
                  </w:r>
                  <w:r>
                    <w:rPr>
                      <w:rFonts w:ascii="Times New Roman" w:cs="Times New Roman" w:hAnsi="Times New Roman"/>
                      <w:sz w:val="21"/>
                      <w:szCs w:val="21"/>
                      <w:lang w:val="en-US" w:eastAsia="zh-CN"/>
                    </w:rPr>
                    <w:t>为园区车辆配套服务</w:t>
                  </w:r>
                  <w:r>
                    <w:rPr>
                      <w:rFonts w:ascii="Times New Roman" w:cs="Times New Roman" w:hAnsi="Times New Roman"/>
                      <w:color w:val="auto"/>
                      <w:sz w:val="21"/>
                      <w:szCs w:val="21"/>
                    </w:rPr>
                    <w:t>。</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244" w:type="pct"/>
                  <w:vMerge/>
                  <w:shd w:val="clear" w:color="auto" w:fill="auto"/>
                  <w:vAlign w:val="center"/>
                </w:tcPr>
                <w:p/>
              </w:tc>
              <w:tc>
                <w:tcPr>
                  <w:tcW w:w="393" w:type="pct"/>
                  <w:vMerge/>
                  <w:shd w:val="clear" w:color="auto" w:fill="auto"/>
                  <w:vAlign w:val="center"/>
                </w:tcPr>
                <w:p/>
              </w:tc>
              <w:tc>
                <w:tcPr>
                  <w:tcW w:w="1909"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kern w:val="2"/>
                      <w:sz w:val="21"/>
                      <w:szCs w:val="21"/>
                    </w:rPr>
                    <w:t>4、积极引进水资源消耗量小、排污量小、附加值高的符合循环经济导向的相关产业入驻。</w:t>
                  </w:r>
                </w:p>
              </w:tc>
              <w:tc>
                <w:tcPr>
                  <w:tcW w:w="2036" w:type="pc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firstLine="0"/>
                    <w:jc w:val="center"/>
                    <w:textAlignment w:val="auto"/>
                    <w:outlineLvl w:val="9"/>
                    <w:rPr>
                      <w:rFonts w:ascii="Times New Roman" w:eastAsia="宋体" w:cs="Times New Roman" w:hAnsi="Times New Roman"/>
                      <w:bCs/>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color w:val="auto"/>
                      <w:sz w:val="21"/>
                      <w:szCs w:val="21"/>
                      <w:lang w:eastAsia="zh-CN"/>
                      <w:highlight w:val="none"/>
                    </w:rPr>
                    <w:t>，</w:t>
                  </w:r>
                  <w:r>
                    <w:rPr>
                      <w:rFonts w:ascii="Times New Roman" w:cs="Times New Roman" w:hAnsi="Times New Roman"/>
                      <w:sz w:val="21"/>
                      <w:szCs w:val="21"/>
                      <w:lang w:val="en-US" w:eastAsia="zh-CN"/>
                    </w:rPr>
                    <w:t>为园区车辆配套服务</w:t>
                  </w:r>
                  <w:r>
                    <w:rPr>
                      <w:rFonts w:ascii="Times New Roman" w:cs="Times New Roman" w:hAnsi="Times New Roman"/>
                      <w:bCs/>
                      <w:color w:val="auto"/>
                      <w:kern w:val="2"/>
                      <w:sz w:val="21"/>
                      <w:szCs w:val="21"/>
                    </w:rPr>
                    <w:t>。</w:t>
                  </w:r>
                </w:p>
              </w:tc>
              <w:tc>
                <w:tcPr>
                  <w:tcW w:w="415" w:type="pct"/>
                  <w:vAlign w:val="center"/>
                </w:tcPr>
                <w:p>
                  <w:pPr>
                    <w:keepNext w:val="0"/>
                    <w:keepLines w:val="0"/>
                    <w:suppressLineNumbers w:val="0"/>
                    <w:spacing w:before="0" w:beforeAutospacing="0" w:after="0" w:afterAutospacing="0" w:line="240" w:lineRule="auto"/>
                    <w:ind w:left="0" w:right="0" w:firstLine="0"/>
                    <w:jc w:val="center"/>
                    <w:rPr>
                      <w:rFonts w:cs="Times New Roman"/>
                      <w:sz w:val="21"/>
                      <w:szCs w:val="21"/>
                    </w:rPr>
                  </w:pPr>
                  <w:r>
                    <w:rPr>
                      <w:rFonts w:ascii="Times New Roman" w:cs="Times New Roman" w:hAnsi="Times New Roman" w:hint="eastAsia"/>
                      <w:sz w:val="21"/>
                      <w:szCs w:val="21"/>
                    </w:rPr>
                    <w:t>符合</w:t>
                  </w:r>
                </w:p>
              </w:tc>
            </w:tr>
          </w:tbl>
          <w:p>
            <w:pPr>
              <w:keepNext w:val="0"/>
              <w:keepLines w:val="0"/>
              <w:suppressLineNumbers w:val="0"/>
              <w:autoSpaceDE w:val="0"/>
              <w:autoSpaceDN w:val="0"/>
              <w:adjustRightInd w:val="0"/>
              <w:snapToGrid w:val="0"/>
              <w:spacing w:before="0" w:beforeAutospacing="0" w:after="0" w:afterAutospacing="0" w:line="460" w:lineRule="exact"/>
              <w:ind w:left="0" w:right="0" w:firstLineChars="200" w:firstLine="480"/>
              <w:rPr>
                <w:sz w:val="24"/>
              </w:rPr>
            </w:pPr>
            <w:r>
              <w:rPr>
                <w:rFonts w:ascii="Times New Roman" w:cs="Times New Roman" w:hAnsi="Times New Roman"/>
                <w:sz w:val="24"/>
                <w:szCs w:val="20"/>
              </w:rPr>
              <w:t>由上表可知，本项目符合</w:t>
            </w:r>
            <w:r>
              <w:rPr>
                <w:rFonts w:ascii="Times New Roman" w:cs="Times New Roman" w:hAnsi="Times New Roman"/>
                <w:kern w:val="0"/>
                <w:sz w:val="24"/>
                <w:szCs w:val="20"/>
              </w:rPr>
              <w:t>《延津县产业集聚区北区发展规划（2013-2020）环境影响跟踪评价报告书》中准入条件要求</w:t>
            </w:r>
            <w:r>
              <w:rPr>
                <w:rFonts w:ascii="Times New Roman" w:cs="Times New Roman" w:hAnsi="Times New Roman"/>
                <w:sz w:val="24"/>
                <w:szCs w:val="20"/>
              </w:rPr>
              <w:t>。</w:t>
            </w:r>
          </w:p>
          <w:p>
            <w:pPr>
              <w:keepNext w:val="0"/>
              <w:keepLines w:val="0"/>
              <w:suppressLineNumbers w:val="0"/>
              <w:autoSpaceDE w:val="0"/>
              <w:autoSpaceDN w:val="0"/>
              <w:adjustRightInd w:val="0"/>
              <w:snapToGrid w:val="0"/>
              <w:spacing w:before="0" w:beforeAutospacing="0" w:after="0" w:afterAutospacing="0" w:line="460" w:lineRule="exact"/>
              <w:ind w:left="0" w:right="0" w:firstLineChars="200" w:firstLine="480"/>
              <w:rPr>
                <w:rFonts w:ascii="宋体" w:cs="宋体" w:hAnsi="宋体"/>
                <w:b/>
                <w:bCs/>
                <w:kern w:val="0"/>
                <w:sz w:val="24"/>
              </w:rPr>
            </w:pPr>
            <w:r>
              <w:rPr>
                <w:rFonts w:ascii="Times New Roman" w:cs="Times New Roman" w:hAnsi="Times New Roman" w:hint="eastAsia"/>
                <w:b/>
                <w:bCs/>
                <w:sz w:val="24"/>
                <w:szCs w:val="20"/>
              </w:rPr>
              <w:t>4、本项目与《延津县产业集聚区北区发展规划（2013-2020）环境影响跟踪评价报告书》的负面清单对照分析</w:t>
            </w:r>
          </w:p>
          <w:p>
            <w:pPr>
              <w:keepNext w:val="0"/>
              <w:keepLines w:val="0"/>
              <w:suppressLineNumbers w:val="0"/>
              <w:spacing w:before="0" w:beforeAutospacing="0" w:after="0" w:afterAutospacing="0" w:line="460" w:lineRule="exact"/>
              <w:ind w:left="0" w:right="0" w:firstLineChars="200" w:firstLine="480"/>
              <w:rPr>
                <w:sz w:val="24"/>
              </w:rPr>
            </w:pPr>
            <w:r>
              <w:rPr>
                <w:rFonts w:ascii="Times New Roman" w:cs="Times New Roman" w:hAnsi="Times New Roman" w:hint="eastAsia"/>
                <w:sz w:val="24"/>
                <w:szCs w:val="20"/>
              </w:rPr>
              <w:t>本项目与《延津县产业集聚区北区发展规划（2013-2020）环境影响跟踪评价报告书》中负面清单对照分析见下表。</w:t>
            </w: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本项目与负面清单对照分析一览表</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342"/>
              <w:gridCol w:w="341"/>
              <w:gridCol w:w="3288"/>
              <w:gridCol w:w="3240"/>
              <w:gridCol w:w="980"/>
            </w:tblGrid>
            <w:tr>
              <w:trPr>
                <w:trHeight w:val="397"/>
              </w:trPr>
              <w:tc>
                <w:tcPr>
                  <w:tcW w:w="20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val="0"/>
                      <w:color w:val="auto"/>
                      <w:kern w:val="2"/>
                      <w:sz w:val="21"/>
                      <w:szCs w:val="21"/>
                      <w:lang w:val="en-US" w:eastAsia="zh-CN" w:bidi="ar-SA"/>
                    </w:rPr>
                  </w:pPr>
                  <w:r>
                    <w:rPr>
                      <w:rFonts w:ascii="Times New Roman" w:cs="Times New Roman" w:hAnsi="Times New Roman"/>
                      <w:b/>
                      <w:bCs w:val="0"/>
                      <w:color w:val="auto"/>
                      <w:sz w:val="21"/>
                      <w:szCs w:val="21"/>
                    </w:rPr>
                    <w:t>序号</w:t>
                  </w:r>
                </w:p>
              </w:tc>
              <w:tc>
                <w:tcPr>
                  <w:tcW w:w="20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val="0"/>
                      <w:color w:val="auto"/>
                      <w:kern w:val="2"/>
                      <w:sz w:val="21"/>
                      <w:szCs w:val="21"/>
                      <w:lang w:val="en-US" w:eastAsia="zh-CN" w:bidi="ar-SA"/>
                    </w:rPr>
                  </w:pPr>
                  <w:r>
                    <w:rPr>
                      <w:rFonts w:ascii="Times New Roman" w:cs="Times New Roman" w:hAnsi="Times New Roman"/>
                      <w:b/>
                      <w:bCs w:val="0"/>
                      <w:color w:val="auto"/>
                      <w:sz w:val="21"/>
                      <w:szCs w:val="21"/>
                    </w:rPr>
                    <w:t>分类</w:t>
                  </w:r>
                </w:p>
              </w:tc>
              <w:tc>
                <w:tcPr>
                  <w:tcW w:w="200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val="0"/>
                      <w:color w:val="auto"/>
                      <w:kern w:val="2"/>
                      <w:sz w:val="21"/>
                      <w:szCs w:val="21"/>
                      <w:lang w:val="en-US" w:eastAsia="zh-CN" w:bidi="ar-SA"/>
                    </w:rPr>
                  </w:pPr>
                  <w:r>
                    <w:rPr>
                      <w:rFonts w:ascii="Times New Roman" w:cs="Times New Roman" w:hAnsi="Times New Roman"/>
                      <w:b/>
                      <w:bCs w:val="0"/>
                      <w:color w:val="auto"/>
                      <w:sz w:val="21"/>
                      <w:szCs w:val="21"/>
                    </w:rPr>
                    <w:t>园区后续发展的负面清单</w:t>
                  </w:r>
                </w:p>
              </w:tc>
              <w:tc>
                <w:tcPr>
                  <w:tcW w:w="197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val="0"/>
                      <w:color w:val="auto"/>
                      <w:kern w:val="2"/>
                      <w:sz w:val="21"/>
                      <w:szCs w:val="21"/>
                      <w:lang w:val="en-US" w:eastAsia="zh-CN" w:bidi="ar-SA"/>
                    </w:rPr>
                  </w:pPr>
                  <w:r>
                    <w:rPr>
                      <w:rFonts w:ascii="Times New Roman" w:cs="Times New Roman" w:hAnsi="Times New Roman"/>
                      <w:b/>
                      <w:bCs w:val="0"/>
                      <w:color w:val="auto"/>
                      <w:sz w:val="21"/>
                      <w:szCs w:val="21"/>
                    </w:rPr>
                    <w:t>本项目情况</w:t>
                  </w:r>
                </w:p>
              </w:tc>
              <w:tc>
                <w:tcPr>
                  <w:tcW w:w="59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hint="eastAsia"/>
                      <w:b/>
                      <w:bCs/>
                      <w:sz w:val="21"/>
                      <w:szCs w:val="21"/>
                    </w:rPr>
                    <w:t>相符性</w:t>
                  </w:r>
                </w:p>
              </w:tc>
            </w:tr>
            <w:tr>
              <w:trPr>
                <w:trHeight w:val="397"/>
              </w:trPr>
              <w:tc>
                <w:tcPr>
                  <w:tcW w:w="209"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1</w:t>
                  </w:r>
                </w:p>
              </w:tc>
              <w:tc>
                <w:tcPr>
                  <w:tcW w:w="208"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禁止类</w:t>
                  </w:r>
                </w:p>
              </w:tc>
              <w:tc>
                <w:tcPr>
                  <w:tcW w:w="2006" w:type="pct"/>
                  <w:tcBorders>
                    <w:tl2br w:val="nil"/>
                    <w:tr2bl w:val="nil"/>
                  </w:tcBorders>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jc w:val="center"/>
                    <w:textAlignment w:val="auto"/>
                    <w:rPr>
                      <w:rFonts w:ascii="Times New Roman" w:eastAsia="宋体" w:cs="Times New Roman" w:hAnsi="Times New Roman" w:hint="eastAsia"/>
                      <w:bCs/>
                      <w:color w:val="auto"/>
                      <w:kern w:val="0"/>
                      <w:sz w:val="21"/>
                      <w:szCs w:val="21"/>
                      <w:lang w:val="en-US" w:eastAsia="zh-CN" w:bidi="ar-SA"/>
                    </w:rPr>
                  </w:pPr>
                  <w:r>
                    <w:rPr>
                      <w:rFonts w:ascii="Times New Roman" w:cs="Times New Roman" w:hAnsi="Times New Roman"/>
                      <w:color w:val="auto"/>
                      <w:kern w:val="2"/>
                      <w:sz w:val="21"/>
                      <w:szCs w:val="21"/>
                    </w:rPr>
                    <w:t>产业结构调整指导目录（2011年本）》（2013年修正）中落后生产工艺装备、落后产品生产项目</w:t>
                  </w:r>
                  <w:r>
                    <w:rPr>
                      <w:rFonts w:ascii="Times New Roman" w:cs="Times New Roman" w:hAnsi="Times New Roman" w:hint="eastAsia"/>
                      <w:color w:val="auto"/>
                      <w:kern w:val="2"/>
                      <w:sz w:val="21"/>
                      <w:szCs w:val="21"/>
                      <w:lang w:eastAsia="zh-CN"/>
                    </w:rPr>
                    <w:t>；</w:t>
                  </w:r>
                </w:p>
              </w:tc>
              <w:tc>
                <w:tcPr>
                  <w:tcW w:w="197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color w:val="auto"/>
                      <w:spacing w:val="-4"/>
                      <w:sz w:val="21"/>
                      <w:szCs w:val="21"/>
                    </w:rPr>
                    <w:t>根据《产业结构调整指导目录》（</w:t>
                  </w:r>
                  <w:r>
                    <w:rPr>
                      <w:rFonts w:ascii="Times New Roman" w:cs="Times New Roman" w:hAnsi="Times New Roman" w:hint="eastAsia"/>
                      <w:color w:val="auto"/>
                      <w:spacing w:val="-4"/>
                      <w:sz w:val="21"/>
                      <w:szCs w:val="21"/>
                      <w:lang w:val="en-US" w:eastAsia="zh-CN"/>
                    </w:rPr>
                    <w:t>2024</w:t>
                  </w:r>
                  <w:r>
                    <w:rPr>
                      <w:rFonts w:ascii="Times New Roman" w:cs="Times New Roman" w:hAnsi="Times New Roman"/>
                      <w:color w:val="auto"/>
                      <w:spacing w:val="-4"/>
                      <w:sz w:val="21"/>
                      <w:szCs w:val="21"/>
                    </w:rPr>
                    <w:t>年本）</w:t>
                  </w:r>
                  <w:r>
                    <w:rPr>
                      <w:rFonts w:ascii="Times New Roman" w:cs="Times New Roman" w:hAnsi="Times New Roman"/>
                      <w:color w:val="auto"/>
                      <w:sz w:val="21"/>
                      <w:szCs w:val="21"/>
                    </w:rPr>
                    <w:t>，本项目不属于淘汰和限制类工业企业，属于允许类。</w:t>
                  </w:r>
                </w:p>
              </w:tc>
              <w:tc>
                <w:tcPr>
                  <w:tcW w:w="59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tcBorders>
                    <w:tl2br w:val="nil"/>
                    <w:tr2bl w:val="nil"/>
                  </w:tcBorders>
                  <w:shd w:val="clear" w:color="auto" w:fill="auto"/>
                  <w:vAlign w:val="center"/>
                </w:tcPr>
                <w:p/>
              </w:tc>
              <w:tc>
                <w:tcPr>
                  <w:tcW w:w="208" w:type="pct"/>
                  <w:vMerge/>
                  <w:tcBorders>
                    <w:tl2br w:val="nil"/>
                    <w:tr2bl w:val="nil"/>
                  </w:tcBorders>
                  <w:shd w:val="clear" w:color="auto" w:fill="auto"/>
                  <w:vAlign w:val="center"/>
                </w:tcPr>
                <w:p/>
              </w:tc>
              <w:tc>
                <w:tcPr>
                  <w:tcW w:w="200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color w:val="auto"/>
                      <w:sz w:val="21"/>
                      <w:szCs w:val="21"/>
                    </w:rPr>
                    <w:t>废水含难降解的有机污染物、“三致“污染物及盐分含量较高的项目</w:t>
                  </w:r>
                  <w:r>
                    <w:rPr>
                      <w:rFonts w:ascii="Times New Roman" w:cs="Times New Roman" w:hAnsi="Times New Roman" w:hint="eastAsia"/>
                      <w:color w:val="auto"/>
                      <w:sz w:val="21"/>
                      <w:szCs w:val="21"/>
                      <w:lang w:eastAsia="zh-CN"/>
                    </w:rPr>
                    <w:t>；</w:t>
                  </w:r>
                </w:p>
              </w:tc>
              <w:tc>
                <w:tcPr>
                  <w:tcW w:w="197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本项目废水主要为生活污水</w:t>
                  </w:r>
                  <w:r>
                    <w:rPr>
                      <w:rFonts w:ascii="Times New Roman" w:cs="Times New Roman" w:hAnsi="Times New Roman" w:hint="eastAsia"/>
                      <w:bCs/>
                      <w:color w:val="auto"/>
                      <w:sz w:val="21"/>
                      <w:szCs w:val="21"/>
                      <w:lang w:val="en-US" w:eastAsia="zh-CN"/>
                    </w:rPr>
                    <w:t>，</w:t>
                  </w:r>
                  <w:r>
                    <w:rPr>
                      <w:rFonts w:ascii="Times New Roman" w:cs="Times New Roman" w:hAnsi="Times New Roman"/>
                      <w:bCs/>
                      <w:color w:val="auto"/>
                      <w:sz w:val="21"/>
                      <w:szCs w:val="21"/>
                    </w:rPr>
                    <w:t>成分简单，不</w:t>
                  </w:r>
                  <w:r>
                    <w:rPr>
                      <w:rFonts w:ascii="Times New Roman" w:cs="Times New Roman" w:hAnsi="Times New Roman"/>
                      <w:color w:val="auto"/>
                      <w:sz w:val="21"/>
                      <w:szCs w:val="21"/>
                    </w:rPr>
                    <w:t>含难降解的有机污染物、“三致“污染物</w:t>
                  </w:r>
                  <w:r>
                    <w:rPr>
                      <w:rFonts w:ascii="Times New Roman" w:cs="Times New Roman" w:hAnsi="Times New Roman" w:hint="eastAsia"/>
                      <w:color w:val="auto"/>
                      <w:sz w:val="21"/>
                      <w:szCs w:val="21"/>
                      <w:lang w:eastAsia="zh-CN"/>
                    </w:rPr>
                    <w:t>。</w:t>
                  </w:r>
                </w:p>
              </w:tc>
              <w:tc>
                <w:tcPr>
                  <w:tcW w:w="59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tcBorders>
                    <w:tl2br w:val="nil"/>
                    <w:tr2bl w:val="nil"/>
                  </w:tcBorders>
                  <w:shd w:val="clear" w:color="auto" w:fill="auto"/>
                  <w:vAlign w:val="center"/>
                </w:tcPr>
                <w:p/>
              </w:tc>
              <w:tc>
                <w:tcPr>
                  <w:tcW w:w="208" w:type="pct"/>
                  <w:vMerge/>
                  <w:tcBorders>
                    <w:tl2br w:val="nil"/>
                    <w:tr2bl w:val="nil"/>
                  </w:tcBorders>
                  <w:shd w:val="clear" w:color="auto" w:fill="auto"/>
                  <w:vAlign w:val="center"/>
                </w:tcPr>
                <w:p/>
              </w:tc>
              <w:tc>
                <w:tcPr>
                  <w:tcW w:w="2006" w:type="pct"/>
                  <w:tcBorders>
                    <w:tl2br w:val="nil"/>
                    <w:tr2bl w:val="nil"/>
                  </w:tcBorders>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jc w:val="center"/>
                    <w:textAlignment w:val="auto"/>
                    <w:rPr>
                      <w:rFonts w:ascii="Times New Roman" w:eastAsia="宋体" w:cs="Times New Roman" w:hAnsi="Times New Roman" w:hint="eastAsia"/>
                      <w:bCs/>
                      <w:color w:val="auto"/>
                      <w:kern w:val="0"/>
                      <w:sz w:val="21"/>
                      <w:szCs w:val="21"/>
                      <w:lang w:val="en-US" w:eastAsia="zh-CN" w:bidi="ar-SA"/>
                    </w:rPr>
                  </w:pPr>
                  <w:r>
                    <w:rPr>
                      <w:rFonts w:ascii="Times New Roman" w:cs="Times New Roman" w:hAnsi="Times New Roman"/>
                      <w:color w:val="auto"/>
                      <w:kern w:val="2"/>
                      <w:sz w:val="21"/>
                      <w:szCs w:val="21"/>
                    </w:rPr>
                    <w:t>废水经过预处理达不到污水处理厂接管标准的项目</w:t>
                  </w:r>
                  <w:r>
                    <w:rPr>
                      <w:rFonts w:ascii="Times New Roman" w:cs="Times New Roman" w:hAnsi="Times New Roman" w:hint="eastAsia"/>
                      <w:color w:val="auto"/>
                      <w:kern w:val="2"/>
                      <w:sz w:val="21"/>
                      <w:szCs w:val="21"/>
                      <w:lang w:eastAsia="zh-CN"/>
                    </w:rPr>
                    <w:t>；</w:t>
                  </w:r>
                </w:p>
              </w:tc>
              <w:tc>
                <w:tcPr>
                  <w:tcW w:w="197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本项目废水经处理后能够达到延津县第二污水处理厂</w:t>
                  </w:r>
                  <w:r>
                    <w:rPr>
                      <w:rFonts w:ascii="Times New Roman" w:cs="Times New Roman" w:hAnsi="Times New Roman"/>
                      <w:color w:val="auto"/>
                      <w:sz w:val="21"/>
                      <w:szCs w:val="21"/>
                    </w:rPr>
                    <w:t>接管标准</w:t>
                  </w:r>
                  <w:r>
                    <w:rPr>
                      <w:rFonts w:ascii="Times New Roman" w:cs="Times New Roman" w:hAnsi="Times New Roman" w:hint="eastAsia"/>
                      <w:color w:val="auto"/>
                      <w:sz w:val="21"/>
                      <w:szCs w:val="21"/>
                      <w:lang w:eastAsia="zh-CN"/>
                    </w:rPr>
                    <w:t>。</w:t>
                  </w:r>
                </w:p>
              </w:tc>
              <w:tc>
                <w:tcPr>
                  <w:tcW w:w="59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tcBorders>
                    <w:tl2br w:val="nil"/>
                    <w:tr2bl w:val="nil"/>
                  </w:tcBorders>
                  <w:shd w:val="clear" w:color="auto" w:fill="auto"/>
                  <w:vAlign w:val="center"/>
                </w:tcPr>
                <w:p/>
              </w:tc>
              <w:tc>
                <w:tcPr>
                  <w:tcW w:w="208" w:type="pct"/>
                  <w:vMerge/>
                  <w:tcBorders>
                    <w:tl2br w:val="nil"/>
                    <w:tr2bl w:val="nil"/>
                  </w:tcBorders>
                  <w:shd w:val="clear" w:color="auto" w:fill="auto"/>
                  <w:vAlign w:val="center"/>
                </w:tcPr>
                <w:p/>
              </w:tc>
              <w:tc>
                <w:tcPr>
                  <w:tcW w:w="200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color w:val="auto"/>
                      <w:sz w:val="21"/>
                      <w:szCs w:val="21"/>
                    </w:rPr>
                    <w:t>工业废气中含有难处理的、有毒有害物质的项目</w:t>
                  </w:r>
                  <w:r>
                    <w:rPr>
                      <w:rFonts w:ascii="Times New Roman" w:cs="Times New Roman" w:hAnsi="Times New Roman" w:hint="eastAsia"/>
                      <w:color w:val="auto"/>
                      <w:sz w:val="21"/>
                      <w:szCs w:val="21"/>
                      <w:lang w:eastAsia="zh-CN"/>
                    </w:rPr>
                    <w:t>；</w:t>
                  </w:r>
                </w:p>
              </w:tc>
              <w:tc>
                <w:tcPr>
                  <w:tcW w:w="197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本项目废气主要为</w:t>
                  </w:r>
                  <w:r>
                    <w:rPr>
                      <w:rFonts w:ascii="Times New Roman" w:cs="Times New Roman" w:hAnsi="Times New Roman" w:hint="eastAsia"/>
                      <w:bCs/>
                      <w:color w:val="auto"/>
                      <w:sz w:val="21"/>
                      <w:szCs w:val="21"/>
                      <w:lang w:val="en-US" w:eastAsia="zh-CN"/>
                    </w:rPr>
                    <w:t>非甲烷总烃</w:t>
                  </w:r>
                  <w:r>
                    <w:rPr>
                      <w:rFonts w:ascii="Times New Roman" w:cs="Times New Roman" w:hAnsi="Times New Roman"/>
                      <w:bCs/>
                      <w:color w:val="auto"/>
                      <w:sz w:val="21"/>
                      <w:szCs w:val="21"/>
                    </w:rPr>
                    <w:t>，不含</w:t>
                  </w:r>
                  <w:r>
                    <w:rPr>
                      <w:rFonts w:ascii="Times New Roman" w:cs="Times New Roman" w:hAnsi="Times New Roman"/>
                      <w:color w:val="auto"/>
                      <w:sz w:val="21"/>
                      <w:szCs w:val="21"/>
                    </w:rPr>
                    <w:t>有难处理的、有毒有害物质</w:t>
                  </w:r>
                  <w:r>
                    <w:rPr>
                      <w:rFonts w:ascii="Times New Roman" w:cs="Times New Roman" w:hAnsi="Times New Roman" w:hint="eastAsia"/>
                      <w:color w:val="auto"/>
                      <w:sz w:val="21"/>
                      <w:szCs w:val="21"/>
                      <w:lang w:eastAsia="zh-CN"/>
                    </w:rPr>
                    <w:t>。</w:t>
                  </w:r>
                </w:p>
              </w:tc>
              <w:tc>
                <w:tcPr>
                  <w:tcW w:w="59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tcBorders>
                    <w:tl2br w:val="nil"/>
                    <w:tr2bl w:val="nil"/>
                  </w:tcBorders>
                  <w:shd w:val="clear" w:color="auto" w:fill="auto"/>
                  <w:vAlign w:val="center"/>
                </w:tcPr>
                <w:p/>
              </w:tc>
              <w:tc>
                <w:tcPr>
                  <w:tcW w:w="208" w:type="pct"/>
                  <w:vMerge/>
                  <w:tcBorders>
                    <w:tl2br w:val="nil"/>
                    <w:tr2bl w:val="nil"/>
                  </w:tcBorders>
                  <w:shd w:val="clear" w:color="auto" w:fill="auto"/>
                  <w:vAlign w:val="center"/>
                </w:tcPr>
                <w:p/>
              </w:tc>
              <w:tc>
                <w:tcPr>
                  <w:tcW w:w="200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color w:val="auto"/>
                      <w:sz w:val="21"/>
                      <w:szCs w:val="21"/>
                    </w:rPr>
                    <w:t>禁止入住食品类行业</w:t>
                  </w:r>
                  <w:r>
                    <w:rPr>
                      <w:rFonts w:ascii="Times New Roman" w:cs="Times New Roman" w:hAnsi="Times New Roman" w:hint="eastAsia"/>
                      <w:color w:val="auto"/>
                      <w:sz w:val="21"/>
                      <w:szCs w:val="21"/>
                      <w:lang w:eastAsia="zh-CN"/>
                    </w:rPr>
                    <w:t>；</w:t>
                  </w:r>
                </w:p>
              </w:tc>
              <w:tc>
                <w:tcPr>
                  <w:tcW w:w="197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bCs/>
                      <w:color w:val="auto"/>
                      <w:sz w:val="21"/>
                      <w:szCs w:val="21"/>
                      <w:lang w:eastAsia="zh-CN"/>
                    </w:rPr>
                    <w:t>。</w:t>
                  </w:r>
                </w:p>
              </w:tc>
              <w:tc>
                <w:tcPr>
                  <w:tcW w:w="59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tcBorders>
                    <w:tl2br w:val="nil"/>
                    <w:tr2bl w:val="nil"/>
                  </w:tcBorders>
                  <w:shd w:val="clear" w:color="auto" w:fill="auto"/>
                  <w:vAlign w:val="center"/>
                </w:tcPr>
                <w:p/>
              </w:tc>
              <w:tc>
                <w:tcPr>
                  <w:tcW w:w="208" w:type="pct"/>
                  <w:vMerge/>
                  <w:tcBorders>
                    <w:tl2br w:val="nil"/>
                    <w:tr2bl w:val="nil"/>
                  </w:tcBorders>
                  <w:shd w:val="clear" w:color="auto" w:fill="auto"/>
                  <w:vAlign w:val="center"/>
                </w:tcPr>
                <w:p/>
              </w:tc>
              <w:tc>
                <w:tcPr>
                  <w:tcW w:w="200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color w:val="auto"/>
                      <w:sz w:val="21"/>
                      <w:szCs w:val="21"/>
                    </w:rPr>
                    <w:t>禁止建设生产和使用高VOCs含量的溶剂型涂料、油墨、胶粘剂等项目；禁止入驻露天喷涂项目</w:t>
                  </w:r>
                  <w:r>
                    <w:rPr>
                      <w:rFonts w:ascii="Times New Roman" w:cs="Times New Roman" w:hAnsi="Times New Roman" w:hint="eastAsia"/>
                      <w:color w:val="auto"/>
                      <w:sz w:val="21"/>
                      <w:szCs w:val="21"/>
                      <w:lang w:eastAsia="zh-CN"/>
                    </w:rPr>
                    <w:t>；</w:t>
                  </w:r>
                </w:p>
              </w:tc>
              <w:tc>
                <w:tcPr>
                  <w:tcW w:w="197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sz w:val="21"/>
                      <w:szCs w:val="21"/>
                    </w:rPr>
                    <w:t>本项目不生产和使用</w:t>
                  </w:r>
                  <w:r>
                    <w:rPr>
                      <w:rFonts w:ascii="Times New Roman" w:cs="Times New Roman" w:hAnsi="Times New Roman"/>
                      <w:color w:val="auto"/>
                      <w:sz w:val="21"/>
                      <w:szCs w:val="21"/>
                    </w:rPr>
                    <w:t>高VOCs含量的溶剂型涂料、油墨、胶粘剂，不涉及喷涂。</w:t>
                  </w:r>
                </w:p>
              </w:tc>
              <w:tc>
                <w:tcPr>
                  <w:tcW w:w="598" w:type="pct"/>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shd w:val="clear" w:color="auto" w:fill="auto"/>
                  <w:vAlign w:val="center"/>
                </w:tcPr>
                <w:p/>
              </w:tc>
              <w:tc>
                <w:tcPr>
                  <w:tcW w:w="208" w:type="pct"/>
                  <w:vMerge/>
                  <w:shd w:val="clear" w:color="auto" w:fill="auto"/>
                  <w:vAlign w:val="center"/>
                </w:tcPr>
                <w:p/>
              </w:tc>
              <w:tc>
                <w:tcPr>
                  <w:tcW w:w="200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Cs/>
                      <w:color w:val="auto"/>
                      <w:kern w:val="2"/>
                      <w:sz w:val="21"/>
                      <w:szCs w:val="21"/>
                      <w:lang w:val="en-US" w:eastAsia="zh-CN" w:bidi="ar-SA"/>
                    </w:rPr>
                  </w:pPr>
                  <w:r>
                    <w:rPr>
                      <w:rFonts w:ascii="Times New Roman" w:cs="Times New Roman" w:hAnsi="Times New Roman"/>
                      <w:color w:val="auto"/>
                      <w:sz w:val="21"/>
                      <w:szCs w:val="21"/>
                    </w:rPr>
                    <w:t>禁止建设不满足《河南省铸造行业准入条件》的装备制造类企业。</w:t>
                  </w:r>
                </w:p>
              </w:tc>
              <w:tc>
                <w:tcPr>
                  <w:tcW w:w="197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bCs/>
                      <w:color w:val="auto"/>
                      <w:sz w:val="21"/>
                      <w:szCs w:val="21"/>
                    </w:rPr>
                    <w:t>，不属于</w:t>
                  </w:r>
                  <w:r>
                    <w:rPr>
                      <w:rFonts w:ascii="Times New Roman" w:cs="Times New Roman" w:hAnsi="Times New Roman"/>
                      <w:color w:val="auto"/>
                      <w:sz w:val="21"/>
                      <w:szCs w:val="21"/>
                    </w:rPr>
                    <w:t>装备制造类企业</w:t>
                  </w:r>
                  <w:r>
                    <w:rPr>
                      <w:rFonts w:ascii="Times New Roman" w:cs="Times New Roman" w:hAnsi="Times New Roman" w:hint="eastAsia"/>
                      <w:color w:val="auto"/>
                      <w:sz w:val="21"/>
                      <w:szCs w:val="21"/>
                      <w:lang w:eastAsia="zh-CN"/>
                    </w:rPr>
                    <w:t>。</w:t>
                  </w:r>
                </w:p>
              </w:tc>
              <w:tc>
                <w:tcPr>
                  <w:tcW w:w="2290" w:type="pct"/>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val="restar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Cs/>
                      <w:color w:val="auto"/>
                      <w:kern w:val="2"/>
                      <w:sz w:val="21"/>
                      <w:szCs w:val="21"/>
                      <w:lang w:val="en-US" w:eastAsia="zh-CN" w:bidi="ar-SA"/>
                    </w:rPr>
                  </w:pPr>
                  <w:r>
                    <w:rPr>
                      <w:rFonts w:ascii="Times New Roman" w:cs="Times New Roman" w:hAnsi="Times New Roman"/>
                      <w:bCs/>
                      <w:color w:val="auto"/>
                      <w:sz w:val="21"/>
                      <w:szCs w:val="21"/>
                    </w:rPr>
                    <w:t>2</w:t>
                  </w:r>
                </w:p>
              </w:tc>
              <w:tc>
                <w:tcPr>
                  <w:tcW w:w="208" w:type="pct"/>
                  <w:vMerge w:val="restart"/>
                  <w:shd w:val="clear" w:color="auto" w:fill="auto"/>
                  <w:vAlign w:val="center"/>
                </w:tcPr>
                <w:p>
                  <w:pPr>
                    <w:pStyle w:val="45"/>
                    <w:keepNext w:val="0"/>
                    <w:keepLines w:val="0"/>
                    <w:pageBreakBefore w:val="0"/>
                    <w:widowControl w:val="0"/>
                    <w:suppressLineNumbers w:val="0"/>
                    <w:kinsoku/>
                    <w:wordWrap/>
                    <w:overflowPunct/>
                    <w:topLinePunct w:val="0"/>
                    <w:autoSpaceDE/>
                    <w:autoSpaceDN/>
                    <w:bidi w:val="0"/>
                    <w:adjustRightInd/>
                    <w:snapToGrid/>
                    <w:spacing w:beforeLines="0" w:before="0" w:beforeAutospacing="0" w:afterLines="0" w:after="0" w:afterAutospacing="0" w:line="240" w:lineRule="auto"/>
                    <w:ind w:left="0" w:right="0"/>
                    <w:jc w:val="center"/>
                    <w:textAlignment w:val="auto"/>
                    <w:rPr>
                      <w:rFonts w:ascii="Times New Roman" w:eastAsia="宋体" w:cs="Times New Roman" w:hAnsi="Times New Roman"/>
                      <w:bCs/>
                      <w:color w:val="auto"/>
                      <w:kern w:val="0"/>
                      <w:sz w:val="21"/>
                      <w:szCs w:val="21"/>
                      <w:lang w:val="en-US" w:eastAsia="zh-CN" w:bidi="ar-SA"/>
                    </w:rPr>
                  </w:pPr>
                  <w:r>
                    <w:rPr>
                      <w:rFonts w:ascii="Times New Roman" w:cs="Times New Roman" w:hAnsi="Times New Roman"/>
                      <w:bCs/>
                      <w:color w:val="auto"/>
                      <w:sz w:val="21"/>
                      <w:szCs w:val="21"/>
                    </w:rPr>
                    <w:t>限制类</w:t>
                  </w:r>
                </w:p>
              </w:tc>
              <w:tc>
                <w:tcPr>
                  <w:tcW w:w="200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Cs/>
                      <w:color w:val="auto"/>
                      <w:kern w:val="2"/>
                      <w:sz w:val="21"/>
                      <w:szCs w:val="21"/>
                      <w:lang w:val="en-US" w:eastAsia="zh-CN" w:bidi="ar-SA"/>
                    </w:rPr>
                  </w:pPr>
                  <w:r>
                    <w:rPr>
                      <w:rFonts w:ascii="Times New Roman" w:cs="Times New Roman" w:hAnsi="Times New Roman"/>
                      <w:color w:val="auto"/>
                      <w:sz w:val="21"/>
                      <w:szCs w:val="21"/>
                    </w:rPr>
                    <w:t>《产业结构调整指导目录（2011年本）》（2013 年修正）中限制类项</w:t>
                  </w:r>
                  <w:r>
                    <w:rPr>
                      <w:rFonts w:ascii="Times New Roman" w:cs="Times New Roman" w:hAnsi="Times New Roman" w:hint="eastAsia"/>
                      <w:color w:val="auto"/>
                      <w:sz w:val="21"/>
                      <w:szCs w:val="21"/>
                      <w:lang w:eastAsia="zh-CN"/>
                    </w:rPr>
                    <w:t>；</w:t>
                  </w:r>
                  <w:r>
                    <w:rPr>
                      <w:rFonts w:ascii="Times New Roman" w:cs="Times New Roman" w:hAnsi="Times New Roman"/>
                      <w:color w:val="auto"/>
                      <w:sz w:val="21"/>
                      <w:szCs w:val="21"/>
                    </w:rPr>
                    <w:t>目</w:t>
                  </w:r>
                </w:p>
              </w:tc>
              <w:tc>
                <w:tcPr>
                  <w:tcW w:w="197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Cs/>
                      <w:color w:val="auto"/>
                      <w:kern w:val="2"/>
                      <w:sz w:val="21"/>
                      <w:szCs w:val="21"/>
                      <w:lang w:val="en-US" w:eastAsia="zh-CN" w:bidi="ar-SA"/>
                    </w:rPr>
                  </w:pPr>
                  <w:r>
                    <w:rPr>
                      <w:rFonts w:ascii="Times New Roman" w:cs="Times New Roman" w:hAnsi="Times New Roman"/>
                      <w:color w:val="auto"/>
                      <w:spacing w:val="-4"/>
                      <w:sz w:val="21"/>
                      <w:szCs w:val="21"/>
                    </w:rPr>
                    <w:t>根据《产业结构调整指导目录》（</w:t>
                  </w:r>
                  <w:r>
                    <w:rPr>
                      <w:rFonts w:ascii="Times New Roman" w:cs="Times New Roman" w:hAnsi="Times New Roman" w:hint="eastAsia"/>
                      <w:color w:val="auto"/>
                      <w:spacing w:val="-4"/>
                      <w:sz w:val="21"/>
                      <w:szCs w:val="21"/>
                      <w:lang w:val="en-US" w:eastAsia="zh-CN"/>
                    </w:rPr>
                    <w:t>2024</w:t>
                  </w:r>
                  <w:r>
                    <w:rPr>
                      <w:rFonts w:ascii="Times New Roman" w:cs="Times New Roman" w:hAnsi="Times New Roman"/>
                      <w:color w:val="auto"/>
                      <w:spacing w:val="-4"/>
                      <w:sz w:val="21"/>
                      <w:szCs w:val="21"/>
                    </w:rPr>
                    <w:t>年本）</w:t>
                  </w:r>
                  <w:r>
                    <w:rPr>
                      <w:rFonts w:ascii="Times New Roman" w:cs="Times New Roman" w:hAnsi="Times New Roman"/>
                      <w:color w:val="auto"/>
                      <w:sz w:val="21"/>
                      <w:szCs w:val="21"/>
                    </w:rPr>
                    <w:t>，本项目不属于淘汰和限制类工业企业，属于允许类。</w:t>
                  </w:r>
                </w:p>
              </w:tc>
              <w:tc>
                <w:tcPr>
                  <w:tcW w:w="2290" w:type="pct"/>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shd w:val="clear" w:color="auto" w:fill="auto"/>
                  <w:vAlign w:val="center"/>
                </w:tcPr>
                <w:p/>
              </w:tc>
              <w:tc>
                <w:tcPr>
                  <w:tcW w:w="208" w:type="pct"/>
                  <w:vMerge/>
                  <w:shd w:val="clear" w:color="auto" w:fill="auto"/>
                  <w:vAlign w:val="center"/>
                </w:tcPr>
                <w:p/>
              </w:tc>
              <w:tc>
                <w:tcPr>
                  <w:tcW w:w="200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color w:val="auto"/>
                      <w:sz w:val="21"/>
                      <w:szCs w:val="21"/>
                    </w:rPr>
                    <w:t>不属于主导产业、辅助产业及其上下游补链、延链行业的集聚区产业定位</w:t>
                  </w:r>
                  <w:r>
                    <w:rPr>
                      <w:rFonts w:ascii="Times New Roman" w:cs="Times New Roman" w:hAnsi="Times New Roman" w:hint="eastAsia"/>
                      <w:color w:val="auto"/>
                      <w:sz w:val="21"/>
                      <w:szCs w:val="21"/>
                      <w:lang w:eastAsia="zh-CN"/>
                    </w:rPr>
                    <w:t>；</w:t>
                  </w:r>
                </w:p>
              </w:tc>
              <w:tc>
                <w:tcPr>
                  <w:tcW w:w="197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Cs/>
                      <w:color w:val="auto"/>
                      <w:kern w:val="2"/>
                      <w:sz w:val="21"/>
                      <w:szCs w:val="21"/>
                      <w:lang w:val="en-US" w:eastAsia="zh-CN" w:bidi="ar-SA"/>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color w:val="auto"/>
                      <w:spacing w:val="-4"/>
                      <w:sz w:val="21"/>
                      <w:szCs w:val="21"/>
                      <w:lang w:val="en-US" w:eastAsia="zh-CN"/>
                    </w:rPr>
                    <w:t>，不属于限制类产业</w:t>
                  </w:r>
                  <w:r>
                    <w:rPr>
                      <w:rFonts w:ascii="Times New Roman" w:cs="Times New Roman" w:hAnsi="Times New Roman"/>
                      <w:color w:val="auto"/>
                      <w:spacing w:val="-4"/>
                      <w:sz w:val="21"/>
                      <w:szCs w:val="21"/>
                    </w:rPr>
                    <w:t>。</w:t>
                  </w:r>
                </w:p>
              </w:tc>
              <w:tc>
                <w:tcPr>
                  <w:tcW w:w="2290" w:type="pct"/>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shd w:val="clear" w:color="auto" w:fill="auto"/>
                  <w:vAlign w:val="center"/>
                </w:tcPr>
                <w:p/>
              </w:tc>
              <w:tc>
                <w:tcPr>
                  <w:tcW w:w="208" w:type="pct"/>
                  <w:vMerge/>
                  <w:shd w:val="clear" w:color="auto" w:fill="auto"/>
                  <w:vAlign w:val="center"/>
                </w:tcPr>
                <w:p/>
              </w:tc>
              <w:tc>
                <w:tcPr>
                  <w:tcW w:w="200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color w:val="auto"/>
                      <w:sz w:val="21"/>
                      <w:szCs w:val="21"/>
                    </w:rPr>
                    <w:t>在集聚区基础设施未完善前，限制新建、改扩建需水量大、排水量大、用热量大的项目</w:t>
                  </w:r>
                  <w:r>
                    <w:rPr>
                      <w:rFonts w:ascii="Times New Roman" w:cs="Times New Roman" w:hAnsi="Times New Roman" w:hint="eastAsia"/>
                      <w:color w:val="auto"/>
                      <w:sz w:val="21"/>
                      <w:szCs w:val="21"/>
                      <w:lang w:eastAsia="zh-CN"/>
                    </w:rPr>
                    <w:t>；</w:t>
                  </w:r>
                </w:p>
              </w:tc>
              <w:tc>
                <w:tcPr>
                  <w:tcW w:w="197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本项目需水量和排水量均较小，不属于</w:t>
                  </w:r>
                  <w:r>
                    <w:rPr>
                      <w:rFonts w:ascii="Times New Roman" w:cs="Times New Roman" w:hAnsi="Times New Roman"/>
                      <w:color w:val="auto"/>
                      <w:sz w:val="21"/>
                      <w:szCs w:val="21"/>
                    </w:rPr>
                    <w:t>需水量大、排水量大、用热量大的项目</w:t>
                  </w:r>
                  <w:r>
                    <w:rPr>
                      <w:rFonts w:ascii="Times New Roman" w:cs="Times New Roman" w:hAnsi="Times New Roman" w:hint="eastAsia"/>
                      <w:color w:val="auto"/>
                      <w:sz w:val="21"/>
                      <w:szCs w:val="21"/>
                      <w:lang w:eastAsia="zh-CN"/>
                    </w:rPr>
                    <w:t>。</w:t>
                  </w:r>
                </w:p>
              </w:tc>
              <w:tc>
                <w:tcPr>
                  <w:tcW w:w="2290" w:type="pct"/>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r>
              <w:trPr>
                <w:trHeight w:val="397"/>
              </w:trPr>
              <w:tc>
                <w:tcPr>
                  <w:tcW w:w="209" w:type="pct"/>
                  <w:vMerge/>
                  <w:shd w:val="clear" w:color="auto" w:fill="auto"/>
                  <w:vAlign w:val="center"/>
                </w:tcPr>
                <w:p/>
              </w:tc>
              <w:tc>
                <w:tcPr>
                  <w:tcW w:w="208" w:type="pct"/>
                  <w:vMerge/>
                  <w:shd w:val="clear" w:color="auto" w:fill="auto"/>
                  <w:vAlign w:val="center"/>
                </w:tcPr>
                <w:p/>
              </w:tc>
              <w:tc>
                <w:tcPr>
                  <w:tcW w:w="2006"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color w:val="auto"/>
                      <w:sz w:val="21"/>
                      <w:szCs w:val="21"/>
                    </w:rPr>
                    <w:t>对于已入驻产业集聚区的非主导产业类项目（如：木材加工及家具制造等），限制扩大现状规模</w:t>
                  </w:r>
                  <w:r>
                    <w:rPr>
                      <w:rFonts w:ascii="Times New Roman" w:cs="Times New Roman" w:hAnsi="Times New Roman" w:hint="eastAsia"/>
                      <w:color w:val="auto"/>
                      <w:sz w:val="21"/>
                      <w:szCs w:val="21"/>
                      <w:lang w:eastAsia="zh-CN"/>
                    </w:rPr>
                    <w:t>。</w:t>
                  </w:r>
                </w:p>
              </w:tc>
              <w:tc>
                <w:tcPr>
                  <w:tcW w:w="197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hint="eastAsia"/>
                      <w:bCs/>
                      <w:color w:val="auto"/>
                      <w:kern w:val="2"/>
                      <w:sz w:val="21"/>
                      <w:szCs w:val="21"/>
                      <w:lang w:val="en-US" w:eastAsia="zh-CN" w:bidi="ar-SA"/>
                    </w:rPr>
                  </w:pPr>
                  <w:r>
                    <w:rPr>
                      <w:rFonts w:ascii="Times New Roman" w:cs="Times New Roman" w:hAnsi="Times New Roman"/>
                      <w:bCs/>
                      <w:color w:val="auto"/>
                      <w:sz w:val="21"/>
                      <w:szCs w:val="21"/>
                    </w:rPr>
                    <w:t>不属于</w:t>
                  </w:r>
                  <w:r>
                    <w:rPr>
                      <w:rFonts w:ascii="Times New Roman" w:cs="Times New Roman" w:hAnsi="Times New Roman"/>
                      <w:color w:val="auto"/>
                      <w:sz w:val="21"/>
                      <w:szCs w:val="21"/>
                    </w:rPr>
                    <w:t>已入驻产业集聚区的非主导产业类项目</w:t>
                  </w:r>
                  <w:r>
                    <w:rPr>
                      <w:rFonts w:ascii="Times New Roman" w:cs="Times New Roman" w:hAnsi="Times New Roman" w:hint="eastAsia"/>
                      <w:color w:val="auto"/>
                      <w:sz w:val="21"/>
                      <w:szCs w:val="21"/>
                      <w:lang w:eastAsia="zh-CN"/>
                    </w:rPr>
                    <w:t>。</w:t>
                  </w:r>
                </w:p>
              </w:tc>
              <w:tc>
                <w:tcPr>
                  <w:tcW w:w="2290" w:type="pct"/>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不属于</w:t>
                  </w:r>
                </w:p>
              </w:tc>
            </w:tr>
          </w:tbl>
          <w:p>
            <w:pPr>
              <w:keepNext w:val="0"/>
              <w:keepLines w:val="0"/>
              <w:suppressLineNumbers w:val="0"/>
              <w:autoSpaceDE w:val="0"/>
              <w:autoSpaceDN w:val="0"/>
              <w:adjustRightInd w:val="0"/>
              <w:snapToGrid w:val="0"/>
              <w:spacing w:before="0" w:beforeAutospacing="0" w:after="0" w:afterAutospacing="0" w:line="460" w:lineRule="exact"/>
              <w:ind w:left="0" w:right="0" w:firstLineChars="200" w:firstLine="480"/>
              <w:rPr>
                <w:kern w:val="0"/>
                <w:sz w:val="24"/>
              </w:rPr>
            </w:pPr>
            <w:r>
              <w:rPr>
                <w:rFonts w:ascii="Times New Roman" w:cs="Times New Roman" w:hAnsi="Times New Roman"/>
                <w:sz w:val="24"/>
                <w:szCs w:val="20"/>
              </w:rPr>
              <w:t>由上表可知，本项目符合</w:t>
            </w:r>
            <w:r>
              <w:rPr>
                <w:rFonts w:ascii="Times New Roman" w:cs="Times New Roman" w:hAnsi="Times New Roman"/>
                <w:kern w:val="0"/>
                <w:sz w:val="24"/>
                <w:szCs w:val="20"/>
              </w:rPr>
              <w:t>《延津县产业集聚区北区发展规划（2013-2020）环境影响跟踪评价报告书》中</w:t>
            </w:r>
            <w:r>
              <w:rPr>
                <w:rFonts w:ascii="Times New Roman" w:cs="Times New Roman" w:hAnsi="Times New Roman" w:hint="eastAsia"/>
                <w:kern w:val="0"/>
                <w:sz w:val="24"/>
                <w:szCs w:val="20"/>
              </w:rPr>
              <w:t>负面清单</w:t>
            </w:r>
            <w:r>
              <w:rPr>
                <w:rFonts w:ascii="Times New Roman" w:cs="Times New Roman" w:hAnsi="Times New Roman"/>
                <w:kern w:val="0"/>
                <w:sz w:val="24"/>
                <w:szCs w:val="20"/>
              </w:rPr>
              <w:t>要求</w:t>
            </w:r>
            <w:r>
              <w:rPr>
                <w:rFonts w:ascii="Times New Roman" w:cs="Times New Roman" w:hAnsi="Times New Roman"/>
                <w:sz w:val="24"/>
                <w:szCs w:val="20"/>
              </w:rPr>
              <w:t>。</w:t>
            </w:r>
          </w:p>
          <w:p>
            <w:pPr>
              <w:keepNext w:val="0"/>
              <w:keepLines w:val="0"/>
              <w:suppressLineNumbers w:val="0"/>
              <w:adjustRightInd w:val="0"/>
              <w:snapToGrid w:val="0"/>
              <w:spacing w:before="0" w:beforeAutospacing="0" w:after="0" w:afterAutospacing="0" w:line="460" w:lineRule="exact"/>
              <w:ind w:left="0" w:right="0" w:firstLineChars="200" w:firstLine="480"/>
              <w:textAlignment w:val="baseline"/>
              <w:rPr>
                <w:b/>
                <w:bCs/>
                <w:sz w:val="24"/>
              </w:rPr>
            </w:pPr>
            <w:r>
              <w:rPr>
                <w:rFonts w:ascii="Times New Roman" w:cs="Times New Roman" w:hAnsi="Times New Roman" w:hint="eastAsia"/>
                <w:b/>
                <w:sz w:val="24"/>
                <w:szCs w:val="20"/>
              </w:rPr>
              <w:t>5</w:t>
            </w:r>
            <w:r>
              <w:rPr>
                <w:rFonts w:ascii="Times New Roman" w:cs="Times New Roman" w:hAnsi="Times New Roman"/>
                <w:b/>
                <w:sz w:val="24"/>
                <w:szCs w:val="20"/>
              </w:rPr>
              <w:t>、项目与《</w:t>
            </w:r>
            <w:r>
              <w:rPr>
                <w:rFonts w:ascii="Times New Roman" w:cs="Times New Roman" w:hAnsi="Times New Roman" w:hint="eastAsia"/>
                <w:b/>
                <w:color w:val="000000"/>
                <w:sz w:val="24"/>
                <w:szCs w:val="20"/>
              </w:rPr>
              <w:t>延津县产业集聚区北区发展规划（2013-2020）环境影响跟踪评价报告书</w:t>
            </w:r>
            <w:r>
              <w:rPr>
                <w:rFonts w:ascii="Times New Roman" w:cs="Times New Roman" w:hAnsi="Times New Roman"/>
                <w:b/>
                <w:sz w:val="24"/>
                <w:szCs w:val="20"/>
              </w:rPr>
              <w:t>》</w:t>
            </w:r>
            <w:r>
              <w:rPr>
                <w:rFonts w:ascii="Times New Roman" w:cs="Times New Roman" w:hAnsi="Times New Roman" w:hint="eastAsia"/>
                <w:b/>
                <w:sz w:val="24"/>
                <w:szCs w:val="20"/>
              </w:rPr>
              <w:t>规划环评结论及审核意见的相符性分析</w:t>
            </w:r>
          </w:p>
          <w:p>
            <w:pPr>
              <w:pStyle w:val="76"/>
              <w:keepNext w:val="0"/>
              <w:keepLines w:val="0"/>
              <w:suppressLineNumbers w:val="0"/>
              <w:spacing w:before="0" w:beforeAutospacing="0" w:after="0" w:afterAutospacing="0"/>
              <w:ind w:left="0" w:right="0"/>
              <w:rPr>
                <w:b/>
                <w:bCs/>
              </w:rPr>
            </w:pPr>
            <w:r>
              <w:rPr>
                <w:rFonts w:ascii="Times New Roman" w:cs="Times New Roman" w:hAnsi="Times New Roman" w:hint="eastAsia"/>
                <w:sz w:val="24"/>
                <w:szCs w:val="20"/>
              </w:rPr>
              <w:t>本项目与《延津县产业集聚区（北区）发展规划（</w:t>
            </w:r>
            <w:r>
              <w:rPr>
                <w:rFonts w:ascii="Times New Roman" w:cs="Times New Roman" w:hAnsi="Times New Roman"/>
                <w:sz w:val="24"/>
                <w:szCs w:val="20"/>
              </w:rPr>
              <w:t>2013-2020）环境影响跟踪评价报告书》中规划环评结论分析见下表</w:t>
            </w:r>
            <w:r>
              <w:rPr>
                <w:rFonts w:ascii="Times New Roman" w:cs="Times New Roman" w:hAnsi="Times New Roman" w:hint="eastAsia"/>
                <w:sz w:val="24"/>
                <w:szCs w:val="20"/>
              </w:rPr>
              <w:t>。</w:t>
            </w: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本项目与规划环评结论分析一览表</w:t>
            </w:r>
          </w:p>
          <w:tbl>
            <w:tblPr>
              <w:jc w:val="left"/>
              <w:tblInd w:w="0" w:type="dxa"/>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26"/>
              <w:gridCol w:w="4469"/>
              <w:gridCol w:w="2430"/>
              <w:gridCol w:w="764"/>
            </w:tblGrid>
            <w:tr>
              <w:trPr>
                <w:trHeight w:val="397"/>
              </w:trPr>
              <w:tc>
                <w:tcPr>
                  <w:tcW w:w="321"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rPr>
                  </w:pPr>
                  <w:r>
                    <w:rPr>
                      <w:rFonts w:ascii="Times New Roman" w:cs="Times New Roman" w:hAnsi="Times New Roman"/>
                      <w:b/>
                      <w:kern w:val="0"/>
                      <w:sz w:val="21"/>
                      <w:szCs w:val="21"/>
                    </w:rPr>
                    <w:t>类别</w:t>
                  </w:r>
                </w:p>
              </w:tc>
              <w:tc>
                <w:tcPr>
                  <w:tcW w:w="272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rPr>
                  </w:pPr>
                  <w:r>
                    <w:rPr>
                      <w:rFonts w:ascii="Times New Roman" w:cs="Times New Roman" w:hAnsi="Times New Roman"/>
                      <w:b/>
                      <w:kern w:val="0"/>
                      <w:sz w:val="21"/>
                      <w:szCs w:val="21"/>
                    </w:rPr>
                    <w:t>规划环评结论</w:t>
                  </w:r>
                </w:p>
              </w:tc>
              <w:tc>
                <w:tcPr>
                  <w:tcW w:w="148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rPr>
                  </w:pPr>
                  <w:r>
                    <w:rPr>
                      <w:rFonts w:ascii="Times New Roman" w:cs="Times New Roman" w:hAnsi="Times New Roman"/>
                      <w:b/>
                      <w:kern w:val="0"/>
                      <w:sz w:val="21"/>
                      <w:szCs w:val="21"/>
                    </w:rPr>
                    <w:t>本项目情况</w:t>
                  </w:r>
                </w:p>
              </w:tc>
              <w:tc>
                <w:tcPr>
                  <w:tcW w:w="466"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rPr>
                  </w:pPr>
                  <w:r>
                    <w:rPr>
                      <w:rFonts w:ascii="Times New Roman" w:cs="Times New Roman" w:hAnsi="Times New Roman"/>
                      <w:b/>
                      <w:kern w:val="0"/>
                      <w:sz w:val="21"/>
                      <w:szCs w:val="21"/>
                    </w:rPr>
                    <w:t>对比结果</w:t>
                  </w:r>
                </w:p>
              </w:tc>
            </w:tr>
            <w:tr>
              <w:trPr>
                <w:trHeight w:val="397"/>
              </w:trPr>
              <w:tc>
                <w:tcPr>
                  <w:tcW w:w="321"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rPr>
                  </w:pPr>
                  <w:r>
                    <w:rPr>
                      <w:rFonts w:ascii="Times New Roman" w:cs="Times New Roman" w:hAnsi="Times New Roman"/>
                      <w:kern w:val="0"/>
                      <w:sz w:val="21"/>
                      <w:szCs w:val="21"/>
                    </w:rPr>
                    <w:t>大气环境</w:t>
                  </w:r>
                </w:p>
              </w:tc>
              <w:tc>
                <w:tcPr>
                  <w:tcW w:w="272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kern w:val="0"/>
                      <w:sz w:val="21"/>
                      <w:szCs w:val="21"/>
                      <w:highlight w:val="none"/>
                    </w:rPr>
                  </w:pPr>
                  <w:r>
                    <w:rPr>
                      <w:rFonts w:ascii="Times New Roman" w:cs="Times New Roman" w:hAnsi="Times New Roman"/>
                      <w:kern w:val="0"/>
                      <w:sz w:val="21"/>
                      <w:szCs w:val="21"/>
                      <w:highlight w:val="none"/>
                    </w:rPr>
                    <w:t>本次评价统计了2013年-2018年新乡市环境质量年报中的环境空气数据，2013年-2014年统计监测因子为SO</w:t>
                  </w:r>
                  <w:r>
                    <w:rPr>
                      <w:rFonts w:ascii="Times New Roman" w:cs="Times New Roman" w:hAnsi="Times New Roman"/>
                      <w:kern w:val="0"/>
                      <w:sz w:val="21"/>
                      <w:szCs w:val="21"/>
                      <w:vertAlign w:val="subscript"/>
                      <w:highlight w:val="none"/>
                    </w:rPr>
                    <w:t>2</w:t>
                  </w:r>
                  <w:r>
                    <w:rPr>
                      <w:rFonts w:ascii="Times New Roman" w:cs="Times New Roman" w:hAnsi="Times New Roman"/>
                      <w:kern w:val="0"/>
                      <w:sz w:val="21"/>
                      <w:szCs w:val="21"/>
                      <w:highlight w:val="none"/>
                    </w:rPr>
                    <w:t>、NO</w:t>
                  </w:r>
                  <w:r>
                    <w:rPr>
                      <w:rFonts w:ascii="Times New Roman" w:cs="Times New Roman" w:hAnsi="Times New Roman"/>
                      <w:kern w:val="0"/>
                      <w:sz w:val="21"/>
                      <w:szCs w:val="21"/>
                      <w:vertAlign w:val="subscript"/>
                      <w:highlight w:val="none"/>
                    </w:rPr>
                    <w:t>2</w:t>
                  </w:r>
                  <w:r>
                    <w:rPr>
                      <w:rFonts w:ascii="Times New Roman" w:cs="Times New Roman" w:hAnsi="Times New Roman"/>
                      <w:kern w:val="0"/>
                      <w:sz w:val="21"/>
                      <w:szCs w:val="21"/>
                      <w:highlight w:val="none"/>
                    </w:rPr>
                    <w:t>、PM</w:t>
                  </w:r>
                  <w:r>
                    <w:rPr>
                      <w:rFonts w:ascii="Times New Roman" w:cs="Times New Roman" w:hAnsi="Times New Roman"/>
                      <w:kern w:val="0"/>
                      <w:sz w:val="21"/>
                      <w:szCs w:val="21"/>
                      <w:vertAlign w:val="subscript"/>
                      <w:highlight w:val="none"/>
                    </w:rPr>
                    <w:t>10</w:t>
                  </w:r>
                  <w:r>
                    <w:rPr>
                      <w:rFonts w:ascii="Times New Roman" w:cs="Times New Roman" w:hAnsi="Times New Roman"/>
                      <w:kern w:val="0"/>
                      <w:sz w:val="21"/>
                      <w:szCs w:val="21"/>
                      <w:highlight w:val="none"/>
                    </w:rPr>
                    <w:t>，2015年-2018年统计的为SO</w:t>
                  </w:r>
                  <w:r>
                    <w:rPr>
                      <w:rFonts w:ascii="Times New Roman" w:cs="Times New Roman" w:hAnsi="Times New Roman"/>
                      <w:kern w:val="0"/>
                      <w:sz w:val="21"/>
                      <w:szCs w:val="21"/>
                      <w:vertAlign w:val="subscript"/>
                      <w:highlight w:val="none"/>
                    </w:rPr>
                    <w:t>2</w:t>
                  </w:r>
                  <w:r>
                    <w:rPr>
                      <w:rFonts w:ascii="Times New Roman" w:cs="Times New Roman" w:hAnsi="Times New Roman"/>
                      <w:kern w:val="0"/>
                      <w:sz w:val="21"/>
                      <w:szCs w:val="21"/>
                      <w:highlight w:val="none"/>
                    </w:rPr>
                    <w:t>、NO</w:t>
                  </w:r>
                  <w:r>
                    <w:rPr>
                      <w:rFonts w:ascii="Times New Roman" w:cs="Times New Roman" w:hAnsi="Times New Roman"/>
                      <w:kern w:val="0"/>
                      <w:sz w:val="21"/>
                      <w:szCs w:val="21"/>
                      <w:vertAlign w:val="subscript"/>
                      <w:highlight w:val="none"/>
                    </w:rPr>
                    <w:t>2</w:t>
                  </w:r>
                  <w:r>
                    <w:rPr>
                      <w:rFonts w:ascii="Times New Roman" w:cs="Times New Roman" w:hAnsi="Times New Roman"/>
                      <w:kern w:val="0"/>
                      <w:sz w:val="21"/>
                      <w:szCs w:val="21"/>
                      <w:highlight w:val="none"/>
                    </w:rPr>
                    <w:t>、PM</w:t>
                  </w:r>
                  <w:r>
                    <w:rPr>
                      <w:rFonts w:ascii="Times New Roman" w:cs="Times New Roman" w:hAnsi="Times New Roman"/>
                      <w:kern w:val="0"/>
                      <w:sz w:val="21"/>
                      <w:szCs w:val="21"/>
                      <w:vertAlign w:val="subscript"/>
                      <w:highlight w:val="none"/>
                    </w:rPr>
                    <w:t>10</w:t>
                  </w:r>
                  <w:r>
                    <w:rPr>
                      <w:rFonts w:ascii="Times New Roman" w:cs="Times New Roman" w:hAnsi="Times New Roman"/>
                      <w:kern w:val="0"/>
                      <w:sz w:val="21"/>
                      <w:szCs w:val="21"/>
                      <w:highlight w:val="none"/>
                    </w:rPr>
                    <w:t>、PM</w:t>
                  </w:r>
                  <w:r>
                    <w:rPr>
                      <w:rFonts w:ascii="Times New Roman" w:cs="Times New Roman" w:hAnsi="Times New Roman"/>
                      <w:kern w:val="0"/>
                      <w:sz w:val="21"/>
                      <w:szCs w:val="21"/>
                      <w:vertAlign w:val="subscript"/>
                      <w:highlight w:val="none"/>
                    </w:rPr>
                    <w:t>2.5</w:t>
                  </w:r>
                  <w:r>
                    <w:rPr>
                      <w:rFonts w:ascii="Times New Roman" w:cs="Times New Roman" w:hAnsi="Times New Roman"/>
                      <w:kern w:val="0"/>
                      <w:sz w:val="21"/>
                      <w:szCs w:val="21"/>
                      <w:highlight w:val="none"/>
                    </w:rPr>
                    <w:t>、CO、O</w:t>
                  </w:r>
                  <w:r>
                    <w:rPr>
                      <w:rFonts w:ascii="Times New Roman" w:cs="Times New Roman" w:hAnsi="Times New Roman"/>
                      <w:kern w:val="0"/>
                      <w:sz w:val="21"/>
                      <w:szCs w:val="21"/>
                      <w:vertAlign w:val="subscript"/>
                      <w:highlight w:val="none"/>
                    </w:rPr>
                    <w:t>3</w:t>
                  </w:r>
                  <w:r>
                    <w:rPr>
                      <w:rFonts w:ascii="Times New Roman" w:cs="Times New Roman" w:hAnsi="Times New Roman"/>
                      <w:kern w:val="0"/>
                      <w:sz w:val="21"/>
                      <w:szCs w:val="21"/>
                      <w:highlight w:val="none"/>
                    </w:rPr>
                    <w:t>。SO</w:t>
                  </w:r>
                  <w:r>
                    <w:rPr>
                      <w:rFonts w:ascii="Times New Roman" w:cs="Times New Roman" w:hAnsi="Times New Roman"/>
                      <w:kern w:val="0"/>
                      <w:sz w:val="21"/>
                      <w:szCs w:val="21"/>
                      <w:vertAlign w:val="subscript"/>
                      <w:highlight w:val="none"/>
                    </w:rPr>
                    <w:t>2</w:t>
                  </w:r>
                  <w:r>
                    <w:rPr>
                      <w:rFonts w:ascii="Times New Roman" w:cs="Times New Roman" w:hAnsi="Times New Roman"/>
                      <w:kern w:val="0"/>
                      <w:sz w:val="21"/>
                      <w:szCs w:val="21"/>
                      <w:highlight w:val="none"/>
                    </w:rPr>
                    <w:t>、NO</w:t>
                  </w:r>
                  <w:r>
                    <w:rPr>
                      <w:rFonts w:ascii="Times New Roman" w:cs="Times New Roman" w:hAnsi="Times New Roman"/>
                      <w:kern w:val="0"/>
                      <w:sz w:val="21"/>
                      <w:szCs w:val="21"/>
                      <w:vertAlign w:val="subscript"/>
                      <w:highlight w:val="none"/>
                    </w:rPr>
                    <w:t>2</w:t>
                  </w:r>
                  <w:r>
                    <w:rPr>
                      <w:rFonts w:ascii="Times New Roman" w:cs="Times New Roman" w:hAnsi="Times New Roman"/>
                      <w:kern w:val="0"/>
                      <w:sz w:val="21"/>
                      <w:szCs w:val="21"/>
                      <w:highlight w:val="none"/>
                    </w:rPr>
                    <w:t>、PM</w:t>
                  </w:r>
                  <w:r>
                    <w:rPr>
                      <w:rFonts w:ascii="Times New Roman" w:cs="Times New Roman" w:hAnsi="Times New Roman"/>
                      <w:kern w:val="0"/>
                      <w:sz w:val="21"/>
                      <w:szCs w:val="21"/>
                      <w:vertAlign w:val="subscript"/>
                      <w:highlight w:val="none"/>
                    </w:rPr>
                    <w:t>10</w:t>
                  </w:r>
                  <w:r>
                    <w:rPr>
                      <w:rFonts w:ascii="Times New Roman" w:cs="Times New Roman" w:hAnsi="Times New Roman"/>
                      <w:kern w:val="0"/>
                      <w:sz w:val="21"/>
                      <w:szCs w:val="21"/>
                      <w:highlight w:val="none"/>
                    </w:rPr>
                    <w:t>、PM</w:t>
                  </w:r>
                  <w:r>
                    <w:rPr>
                      <w:rFonts w:ascii="Times New Roman" w:cs="Times New Roman" w:hAnsi="Times New Roman"/>
                      <w:kern w:val="0"/>
                      <w:sz w:val="21"/>
                      <w:szCs w:val="21"/>
                      <w:vertAlign w:val="subscript"/>
                      <w:highlight w:val="none"/>
                    </w:rPr>
                    <w:t>2.5</w:t>
                  </w:r>
                  <w:r>
                    <w:rPr>
                      <w:rFonts w:ascii="Times New Roman" w:cs="Times New Roman" w:hAnsi="Times New Roman"/>
                      <w:kern w:val="0"/>
                      <w:sz w:val="21"/>
                      <w:szCs w:val="21"/>
                      <w:highlight w:val="none"/>
                    </w:rPr>
                    <w:t>均呈现下降趋势。</w:t>
                  </w:r>
                </w:p>
              </w:tc>
              <w:tc>
                <w:tcPr>
                  <w:tcW w:w="148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color w:val="auto"/>
                      <w:kern w:val="0"/>
                      <w:sz w:val="21"/>
                      <w:szCs w:val="21"/>
                      <w:highlight w:val="none"/>
                    </w:rPr>
                  </w:pPr>
                  <w:r>
                    <w:rPr>
                      <w:rFonts w:ascii="Times New Roman" w:cs="Times New Roman" w:hAnsi="Times New Roman"/>
                      <w:color w:val="auto"/>
                      <w:kern w:val="0"/>
                      <w:sz w:val="21"/>
                      <w:szCs w:val="21"/>
                      <w:highlight w:val="none"/>
                    </w:rPr>
                    <w:t>本项目</w:t>
                  </w:r>
                  <w:r>
                    <w:rPr>
                      <w:rFonts w:ascii="Times New Roman" w:cs="Times New Roman" w:hAnsi="Times New Roman" w:hint="eastAsia"/>
                      <w:color w:val="auto"/>
                      <w:sz w:val="21"/>
                      <w:szCs w:val="21"/>
                      <w:highlight w:val="none"/>
                    </w:rPr>
                    <w:t>属于</w:t>
                  </w:r>
                  <w:r>
                    <w:rPr>
                      <w:rFonts w:ascii="Times New Roman" w:cs="Times New Roman" w:hAnsi="Times New Roman" w:hint="eastAsia"/>
                      <w:color w:val="auto"/>
                      <w:sz w:val="21"/>
                      <w:szCs w:val="21"/>
                      <w:lang w:val="en-US" w:eastAsia="zh-CN"/>
                      <w:highlight w:val="none"/>
                    </w:rPr>
                    <w:t>加油站</w:t>
                  </w:r>
                  <w:r>
                    <w:rPr>
                      <w:rFonts w:ascii="Times New Roman" w:cs="Times New Roman" w:hAnsi="Times New Roman" w:hint="eastAsia"/>
                      <w:color w:val="auto"/>
                      <w:sz w:val="21"/>
                      <w:szCs w:val="21"/>
                      <w:highlight w:val="none"/>
                    </w:rPr>
                    <w:t>项目</w:t>
                  </w:r>
                  <w:r>
                    <w:rPr>
                      <w:rFonts w:ascii="Times New Roman" w:cs="Times New Roman" w:hAnsi="Times New Roman"/>
                      <w:color w:val="auto"/>
                      <w:kern w:val="0"/>
                      <w:sz w:val="21"/>
                      <w:szCs w:val="21"/>
                      <w:highlight w:val="none"/>
                    </w:rPr>
                    <w:t>，</w:t>
                  </w:r>
                  <w:r>
                    <w:rPr>
                      <w:rFonts w:ascii="Times New Roman" w:cs="Times New Roman" w:hAnsi="Times New Roman"/>
                      <w:bCs/>
                      <w:color w:val="auto"/>
                      <w:sz w:val="21"/>
                      <w:szCs w:val="21"/>
                      <w:lang w:val="en-US" w:eastAsia="zh-CN"/>
                      <w:highlight w:val="none"/>
                    </w:rPr>
                    <w:t>汽油</w:t>
                  </w:r>
                  <w:r>
                    <w:rPr>
                      <w:rFonts w:ascii="Times New Roman" w:cs="Times New Roman" w:hAnsi="Times New Roman"/>
                      <w:bCs/>
                      <w:color w:val="auto"/>
                      <w:sz w:val="21"/>
                      <w:szCs w:val="21"/>
                      <w:lang w:eastAsia="zh-CN"/>
                      <w:highlight w:val="none"/>
                    </w:rPr>
                    <w:t>卸油、加油过程产生的挥发油气由</w:t>
                  </w:r>
                  <w:r>
                    <w:rPr>
                      <w:rFonts w:ascii="Times New Roman" w:cs="Times New Roman" w:hAnsi="Times New Roman"/>
                      <w:bCs/>
                      <w:color w:val="auto"/>
                      <w:sz w:val="21"/>
                      <w:szCs w:val="21"/>
                      <w:lang w:val="en-US" w:eastAsia="zh-CN"/>
                      <w:highlight w:val="none"/>
                    </w:rPr>
                    <w:t>二次油气回收系统处理；</w:t>
                  </w:r>
                  <w:r>
                    <w:rPr>
                      <w:rFonts w:ascii="Times New Roman" w:cs="Times New Roman" w:hAnsi="Times New Roman"/>
                      <w:bCs/>
                      <w:color w:val="auto"/>
                      <w:sz w:val="21"/>
                      <w:szCs w:val="21"/>
                      <w:lang w:eastAsia="zh-CN"/>
                      <w:highlight w:val="none"/>
                    </w:rPr>
                    <w:t>储油</w:t>
                  </w:r>
                  <w:r>
                    <w:rPr>
                      <w:rFonts w:ascii="Times New Roman" w:cs="Times New Roman" w:hAnsi="Times New Roman"/>
                      <w:bCs/>
                      <w:color w:val="auto"/>
                      <w:sz w:val="21"/>
                      <w:szCs w:val="21"/>
                      <w:lang w:val="en-US" w:eastAsia="zh-CN"/>
                      <w:highlight w:val="none"/>
                    </w:rPr>
                    <w:t>产生的油气由油气处理装置处理后经不低于4m排气筒排放</w:t>
                  </w:r>
                  <w:r>
                    <w:rPr>
                      <w:rFonts w:ascii="Times New Roman" w:cs="Times New Roman" w:hAnsi="Times New Roman"/>
                      <w:color w:val="auto"/>
                      <w:kern w:val="0"/>
                      <w:sz w:val="21"/>
                      <w:szCs w:val="21"/>
                      <w:highlight w:val="none"/>
                    </w:rPr>
                    <w:t>。</w:t>
                  </w:r>
                </w:p>
              </w:tc>
              <w:tc>
                <w:tcPr>
                  <w:tcW w:w="466"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hint="eastAsia"/>
                      <w:kern w:val="0"/>
                      <w:sz w:val="21"/>
                      <w:szCs w:val="21"/>
                      <w:lang w:eastAsia="zh-CN"/>
                    </w:rPr>
                  </w:pPr>
                  <w:r>
                    <w:rPr>
                      <w:rFonts w:ascii="Times New Roman" w:cs="Times New Roman" w:hAnsi="Times New Roman" w:hint="eastAsia"/>
                      <w:kern w:val="0"/>
                      <w:sz w:val="21"/>
                      <w:szCs w:val="21"/>
                      <w:lang w:val="en-US" w:eastAsia="zh-CN"/>
                    </w:rPr>
                    <w:t>符合</w:t>
                  </w:r>
                </w:p>
              </w:tc>
            </w:tr>
            <w:tr>
              <w:trPr>
                <w:trHeight w:val="397"/>
              </w:trPr>
              <w:tc>
                <w:tcPr>
                  <w:tcW w:w="321"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rPr>
                  </w:pPr>
                  <w:r>
                    <w:rPr>
                      <w:rFonts w:ascii="Times New Roman" w:cs="Times New Roman" w:hAnsi="Times New Roman"/>
                      <w:kern w:val="0"/>
                      <w:sz w:val="21"/>
                      <w:szCs w:val="21"/>
                    </w:rPr>
                    <w:t>地表水环境</w:t>
                  </w:r>
                </w:p>
              </w:tc>
              <w:tc>
                <w:tcPr>
                  <w:tcW w:w="272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kern w:val="0"/>
                      <w:sz w:val="21"/>
                      <w:szCs w:val="21"/>
                      <w:highlight w:val="none"/>
                    </w:rPr>
                  </w:pPr>
                  <w:r>
                    <w:rPr>
                      <w:rFonts w:ascii="Times New Roman" w:cs="Times New Roman" w:hAnsi="Times New Roman"/>
                      <w:kern w:val="0"/>
                      <w:sz w:val="21"/>
                      <w:szCs w:val="21"/>
                      <w:highlight w:val="none"/>
                    </w:rPr>
                    <w:t>本次评价根据新乡市2014年-2018年《环境质量公报》及新乡市生态环境局网站公布的2018年第1期至2018年第12期新乡市地表水环境责任目标断面水质月报，统计了柳青河黄塔桥断面2014年-2018年的水质平均值及2018年的月均水质情况，柳青河黄塔桥监测断面2014年至2016年属于断流状态，2017年、2018年COD年均值、NH</w:t>
                  </w:r>
                  <w:r>
                    <w:rPr>
                      <w:rFonts w:ascii="Times New Roman" w:cs="Times New Roman" w:hAnsi="Times New Roman"/>
                      <w:kern w:val="0"/>
                      <w:sz w:val="21"/>
                      <w:szCs w:val="21"/>
                      <w:vertAlign w:val="subscript"/>
                      <w:highlight w:val="none"/>
                    </w:rPr>
                    <w:t>3</w:t>
                  </w:r>
                  <w:r>
                    <w:rPr>
                      <w:rFonts w:ascii="Times New Roman" w:cs="Times New Roman" w:hAnsi="Times New Roman"/>
                      <w:kern w:val="0"/>
                      <w:sz w:val="21"/>
                      <w:szCs w:val="21"/>
                      <w:highlight w:val="none"/>
                    </w:rPr>
                    <w:t>-N平均值、总磷平均值均能满足《地表水环境质量标准》（GB3838-2002）Ⅳ类标准要求。</w:t>
                  </w:r>
                </w:p>
              </w:tc>
              <w:tc>
                <w:tcPr>
                  <w:tcW w:w="148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both"/>
                    <w:rPr>
                      <w:rFonts w:eastAsia="宋体"/>
                      <w:color w:val="auto"/>
                      <w:kern w:val="0"/>
                      <w:sz w:val="21"/>
                      <w:szCs w:val="21"/>
                      <w:lang w:val="en-US" w:eastAsia="zh-CN"/>
                      <w:highlight w:val="none"/>
                    </w:rPr>
                  </w:pPr>
                  <w:r>
                    <w:rPr>
                      <w:rFonts w:ascii="Times New Roman" w:cs="Times New Roman" w:hAnsi="Times New Roman" w:hint="eastAsia"/>
                      <w:color w:val="auto"/>
                      <w:kern w:val="0"/>
                      <w:sz w:val="21"/>
                      <w:szCs w:val="21"/>
                      <w:highlight w:val="none"/>
                    </w:rPr>
                    <w:t>本项目</w:t>
                  </w:r>
                  <w:r>
                    <w:rPr>
                      <w:rFonts w:ascii="Times New Roman" w:cs="Times New Roman" w:hAnsi="Times New Roman" w:hint="eastAsia"/>
                      <w:color w:val="auto"/>
                      <w:kern w:val="0"/>
                      <w:sz w:val="21"/>
                      <w:szCs w:val="21"/>
                      <w:lang w:val="en-US" w:eastAsia="zh-CN"/>
                      <w:highlight w:val="none"/>
                    </w:rPr>
                    <w:t>生活污水经化粪池处理后，</w:t>
                  </w:r>
                  <w:r>
                    <w:rPr>
                      <w:rFonts w:ascii="Times New Roman" w:cs="Times New Roman" w:hAnsi="Times New Roman"/>
                      <w:color w:val="auto"/>
                      <w:sz w:val="21"/>
                      <w:szCs w:val="21"/>
                      <w:lang w:val="en-US" w:eastAsia="zh-CN"/>
                    </w:rPr>
                    <w:t>由管网排入延津县第二污水处理厂进行处理</w:t>
                  </w:r>
                  <w:r>
                    <w:rPr>
                      <w:rFonts w:ascii="Times New Roman" w:cs="Times New Roman" w:hAnsi="Times New Roman" w:hint="eastAsia"/>
                      <w:color w:val="auto"/>
                      <w:kern w:val="0"/>
                      <w:sz w:val="21"/>
                      <w:szCs w:val="21"/>
                      <w:lang w:val="en-US" w:eastAsia="zh-CN"/>
                      <w:highlight w:val="none"/>
                    </w:rPr>
                    <w:t>。</w:t>
                  </w:r>
                </w:p>
              </w:tc>
              <w:tc>
                <w:tcPr>
                  <w:tcW w:w="466"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rPr>
                  </w:pPr>
                  <w:r>
                    <w:rPr>
                      <w:rFonts w:ascii="Times New Roman" w:cs="Times New Roman" w:hAnsi="Times New Roman"/>
                      <w:kern w:val="0"/>
                      <w:sz w:val="21"/>
                      <w:szCs w:val="21"/>
                    </w:rPr>
                    <w:t>符合</w:t>
                  </w:r>
                </w:p>
              </w:tc>
            </w:tr>
            <w:tr>
              <w:trPr>
                <w:trHeight w:val="397"/>
              </w:trPr>
              <w:tc>
                <w:tcPr>
                  <w:tcW w:w="321"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rPr>
                  </w:pPr>
                  <w:r>
                    <w:rPr>
                      <w:rFonts w:ascii="Times New Roman" w:cs="Times New Roman" w:hAnsi="Times New Roman"/>
                      <w:kern w:val="0"/>
                      <w:sz w:val="21"/>
                      <w:szCs w:val="21"/>
                    </w:rPr>
                    <w:t>地下水环境</w:t>
                  </w:r>
                </w:p>
              </w:tc>
              <w:tc>
                <w:tcPr>
                  <w:tcW w:w="272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kern w:val="0"/>
                      <w:sz w:val="21"/>
                      <w:szCs w:val="21"/>
                    </w:rPr>
                  </w:pPr>
                  <w:r>
                    <w:rPr>
                      <w:rFonts w:ascii="Times New Roman" w:cs="Times New Roman" w:hAnsi="Times New Roman"/>
                      <w:kern w:val="0"/>
                      <w:sz w:val="21"/>
                      <w:szCs w:val="21"/>
                    </w:rPr>
                    <w:t>由于延津县产业集聚区未按照原规划环评要求定期进行地下水监测，且本次跟踪评价期间，未找到监测时间连续及监测因子相同的监测点位，本次跟踪评价利用原规划环评中的地下水监测数据与本次监测数据对比来说明区域地下水环境质量变化趋势。与原规划环评监测数据相比，沙门村、十八里庄村两个监测点位的监测因子均满足《地下水质量标准》（GB/T14848-2017）Ⅲ类，各监测因子变化幅度不大，说明随着规划的实施，该区域地下水环境质量未发生明显变化。</w:t>
                  </w:r>
                </w:p>
              </w:tc>
              <w:tc>
                <w:tcPr>
                  <w:tcW w:w="148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color w:val="auto"/>
                      <w:kern w:val="0"/>
                      <w:sz w:val="21"/>
                      <w:szCs w:val="21"/>
                    </w:rPr>
                  </w:pPr>
                  <w:r>
                    <w:rPr>
                      <w:rFonts w:ascii="Times New Roman" w:cs="Times New Roman" w:hAnsi="Times New Roman"/>
                      <w:color w:val="auto"/>
                      <w:kern w:val="0"/>
                      <w:sz w:val="21"/>
                      <w:szCs w:val="21"/>
                    </w:rPr>
                    <w:t>本项目</w:t>
                  </w:r>
                  <w:r>
                    <w:rPr>
                      <w:rFonts w:ascii="Times New Roman" w:cs="Times New Roman" w:hAnsi="Times New Roman" w:hint="eastAsia"/>
                      <w:color w:val="auto"/>
                      <w:kern w:val="0"/>
                      <w:sz w:val="21"/>
                      <w:szCs w:val="21"/>
                      <w:lang w:val="en-US" w:eastAsia="zh-CN"/>
                    </w:rPr>
                    <w:t>油罐为</w:t>
                  </w:r>
                  <w:r>
                    <w:rPr>
                      <w:rFonts w:ascii="Times New Roman" w:cs="Times New Roman" w:hAnsi="Times New Roman"/>
                      <w:color w:val="auto"/>
                      <w:kern w:val="0"/>
                      <w:sz w:val="21"/>
                      <w:szCs w:val="21"/>
                      <w:lang w:val="en-US" w:eastAsia="zh-CN"/>
                    </w:rPr>
                    <w:t>卧式内钢外玻璃纤维双层罐</w:t>
                  </w:r>
                  <w:r>
                    <w:rPr>
                      <w:rFonts w:ascii="Times New Roman" w:cs="Times New Roman" w:hAnsi="Times New Roman" w:hint="eastAsia"/>
                      <w:color w:val="auto"/>
                      <w:kern w:val="0"/>
                      <w:sz w:val="21"/>
                      <w:szCs w:val="21"/>
                      <w:lang w:val="en-US" w:eastAsia="zh-CN"/>
                    </w:rPr>
                    <w:t>，并做好防腐防渗措施，不会污染地下水</w:t>
                  </w:r>
                  <w:r>
                    <w:rPr>
                      <w:rFonts w:ascii="Times New Roman" w:cs="Times New Roman" w:hAnsi="Times New Roman"/>
                      <w:color w:val="auto"/>
                      <w:kern w:val="0"/>
                      <w:sz w:val="21"/>
                      <w:szCs w:val="21"/>
                    </w:rPr>
                    <w:t>。</w:t>
                  </w:r>
                </w:p>
              </w:tc>
              <w:tc>
                <w:tcPr>
                  <w:tcW w:w="466"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hint="eastAsia"/>
                      <w:kern w:val="0"/>
                      <w:sz w:val="21"/>
                      <w:szCs w:val="21"/>
                      <w:lang w:eastAsia="zh-CN"/>
                    </w:rPr>
                  </w:pPr>
                  <w:r>
                    <w:rPr>
                      <w:rFonts w:ascii="Times New Roman" w:cs="Times New Roman" w:hAnsi="Times New Roman" w:hint="eastAsia"/>
                      <w:color w:val="auto"/>
                      <w:sz w:val="21"/>
                      <w:szCs w:val="21"/>
                      <w:lang w:val="en-US" w:eastAsia="zh-CN"/>
                    </w:rPr>
                    <w:t>/</w:t>
                  </w:r>
                </w:p>
              </w:tc>
            </w:tr>
            <w:tr>
              <w:trPr>
                <w:trHeight w:val="397"/>
              </w:trPr>
              <w:tc>
                <w:tcPr>
                  <w:tcW w:w="321"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rPr>
                  </w:pPr>
                  <w:r>
                    <w:rPr>
                      <w:rFonts w:ascii="Times New Roman" w:cs="Times New Roman" w:hAnsi="Times New Roman"/>
                      <w:kern w:val="0"/>
                      <w:sz w:val="21"/>
                      <w:szCs w:val="21"/>
                    </w:rPr>
                    <w:t>噪声环境</w:t>
                  </w:r>
                </w:p>
              </w:tc>
              <w:tc>
                <w:tcPr>
                  <w:tcW w:w="272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kern w:val="0"/>
                      <w:sz w:val="21"/>
                      <w:szCs w:val="21"/>
                    </w:rPr>
                  </w:pPr>
                  <w:r>
                    <w:rPr>
                      <w:rFonts w:ascii="Times New Roman" w:cs="Times New Roman" w:hAnsi="Times New Roman"/>
                      <w:kern w:val="0"/>
                      <w:sz w:val="21"/>
                      <w:szCs w:val="21"/>
                    </w:rPr>
                    <w:t>本次跟踪评价期间，未找到监测时间连续及监测因子相同的噪声监测点位，本次跟踪评价利用原规划环评中的噪声监测数据与本次监测数据对比来说明区域噪声环境质量变化趋势。重叠的四个监测点位噪声检测数值均能满足《声环境质量标准》（GB3096-2008）相应评价标准要求，且变化不大，说明规划实施后区域内噪声环境质量变化不大。</w:t>
                  </w:r>
                </w:p>
              </w:tc>
              <w:tc>
                <w:tcPr>
                  <w:tcW w:w="148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color w:val="auto"/>
                      <w:kern w:val="0"/>
                      <w:sz w:val="21"/>
                      <w:szCs w:val="21"/>
                    </w:rPr>
                  </w:pPr>
                  <w:r>
                    <w:rPr>
                      <w:rFonts w:ascii="Times New Roman" w:cs="Times New Roman" w:hAnsi="Times New Roman"/>
                      <w:color w:val="auto"/>
                      <w:kern w:val="0"/>
                      <w:sz w:val="21"/>
                      <w:szCs w:val="21"/>
                    </w:rPr>
                    <w:t>本项目</w:t>
                  </w:r>
                  <w:r>
                    <w:rPr>
                      <w:rFonts w:ascii="Times New Roman" w:cs="Times New Roman" w:hAnsi="Times New Roman" w:hint="eastAsia"/>
                      <w:color w:val="auto"/>
                      <w:sz w:val="21"/>
                      <w:szCs w:val="21"/>
                    </w:rPr>
                    <w:t>属于</w:t>
                  </w:r>
                  <w:r>
                    <w:rPr>
                      <w:rFonts w:ascii="Times New Roman" w:cs="Times New Roman" w:hAnsi="Times New Roman" w:hint="eastAsia"/>
                      <w:color w:val="auto"/>
                      <w:sz w:val="21"/>
                      <w:szCs w:val="21"/>
                      <w:lang w:val="en-US" w:eastAsia="zh-CN"/>
                    </w:rPr>
                    <w:t>加油站</w:t>
                  </w:r>
                  <w:r>
                    <w:rPr>
                      <w:rFonts w:ascii="Times New Roman" w:cs="Times New Roman" w:hAnsi="Times New Roman" w:hint="eastAsia"/>
                      <w:color w:val="auto"/>
                      <w:sz w:val="21"/>
                      <w:szCs w:val="21"/>
                    </w:rPr>
                    <w:t>项目</w:t>
                  </w:r>
                  <w:r>
                    <w:rPr>
                      <w:rFonts w:ascii="Times New Roman" w:cs="Times New Roman" w:hAnsi="Times New Roman" w:hint="eastAsia"/>
                      <w:color w:val="auto"/>
                      <w:kern w:val="0"/>
                      <w:sz w:val="21"/>
                      <w:szCs w:val="21"/>
                    </w:rPr>
                    <w:t>，</w:t>
                  </w:r>
                  <w:r>
                    <w:rPr>
                      <w:rFonts w:ascii="Times New Roman" w:cs="Times New Roman" w:hAnsi="Times New Roman" w:hint="eastAsia"/>
                      <w:color w:val="auto"/>
                      <w:kern w:val="0"/>
                      <w:sz w:val="21"/>
                      <w:szCs w:val="21"/>
                      <w:lang w:val="en-US" w:eastAsia="zh-CN"/>
                    </w:rPr>
                    <w:t>噪声经基础减震、厂房隔声等措施，厂界四周均达标</w:t>
                  </w:r>
                  <w:r>
                    <w:rPr>
                      <w:rFonts w:ascii="Times New Roman" w:cs="Times New Roman" w:hAnsi="Times New Roman"/>
                      <w:color w:val="auto"/>
                      <w:kern w:val="0"/>
                      <w:sz w:val="21"/>
                      <w:szCs w:val="21"/>
                    </w:rPr>
                    <w:t>。</w:t>
                  </w:r>
                </w:p>
              </w:tc>
              <w:tc>
                <w:tcPr>
                  <w:tcW w:w="466"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hint="eastAsia"/>
                      <w:kern w:val="0"/>
                      <w:sz w:val="21"/>
                      <w:szCs w:val="21"/>
                      <w:lang w:eastAsia="zh-CN"/>
                    </w:rPr>
                  </w:pPr>
                  <w:r>
                    <w:rPr>
                      <w:rFonts w:ascii="Times New Roman" w:cs="Times New Roman" w:hAnsi="Times New Roman" w:hint="eastAsia"/>
                      <w:kern w:val="0"/>
                      <w:sz w:val="21"/>
                      <w:szCs w:val="21"/>
                      <w:lang w:val="en-US" w:eastAsia="zh-CN"/>
                    </w:rPr>
                    <w:t>符合</w:t>
                  </w:r>
                </w:p>
              </w:tc>
            </w:tr>
            <w:tr>
              <w:trPr>
                <w:trHeight w:val="397"/>
              </w:trPr>
              <w:tc>
                <w:tcPr>
                  <w:tcW w:w="321"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rPr>
                  </w:pPr>
                  <w:r>
                    <w:rPr>
                      <w:rFonts w:ascii="Times New Roman" w:cs="Times New Roman" w:hAnsi="Times New Roman"/>
                      <w:kern w:val="0"/>
                      <w:sz w:val="21"/>
                      <w:szCs w:val="21"/>
                    </w:rPr>
                    <w:t>土壤环境</w:t>
                  </w:r>
                </w:p>
              </w:tc>
              <w:tc>
                <w:tcPr>
                  <w:tcW w:w="272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kern w:val="0"/>
                      <w:sz w:val="21"/>
                      <w:szCs w:val="21"/>
                    </w:rPr>
                  </w:pPr>
                  <w:r>
                    <w:rPr>
                      <w:rFonts w:ascii="Times New Roman" w:cs="Times New Roman" w:hAnsi="Times New Roman"/>
                      <w:kern w:val="0"/>
                      <w:sz w:val="21"/>
                      <w:szCs w:val="21"/>
                    </w:rPr>
                    <w:t>由于延津县产业集聚区未按照原规划环评要求定期进行土壤监测，且本次跟踪评价期间，未找到监测时间连续及监测因子相同的监测点位，本次跟踪评价利用原规划环评中的土壤监测数据与本次监测数据对比来说明区域土壤环境质量变化趋势。根据原规划环评土壤环境现状评价结论，园区土壤环境质量较好，各监测点监测值均能满足《土壤环境质量标准》（GB15618-1995）二级标准限值。对比两次检测结果，各监测因子变化幅度不大，说明随着规划的实施，该区域土壤环境质量未发生明显变化。</w:t>
                  </w:r>
                </w:p>
              </w:tc>
              <w:tc>
                <w:tcPr>
                  <w:tcW w:w="148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color w:val="auto"/>
                      <w:kern w:val="0"/>
                      <w:sz w:val="21"/>
                      <w:szCs w:val="21"/>
                    </w:rPr>
                  </w:pPr>
                  <w:r>
                    <w:rPr>
                      <w:rFonts w:ascii="Times New Roman" w:cs="Times New Roman" w:hAnsi="Times New Roman"/>
                      <w:color w:val="auto"/>
                      <w:kern w:val="0"/>
                      <w:sz w:val="21"/>
                      <w:szCs w:val="21"/>
                    </w:rPr>
                    <w:t>本项目</w:t>
                  </w:r>
                  <w:r>
                    <w:rPr>
                      <w:rFonts w:ascii="Times New Roman" w:cs="Times New Roman" w:hAnsi="Times New Roman" w:hint="eastAsia"/>
                      <w:color w:val="auto"/>
                      <w:kern w:val="0"/>
                      <w:sz w:val="21"/>
                      <w:szCs w:val="21"/>
                      <w:lang w:val="en-US" w:eastAsia="zh-CN"/>
                    </w:rPr>
                    <w:t>油罐为</w:t>
                  </w:r>
                  <w:r>
                    <w:rPr>
                      <w:rFonts w:ascii="Times New Roman" w:cs="Times New Roman" w:hAnsi="Times New Roman"/>
                      <w:color w:val="auto"/>
                      <w:kern w:val="0"/>
                      <w:sz w:val="21"/>
                      <w:szCs w:val="21"/>
                      <w:lang w:val="en-US" w:eastAsia="zh-CN"/>
                    </w:rPr>
                    <w:t>卧式内钢外玻璃纤维双层罐</w:t>
                  </w:r>
                  <w:r>
                    <w:rPr>
                      <w:rFonts w:ascii="Times New Roman" w:cs="Times New Roman" w:hAnsi="Times New Roman" w:hint="eastAsia"/>
                      <w:color w:val="auto"/>
                      <w:kern w:val="0"/>
                      <w:sz w:val="21"/>
                      <w:szCs w:val="21"/>
                      <w:lang w:val="en-US" w:eastAsia="zh-CN"/>
                    </w:rPr>
                    <w:t>，并做好防腐防渗且厂区地方全部硬化，不会污染土壤</w:t>
                  </w:r>
                  <w:r>
                    <w:rPr>
                      <w:rFonts w:ascii="Times New Roman" w:cs="Times New Roman" w:hAnsi="Times New Roman"/>
                      <w:color w:val="auto"/>
                      <w:kern w:val="0"/>
                      <w:sz w:val="21"/>
                      <w:szCs w:val="21"/>
                    </w:rPr>
                    <w:t>。</w:t>
                  </w:r>
                </w:p>
              </w:tc>
              <w:tc>
                <w:tcPr>
                  <w:tcW w:w="466"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rPr>
                  </w:pPr>
                  <w:r>
                    <w:rPr>
                      <w:rFonts w:ascii="Times New Roman" w:cs="Times New Roman" w:hAnsi="Times New Roman"/>
                      <w:color w:val="auto"/>
                      <w:sz w:val="21"/>
                      <w:szCs w:val="21"/>
                    </w:rPr>
                    <w:t>符合</w:t>
                  </w:r>
                </w:p>
              </w:tc>
            </w:tr>
            <w:tr>
              <w:trPr>
                <w:trHeight w:val="397"/>
              </w:trPr>
              <w:tc>
                <w:tcPr>
                  <w:tcW w:w="321"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rPr>
                  </w:pPr>
                  <w:r>
                    <w:rPr>
                      <w:rFonts w:ascii="Times New Roman" w:cs="Times New Roman" w:hAnsi="Times New Roman"/>
                      <w:kern w:val="0"/>
                      <w:sz w:val="21"/>
                      <w:szCs w:val="21"/>
                    </w:rPr>
                    <w:t>生态环境</w:t>
                  </w:r>
                </w:p>
              </w:tc>
              <w:tc>
                <w:tcPr>
                  <w:tcW w:w="272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kern w:val="0"/>
                      <w:sz w:val="21"/>
                      <w:szCs w:val="21"/>
                    </w:rPr>
                  </w:pPr>
                  <w:r>
                    <w:rPr>
                      <w:rFonts w:ascii="Times New Roman" w:cs="Times New Roman" w:hAnsi="Times New Roman"/>
                      <w:kern w:val="0"/>
                      <w:sz w:val="21"/>
                      <w:szCs w:val="21"/>
                    </w:rPr>
                    <w:t>对照区域“三线一单”相符性分析中生态保护红线相关内容，本次评价仅针对园区内的生态环境敏感区吴起城文物保护区来说明区域内生态环境敏感区的生态环境质量现状和存在的问题。</w:t>
                  </w:r>
                </w:p>
                <w:p>
                  <w:pPr>
                    <w:keepNext w:val="0"/>
                    <w:keepLines w:val="0"/>
                    <w:widowControl/>
                    <w:suppressLineNumbers w:val="0"/>
                    <w:spacing w:before="0" w:beforeAutospacing="0" w:after="0" w:afterAutospacing="0" w:line="240" w:lineRule="auto"/>
                    <w:ind w:left="0" w:right="0"/>
                    <w:jc w:val="left"/>
                    <w:rPr>
                      <w:kern w:val="0"/>
                      <w:sz w:val="21"/>
                      <w:szCs w:val="21"/>
                    </w:rPr>
                  </w:pPr>
                  <w:r>
                    <w:rPr>
                      <w:rFonts w:ascii="Times New Roman" w:cs="Times New Roman" w:hAnsi="Times New Roman"/>
                      <w:kern w:val="0"/>
                      <w:sz w:val="21"/>
                      <w:szCs w:val="21"/>
                    </w:rPr>
                    <w:t>吴起城文物保护区内以农田为主，同时分布着片状树林，保护区内未修建任何构筑物。根据北区原土地利用规划，此处规划为综合性公共绿地，截至目前，并未进行开发绿化。</w:t>
                  </w:r>
                </w:p>
              </w:tc>
              <w:tc>
                <w:tcPr>
                  <w:tcW w:w="1483" w:type="pct"/>
                  <w:tcBorders>
                    <w:tl2br w:val="nil"/>
                    <w:tr2bl w:val="nil"/>
                  </w:tcBorders>
                  <w:vAlign w:val="center"/>
                </w:tcPr>
                <w:p>
                  <w:pPr>
                    <w:keepNext w:val="0"/>
                    <w:keepLines w:val="0"/>
                    <w:widowControl/>
                    <w:suppressLineNumbers w:val="0"/>
                    <w:spacing w:before="0" w:beforeAutospacing="0" w:after="0" w:afterAutospacing="0" w:line="240" w:lineRule="auto"/>
                    <w:ind w:left="0" w:right="0"/>
                    <w:rPr>
                      <w:color w:val="auto"/>
                      <w:kern w:val="0"/>
                      <w:sz w:val="21"/>
                      <w:szCs w:val="21"/>
                    </w:rPr>
                  </w:pPr>
                  <w:r>
                    <w:rPr>
                      <w:rFonts w:ascii="Times New Roman" w:cs="Times New Roman" w:hAnsi="Times New Roman"/>
                      <w:color w:val="auto"/>
                      <w:kern w:val="0"/>
                      <w:sz w:val="21"/>
                      <w:szCs w:val="21"/>
                    </w:rPr>
                    <w:t>本项目位于</w:t>
                  </w:r>
                  <w:r>
                    <w:rPr>
                      <w:rFonts w:ascii="Times New Roman" w:cs="Times New Roman" w:hAnsi="Times New Roman" w:hint="eastAsia"/>
                      <w:color w:val="auto"/>
                      <w:kern w:val="0"/>
                      <w:sz w:val="21"/>
                      <w:szCs w:val="21"/>
                      <w:lang w:val="en-US" w:eastAsia="zh-CN"/>
                    </w:rPr>
                    <w:t>新乡市延津县化工园区纬一路与榆林排交叉口东南角</w:t>
                  </w:r>
                  <w:r>
                    <w:rPr>
                      <w:rFonts w:ascii="Times New Roman" w:cs="Times New Roman" w:hAnsi="Times New Roman"/>
                      <w:color w:val="auto"/>
                      <w:kern w:val="0"/>
                      <w:sz w:val="21"/>
                      <w:szCs w:val="21"/>
                    </w:rPr>
                    <w:t>，该项目建设符合国家产业政策和国家土地供应政策，用地符合相关规定。</w:t>
                  </w:r>
                </w:p>
              </w:tc>
              <w:tc>
                <w:tcPr>
                  <w:tcW w:w="466"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rPr>
                  </w:pPr>
                  <w:r>
                    <w:rPr>
                      <w:rFonts w:ascii="Times New Roman" w:cs="Times New Roman" w:hAnsi="Times New Roman"/>
                      <w:kern w:val="0"/>
                      <w:sz w:val="21"/>
                      <w:szCs w:val="21"/>
                    </w:rPr>
                    <w:t>符合</w:t>
                  </w:r>
                </w:p>
              </w:tc>
            </w:tr>
          </w:tbl>
          <w:p>
            <w:pPr>
              <w:keepNext w:val="0"/>
              <w:keepLines w:val="0"/>
              <w:suppressLineNumbers w:val="0"/>
              <w:adjustRightInd w:val="0"/>
              <w:snapToGrid w:val="0"/>
              <w:spacing w:before="0" w:beforeAutospacing="0" w:after="0" w:afterAutospacing="0" w:line="460" w:lineRule="exact"/>
              <w:ind w:left="0" w:right="0" w:firstLineChars="200" w:firstLine="480"/>
              <w:rPr>
                <w:sz w:val="24"/>
              </w:rPr>
            </w:pPr>
            <w:r>
              <w:rPr>
                <w:rFonts w:ascii="Times New Roman" w:cs="Times New Roman" w:hAnsi="Times New Roman" w:hint="eastAsia"/>
                <w:sz w:val="24"/>
                <w:szCs w:val="20"/>
              </w:rPr>
              <w:t>本项目与跟踪评价结论不冲突，符合《延津县产业集聚区北区发展规划（2013-2020）环境影响跟踪评价报告书》结论要求。</w:t>
            </w:r>
          </w:p>
          <w:p>
            <w:pPr>
              <w:keepNext w:val="0"/>
              <w:keepLines w:val="0"/>
              <w:suppressLineNumbers w:val="0"/>
              <w:adjustRightInd w:val="0"/>
              <w:snapToGrid w:val="0"/>
              <w:spacing w:before="0" w:beforeAutospacing="0" w:after="0" w:afterAutospacing="0" w:line="460" w:lineRule="exact"/>
              <w:ind w:left="0" w:right="0" w:firstLineChars="200" w:firstLine="480"/>
              <w:rPr>
                <w:rFonts w:hint="eastAsia"/>
                <w:sz w:val="24"/>
              </w:rPr>
            </w:pPr>
            <w:r>
              <w:rPr>
                <w:rFonts w:ascii="Times New Roman" w:cs="Times New Roman" w:hAnsi="Times New Roman" w:hint="eastAsia"/>
                <w:sz w:val="24"/>
                <w:szCs w:val="20"/>
              </w:rPr>
              <w:t>本项目与《延津县产业集聚区北区发展规划（2013-2020）环境影响跟踪评价报告书》审核意见对照分析见下表。</w:t>
            </w:r>
          </w:p>
          <w:p>
            <w:pPr>
              <w:keepNext w:val="0"/>
              <w:keepLines w:val="0"/>
              <w:suppressLineNumbers w:val="0"/>
              <w:adjustRightInd w:val="0"/>
              <w:snapToGrid w:val="0"/>
              <w:spacing w:before="0" w:beforeAutospacing="0" w:after="0" w:afterAutospacing="0" w:line="460" w:lineRule="exact"/>
              <w:ind w:left="0" w:right="0" w:firstLineChars="200" w:firstLine="480"/>
              <w:rPr>
                <w:rFonts w:hint="eastAsia"/>
                <w:sz w:val="24"/>
              </w:rPr>
            </w:pPr>
          </w:p>
          <w:p>
            <w:pPr>
              <w:keepNext w:val="0"/>
              <w:keepLines w:val="0"/>
              <w:suppressLineNumbers w:val="0"/>
              <w:adjustRightInd w:val="0"/>
              <w:snapToGrid w:val="0"/>
              <w:spacing w:before="0" w:beforeAutospacing="0" w:after="0" w:afterAutospacing="0" w:line="460" w:lineRule="exact"/>
              <w:ind w:left="0" w:right="0" w:firstLineChars="200" w:firstLine="480"/>
              <w:rPr>
                <w:sz w:val="24"/>
              </w:rPr>
            </w:pP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本项目与审核意见对比分析一览表</w:t>
            </w:r>
          </w:p>
          <w:tbl>
            <w:tblPr>
              <w:jc w:val="cente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093"/>
              <w:gridCol w:w="3979"/>
              <w:gridCol w:w="2343"/>
              <w:gridCol w:w="779"/>
            </w:tblGrid>
            <w:tr>
              <w:trPr>
                <w:trHeight w:val="397"/>
              </w:trPr>
              <w:tc>
                <w:tcPr>
                  <w:tcW w:w="926"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hint="eastAsia"/>
                      <w:b/>
                      <w:bCs/>
                      <w:sz w:val="21"/>
                      <w:szCs w:val="21"/>
                    </w:rPr>
                    <w:t>类别</w:t>
                  </w:r>
                </w:p>
              </w:tc>
              <w:tc>
                <w:tcPr>
                  <w:tcW w:w="337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hint="eastAsia"/>
                      <w:b/>
                      <w:bCs/>
                      <w:sz w:val="21"/>
                      <w:szCs w:val="21"/>
                    </w:rPr>
                    <w:t>审核意见内容</w:t>
                  </w:r>
                </w:p>
              </w:tc>
              <w:tc>
                <w:tcPr>
                  <w:tcW w:w="1984"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b/>
                      <w:bCs/>
                      <w:sz w:val="21"/>
                      <w:szCs w:val="21"/>
                    </w:rPr>
                    <w:t>本项目情况</w:t>
                  </w:r>
                </w:p>
              </w:tc>
              <w:tc>
                <w:tcPr>
                  <w:tcW w:w="66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b/>
                      <w:bCs/>
                      <w:sz w:val="21"/>
                      <w:szCs w:val="21"/>
                    </w:rPr>
                  </w:pPr>
                  <w:r>
                    <w:rPr>
                      <w:rFonts w:ascii="Times New Roman" w:cs="Times New Roman" w:hAnsi="Times New Roman" w:hint="eastAsia"/>
                      <w:b/>
                      <w:bCs/>
                      <w:sz w:val="21"/>
                      <w:szCs w:val="21"/>
                    </w:rPr>
                    <w:t>相符性</w:t>
                  </w:r>
                </w:p>
              </w:tc>
            </w:tr>
            <w:tr>
              <w:trPr>
                <w:trHeight w:val="397"/>
              </w:trPr>
              <w:tc>
                <w:tcPr>
                  <w:tcW w:w="926"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（一）合理用地布局</w:t>
                  </w:r>
                </w:p>
              </w:tc>
              <w:tc>
                <w:tcPr>
                  <w:tcW w:w="337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rPr>
                      <w:rFonts w:cs="Times New Roman"/>
                      <w:sz w:val="21"/>
                      <w:szCs w:val="21"/>
                    </w:rPr>
                  </w:pPr>
                  <w:r>
                    <w:rPr>
                      <w:rFonts w:ascii="Times New Roman" w:cs="Times New Roman" w:hAnsi="Times New Roman" w:hint="eastAsia"/>
                      <w:sz w:val="21"/>
                      <w:szCs w:val="21"/>
                    </w:rPr>
                    <w:t>进一步加强与《延津县城市总体规划（2017-2035）》的衔接，优化调整用地布局，在开发过程中不应随意改变各用地功能区的使用功能；对吴起城遗址保护区和建设控制地带，按照《文物保护法》要求进行建设；按照《报告书》要求，落实对区内不符合主导产业的企业优化调整建议；</w:t>
                  </w:r>
                </w:p>
                <w:p>
                  <w:pPr>
                    <w:pStyle w:val="77"/>
                    <w:keepNext w:val="0"/>
                    <w:keepLines w:val="0"/>
                    <w:suppressLineNumbers w:val="0"/>
                    <w:spacing w:before="0" w:beforeAutospacing="0" w:after="0" w:afterAutospacing="0" w:line="240" w:lineRule="auto"/>
                    <w:ind w:left="0" w:right="0" w:firstLineChars="0" w:firstLine="0"/>
                    <w:rPr>
                      <w:rFonts w:cs="Times New Roman"/>
                      <w:sz w:val="21"/>
                      <w:szCs w:val="21"/>
                    </w:rPr>
                  </w:pPr>
                  <w:r>
                    <w:rPr>
                      <w:rFonts w:ascii="Times New Roman" w:cs="Times New Roman" w:hAnsi="Times New Roman" w:hint="eastAsia"/>
                      <w:sz w:val="21"/>
                      <w:szCs w:val="21"/>
                    </w:rPr>
                    <w:t>加强对居民集中区等敏感目标的保护，工业区与生活居住区之间设置绿化隔离带；加快区内现有项目大气环境防护距离内居民搬迁工作，在区内建设项目大气环境防护距离内，不得规划新建居住区、学校、医院等环境敏感目标。</w:t>
                  </w:r>
                </w:p>
              </w:tc>
              <w:tc>
                <w:tcPr>
                  <w:tcW w:w="1984" w:type="dxa"/>
                  <w:tcBorders>
                    <w:tl2br w:val="nil"/>
                    <w:tr2bl w:val="nil"/>
                  </w:tcBorders>
                  <w:vAlign w:val="center"/>
                </w:tcPr>
                <w:p>
                  <w:pPr>
                    <w:pStyle w:val="45"/>
                    <w:keepNext w:val="0"/>
                    <w:keepLines w:val="0"/>
                    <w:suppressLineNumbers w:val="0"/>
                    <w:bidi w:val="0"/>
                    <w:spacing w:beforeAutospacing="0" w:afterAutospacing="0" w:line="240" w:lineRule="auto"/>
                    <w:ind w:left="0" w:right="0"/>
                    <w:jc w:val="both"/>
                    <w:rPr>
                      <w:rFonts w:cs="Times New Roman"/>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hint="eastAsia"/>
                      <w:color w:val="auto"/>
                      <w:sz w:val="21"/>
                      <w:szCs w:val="21"/>
                      <w:lang w:eastAsia="zh-CN"/>
                      <w:highlight w:val="none"/>
                    </w:rPr>
                    <w:t>，</w:t>
                  </w:r>
                  <w:r>
                    <w:rPr>
                      <w:rFonts w:ascii="Times New Roman" w:cs="Times New Roman" w:hAnsi="Times New Roman"/>
                      <w:sz w:val="21"/>
                      <w:szCs w:val="21"/>
                      <w:lang w:val="en-US" w:eastAsia="zh-CN"/>
                    </w:rPr>
                    <w:t>为园区车辆配套服务</w:t>
                  </w:r>
                  <w:r>
                    <w:rPr>
                      <w:rFonts w:ascii="Times New Roman" w:cs="Times New Roman" w:hAnsi="Times New Roman"/>
                      <w:sz w:val="21"/>
                      <w:szCs w:val="21"/>
                    </w:rPr>
                    <w:t>。</w:t>
                  </w:r>
                </w:p>
              </w:tc>
              <w:tc>
                <w:tcPr>
                  <w:tcW w:w="66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符合</w:t>
                  </w:r>
                </w:p>
              </w:tc>
            </w:tr>
            <w:tr>
              <w:trPr>
                <w:trHeight w:val="397"/>
              </w:trPr>
              <w:tc>
                <w:tcPr>
                  <w:tcW w:w="926"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（二）进一步优化产业定位和结构</w:t>
                  </w:r>
                </w:p>
              </w:tc>
              <w:tc>
                <w:tcPr>
                  <w:tcW w:w="337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rPr>
                      <w:rFonts w:cs="Times New Roman" w:hint="eastAsia"/>
                      <w:sz w:val="21"/>
                      <w:szCs w:val="21"/>
                    </w:rPr>
                  </w:pPr>
                  <w:r>
                    <w:rPr>
                      <w:rFonts w:ascii="Times New Roman" w:cs="Times New Roman" w:hAnsi="Times New Roman" w:hint="eastAsia"/>
                      <w:sz w:val="21"/>
                      <w:szCs w:val="21"/>
                    </w:rPr>
                    <w:t>积极推进产业转型升级，禁止入驻食品类行业，禁止建设生产和使用高VOCs含量的溶剂性涂料、油墨、胶粘剂等项目。禁止入驻露天喷涂项目；禁止入驻不满足铸造行业准入条件的装备制造项目。</w:t>
                  </w:r>
                </w:p>
              </w:tc>
              <w:tc>
                <w:tcPr>
                  <w:tcW w:w="1984" w:type="dxa"/>
                  <w:tcBorders>
                    <w:tl2br w:val="nil"/>
                    <w:tr2bl w:val="nil"/>
                  </w:tcBorders>
                  <w:vAlign w:val="center"/>
                </w:tcPr>
                <w:p>
                  <w:pPr>
                    <w:pStyle w:val="45"/>
                    <w:keepNext w:val="0"/>
                    <w:keepLines w:val="0"/>
                    <w:suppressLineNumbers w:val="0"/>
                    <w:bidi w:val="0"/>
                    <w:spacing w:beforeAutospacing="0" w:afterAutospacing="0" w:line="240" w:lineRule="auto"/>
                    <w:ind w:left="0" w:right="0"/>
                    <w:jc w:val="both"/>
                    <w:rPr>
                      <w:rFonts w:cs="Times New Roman" w:hint="eastAsia"/>
                      <w:sz w:val="21"/>
                      <w:szCs w:val="21"/>
                    </w:rPr>
                  </w:pPr>
                  <w:r>
                    <w:rPr>
                      <w:rFonts w:ascii="Times New Roman" w:cs="Times New Roman" w:hAnsi="Times New Roman"/>
                      <w:sz w:val="21"/>
                      <w:szCs w:val="21"/>
                      <w:lang w:val="en-US" w:eastAsia="zh-CN"/>
                    </w:rPr>
                    <w:t>本</w:t>
                  </w:r>
                  <w:r>
                    <w:rPr>
                      <w:rFonts w:ascii="Times New Roman" w:cs="Times New Roman" w:hAnsi="Times New Roman"/>
                      <w:sz w:val="21"/>
                      <w:szCs w:val="21"/>
                    </w:rPr>
                    <w:t>项目</w:t>
                  </w:r>
                  <w:r>
                    <w:rPr>
                      <w:rFonts w:ascii="Times New Roman" w:cs="Times New Roman" w:hAnsi="Times New Roman"/>
                      <w:sz w:val="21"/>
                      <w:szCs w:val="21"/>
                      <w:lang w:val="en-US" w:eastAsia="zh-CN"/>
                    </w:rPr>
                    <w:t>为加油站，</w:t>
                  </w:r>
                  <w:r>
                    <w:rPr>
                      <w:rFonts w:ascii="Times New Roman" w:cs="Times New Roman" w:hAnsi="Times New Roman"/>
                      <w:sz w:val="21"/>
                      <w:szCs w:val="21"/>
                    </w:rPr>
                    <w:t>属于</w:t>
                  </w:r>
                  <w:r>
                    <w:rPr>
                      <w:rFonts w:ascii="Times New Roman" w:cs="Times New Roman" w:hAnsi="Times New Roman"/>
                      <w:color w:val="auto"/>
                      <w:sz w:val="21"/>
                      <w:szCs w:val="21"/>
                      <w:lang w:eastAsia="zh-CN"/>
                      <w:highlight w:val="none"/>
                    </w:rPr>
                    <w:t>社会事业与服务业</w:t>
                  </w:r>
                  <w:r>
                    <w:rPr>
                      <w:rFonts w:ascii="Times New Roman" w:cs="Times New Roman" w:hAnsi="Times New Roman"/>
                      <w:sz w:val="21"/>
                      <w:szCs w:val="21"/>
                    </w:rPr>
                    <w:t>，不属于</w:t>
                  </w:r>
                  <w:r>
                    <w:rPr>
                      <w:rFonts w:ascii="Times New Roman" w:cs="Times New Roman" w:hAnsi="Times New Roman"/>
                      <w:sz w:val="21"/>
                      <w:szCs w:val="21"/>
                      <w:lang w:eastAsia="zh-CN"/>
                    </w:rPr>
                    <w:t>园区</w:t>
                  </w:r>
                  <w:r>
                    <w:rPr>
                      <w:rFonts w:ascii="Times New Roman" w:cs="Times New Roman" w:hAnsi="Times New Roman"/>
                      <w:sz w:val="21"/>
                      <w:szCs w:val="21"/>
                    </w:rPr>
                    <w:t>限制类</w:t>
                  </w:r>
                  <w:r>
                    <w:rPr>
                      <w:rFonts w:ascii="Times New Roman" w:cs="Times New Roman" w:hAnsi="Times New Roman"/>
                      <w:sz w:val="21"/>
                      <w:szCs w:val="21"/>
                      <w:lang w:eastAsia="zh-CN"/>
                    </w:rPr>
                    <w:t>、</w:t>
                  </w:r>
                  <w:r>
                    <w:rPr>
                      <w:rFonts w:ascii="Times New Roman" w:cs="Times New Roman" w:hAnsi="Times New Roman"/>
                      <w:sz w:val="21"/>
                      <w:szCs w:val="21"/>
                    </w:rPr>
                    <w:t>禁止类</w:t>
                  </w:r>
                  <w:r>
                    <w:rPr>
                      <w:rFonts w:ascii="Times New Roman" w:cs="Times New Roman" w:hAnsi="Times New Roman"/>
                      <w:sz w:val="21"/>
                      <w:szCs w:val="21"/>
                      <w:lang w:val="en-US" w:eastAsia="zh-CN"/>
                    </w:rPr>
                    <w:t>和鼓励类</w:t>
                  </w:r>
                  <w:r>
                    <w:rPr>
                      <w:rFonts w:ascii="Times New Roman" w:cs="Times New Roman" w:hAnsi="Times New Roman"/>
                      <w:sz w:val="21"/>
                      <w:szCs w:val="21"/>
                      <w:lang w:eastAsia="zh-CN"/>
                    </w:rPr>
                    <w:t>项目，属于</w:t>
                  </w:r>
                  <w:r>
                    <w:rPr>
                      <w:rFonts w:ascii="Times New Roman" w:cs="Times New Roman" w:hAnsi="Times New Roman"/>
                      <w:sz w:val="21"/>
                      <w:szCs w:val="21"/>
                      <w:lang w:val="en-US" w:eastAsia="zh-CN"/>
                    </w:rPr>
                    <w:t>允许</w:t>
                  </w:r>
                  <w:r>
                    <w:rPr>
                      <w:rFonts w:ascii="Times New Roman" w:cs="Times New Roman" w:hAnsi="Times New Roman"/>
                      <w:sz w:val="21"/>
                      <w:szCs w:val="21"/>
                      <w:lang w:eastAsia="zh-CN"/>
                    </w:rPr>
                    <w:t>类项目。</w:t>
                  </w:r>
                </w:p>
              </w:tc>
              <w:tc>
                <w:tcPr>
                  <w:tcW w:w="660" w:type="dxa"/>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szCs w:val="21"/>
                    </w:rPr>
                  </w:pPr>
                  <w:r>
                    <w:rPr>
                      <w:rFonts w:ascii="Times New Roman" w:eastAsia="宋体" w:cs="Times New Roman" w:hAnsi="Times New Roman" w:hint="eastAsia"/>
                      <w:kern w:val="2"/>
                      <w:sz w:val="21"/>
                      <w:szCs w:val="21"/>
                      <w:lang w:val="en-US" w:eastAsia="zh-CN" w:bidi="ar-SA"/>
                    </w:rPr>
                    <w:t>符合</w:t>
                  </w:r>
                </w:p>
              </w:tc>
            </w:tr>
            <w:tr>
              <w:trPr>
                <w:trHeight w:val="397"/>
              </w:trPr>
              <w:tc>
                <w:tcPr>
                  <w:tcW w:w="926"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（三）进一步完善环保基础设施</w:t>
                  </w:r>
                </w:p>
              </w:tc>
              <w:tc>
                <w:tcPr>
                  <w:tcW w:w="337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rPr>
                      <w:rFonts w:cs="Times New Roman"/>
                      <w:color w:val="auto"/>
                      <w:sz w:val="21"/>
                      <w:szCs w:val="21"/>
                    </w:rPr>
                  </w:pPr>
                  <w:r>
                    <w:rPr>
                      <w:rFonts w:ascii="Times New Roman" w:cs="Times New Roman" w:hAnsi="Times New Roman" w:hint="eastAsia"/>
                      <w:color w:val="auto"/>
                      <w:sz w:val="21"/>
                      <w:szCs w:val="21"/>
                    </w:rPr>
                    <w:t>按照“清污分流、雨污分流、中水回用”的要求，结合集聚区的发展情况，建设中水回用工程、污水处理厂提标改造工程、尾水人工湿地；尽快调整集聚区排水路线，不断完善配套管网，确保入区企业外排废水全部经管网收集后进入区域污水处理厂处理。进一步优化能源结构，加快集聚区集中供热、供气及配套管网建设，提高管网覆盖率，不得新改扩建分散燃煤设施。</w:t>
                  </w:r>
                </w:p>
              </w:tc>
              <w:tc>
                <w:tcPr>
                  <w:tcW w:w="1984" w:type="dxa"/>
                  <w:tcBorders>
                    <w:tl2br w:val="nil"/>
                    <w:tr2bl w:val="nil"/>
                  </w:tcBorders>
                  <w:vAlign w:val="center"/>
                </w:tcPr>
                <w:p>
                  <w:pPr>
                    <w:pStyle w:val="45"/>
                    <w:keepNext w:val="0"/>
                    <w:keepLines w:val="0"/>
                    <w:suppressLineNumbers w:val="0"/>
                    <w:bidi w:val="0"/>
                    <w:spacing w:beforeAutospacing="0" w:afterAutospacing="0" w:line="240" w:lineRule="auto"/>
                    <w:ind w:left="0" w:right="0"/>
                    <w:jc w:val="both"/>
                    <w:rPr>
                      <w:rFonts w:cs="Times New Roman"/>
                      <w:color w:val="auto"/>
                      <w:sz w:val="21"/>
                      <w:szCs w:val="21"/>
                    </w:rPr>
                  </w:pPr>
                  <w:r>
                    <w:rPr>
                      <w:rFonts w:ascii="Times New Roman" w:cs="Times New Roman" w:hAnsi="Times New Roman"/>
                      <w:sz w:val="21"/>
                      <w:szCs w:val="21"/>
                    </w:rPr>
                    <w:t>本项目</w:t>
                  </w:r>
                  <w:r>
                    <w:rPr>
                      <w:rFonts w:ascii="Times New Roman" w:cs="Times New Roman" w:hAnsi="Times New Roman"/>
                      <w:sz w:val="21"/>
                      <w:szCs w:val="21"/>
                      <w:lang w:val="en-US" w:eastAsia="zh-CN"/>
                    </w:rPr>
                    <w:t>生活污水经化粪池处理后由管网排入延津县第二污水处理厂进行处理</w:t>
                  </w:r>
                  <w:r>
                    <w:rPr>
                      <w:rFonts w:ascii="Times New Roman" w:cs="Times New Roman" w:hAnsi="Times New Roman"/>
                      <w:sz w:val="21"/>
                      <w:szCs w:val="21"/>
                    </w:rPr>
                    <w:t>。</w:t>
                  </w:r>
                </w:p>
              </w:tc>
              <w:tc>
                <w:tcPr>
                  <w:tcW w:w="66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eastAsia="宋体" w:cs="Times New Roman" w:hint="eastAsia"/>
                      <w:color w:val="auto"/>
                      <w:sz w:val="21"/>
                      <w:szCs w:val="21"/>
                      <w:lang w:eastAsia="zh-CN"/>
                    </w:rPr>
                  </w:pPr>
                  <w:r>
                    <w:rPr>
                      <w:rFonts w:ascii="Times New Roman" w:cs="Times New Roman" w:hAnsi="Times New Roman" w:hint="eastAsia"/>
                      <w:color w:val="auto"/>
                      <w:sz w:val="21"/>
                      <w:szCs w:val="21"/>
                      <w:lang w:val="en-US" w:eastAsia="zh-CN"/>
                    </w:rPr>
                    <w:t>符合</w:t>
                  </w:r>
                </w:p>
              </w:tc>
            </w:tr>
            <w:tr>
              <w:trPr>
                <w:trHeight w:val="397"/>
              </w:trPr>
              <w:tc>
                <w:tcPr>
                  <w:tcW w:w="926"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（四）严格控制污染物排放</w:t>
                  </w:r>
                </w:p>
              </w:tc>
              <w:tc>
                <w:tcPr>
                  <w:tcW w:w="337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rPr>
                      <w:rFonts w:cs="Times New Roman"/>
                      <w:sz w:val="21"/>
                      <w:szCs w:val="21"/>
                    </w:rPr>
                  </w:pPr>
                  <w:r>
                    <w:rPr>
                      <w:rFonts w:ascii="Times New Roman" w:cs="Times New Roman" w:hAnsi="Times New Roman" w:hint="eastAsia"/>
                      <w:sz w:val="21"/>
                      <w:szCs w:val="21"/>
                    </w:rPr>
                    <w:t>严格执行污染物排放总量控制制度，采取调整能源结构、加强污染治理、区域综合整治等措施，严格控制烟粉尘、二氧化硫、氮氧化物、VOCs等大气污染物的排放。加快对涉VOCs行业有机废气治理措施提升改造，从源头减少污染物排放；提高中水回用率，减少污水排放量，严格控制进入污水处理厂各企业工业废水水质，保证污水处理设施的正常运行。</w:t>
                  </w:r>
                </w:p>
              </w:tc>
              <w:tc>
                <w:tcPr>
                  <w:tcW w:w="1984" w:type="dxa"/>
                  <w:tcBorders>
                    <w:tl2br w:val="nil"/>
                    <w:tr2bl w:val="nil"/>
                  </w:tcBorders>
                  <w:vAlign w:val="center"/>
                </w:tcPr>
                <w:p>
                  <w:pPr>
                    <w:pStyle w:val="45"/>
                    <w:keepNext w:val="0"/>
                    <w:keepLines w:val="0"/>
                    <w:suppressLineNumbers w:val="0"/>
                    <w:bidi w:val="0"/>
                    <w:spacing w:beforeAutospacing="0" w:afterAutospacing="0" w:line="240" w:lineRule="auto"/>
                    <w:ind w:left="0" w:right="0"/>
                    <w:jc w:val="both"/>
                    <w:rPr>
                      <w:rFonts w:cs="Times New Roman"/>
                      <w:sz w:val="21"/>
                      <w:szCs w:val="21"/>
                    </w:rPr>
                  </w:pPr>
                  <w:r>
                    <w:rPr>
                      <w:rFonts w:ascii="Times New Roman" w:cs="Times New Roman" w:hAnsi="Times New Roman"/>
                      <w:sz w:val="21"/>
                      <w:szCs w:val="21"/>
                    </w:rPr>
                    <w:t>本</w:t>
                  </w:r>
                  <w:r>
                    <w:rPr>
                      <w:rFonts w:ascii="Times New Roman" w:eastAsia="宋体" w:cs="Times New Roman" w:hAnsi="Times New Roman"/>
                      <w:b w:val="0"/>
                      <w:bCs w:val="0"/>
                      <w:color w:val="000000"/>
                      <w:sz w:val="21"/>
                      <w:szCs w:val="21"/>
                      <w:u w:val="none"/>
                      <w:lang w:val="en-US" w:eastAsia="zh-CN"/>
                      <w:highlight w:val="none"/>
                    </w:rPr>
                    <w:t>项目有机废气采用三次油气回收装置处理</w:t>
                  </w:r>
                  <w:r>
                    <w:rPr>
                      <w:rFonts w:ascii="Times New Roman" w:cs="Times New Roman" w:hAnsi="Times New Roman" w:hint="eastAsia"/>
                      <w:sz w:val="21"/>
                      <w:szCs w:val="21"/>
                      <w:lang w:val="en-US" w:eastAsia="zh-CN"/>
                    </w:rPr>
                    <w:t>；本项目无生产废水，主要为生活</w:t>
                  </w:r>
                  <w:r>
                    <w:rPr>
                      <w:rFonts w:ascii="Times New Roman" w:cs="Times New Roman" w:hAnsi="Times New Roman"/>
                      <w:sz w:val="21"/>
                      <w:szCs w:val="21"/>
                      <w:lang w:val="en-US" w:eastAsia="zh-CN"/>
                    </w:rPr>
                    <w:t>污水</w:t>
                  </w:r>
                  <w:r>
                    <w:rPr>
                      <w:rFonts w:ascii="Times New Roman" w:cs="Times New Roman" w:hAnsi="Times New Roman" w:hint="eastAsia"/>
                      <w:sz w:val="21"/>
                      <w:szCs w:val="21"/>
                      <w:lang w:eastAsia="zh-CN"/>
                    </w:rPr>
                    <w:t>，</w:t>
                  </w:r>
                  <w:r>
                    <w:rPr>
                      <w:rFonts w:ascii="Times New Roman" w:cs="Times New Roman" w:hAnsi="Times New Roman" w:hint="eastAsia"/>
                      <w:sz w:val="21"/>
                      <w:szCs w:val="21"/>
                      <w:lang w:val="en-US" w:eastAsia="zh-CN"/>
                    </w:rPr>
                    <w:t>用量较小</w:t>
                  </w:r>
                  <w:r>
                    <w:rPr>
                      <w:rFonts w:ascii="Times New Roman" w:cs="Times New Roman" w:hAnsi="Times New Roman"/>
                      <w:sz w:val="21"/>
                      <w:szCs w:val="21"/>
                      <w:lang w:val="en-US" w:eastAsia="zh-CN"/>
                    </w:rPr>
                    <w:t>。</w:t>
                  </w:r>
                </w:p>
              </w:tc>
              <w:tc>
                <w:tcPr>
                  <w:tcW w:w="66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eastAsia="宋体" w:cs="Times New Roman" w:hint="eastAsia"/>
                      <w:sz w:val="21"/>
                      <w:szCs w:val="21"/>
                      <w:lang w:eastAsia="zh-CN"/>
                    </w:rPr>
                  </w:pPr>
                  <w:r>
                    <w:rPr>
                      <w:rFonts w:ascii="Times New Roman" w:cs="Times New Roman" w:hAnsi="Times New Roman" w:hint="eastAsia"/>
                      <w:sz w:val="21"/>
                      <w:szCs w:val="21"/>
                      <w:lang w:val="en-US" w:eastAsia="zh-CN"/>
                    </w:rPr>
                    <w:t>符合</w:t>
                  </w:r>
                </w:p>
              </w:tc>
            </w:tr>
            <w:tr>
              <w:trPr>
                <w:trHeight w:val="397"/>
              </w:trPr>
              <w:tc>
                <w:tcPr>
                  <w:tcW w:w="926"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hint="eastAsia"/>
                      <w:sz w:val="21"/>
                      <w:szCs w:val="21"/>
                    </w:rPr>
                    <w:t>（五）建立健全园区环境风险管理体系</w:t>
                  </w:r>
                </w:p>
              </w:tc>
              <w:tc>
                <w:tcPr>
                  <w:tcW w:w="337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rPr>
                      <w:rFonts w:cs="Times New Roman"/>
                      <w:sz w:val="21"/>
                      <w:szCs w:val="21"/>
                    </w:rPr>
                  </w:pPr>
                  <w:r>
                    <w:rPr>
                      <w:rFonts w:ascii="Times New Roman" w:cs="Times New Roman" w:hAnsi="Times New Roman" w:hint="eastAsia"/>
                      <w:sz w:val="21"/>
                      <w:szCs w:val="21"/>
                    </w:rPr>
                    <w:t>加块环境风险预警体系建设，健全环境风险单位信息库，严格危险化学品管理；建立完善有效的环境风险防控设施和有效的拦截、降污、导流等措施，防止对地表水环境造成危害；完善园区级综合环境应急预案，有计划地组织应急培训和演练，全面提升园区风险防控和事故应急处置能力。</w:t>
                  </w:r>
                </w:p>
              </w:tc>
              <w:tc>
                <w:tcPr>
                  <w:tcW w:w="1984" w:type="dxa"/>
                  <w:tcBorders>
                    <w:tl2br w:val="nil"/>
                    <w:tr2bl w:val="nil"/>
                  </w:tcBorders>
                  <w:vAlign w:val="center"/>
                </w:tcPr>
                <w:p>
                  <w:pPr>
                    <w:pStyle w:val="45"/>
                    <w:keepNext w:val="0"/>
                    <w:keepLines w:val="0"/>
                    <w:suppressLineNumbers w:val="0"/>
                    <w:bidi w:val="0"/>
                    <w:spacing w:beforeAutospacing="0" w:afterAutospacing="0" w:line="240" w:lineRule="auto"/>
                    <w:ind w:left="0" w:right="0"/>
                    <w:jc w:val="both"/>
                    <w:rPr>
                      <w:rFonts w:cs="Times New Roman"/>
                      <w:sz w:val="21"/>
                      <w:szCs w:val="21"/>
                    </w:rPr>
                  </w:pPr>
                  <w:r>
                    <w:rPr>
                      <w:rFonts w:ascii="Times New Roman" w:cs="Times New Roman" w:hAnsi="Times New Roman"/>
                      <w:sz w:val="21"/>
                      <w:szCs w:val="21"/>
                    </w:rPr>
                    <w:t>本项目</w:t>
                  </w:r>
                  <w:r>
                    <w:rPr>
                      <w:rFonts w:ascii="Times New Roman" w:cs="Times New Roman" w:hAnsi="Times New Roman"/>
                      <w:sz w:val="21"/>
                      <w:szCs w:val="21"/>
                      <w:lang w:eastAsia="zh-CN"/>
                    </w:rPr>
                    <w:t>建成后加强</w:t>
                  </w:r>
                  <w:r>
                    <w:rPr>
                      <w:rFonts w:ascii="Times New Roman" w:cs="Times New Roman" w:hAnsi="Times New Roman"/>
                      <w:sz w:val="21"/>
                      <w:szCs w:val="21"/>
                    </w:rPr>
                    <w:t>环境风险防</w:t>
                  </w:r>
                  <w:r>
                    <w:rPr>
                      <w:rFonts w:ascii="Times New Roman" w:cs="Times New Roman" w:hAnsi="Times New Roman"/>
                      <w:sz w:val="21"/>
                      <w:szCs w:val="21"/>
                      <w:lang w:eastAsia="zh-CN"/>
                    </w:rPr>
                    <w:t>控，积极配合园区</w:t>
                  </w:r>
                  <w:r>
                    <w:rPr>
                      <w:rFonts w:ascii="Times New Roman" w:cs="Times New Roman" w:hAnsi="Times New Roman"/>
                      <w:sz w:val="21"/>
                      <w:szCs w:val="21"/>
                    </w:rPr>
                    <w:t>环境风险防控体系</w:t>
                  </w:r>
                  <w:r>
                    <w:rPr>
                      <w:rFonts w:ascii="Times New Roman" w:cs="Times New Roman" w:hAnsi="Times New Roman"/>
                      <w:sz w:val="21"/>
                      <w:szCs w:val="21"/>
                      <w:lang w:eastAsia="zh-CN"/>
                    </w:rPr>
                    <w:t>建设</w:t>
                  </w:r>
                  <w:r>
                    <w:rPr>
                      <w:rFonts w:ascii="Times New Roman" w:cs="Times New Roman" w:hAnsi="Times New Roman"/>
                      <w:sz w:val="21"/>
                      <w:szCs w:val="21"/>
                    </w:rPr>
                    <w:t>。</w:t>
                  </w:r>
                </w:p>
              </w:tc>
              <w:tc>
                <w:tcPr>
                  <w:tcW w:w="660" w:type="dxa"/>
                  <w:tcBorders>
                    <w:tl2br w:val="nil"/>
                    <w:tr2bl w:val="nil"/>
                  </w:tcBorders>
                  <w:vAlign w:val="center"/>
                </w:tcPr>
                <w:p>
                  <w:pPr>
                    <w:pStyle w:val="77"/>
                    <w:keepNext w:val="0"/>
                    <w:keepLines w:val="0"/>
                    <w:suppressLineNumbers w:val="0"/>
                    <w:spacing w:before="0" w:beforeAutospacing="0" w:after="0" w:afterAutospacing="0" w:line="240" w:lineRule="auto"/>
                    <w:ind w:left="0" w:right="0" w:firstLineChars="0" w:firstLine="0"/>
                    <w:jc w:val="center"/>
                    <w:rPr>
                      <w:rFonts w:cs="Times New Roman"/>
                      <w:sz w:val="21"/>
                      <w:szCs w:val="21"/>
                    </w:rPr>
                  </w:pPr>
                  <w:r>
                    <w:rPr>
                      <w:rFonts w:ascii="Times New Roman" w:cs="Times New Roman" w:hAnsi="Times New Roman"/>
                      <w:color w:val="auto"/>
                      <w:sz w:val="21"/>
                      <w:szCs w:val="21"/>
                    </w:rPr>
                    <w:t>符合</w:t>
                  </w:r>
                </w:p>
              </w:tc>
            </w:tr>
          </w:tbl>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60" w:lineRule="exact"/>
              <w:ind w:left="0" w:right="0" w:firstLineChars="200" w:firstLine="480"/>
              <w:jc w:val="left"/>
              <w:textAlignment w:val="auto"/>
              <w:rPr>
                <w:rFonts w:ascii="Times New Roman" w:eastAsia="宋体" w:cs="Times New Roman" w:hAnsi="Times New Roman" w:hint="eastAsia"/>
                <w:color w:val="auto"/>
                <w:sz w:val="24"/>
                <w:szCs w:val="24"/>
              </w:rPr>
            </w:pPr>
            <w:r>
              <w:rPr>
                <w:rFonts w:ascii="Times New Roman" w:eastAsia="宋体" w:cs="Times New Roman" w:hAnsi="Times New Roman"/>
                <w:color w:val="auto"/>
                <w:sz w:val="24"/>
                <w:szCs w:val="24"/>
              </w:rPr>
              <w:t>由</w:t>
            </w:r>
            <w:r>
              <w:rPr>
                <w:rFonts w:ascii="Times New Roman" w:eastAsia="宋体" w:cs="Times New Roman" w:hAnsi="Times New Roman"/>
                <w:color w:val="auto"/>
                <w:sz w:val="24"/>
                <w:szCs w:val="24"/>
                <w:lang w:val="en-US" w:eastAsia="zh-CN"/>
              </w:rPr>
              <w:t>上表可知，项目符合《</w:t>
            </w:r>
            <w:r>
              <w:rPr>
                <w:rFonts w:ascii="Times New Roman" w:eastAsia="宋体" w:cs="Times New Roman" w:hAnsi="Times New Roman" w:hint="eastAsia"/>
                <w:color w:val="auto"/>
                <w:sz w:val="24"/>
                <w:szCs w:val="24"/>
                <w:lang w:val="en-US" w:eastAsia="zh-CN"/>
              </w:rPr>
              <w:t>延津县产业集聚区北区发展规划（2013-2020）环境影响跟踪评价报告书</w:t>
            </w:r>
            <w:r>
              <w:rPr>
                <w:rFonts w:ascii="Times New Roman" w:eastAsia="宋体" w:cs="Times New Roman" w:hAnsi="Times New Roman"/>
                <w:color w:val="auto"/>
                <w:sz w:val="24"/>
                <w:szCs w:val="24"/>
                <w:lang w:val="en-US" w:eastAsia="zh-CN"/>
              </w:rPr>
              <w:t>》的</w:t>
            </w:r>
            <w:r>
              <w:rPr>
                <w:rFonts w:ascii="Times New Roman" w:eastAsia="宋体" w:cs="Times New Roman" w:hAnsi="Times New Roman" w:hint="eastAsia"/>
                <w:color w:val="auto"/>
                <w:sz w:val="24"/>
                <w:szCs w:val="24"/>
                <w:lang w:val="en-US" w:eastAsia="zh-CN"/>
              </w:rPr>
              <w:t>审核</w:t>
            </w:r>
            <w:r>
              <w:rPr>
                <w:rFonts w:ascii="Times New Roman" w:eastAsia="宋体" w:cs="Times New Roman" w:hAnsi="Times New Roman"/>
                <w:color w:val="auto"/>
                <w:sz w:val="24"/>
                <w:szCs w:val="24"/>
                <w:lang w:val="en-US" w:eastAsia="zh-CN"/>
              </w:rPr>
              <w:t>意见要求。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sz w:val="24"/>
                <w:highlight w:val="none"/>
              </w:rPr>
            </w:pPr>
            <w:r>
              <w:rPr>
                <w:rFonts w:ascii="Times New Roman" w:cs="Times New Roman" w:hAnsi="Times New Roman"/>
                <w:color w:val="auto"/>
                <w:sz w:val="24"/>
                <w:szCs w:val="24"/>
                <w:u w:val="single"/>
              </w:rPr>
              <w:t>综上，本项目位于延津县产业集聚区，占地属于</w:t>
            </w:r>
            <w:r>
              <w:rPr>
                <w:rFonts w:ascii="Times New Roman" w:cs="Times New Roman" w:hAnsi="Times New Roman" w:hint="eastAsia"/>
                <w:color w:val="auto"/>
                <w:sz w:val="24"/>
                <w:szCs w:val="24"/>
                <w:u w:val="single"/>
                <w:lang w:val="en-US" w:eastAsia="zh-CN"/>
              </w:rPr>
              <w:t>零售商业</w:t>
            </w:r>
            <w:r>
              <w:rPr>
                <w:rFonts w:ascii="Times New Roman" w:cs="Times New Roman" w:hAnsi="Times New Roman"/>
                <w:color w:val="auto"/>
                <w:sz w:val="24"/>
                <w:szCs w:val="24"/>
                <w:u w:val="single"/>
              </w:rPr>
              <w:t>用地</w:t>
            </w:r>
            <w:r>
              <w:rPr>
                <w:rFonts w:ascii="Times New Roman" w:cs="Times New Roman" w:hAnsi="Times New Roman"/>
                <w:color w:val="auto"/>
                <w:spacing w:val="-4"/>
                <w:sz w:val="24"/>
                <w:szCs w:val="24"/>
                <w:u w:val="single"/>
              </w:rPr>
              <w:t>。</w:t>
            </w:r>
            <w:r>
              <w:rPr>
                <w:rFonts w:ascii="Times New Roman" w:cs="Times New Roman" w:hAnsi="Times New Roman"/>
                <w:color w:val="auto"/>
                <w:sz w:val="24"/>
                <w:szCs w:val="24"/>
                <w:u w:val="single"/>
              </w:rPr>
              <w:t>本项目属于属于</w:t>
            </w:r>
            <w:r>
              <w:rPr>
                <w:rFonts w:ascii="Times New Roman" w:cs="Times New Roman" w:hAnsi="Times New Roman"/>
                <w:color w:val="auto"/>
                <w:sz w:val="24"/>
                <w:szCs w:val="24"/>
                <w:u w:val="single"/>
                <w:lang w:eastAsia="zh-CN"/>
              </w:rPr>
              <w:t>社会事业与服务业</w:t>
            </w:r>
            <w:r>
              <w:rPr>
                <w:rFonts w:ascii="Times New Roman" w:cs="Times New Roman" w:hAnsi="Times New Roman"/>
                <w:color w:val="auto"/>
                <w:sz w:val="24"/>
                <w:szCs w:val="24"/>
                <w:u w:val="single"/>
              </w:rPr>
              <w:t>，符合园区准入条件。</w:t>
            </w:r>
          </w:p>
        </w:tc>
      </w:tr>
      <w:tr>
        <w:trPr>
          <w:trHeight w:val="13715"/>
        </w:trPr>
        <w:tc>
          <w:tcPr>
            <w:tcW w:w="256" w:type="pct"/>
            <w:gridSpan w:val="2"/>
            <w:tcMar>
              <w:left w:w="108" w:type="dxa"/>
            </w:tcMar>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jc w:val="center"/>
              <w:textAlignment w:val="auto"/>
              <w:rPr>
                <w:kern w:val="0"/>
                <w:sz w:val="24"/>
              </w:rPr>
            </w:pPr>
            <w:r>
              <w:rPr>
                <w:rFonts w:ascii="Times New Roman" w:cs="Times New Roman" w:hAnsi="宋体"/>
                <w:kern w:val="0"/>
                <w:sz w:val="24"/>
                <w:szCs w:val="20"/>
              </w:rPr>
              <w:t>其他符合性分析</w:t>
            </w:r>
          </w:p>
        </w:tc>
        <w:tc>
          <w:tcPr>
            <w:tcW w:w="4743" w:type="pct"/>
            <w:gridSpan w:val="4"/>
            <w:tcMar>
              <w:lef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baseline"/>
              <w:rPr>
                <w:rFonts w:ascii="宋体" w:hAnsi="宋体" w:hint="eastAsia"/>
                <w:b/>
                <w:bCs/>
                <w:color w:val="000000"/>
                <w:sz w:val="24"/>
              </w:rPr>
            </w:pPr>
            <w:r>
              <w:rPr>
                <w:rFonts w:ascii="Times New Roman" w:cs="Times New Roman" w:hAnsi="Times New Roman"/>
                <w:b/>
                <w:bCs/>
                <w:color w:val="000000"/>
                <w:sz w:val="24"/>
                <w:szCs w:val="20"/>
              </w:rPr>
              <w:t>1</w:t>
            </w:r>
            <w:r>
              <w:rPr>
                <w:rFonts w:ascii="宋体" w:cs="Times New Roman" w:hAnsi="宋体" w:hint="eastAsia"/>
                <w:b/>
                <w:bCs/>
                <w:color w:val="000000"/>
                <w:sz w:val="24"/>
                <w:szCs w:val="20"/>
              </w:rPr>
              <w:t>、</w:t>
            </w:r>
            <w:r>
              <w:rPr>
                <w:rFonts w:ascii="宋体" w:cs="Times New Roman" w:hAnsi="宋体" w:hint="eastAsia"/>
                <w:b/>
                <w:bCs/>
                <w:color w:val="000000"/>
                <w:sz w:val="24"/>
                <w:szCs w:val="20"/>
                <w:lang w:eastAsia="zh-CN"/>
              </w:rPr>
              <w:t>“</w:t>
            </w:r>
            <w:r>
              <w:rPr>
                <w:rFonts w:ascii="宋体" w:cs="Times New Roman" w:hAnsi="宋体" w:hint="eastAsia"/>
                <w:b/>
                <w:bCs/>
                <w:color w:val="000000"/>
                <w:sz w:val="24"/>
                <w:szCs w:val="20"/>
              </w:rPr>
              <w:t>三线一单</w:t>
            </w:r>
            <w:r>
              <w:rPr>
                <w:rFonts w:ascii="宋体" w:cs="Times New Roman" w:hAnsi="宋体" w:hint="eastAsia"/>
                <w:b/>
                <w:bCs/>
                <w:color w:val="000000"/>
                <w:sz w:val="24"/>
                <w:szCs w:val="20"/>
                <w:lang w:eastAsia="zh-CN"/>
              </w:rPr>
              <w:t>”</w:t>
            </w:r>
            <w:r>
              <w:rPr>
                <w:rFonts w:ascii="宋体" w:cs="Times New Roman" w:hAnsi="宋体" w:hint="eastAsia"/>
                <w:b/>
                <w:bCs/>
                <w:color w:val="000000"/>
                <w:sz w:val="24"/>
                <w:szCs w:val="20"/>
              </w:rPr>
              <w:t>符合性分析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baseline"/>
              <w:rPr>
                <w:rFonts w:ascii="宋体" w:hAnsi="宋体" w:hint="eastAsia"/>
                <w:b/>
                <w:bCs/>
                <w:color w:val="000000"/>
                <w:sz w:val="24"/>
              </w:rPr>
            </w:pPr>
            <w:r>
              <w:rPr>
                <w:rFonts w:ascii="宋体" w:cs="Times New Roman" w:hAnsi="宋体" w:hint="eastAsia"/>
                <w:color w:val="000000"/>
                <w:sz w:val="24"/>
                <w:szCs w:val="20"/>
              </w:rPr>
              <w:t>根据《关于以改善环境质量为核心加强环境影响评价管理的通知》</w:t>
            </w:r>
            <w:r>
              <w:rPr>
                <w:rFonts w:ascii="宋体" w:cs="Times New Roman" w:hAnsi="宋体" w:hint="eastAsia"/>
                <w:color w:val="000000"/>
                <w:sz w:val="24"/>
                <w:szCs w:val="20"/>
                <w:lang w:eastAsia="zh-CN"/>
              </w:rPr>
              <w:t>（</w:t>
            </w:r>
            <w:r>
              <w:rPr>
                <w:rFonts w:ascii="宋体" w:cs="Times New Roman" w:hAnsi="宋体" w:hint="eastAsia"/>
                <w:color w:val="000000"/>
                <w:sz w:val="24"/>
                <w:szCs w:val="20"/>
              </w:rPr>
              <w:t>环环评</w:t>
            </w:r>
            <w:r>
              <w:rPr>
                <w:rFonts w:ascii="Times New Roman" w:cs="Times New Roman" w:hAnsi="Times New Roman"/>
                <w:color w:val="000000"/>
                <w:sz w:val="24"/>
                <w:szCs w:val="20"/>
              </w:rPr>
              <w:t>[2016]150</w:t>
            </w:r>
            <w:r>
              <w:rPr>
                <w:rFonts w:ascii="宋体" w:cs="Times New Roman" w:hAnsi="宋体" w:hint="eastAsia"/>
                <w:color w:val="000000"/>
                <w:sz w:val="24"/>
                <w:szCs w:val="20"/>
              </w:rPr>
              <w:t>号</w:t>
            </w:r>
            <w:r>
              <w:rPr>
                <w:rFonts w:ascii="宋体" w:cs="Times New Roman" w:hAnsi="宋体" w:hint="eastAsia"/>
                <w:color w:val="000000"/>
                <w:sz w:val="24"/>
                <w:szCs w:val="20"/>
                <w:lang w:eastAsia="zh-CN"/>
              </w:rPr>
              <w:t>）</w:t>
            </w:r>
            <w:r>
              <w:rPr>
                <w:rFonts w:ascii="宋体" w:cs="Times New Roman" w:hAnsi="宋体" w:hint="eastAsia"/>
                <w:color w:val="000000"/>
                <w:sz w:val="24"/>
                <w:szCs w:val="20"/>
              </w:rPr>
              <w:t>要求，落实</w:t>
            </w:r>
            <w:r>
              <w:rPr>
                <w:rFonts w:ascii="宋体" w:cs="Times New Roman" w:hAnsi="宋体" w:hint="eastAsia"/>
                <w:color w:val="000000"/>
                <w:sz w:val="24"/>
                <w:szCs w:val="20"/>
                <w:lang w:eastAsia="zh-CN"/>
              </w:rPr>
              <w:t>“</w:t>
            </w:r>
            <w:r>
              <w:rPr>
                <w:rFonts w:ascii="宋体" w:cs="Times New Roman" w:hAnsi="宋体" w:hint="eastAsia"/>
                <w:color w:val="000000"/>
                <w:sz w:val="24"/>
                <w:szCs w:val="20"/>
              </w:rPr>
              <w:t>生态保护红线、环境质量底线、资源利用上线和环境准入负面清单</w:t>
            </w:r>
            <w:r>
              <w:rPr>
                <w:rFonts w:ascii="宋体" w:cs="Times New Roman" w:hAnsi="宋体" w:hint="eastAsia"/>
                <w:color w:val="000000"/>
                <w:sz w:val="24"/>
                <w:szCs w:val="20"/>
                <w:lang w:eastAsia="zh-CN"/>
              </w:rPr>
              <w:t>”</w:t>
            </w:r>
            <w:r>
              <w:rPr>
                <w:rFonts w:ascii="宋体" w:cs="Times New Roman" w:hAnsi="宋体" w:hint="eastAsia"/>
                <w:color w:val="000000"/>
                <w:sz w:val="24"/>
                <w:szCs w:val="20"/>
              </w:rPr>
              <w:t>（以下简称</w:t>
            </w:r>
            <w:r>
              <w:rPr>
                <w:rFonts w:ascii="宋体" w:cs="Times New Roman" w:hAnsi="宋体" w:hint="eastAsia"/>
                <w:color w:val="000000"/>
                <w:sz w:val="24"/>
                <w:szCs w:val="20"/>
                <w:lang w:eastAsia="zh-CN"/>
              </w:rPr>
              <w:t>“</w:t>
            </w:r>
            <w:r>
              <w:rPr>
                <w:rFonts w:ascii="宋体" w:cs="Times New Roman" w:hAnsi="宋体" w:hint="eastAsia"/>
                <w:color w:val="000000"/>
                <w:sz w:val="24"/>
                <w:szCs w:val="20"/>
              </w:rPr>
              <w:t>三线一单</w:t>
            </w:r>
            <w:r>
              <w:rPr>
                <w:rFonts w:ascii="宋体" w:cs="Times New Roman" w:hAnsi="宋体" w:hint="eastAsia"/>
                <w:color w:val="000000"/>
                <w:sz w:val="24"/>
                <w:szCs w:val="20"/>
                <w:lang w:eastAsia="zh-CN"/>
              </w:rPr>
              <w:t>”</w:t>
            </w:r>
            <w:r>
              <w:rPr>
                <w:rFonts w:ascii="宋体" w:cs="Times New Roman" w:hAnsi="宋体" w:hint="eastAsia"/>
                <w:color w:val="000000"/>
                <w:sz w:val="24"/>
                <w:szCs w:val="20"/>
              </w:rPr>
              <w:t>）约束，现分析如下</w:t>
            </w:r>
            <w:r>
              <w:rPr>
                <w:rFonts w:ascii="宋体" w:cs="Times New Roman" w:hAnsi="宋体" w:hint="eastAsia"/>
                <w:color w:val="000000"/>
                <w:sz w:val="24"/>
                <w:szCs w:val="20"/>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baseline"/>
              <w:rPr>
                <w:rFonts w:ascii="宋体" w:eastAsia="宋体" w:hAnsi="宋体" w:hint="eastAsia"/>
                <w:b/>
                <w:bCs/>
                <w:color w:val="000000"/>
                <w:sz w:val="24"/>
                <w:lang w:eastAsia="zh-CN"/>
              </w:rPr>
            </w:pPr>
            <w:r>
              <w:rPr>
                <w:rFonts w:ascii="宋体" w:cs="Times New Roman" w:hAnsi="宋体" w:hint="eastAsia"/>
                <w:b/>
                <w:bCs/>
                <w:color w:val="000000"/>
                <w:sz w:val="24"/>
                <w:szCs w:val="20"/>
              </w:rPr>
              <w:t>（</w:t>
            </w:r>
            <w:r>
              <w:rPr>
                <w:rFonts w:ascii="Times New Roman" w:cs="Times New Roman" w:hAnsi="Times New Roman"/>
                <w:b/>
                <w:bCs/>
                <w:color w:val="000000"/>
                <w:sz w:val="24"/>
                <w:szCs w:val="20"/>
              </w:rPr>
              <w:t>1</w:t>
            </w:r>
            <w:r>
              <w:rPr>
                <w:rFonts w:ascii="宋体" w:cs="Times New Roman" w:hAnsi="宋体" w:hint="eastAsia"/>
                <w:b/>
                <w:bCs/>
                <w:color w:val="000000"/>
                <w:sz w:val="24"/>
                <w:szCs w:val="20"/>
              </w:rPr>
              <w:t>）</w:t>
            </w:r>
            <w:r>
              <w:rPr>
                <w:rFonts w:ascii="宋体" w:cs="Times New Roman" w:hAnsi="宋体" w:hint="eastAsia"/>
                <w:b/>
                <w:bCs/>
                <w:color w:val="000000"/>
                <w:sz w:val="24"/>
                <w:szCs w:val="20"/>
                <w:lang w:eastAsia="zh-CN"/>
              </w:rPr>
              <w:t>生态保护红线相符性分析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baseline"/>
              <w:rPr>
                <w:rFonts w:ascii="宋体" w:eastAsia="宋体" w:hAnsi="宋体" w:hint="eastAsia"/>
                <w:color w:val="000000"/>
                <w:sz w:val="24"/>
                <w14:textFill>
                  <w14:solidFill>
                    <w14:srgbClr w14:val="000000"/>
                  </w14:solidFill>
                </w14:textFill>
                <w:lang w:eastAsia="zh-CN"/>
              </w:rPr>
            </w:pPr>
            <w:r>
              <w:rPr>
                <w:rFonts w:ascii="宋体" w:cs="Times New Roman" w:hAnsi="宋体"/>
                <w:color w:val="000000"/>
                <w:sz w:val="24"/>
                <w:szCs w:val="20"/>
                <w14:textFill>
                  <w14:solidFill>
                    <w14:srgbClr w14:val="000000"/>
                  </w14:solidFill>
                </w14:textFill>
              </w:rPr>
              <w:t>本</w:t>
            </w:r>
            <w:r>
              <w:rPr>
                <w:rFonts w:ascii="宋体" w:cs="Times New Roman" w:hAnsi="宋体"/>
                <w:color w:val="000000"/>
                <w:sz w:val="24"/>
                <w:szCs w:val="20"/>
                <w14:textFill>
                  <w14:solidFill>
                    <w14:srgbClr w14:val="000000"/>
                  </w14:solidFill>
                </w14:textFill>
                <w:highlight w:val="none"/>
              </w:rPr>
              <w:t>项目所在地位</w:t>
            </w:r>
            <w:r>
              <w:rPr>
                <w:rFonts w:ascii="宋体" w:cs="Times New Roman" w:hAnsi="宋体"/>
                <w:color w:val="auto"/>
                <w:sz w:val="24"/>
                <w:szCs w:val="20"/>
                <w:highlight w:val="none"/>
              </w:rPr>
              <w:t>于</w:t>
            </w:r>
            <w:r>
              <w:rPr>
                <w:rFonts w:ascii="宋体" w:cs="宋体" w:hAnsi="宋体" w:hint="eastAsia"/>
                <w:color w:val="auto"/>
                <w:sz w:val="24"/>
                <w:szCs w:val="24"/>
                <w:lang w:val="en-US" w:eastAsia="zh-CN"/>
                <w:highlight w:val="none"/>
              </w:rPr>
              <w:t>新乡市延津县化工园区纬一路与榆林排交叉口东南角，</w:t>
            </w:r>
            <w:r>
              <w:rPr>
                <w:rFonts w:ascii="Times New Roman" w:cs="Times New Roman" w:hAnsi="Times New Roman" w:hint="eastAsia"/>
                <w:color w:val="000000"/>
                <w:sz w:val="24"/>
                <w:szCs w:val="20"/>
              </w:rPr>
              <w:t>不在当地饮用水源、风景区、自然保护区等生态保护区内，</w:t>
            </w:r>
            <w:r>
              <w:rPr>
                <w:rFonts w:ascii="宋体" w:cs="Times New Roman" w:hAnsi="宋体" w:hint="eastAsia"/>
                <w:color w:val="auto"/>
                <w:sz w:val="24"/>
                <w:szCs w:val="20"/>
                <w:highlight w:val="none"/>
              </w:rPr>
              <w:t>经查阅《新乡市生态</w:t>
            </w:r>
            <w:r>
              <w:rPr>
                <w:rFonts w:ascii="宋体" w:cs="Times New Roman" w:hAnsi="宋体" w:hint="eastAsia"/>
                <w:color w:val="auto"/>
                <w:sz w:val="24"/>
                <w:szCs w:val="20"/>
                <w:lang w:eastAsia="zh-CN"/>
                <w:highlight w:val="none"/>
              </w:rPr>
              <w:t>分区管控</w:t>
            </w:r>
            <w:r>
              <w:rPr>
                <w:rFonts w:ascii="宋体" w:cs="Times New Roman" w:hAnsi="宋体" w:hint="eastAsia"/>
                <w:color w:val="auto"/>
                <w:sz w:val="24"/>
                <w:szCs w:val="20"/>
                <w:highlight w:val="none"/>
              </w:rPr>
              <w:t>图》，本项</w:t>
            </w:r>
            <w:r>
              <w:rPr>
                <w:rFonts w:ascii="宋体" w:cs="Times New Roman" w:hAnsi="宋体" w:hint="eastAsia"/>
                <w:color w:val="auto"/>
                <w:sz w:val="24"/>
                <w:szCs w:val="20"/>
              </w:rPr>
              <w:t>目所</w:t>
            </w:r>
            <w:r>
              <w:rPr>
                <w:rFonts w:ascii="宋体" w:cs="Times New Roman" w:hAnsi="宋体" w:hint="eastAsia"/>
                <w:color w:val="000000"/>
                <w:sz w:val="24"/>
                <w:szCs w:val="20"/>
                <w14:textFill>
                  <w14:solidFill>
                    <w14:srgbClr w14:val="000000"/>
                  </w14:solidFill>
                </w14:textFill>
              </w:rPr>
              <w:t>在地</w:t>
            </w:r>
            <w:r>
              <w:rPr>
                <w:rFonts w:ascii="宋体" w:cs="Times New Roman" w:hAnsi="宋体" w:hint="eastAsia"/>
                <w:color w:val="000000"/>
                <w:sz w:val="24"/>
                <w:szCs w:val="20"/>
                <w14:textFill>
                  <w14:solidFill>
                    <w14:srgbClr w14:val="000000"/>
                  </w14:solidFill>
                </w14:textFill>
                <w:lang w:eastAsia="zh-CN"/>
              </w:rPr>
              <w:t>属于重点管控单元，不涉及生态保护红线。</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eastAsia="宋体" w:hint="eastAsia"/>
                <w:b/>
                <w:bCs/>
                <w:color w:val="FF0000"/>
                <w:sz w:val="24"/>
                <w:lang w:eastAsia="zh-CN"/>
              </w:rPr>
            </w:pPr>
            <w:r>
              <w:rPr>
                <w:rFonts w:ascii="Times New Roman" w:cs="Times New Roman" w:hAnsi="Times New Roman"/>
                <w:sz w:val="24"/>
                <w:szCs w:val="20"/>
              </w:rPr>
              <mc:AlternateContent>
                <mc:Choice Requires="wps">
                  <w:drawing>
                    <wp:anchor distT="0" distB="0" distL="114300" distR="114300" simplePos="0" relativeHeight="63" behindDoc="0" locked="0" layoutInCell="1" hidden="0" allowOverlap="1">
                      <wp:simplePos x="0" y="0"/>
                      <wp:positionH relativeFrom="column">
                        <wp:posOffset>2212975</wp:posOffset>
                      </wp:positionH>
                      <wp:positionV relativeFrom="paragraph">
                        <wp:posOffset>1601469</wp:posOffset>
                      </wp:positionV>
                      <wp:extent cx="1211580" cy="365125"/>
                      <wp:effectExtent l="12700" t="12700" r="13970" b="269875"/>
                      <wp:wrapNone/>
                      <wp:docPr id="207" name="圆角矩形标注 207"/>
                      <wp:cNvGraphicFramePr>
                        <a:graphicFrameLocks noChangeAspect="0"/>
                      </wp:cNvGraphicFramePr>
                      <a:graphic>
                        <a:graphicData uri="http://schemas.microsoft.com/office/word/2010/wordprocessingShape">
                          <wps:wsp>
                            <wps:cNvSpPr/>
                            <wps:spPr>
                              <a:xfrm rot="0">
                                <a:off x="0" y="0"/>
                                <a:ext cx="1211580" cy="365125"/>
                              </a:xfrm>
                              <a:prstGeom prst="wedgeRoundRectCallout">
                                <a:avLst>
                                  <a:gd name="adj1" fmla="val -47615"/>
                                  <a:gd name="adj2" fmla="val 116083"/>
                                  <a:gd name="adj3" fmla="val 16667"/>
                                </a:avLst>
                              </a:prstGeom>
                              <a:noFill/>
                              <a:ln w="9525" cmpd="sng" cap="flat">
                                <a:solidFill>
                                  <a:srgbClr val="000000"/>
                                </a:solidFill>
                                <a:prstDash val="solid"/>
                                <a:round/>
                              </a:ln>
                            </wps:spPr>
                            <wps:txbx id="1">
                              <w:txbxContent>
                                <w:p>
                                  <w:pPr>
                                    <w:jc w:val="center"/>
                                    <w:rPr>
                                      <w:rFonts w:eastAsia="宋体" w:hint="eastAsia"/>
                                      <w:color w:val="000000"/>
                                      <w14:textFill>
                                        <w14:solidFill>
                                          <w14:srgbClr w14:val="000000"/>
                                        </w14:solidFill>
                                      </w14:textFill>
                                      <w:lang w:eastAsia="zh-CN"/>
                                    </w:rPr>
                                  </w:pPr>
                                  <w:r>
                                    <w:rPr>
                                      <w:rFonts w:hint="eastAsia"/>
                                      <w:color w:val="000000"/>
                                      <w14:textFill>
                                        <w14:solidFill>
                                          <w14:srgbClr w14:val="000000"/>
                                        </w14:solidFill>
                                      </w14:textFill>
                                      <w:lang w:eastAsia="zh-CN"/>
                                    </w:rPr>
                                    <w:t>本项目所在地</w:t>
                                  </w:r>
                                </w:p>
                              </w:txbxContent>
                            </wps:txbx>
                            <wps:bodyPr vert="horz" wrap="square" lIns="91440" tIns="45720" rIns="91440" bIns="45720" anchor="ctr" anchorCtr="0" upright="0">
                              <a:noAutofit/>
                            </wps:bodyPr>
                          </wps:wsp>
                        </a:graphicData>
                      </a:graphic>
                    </wp:anchor>
                  </w:drawing>
                </mc:Choice>
                <mc:Fallback>
                  <w:pict>
                    <v:shape type="#_x0000_t62" id="圆角矩形标注 207" o:spid="_x0000_s2" filled="f" stroked="t" adj="515,35874" style="position:absolute;margin-left:174.25pt;margin-top:126.1pt;width:95.40001pt;height:28.750008pt;z-index:63;mso-position-horizontal:absolute;mso-position-vertical:absolute;mso-wrap-style:square;">
                      <v:stroke color="#000000"/>
                      <v:textbox id="848" inset="2.54mm,1.27mm,2.54mm,1.27mm" o:insetmode="custom" style="layout-flow:horizontal;v-text-anchor:middle;">
                        <w:txbxContent>
                          <w:p>
                            <w:pPr>
                              <w:jc w:val="center"/>
                              <w:rPr>
                                <w:rFonts w:eastAsia="宋体" w:hint="eastAsia"/>
                                <w:color w:val="000000"/>
                                <w14:textFill>
                                  <w14:solidFill>
                                    <w14:srgbClr w14:val="000000"/>
                                  </w14:solidFill>
                                </w14:textFill>
                                <w:lang w:eastAsia="zh-CN"/>
                              </w:rPr>
                            </w:pPr>
                            <w:r>
                              <w:rPr>
                                <w:rFonts w:hint="eastAsia"/>
                                <w:color w:val="000000"/>
                                <w14:textFill>
                                  <w14:solidFill>
                                    <w14:srgbClr w14:val="000000"/>
                                  </w14:solidFill>
                                </w14:textFill>
                                <w:lang w:eastAsia="zh-CN"/>
                              </w:rPr>
                              <w:t>本项目所在地</w:t>
                            </w:r>
                          </w:p>
                        </w:txbxContent>
                      </v:textbox>
                    </v:shape>
                  </w:pict>
                </mc:Fallback>
              </mc:AlternateContent>
            </w:r>
            <w:r>
              <w:rPr>
                <w:rFonts w:ascii="Times New Roman" w:eastAsia="宋体" w:cs="Times New Roman" w:hAnsi="Times New Roman" w:hint="eastAsia"/>
                <w:b/>
                <w:bCs/>
                <w:color w:val="FF0000"/>
                <w:sz w:val="24"/>
                <w:szCs w:val="20"/>
                <w:lang w:eastAsia="zh-CN"/>
              </w:rPr>
              <w:drawing>
                <wp:inline distT="0" distB="0" distL="114300" distR="114300">
                  <wp:extent cx="5173345" cy="3653790"/>
                  <wp:effectExtent l="0" t="0" r="0" b="1"/>
                  <wp:docPr id="2058" name="图片 2058" descr="新乡市分区管控图2024_00"/>
                  <wp:cNvGraphicFramePr>
                    <a:graphicFrameLocks noChangeAspect="1"/>
                  </wp:cNvGraphicFramePr>
                  <a:graphic>
                    <a:graphicData uri="http://schemas.openxmlformats.org/drawingml/2006/picture">
                      <pic:pic>
                        <pic:nvPicPr>
                          <pic:cNvPr id="4" name="图片 4"/>
                          <pic:cNvPicPr/>
                        </pic:nvPicPr>
                        <pic:blipFill>
                          <a:blip r:embed="rId6"/>
                          <a:stretch>
                            <a:fillRect/>
                          </a:stretch>
                        </pic:blipFill>
                        <pic:spPr>
                          <a:xfrm rot="0">
                            <a:off x="0" y="0"/>
                            <a:ext cx="5173345" cy="3653790"/>
                          </a:xfrm>
                          <a:prstGeom prst="rect"/>
                          <a:noFill/>
                          <a:ln w="9525" cmpd="sng" cap="flat">
                            <a:noFill/>
                            <a:prstDash val="solid"/>
                            <a:miter/>
                          </a:ln>
                        </pic:spPr>
                      </pic:pic>
                    </a:graphicData>
                  </a:graphic>
                </wp:inline>
              </w:drawing>
            </w:r>
          </w:p>
          <w:p>
            <w:pPr>
              <w:keepNext w:val="0"/>
              <w:keepLines w:val="0"/>
              <w:suppressLineNumbers w:val="0"/>
              <w:spacing w:before="0" w:beforeAutospacing="0" w:after="0" w:afterAutospacing="0" w:line="440" w:lineRule="exact"/>
              <w:ind w:left="0" w:right="0"/>
              <w:jc w:val="center"/>
              <w:textAlignment w:val="baseline"/>
              <w:rPr>
                <w:rFonts w:ascii="宋体" w:hAnsi="宋体"/>
                <w:b/>
                <w:bCs/>
                <w:color w:val="auto"/>
                <w:szCs w:val="21"/>
                <w:highlight w:val="none"/>
              </w:rPr>
            </w:pPr>
            <w:r>
              <w:rPr>
                <w:rFonts w:ascii="宋体" w:cs="Times New Roman" w:hAnsi="宋体"/>
                <w:b/>
                <w:bCs/>
                <w:color w:val="auto"/>
                <w:sz w:val="24"/>
                <w:szCs w:val="21"/>
                <w:highlight w:val="none"/>
              </w:rPr>
              <w:t>图</w:t>
            </w:r>
            <w:r>
              <w:rPr>
                <w:rFonts w:ascii="Times New Roman" w:cs="Times New Roman" w:hAnsi="Times New Roman"/>
                <w:b/>
                <w:bCs/>
                <w:color w:val="auto"/>
                <w:sz w:val="24"/>
                <w:szCs w:val="21"/>
                <w:highlight w:val="none"/>
              </w:rPr>
              <w:t>1</w:t>
            </w:r>
            <w:r>
              <w:rPr>
                <w:rFonts w:ascii="Times New Roman" w:cs="Times New Roman" w:hAnsi="Times New Roman" w:hint="eastAsia"/>
                <w:b/>
                <w:bCs/>
                <w:color w:val="auto"/>
                <w:sz w:val="24"/>
                <w:szCs w:val="21"/>
                <w:lang w:val="en-US" w:eastAsia="zh-CN"/>
                <w:highlight w:val="none"/>
              </w:rPr>
              <w:t xml:space="preserve"> </w:t>
            </w:r>
            <w:r>
              <w:rPr>
                <w:rFonts w:ascii="Times New Roman" w:cs="Times New Roman" w:hAnsi="Times New Roman"/>
                <w:b/>
                <w:bCs/>
                <w:color w:val="auto"/>
                <w:sz w:val="24"/>
                <w:szCs w:val="21"/>
                <w:highlight w:val="none"/>
              </w:rPr>
              <w:t xml:space="preserve"> </w:t>
            </w:r>
            <w:r>
              <w:rPr>
                <w:rFonts w:ascii="宋体" w:cs="Times New Roman" w:hAnsi="宋体"/>
                <w:b/>
                <w:bCs/>
                <w:color w:val="auto"/>
                <w:sz w:val="24"/>
                <w:szCs w:val="21"/>
                <w:highlight w:val="none"/>
              </w:rPr>
              <w:t xml:space="preserve"> 新乡市生态</w:t>
            </w:r>
            <w:r>
              <w:rPr>
                <w:rFonts w:ascii="宋体" w:cs="Times New Roman" w:hAnsi="宋体" w:hint="eastAsia"/>
                <w:b/>
                <w:bCs/>
                <w:color w:val="auto"/>
                <w:sz w:val="24"/>
                <w:szCs w:val="21"/>
                <w:lang w:eastAsia="zh-CN"/>
                <w:highlight w:val="none"/>
              </w:rPr>
              <w:t>分区管控</w:t>
            </w:r>
            <w:r>
              <w:rPr>
                <w:rFonts w:ascii="宋体" w:cs="Times New Roman" w:hAnsi="宋体"/>
                <w:b/>
                <w:bCs/>
                <w:color w:val="auto"/>
                <w:sz w:val="24"/>
                <w:szCs w:val="21"/>
                <w:highlight w:val="none"/>
              </w:rPr>
              <w:t>图</w:t>
            </w:r>
          </w:p>
          <w:p>
            <w:pPr>
              <w:keepNext w:val="0"/>
              <w:keepLines w:val="0"/>
              <w:pageBreakBefore w:val="0"/>
              <w:widowControl w:val="0"/>
              <w:suppressLineNumbers w:val="0"/>
              <w:kinsoku/>
              <w:wordWrap/>
              <w:topLinePunct w:val="0"/>
              <w:autoSpaceDE/>
              <w:autoSpaceDN/>
              <w:bidi w:val="0"/>
              <w:adjustRightInd/>
              <w:spacing w:before="0" w:beforeAutospacing="0" w:after="0" w:afterAutospacing="0" w:line="440" w:lineRule="exact"/>
              <w:ind w:left="0" w:right="0" w:firstLineChars="200" w:firstLine="480"/>
              <w:textAlignment w:val="baseline"/>
              <w:rPr>
                <w:rFonts w:ascii="Times New Roman" w:cs="Times New Roman" w:hAnsi="Times New Roman"/>
                <w:b/>
                <w:color w:val="000000"/>
                <w:sz w:val="24"/>
              </w:rPr>
            </w:pPr>
            <w:r>
              <w:rPr>
                <w:rFonts w:ascii="Times New Roman" w:cs="Times New Roman" w:hAnsi="Times New Roman"/>
                <w:b/>
                <w:color w:val="000000"/>
                <w:sz w:val="24"/>
                <w:szCs w:val="20"/>
              </w:rPr>
              <w:t>（2）环境质量底线相符性分析</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firstLineChars="200" w:firstLine="480"/>
              <w:jc w:val="both"/>
              <w:textAlignment w:val="baseline"/>
              <w:rPr>
                <w:rFonts w:ascii="Times New Roman" w:cs="Times New Roman" w:hAnsi="Times New Roman"/>
                <w:color w:val="000000"/>
                <w:sz w:val="24"/>
                <w:szCs w:val="24"/>
                <w14:textFill>
                  <w14:solidFill>
                    <w14:srgbClr w14:val="000000"/>
                  </w14:solidFill>
                </w14:textFill>
                <w:highlight w:val="none"/>
              </w:rPr>
            </w:pPr>
            <w:r>
              <w:rPr>
                <w:rFonts w:ascii="Times New Roman" w:cs="Times New Roman" w:hAnsi="Times New Roman"/>
                <w:sz w:val="24"/>
                <w:szCs w:val="24"/>
              </w:rPr>
              <w:t>本项目厂址</w:t>
            </w:r>
            <w:r>
              <w:rPr>
                <w:rFonts w:ascii="Times New Roman" w:cs="Times New Roman" w:hAnsi="Times New Roman"/>
                <w:color w:val="auto"/>
                <w:sz w:val="24"/>
                <w:szCs w:val="24"/>
              </w:rPr>
              <w:t>位</w:t>
            </w:r>
            <w:r>
              <w:rPr>
                <w:rFonts w:ascii="Times New Roman" w:eastAsia="宋体" w:cs="Times New Roman" w:hAnsi="Times New Roman"/>
                <w:color w:val="auto"/>
                <w:sz w:val="24"/>
                <w:szCs w:val="24"/>
              </w:rPr>
              <w:t>于延津县产业集聚区</w:t>
            </w:r>
            <w:r>
              <w:rPr>
                <w:rFonts w:ascii="Times New Roman" w:cs="Times New Roman" w:hAnsi="Times New Roman" w:hint="eastAsia"/>
                <w:color w:val="auto"/>
                <w:sz w:val="24"/>
                <w:szCs w:val="24"/>
                <w:lang w:val="en-US" w:eastAsia="zh-CN"/>
              </w:rPr>
              <w:t>北区</w:t>
            </w:r>
            <w:r>
              <w:rPr>
                <w:rFonts w:ascii="Times New Roman" w:cs="Times New Roman" w:hAnsi="Times New Roman"/>
                <w:color w:val="auto"/>
                <w:sz w:val="24"/>
                <w:szCs w:val="24"/>
              </w:rPr>
              <w:t>，区域环境空气为二类功能区，纳污水体</w:t>
            </w:r>
            <w:r>
              <w:rPr>
                <w:rFonts w:ascii="Times New Roman" w:cs="Times New Roman" w:hAnsi="Times New Roman" w:hint="eastAsia"/>
                <w:color w:val="auto"/>
                <w:sz w:val="24"/>
                <w:szCs w:val="20"/>
                <w:lang w:val="en-US" w:eastAsia="zh-CN"/>
              </w:rPr>
              <w:t>大沙河</w:t>
            </w:r>
            <w:r>
              <w:rPr>
                <w:rFonts w:ascii="Times New Roman" w:cs="Times New Roman" w:hAnsi="Times New Roman"/>
                <w:color w:val="auto"/>
                <w:sz w:val="24"/>
                <w:szCs w:val="24"/>
              </w:rPr>
              <w:t>的水体功能类别为</w:t>
            </w:r>
            <w:r>
              <w:rPr>
                <w:rFonts w:ascii="Times New Roman" w:cs="Times New Roman" w:hAnsi="Times New Roman" w:hint="eastAsia"/>
                <w:color w:val="auto"/>
                <w:sz w:val="24"/>
                <w:szCs w:val="24"/>
                <w:lang w:val="en-US" w:eastAsia="zh-CN"/>
              </w:rPr>
              <w:t>Ⅳ</w:t>
            </w:r>
            <w:r>
              <w:rPr>
                <w:rFonts w:ascii="Times New Roman" w:cs="Times New Roman" w:hAnsi="Times New Roman"/>
                <w:color w:val="auto"/>
                <w:sz w:val="24"/>
                <w:szCs w:val="24"/>
              </w:rPr>
              <w:t>类，噪声区划为</w:t>
            </w:r>
            <w:r>
              <w:rPr>
                <w:rFonts w:ascii="Times New Roman" w:cs="Times New Roman" w:hAnsi="Times New Roman"/>
                <w:color w:val="auto"/>
                <w:sz w:val="24"/>
                <w:szCs w:val="24"/>
                <w:lang w:val="en-US" w:eastAsia="zh-CN"/>
              </w:rPr>
              <w:t>2</w:t>
            </w:r>
            <w:r>
              <w:rPr>
                <w:rFonts w:ascii="Times New Roman" w:cs="Times New Roman" w:hAnsi="Times New Roman"/>
                <w:color w:val="auto"/>
                <w:sz w:val="24"/>
                <w:szCs w:val="24"/>
              </w:rPr>
              <w:t>类声功能区。本项目建成后，废气、废水、噪声都能够实现达标排放，固废均进行了无害化处置。本项目新增废气污染物：</w:t>
            </w:r>
            <w:r>
              <w:rPr>
                <w:rFonts w:ascii="Times New Roman" w:cs="Times New Roman" w:hAnsi="Times New Roman"/>
                <w:color w:val="auto"/>
                <w:sz w:val="24"/>
                <w:szCs w:val="24"/>
                <w:highlight w:val="none"/>
              </w:rPr>
              <w:t>非甲烷总烃</w:t>
            </w:r>
            <w:r>
              <w:rPr>
                <w:rFonts w:ascii="Times New Roman" w:cs="Times New Roman" w:hAnsi="Times New Roman" w:hint="eastAsia"/>
                <w:color w:val="auto"/>
                <w:sz w:val="24"/>
                <w:szCs w:val="24"/>
                <w:lang w:val="en-US" w:eastAsia="zh-CN"/>
                <w:highlight w:val="none"/>
              </w:rPr>
              <w:t>0.1389t/a</w:t>
            </w:r>
            <w:r>
              <w:rPr>
                <w:rFonts w:ascii="Times New Roman" w:cs="Times New Roman" w:hAnsi="Times New Roman"/>
                <w:color w:val="auto"/>
                <w:sz w:val="24"/>
                <w:szCs w:val="24"/>
                <w:highlight w:val="none"/>
              </w:rPr>
              <w:t>，进行了区域倍量削减替代</w:t>
            </w:r>
            <w:r>
              <w:rPr>
                <w:rFonts w:ascii="Times New Roman" w:cs="Times New Roman" w:hAnsi="Times New Roman"/>
                <w:color w:val="0000FF"/>
                <w:sz w:val="24"/>
                <w:szCs w:val="24"/>
                <w:lang w:eastAsia="zh-CN"/>
                <w:highlight w:val="none"/>
              </w:rPr>
              <w:t>，</w:t>
            </w:r>
            <w:r>
              <w:rPr>
                <w:rFonts w:ascii="Times New Roman" w:cs="Times New Roman" w:hAnsi="Times New Roman" w:hint="eastAsia"/>
                <w:color w:val="auto"/>
                <w:sz w:val="24"/>
                <w:szCs w:val="24"/>
                <w:lang w:val="en-US" w:eastAsia="zh-CN"/>
                <w:highlight w:val="none"/>
              </w:rPr>
              <w:t>新增生活污水总量：</w:t>
            </w:r>
            <w:r>
              <w:rPr>
                <w:rFonts w:ascii="Times New Roman" w:cs="Times New Roman" w:hAnsi="Times New Roman"/>
                <w:color w:val="auto"/>
                <w:kern w:val="0"/>
                <w:sz w:val="24"/>
                <w:szCs w:val="20"/>
                <w:highlight w:val="none"/>
              </w:rPr>
              <w:t>COD0.</w:t>
            </w:r>
            <w:r>
              <w:rPr>
                <w:rFonts w:ascii="Times New Roman" w:cs="Times New Roman" w:hAnsi="Times New Roman" w:hint="eastAsia"/>
                <w:color w:val="auto"/>
                <w:kern w:val="0"/>
                <w:sz w:val="24"/>
                <w:szCs w:val="20"/>
                <w:lang w:val="en-US" w:eastAsia="zh-CN"/>
                <w:highlight w:val="none"/>
              </w:rPr>
              <w:t>0030</w:t>
            </w:r>
            <w:r>
              <w:rPr>
                <w:rFonts w:ascii="Times New Roman" w:cs="Times New Roman" w:hAnsi="Times New Roman"/>
                <w:color w:val="auto"/>
                <w:kern w:val="0"/>
                <w:sz w:val="24"/>
                <w:szCs w:val="20"/>
                <w:highlight w:val="none"/>
              </w:rPr>
              <w:t>t/a、NH</w:t>
            </w:r>
            <w:r>
              <w:rPr>
                <w:rFonts w:ascii="Times New Roman" w:cs="Times New Roman" w:hAnsi="Times New Roman"/>
                <w:color w:val="auto"/>
                <w:kern w:val="0"/>
                <w:sz w:val="24"/>
                <w:szCs w:val="20"/>
                <w:vertAlign w:val="subscript"/>
                <w:highlight w:val="none"/>
              </w:rPr>
              <w:t>3</w:t>
            </w:r>
            <w:r>
              <w:rPr>
                <w:rFonts w:ascii="Times New Roman" w:cs="Times New Roman" w:hAnsi="Times New Roman"/>
                <w:color w:val="auto"/>
                <w:kern w:val="0"/>
                <w:sz w:val="24"/>
                <w:szCs w:val="20"/>
                <w:highlight w:val="none"/>
              </w:rPr>
              <w:t>-N0.00</w:t>
            </w:r>
            <w:r>
              <w:rPr>
                <w:rFonts w:ascii="Times New Roman" w:cs="Times New Roman" w:hAnsi="Times New Roman" w:hint="eastAsia"/>
                <w:color w:val="auto"/>
                <w:kern w:val="0"/>
                <w:sz w:val="24"/>
                <w:szCs w:val="20"/>
                <w:lang w:val="en-US" w:eastAsia="zh-CN"/>
                <w:highlight w:val="none"/>
              </w:rPr>
              <w:t>01</w:t>
            </w:r>
            <w:r>
              <w:rPr>
                <w:rFonts w:ascii="Times New Roman" w:cs="Times New Roman" w:hAnsi="Times New Roman"/>
                <w:color w:val="auto"/>
                <w:kern w:val="0"/>
                <w:sz w:val="24"/>
                <w:szCs w:val="20"/>
                <w:highlight w:val="none"/>
              </w:rPr>
              <w:t>t/a、TP0.000</w:t>
            </w:r>
            <w:r>
              <w:rPr>
                <w:rFonts w:ascii="Times New Roman" w:cs="Times New Roman" w:hAnsi="Times New Roman" w:hint="eastAsia"/>
                <w:color w:val="auto"/>
                <w:kern w:val="0"/>
                <w:sz w:val="24"/>
                <w:szCs w:val="20"/>
                <w:lang w:val="en-US" w:eastAsia="zh-CN"/>
                <w:highlight w:val="none"/>
              </w:rPr>
              <w:t>03</w:t>
            </w:r>
            <w:r>
              <w:rPr>
                <w:rFonts w:ascii="Times New Roman" w:cs="Times New Roman" w:hAnsi="Times New Roman"/>
                <w:color w:val="auto"/>
                <w:kern w:val="0"/>
                <w:sz w:val="24"/>
                <w:szCs w:val="20"/>
                <w:highlight w:val="none"/>
              </w:rPr>
              <w:t>t/a</w:t>
            </w:r>
            <w:r>
              <w:rPr>
                <w:rFonts w:ascii="Times New Roman" w:cs="Times New Roman" w:hAnsi="Times New Roman"/>
                <w:color w:val="0000FF"/>
                <w:sz w:val="24"/>
                <w:szCs w:val="24"/>
              </w:rPr>
              <w:t>。</w:t>
            </w:r>
            <w:r>
              <w:rPr>
                <w:rFonts w:ascii="Times New Roman" w:cs="Times New Roman" w:hAnsi="Times New Roman"/>
                <w:sz w:val="24"/>
                <w:szCs w:val="24"/>
              </w:rPr>
              <w:t>不会对区域环境质量底线造成冲击，满足环境质量底线的要求。</w:t>
            </w:r>
          </w:p>
          <w:p>
            <w:pPr>
              <w:keepNext w:val="0"/>
              <w:keepLines w:val="0"/>
              <w:pageBreakBefore w:val="0"/>
              <w:widowControl w:val="0"/>
              <w:suppressLineNumbers w:val="0"/>
              <w:kinsoku/>
              <w:wordWrap/>
              <w:topLinePunct w:val="0"/>
              <w:autoSpaceDE/>
              <w:autoSpaceDN/>
              <w:bidi w:val="0"/>
              <w:adjustRightInd/>
              <w:spacing w:before="0" w:beforeAutospacing="0" w:after="0" w:afterAutospacing="0" w:line="440" w:lineRule="exact"/>
              <w:ind w:left="0" w:right="0" w:firstLineChars="200" w:firstLine="480"/>
              <w:textAlignment w:val="baseline"/>
              <w:rPr>
                <w:rFonts w:ascii="Times New Roman" w:cs="Times New Roman" w:hAnsi="Times New Roman"/>
                <w:b/>
                <w:color w:val="000000"/>
                <w:sz w:val="24"/>
              </w:rPr>
            </w:pPr>
            <w:r>
              <w:rPr>
                <w:rFonts w:ascii="Times New Roman" w:cs="Times New Roman" w:hAnsi="Times New Roman"/>
                <w:b/>
                <w:color w:val="000000"/>
                <w:sz w:val="24"/>
                <w:szCs w:val="20"/>
              </w:rPr>
              <w:t>（3）资源利用上线相符性分析</w:t>
            </w:r>
          </w:p>
          <w:p>
            <w:pPr>
              <w:keepNext w:val="0"/>
              <w:keepLines w:val="0"/>
              <w:pageBreakBefore w:val="0"/>
              <w:widowControl w:val="0"/>
              <w:suppressLineNumbers w:val="0"/>
              <w:kinsoku/>
              <w:wordWrap/>
              <w:topLinePunct w:val="0"/>
              <w:autoSpaceDE/>
              <w:autoSpaceDN/>
              <w:bidi w:val="0"/>
              <w:adjustRightInd/>
              <w:spacing w:before="0" w:beforeAutospacing="0" w:after="0" w:afterAutospacing="0" w:line="440" w:lineRule="exact"/>
              <w:ind w:left="0" w:right="0" w:firstLineChars="200" w:firstLine="480"/>
              <w:jc w:val="both"/>
              <w:textAlignment w:val="baseline"/>
              <w:rPr>
                <w:rFonts w:ascii="Times New Roman" w:cs="Times New Roman" w:hAnsi="Times New Roman"/>
                <w:b/>
                <w:bCs/>
                <w:sz w:val="24"/>
                <w:highlight w:val="none"/>
              </w:rPr>
            </w:pPr>
            <w:r>
              <w:rPr>
                <w:rFonts w:ascii="Times New Roman" w:cs="Times New Roman" w:hAnsi="Times New Roman"/>
                <w:color w:val="000000"/>
                <w:sz w:val="24"/>
                <w:szCs w:val="20"/>
                <w14:textFill>
                  <w14:solidFill>
                    <w14:srgbClr w14:val="000000"/>
                  </w14:solidFill>
                </w14:textFill>
                <w:highlight w:val="none"/>
              </w:rPr>
              <w:t>本项目</w:t>
            </w:r>
            <w:r>
              <w:rPr>
                <w:rFonts w:ascii="Times New Roman" w:cs="Times New Roman" w:hAnsi="Times New Roman"/>
                <w:color w:val="000000"/>
                <w:sz w:val="24"/>
                <w:szCs w:val="20"/>
                <w14:textFill>
                  <w14:solidFill>
                    <w14:srgbClr w14:val="000000"/>
                  </w14:solidFill>
                </w14:textFill>
                <w:lang w:val="en-US" w:eastAsia="zh-CN"/>
                <w:highlight w:val="none"/>
              </w:rPr>
              <w:t>利用闲置土地进行建设</w:t>
            </w:r>
            <w:r>
              <w:rPr>
                <w:rFonts w:ascii="Times New Roman" w:cs="Times New Roman" w:hAnsi="Times New Roman"/>
                <w:color w:val="000000"/>
                <w:sz w:val="24"/>
                <w:szCs w:val="20"/>
                <w14:textFill>
                  <w14:solidFill>
                    <w14:srgbClr w14:val="000000"/>
                  </w14:solidFill>
                </w14:textFill>
                <w:highlight w:val="none"/>
              </w:rPr>
              <w:t>，</w:t>
            </w:r>
            <w:r>
              <w:rPr>
                <w:rFonts w:ascii="Times New Roman" w:cs="Times New Roman" w:hAnsi="Times New Roman"/>
                <w:color w:val="000000"/>
                <w:sz w:val="24"/>
                <w:szCs w:val="20"/>
                <w14:textFill>
                  <w14:solidFill>
                    <w14:srgbClr w14:val="000000"/>
                  </w14:solidFill>
                </w14:textFill>
                <w:lang w:val="en-US" w:eastAsia="zh-CN"/>
                <w:highlight w:val="none"/>
              </w:rPr>
              <w:t>总占地面积约</w:t>
            </w:r>
            <w:r>
              <w:rPr>
                <w:rFonts w:ascii="Times New Roman" w:cs="Times New Roman" w:hAnsi="Times New Roman" w:hint="eastAsia"/>
                <w:color w:val="000000"/>
                <w:sz w:val="24"/>
                <w:szCs w:val="20"/>
                <w14:textFill>
                  <w14:solidFill>
                    <w14:srgbClr w14:val="000000"/>
                  </w14:solidFill>
                </w14:textFill>
                <w:lang w:val="en-US" w:eastAsia="zh-CN"/>
                <w:highlight w:val="none"/>
              </w:rPr>
              <w:t>2095.29</w:t>
            </w:r>
            <w:r>
              <w:rPr>
                <w:rFonts w:ascii="Times New Roman" w:cs="Times New Roman" w:hAnsi="Times New Roman"/>
                <w:color w:val="000000"/>
                <w:sz w:val="24"/>
                <w:szCs w:val="20"/>
                <w14:textFill>
                  <w14:solidFill>
                    <w14:srgbClr w14:val="000000"/>
                  </w14:solidFill>
                </w14:textFill>
                <w:lang w:val="en-US" w:eastAsia="zh-CN"/>
                <w:highlight w:val="none"/>
              </w:rPr>
              <w:t>m</w:t>
            </w:r>
            <w:r>
              <w:rPr>
                <w:rFonts w:ascii="Times New Roman" w:cs="Times New Roman" w:hAnsi="Times New Roman"/>
                <w:color w:val="000000"/>
                <w:sz w:val="24"/>
                <w:szCs w:val="20"/>
                <w:vertAlign w:val="superscript"/>
                <w14:textFill>
                  <w14:solidFill>
                    <w14:srgbClr w14:val="000000"/>
                  </w14:solidFill>
                </w14:textFill>
                <w:lang w:val="en-US" w:eastAsia="zh-CN"/>
                <w:highlight w:val="none"/>
              </w:rPr>
              <w:t>2</w:t>
            </w:r>
            <w:r>
              <w:rPr>
                <w:rFonts w:ascii="Times New Roman" w:cs="Times New Roman" w:hAnsi="Times New Roman"/>
                <w:color w:val="000000"/>
                <w:sz w:val="24"/>
                <w:szCs w:val="20"/>
                <w:vertAlign w:val="baseline"/>
                <w14:textFill>
                  <w14:solidFill>
                    <w14:srgbClr w14:val="000000"/>
                  </w14:solidFill>
                </w14:textFill>
                <w:lang w:val="en-US" w:eastAsia="zh-CN"/>
                <w:highlight w:val="none"/>
              </w:rPr>
              <w:t>。</w:t>
            </w:r>
            <w:r>
              <w:rPr>
                <w:rFonts w:ascii="Times New Roman" w:cs="Times New Roman" w:hAnsi="Times New Roman"/>
                <w:color w:val="000000"/>
                <w:sz w:val="24"/>
                <w:szCs w:val="20"/>
                <w:highlight w:val="none"/>
              </w:rPr>
              <w:t>本项目属于</w:t>
            </w:r>
            <w:r>
              <w:rPr>
                <w:rFonts w:ascii="Times New Roman" w:cs="Times New Roman" w:hAnsi="Times New Roman"/>
                <w:color w:val="auto"/>
                <w:sz w:val="24"/>
                <w:szCs w:val="24"/>
                <w:lang w:eastAsia="zh-CN"/>
                <w:highlight w:val="none"/>
              </w:rPr>
              <w:t>社会事业与服务业</w:t>
            </w:r>
            <w:r>
              <w:rPr>
                <w:rFonts w:ascii="Times New Roman" w:cs="Times New Roman" w:hAnsi="Times New Roman"/>
                <w:color w:val="000000"/>
                <w:sz w:val="24"/>
                <w:szCs w:val="20"/>
                <w:lang w:eastAsia="zh-CN"/>
                <w:highlight w:val="none"/>
              </w:rPr>
              <w:t>，</w:t>
            </w:r>
            <w:r>
              <w:rPr>
                <w:rFonts w:ascii="Times New Roman" w:cs="Times New Roman" w:hAnsi="Times New Roman"/>
                <w:color w:val="auto"/>
                <w:sz w:val="24"/>
                <w:szCs w:val="20"/>
                <w:highlight w:val="none"/>
              </w:rPr>
              <w:t>不属于高耗水工业行业</w:t>
            </w:r>
            <w:r>
              <w:rPr>
                <w:rFonts w:ascii="Times New Roman" w:cs="Times New Roman" w:hAnsi="Times New Roman"/>
                <w:color w:val="auto"/>
                <w:sz w:val="24"/>
                <w:szCs w:val="20"/>
                <w:lang w:eastAsia="zh-CN"/>
                <w:highlight w:val="none"/>
              </w:rPr>
              <w:t>，</w:t>
            </w:r>
            <w:r>
              <w:rPr>
                <w:rFonts w:ascii="Times New Roman" w:cs="Times New Roman" w:hAnsi="Times New Roman"/>
                <w:color w:val="auto"/>
                <w:sz w:val="24"/>
                <w:szCs w:val="20"/>
                <w:lang w:val="en-US" w:eastAsia="zh-CN"/>
                <w:highlight w:val="none"/>
              </w:rPr>
              <w:t>项目主要用水为市政供水，项目用电依托供电系统。项目</w:t>
            </w:r>
            <w:r>
              <w:rPr>
                <w:rFonts w:ascii="Times New Roman" w:cs="Times New Roman" w:hAnsi="Times New Roman" w:hint="eastAsia"/>
                <w:color w:val="auto"/>
                <w:sz w:val="24"/>
                <w:szCs w:val="20"/>
                <w:lang w:val="en-US" w:eastAsia="zh-CN"/>
                <w:highlight w:val="none"/>
              </w:rPr>
              <w:t>固废</w:t>
            </w:r>
            <w:r>
              <w:rPr>
                <w:rFonts w:ascii="Times New Roman" w:cs="Times New Roman" w:hAnsi="Times New Roman"/>
                <w:color w:val="auto"/>
                <w:sz w:val="24"/>
                <w:szCs w:val="20"/>
                <w:lang w:val="en-US" w:eastAsia="zh-CN"/>
                <w:highlight w:val="none"/>
              </w:rPr>
              <w:t>均得到</w:t>
            </w:r>
            <w:r>
              <w:rPr>
                <w:rFonts w:ascii="Times New Roman" w:cs="Times New Roman" w:hAnsi="Times New Roman"/>
                <w:color w:val="auto"/>
                <w:sz w:val="24"/>
                <w:szCs w:val="20"/>
                <w:highlight w:val="none"/>
              </w:rPr>
              <w:t>无害化处置</w:t>
            </w:r>
            <w:r>
              <w:rPr>
                <w:rFonts w:ascii="Times New Roman" w:cs="Times New Roman" w:hAnsi="Times New Roman"/>
                <w:color w:val="auto"/>
                <w:sz w:val="24"/>
                <w:szCs w:val="20"/>
                <w:lang w:val="en-US" w:eastAsia="zh-CN"/>
                <w:highlight w:val="none"/>
              </w:rPr>
              <w:t>，不产生有害物质。</w:t>
            </w:r>
            <w:r>
              <w:rPr>
                <w:rFonts w:ascii="Times New Roman" w:cs="Times New Roman" w:hAnsi="Times New Roman"/>
                <w:color w:val="auto"/>
                <w:sz w:val="24"/>
                <w:szCs w:val="20"/>
                <w:highlight w:val="none"/>
              </w:rPr>
              <w:t>营运期通过内部管理</w:t>
            </w:r>
            <w:r>
              <w:rPr>
                <w:rFonts w:ascii="Times New Roman" w:cs="Times New Roman" w:hAnsi="Times New Roman"/>
                <w:color w:val="000000"/>
                <w:sz w:val="24"/>
                <w:szCs w:val="20"/>
                <w:highlight w:val="none"/>
              </w:rPr>
              <w:t>、设备选择、原辅材料的选用和管理、废物回收利用、污染治理等多方面采取合理可行的防治措施，以</w:t>
            </w:r>
            <w:r>
              <w:rPr>
                <w:rFonts w:ascii="Times New Roman" w:cs="Times New Roman" w:hAnsi="Times New Roman" w:hint="eastAsia"/>
                <w:color w:val="000000"/>
                <w:sz w:val="24"/>
                <w:szCs w:val="20"/>
                <w:lang w:eastAsia="zh-CN"/>
                <w:highlight w:val="none"/>
              </w:rPr>
              <w:t>“</w:t>
            </w:r>
            <w:r>
              <w:rPr>
                <w:rFonts w:ascii="Times New Roman" w:cs="Times New Roman" w:hAnsi="Times New Roman"/>
                <w:color w:val="000000"/>
                <w:sz w:val="24"/>
                <w:szCs w:val="20"/>
                <w:highlight w:val="none"/>
              </w:rPr>
              <w:t>节能、降耗、减污</w:t>
            </w:r>
            <w:r>
              <w:rPr>
                <w:rFonts w:ascii="Times New Roman" w:cs="Times New Roman" w:hAnsi="Times New Roman" w:hint="eastAsia"/>
                <w:color w:val="000000"/>
                <w:sz w:val="24"/>
                <w:szCs w:val="20"/>
                <w:lang w:eastAsia="zh-CN"/>
                <w:highlight w:val="none"/>
              </w:rPr>
              <w:t>”</w:t>
            </w:r>
            <w:r>
              <w:rPr>
                <w:rFonts w:ascii="Times New Roman" w:cs="Times New Roman" w:hAnsi="Times New Roman"/>
                <w:color w:val="000000"/>
                <w:sz w:val="24"/>
                <w:szCs w:val="20"/>
                <w:highlight w:val="none"/>
              </w:rPr>
              <w:t>为目标，有效地控制污染，实现废物资源化。故本项目不会对区域资源利用造成负面影响。项目资源利用不会突破区域的资源利用上线。</w:t>
            </w:r>
          </w:p>
          <w:p>
            <w:pPr>
              <w:keepNext w:val="0"/>
              <w:keepLines w:val="0"/>
              <w:pageBreakBefore w:val="0"/>
              <w:widowControl w:val="0"/>
              <w:suppressLineNumbers w:val="0"/>
              <w:kinsoku/>
              <w:wordWrap/>
              <w:topLinePunct w:val="0"/>
              <w:autoSpaceDE/>
              <w:autoSpaceDN/>
              <w:bidi w:val="0"/>
              <w:adjustRightInd/>
              <w:spacing w:before="0" w:beforeAutospacing="0" w:after="0" w:afterAutospacing="0" w:line="440" w:lineRule="exact"/>
              <w:ind w:left="0" w:right="0" w:firstLineChars="200" w:firstLine="480"/>
              <w:textAlignment w:val="baseline"/>
              <w:rPr>
                <w:rFonts w:ascii="Times New Roman" w:cs="Times New Roman" w:hAnsi="Times New Roman"/>
                <w:b/>
                <w:bCs/>
                <w:sz w:val="24"/>
                <w:highlight w:val="none"/>
              </w:rPr>
            </w:pPr>
            <w:r>
              <w:rPr>
                <w:rFonts w:ascii="Times New Roman" w:cs="Times New Roman" w:hAnsi="Times New Roman"/>
                <w:b/>
                <w:bCs/>
                <w:sz w:val="24"/>
                <w:szCs w:val="20"/>
                <w:highlight w:val="none"/>
              </w:rPr>
              <w:t>（4）生态环境准入清单</w:t>
            </w:r>
          </w:p>
          <w:p>
            <w:pPr>
              <w:pStyle w:val="1"/>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440" w:lineRule="exact"/>
              <w:ind w:left="0" w:right="0" w:firstLineChars="200" w:firstLine="480"/>
              <w:jc w:val="left"/>
              <w:textAlignment w:val="auto"/>
              <w:rPr>
                <w:rFonts w:ascii="Times New Roman" w:eastAsia="宋体" w:cs="Times New Roman" w:hAnsi="Times New Roman"/>
                <w:b w:val="0"/>
                <w:bCs/>
                <w:color w:val="000000"/>
                <w:kern w:val="2"/>
                <w:sz w:val="24"/>
                <w:szCs w:val="24"/>
                <w:lang w:val="en-US" w:eastAsia="zh-CN" w:bidi="ar-SA"/>
              </w:rPr>
            </w:pPr>
            <w:r>
              <w:rPr>
                <w:rFonts w:ascii="Times New Roman" w:cs="Times New Roman" w:hAnsi="Times New Roman"/>
                <w:sz w:val="24"/>
                <w:szCs w:val="20"/>
              </w:rPr>
              <w:drawing>
                <wp:anchor distT="0" distB="0" distL="114300" distR="114300" simplePos="0" relativeHeight="2" behindDoc="1" locked="0" layoutInCell="1" hidden="0" allowOverlap="1">
                  <wp:simplePos x="0" y="0"/>
                  <wp:positionH relativeFrom="column">
                    <wp:posOffset>0</wp:posOffset>
                  </wp:positionH>
                  <wp:positionV relativeFrom="paragraph">
                    <wp:posOffset>556895</wp:posOffset>
                  </wp:positionV>
                  <wp:extent cx="5229859" cy="3353434"/>
                  <wp:effectExtent l="-9525" t="-9525" r="8889" b="18415"/>
                  <wp:wrapNone/>
                  <wp:docPr id="2059" name="图片 2"/>
                  <wp:cNvGraphicFramePr>
                    <a:graphicFrameLocks noChangeAspect="1"/>
                  </wp:cNvGraphicFramePr>
                  <a:graphic>
                    <a:graphicData uri="http://schemas.openxmlformats.org/drawingml/2006/picture">
                      <pic:pic>
                        <pic:nvPicPr>
                          <pic:cNvPr id="6" name="图片 2 6"/>
                          <pic:cNvPicPr/>
                        </pic:nvPicPr>
                        <pic:blipFill>
                          <a:blip r:embed="rId7"/>
                          <a:stretch>
                            <a:fillRect/>
                          </a:stretch>
                        </pic:blipFill>
                        <pic:spPr>
                          <a:xfrm rot="0">
                            <a:off x="0" y="0"/>
                            <a:ext cx="5229859" cy="3353434"/>
                          </a:xfrm>
                          <a:prstGeom prst="rect"/>
                          <a:noFill/>
                          <a:ln cmpd="sng" cap="flat">
                            <a:noFill/>
                            <a:prstDash val="solid"/>
                            <a:round/>
                          </a:ln>
                        </pic:spPr>
                      </pic:pic>
                    </a:graphicData>
                  </a:graphic>
                </wp:anchor>
              </w:drawing>
            </w:r>
            <w:r>
              <w:rPr>
                <w:rFonts w:ascii="Times New Roman" w:eastAsia="宋体" w:cs="Times New Roman" w:hAnsi="Times New Roman"/>
                <w:b w:val="0"/>
                <w:bCs/>
                <w:color w:val="000000"/>
                <w:kern w:val="2"/>
                <w:sz w:val="24"/>
                <w:szCs w:val="24"/>
                <w:lang w:val="en-US" w:eastAsia="zh-CN" w:bidi="ar-SA"/>
              </w:rPr>
              <w:t>经查询河南省三线一单综合信息应用平台研判分析图，本项目所处控制单元为：延津县先进制造业开发区</w:t>
            </w:r>
            <w:r>
              <w:rPr>
                <w:rFonts w:ascii="Times New Roman" w:eastAsia="宋体" w:cs="Times New Roman" w:hAnsi="Times New Roman"/>
                <w:b w:val="0"/>
                <w:bCs/>
                <w:color w:val="000000"/>
                <w:kern w:val="2"/>
                <w:sz w:val="24"/>
                <w:szCs w:val="24"/>
                <w14:textFill>
                  <w14:solidFill>
                    <w14:srgbClr w14:val="000000"/>
                  </w14:solidFill>
                </w14:textFill>
                <w:lang w:val="en-US" w:eastAsia="zh-CN" w:bidi="ar-SA"/>
              </w:rPr>
              <w:t>（</w:t>
            </w:r>
            <w:r>
              <w:rPr>
                <w:rFonts w:ascii="Times New Roman" w:eastAsia="宋体" w:cs="Times New Roman" w:hAnsi="Times New Roman"/>
                <w:b w:val="0"/>
                <w:bCs/>
                <w:color w:val="000000"/>
                <w:kern w:val="2"/>
                <w:sz w:val="24"/>
                <w:szCs w:val="24"/>
                <w:lang w:val="en-US" w:eastAsia="zh-CN" w:bidi="ar-SA"/>
              </w:rPr>
              <w:t>编码：</w:t>
            </w:r>
            <w:r>
              <w:rPr>
                <w:rFonts w:ascii="Times New Roman" w:cs="Times New Roman" w:hAnsi="Times New Roman"/>
                <w:b w:val="0"/>
                <w:bCs/>
                <w:color w:val="000000"/>
                <w:kern w:val="2"/>
                <w:sz w:val="24"/>
                <w:szCs w:val="24"/>
                <w:lang w:val="en-US" w:eastAsia="zh-CN" w:bidi="ar-SA"/>
              </w:rPr>
              <w:t>ZH41072620001</w:t>
            </w:r>
            <w:r>
              <w:rPr>
                <w:rFonts w:ascii="Times New Roman" w:eastAsia="宋体" w:cs="Times New Roman" w:hAnsi="Times New Roman"/>
                <w:b w:val="0"/>
                <w:bCs/>
                <w:color w:val="000000"/>
                <w:kern w:val="2"/>
                <w:sz w:val="24"/>
                <w:szCs w:val="24"/>
                <w:lang w:val="en-US" w:eastAsia="zh-CN" w:bidi="ar-SA"/>
              </w:rPr>
              <w:t>）。</w:t>
            </w:r>
          </w:p>
          <w:p>
            <w:pPr>
              <w:keepNext w:val="0"/>
              <w:keepLines w:val="0"/>
              <w:suppressLineNumbers w:val="0"/>
              <w:spacing w:before="0" w:beforeAutospacing="0" w:after="0" w:afterAutospacing="0"/>
              <w:ind w:left="0" w:right="0"/>
              <w:rPr>
                <w:lang w:val="en-US" w:eastAsia="zh-CN"/>
              </w:rPr>
            </w:pPr>
          </w:p>
          <w:p>
            <w:pPr>
              <w:keepNext w:val="0"/>
              <w:keepLines w:val="0"/>
              <w:suppressLineNumbers w:val="0"/>
              <w:spacing w:before="0" w:beforeAutospacing="0" w:after="0" w:afterAutospacing="0"/>
              <w:ind w:left="0" w:right="0"/>
              <w:rPr>
                <w:rFonts w:ascii="Times New Roman" w:eastAsia="宋体" w:cs="Times New Roman" w:hAnsi="Times New Roman"/>
                <w:b w:val="0"/>
                <w:bCs/>
                <w:color w:val="000000"/>
                <w:kern w:val="2"/>
                <w:sz w:val="24"/>
                <w:szCs w:val="24"/>
                <w:lang w:val="en-US" w:eastAsia="zh-CN" w:bidi="ar-SA"/>
              </w:rPr>
            </w:pPr>
          </w:p>
          <w:p>
            <w:pPr>
              <w:pStyle w:val="1"/>
              <w:keepNext/>
              <w:keepLines w:val="0"/>
              <w:suppressLineNumbers w:val="0"/>
              <w:spacing w:beforeAutospacing="0" w:afterAutospacing="0"/>
              <w:ind w:right="0"/>
              <w:rPr>
                <w:rFonts w:ascii="Times New Roman" w:eastAsia="宋体" w:cs="Times New Roman" w:hAnsi="Times New Roman"/>
                <w:b w:val="0"/>
                <w:bCs/>
                <w:color w:val="000000"/>
                <w:kern w:val="2"/>
                <w:sz w:val="24"/>
                <w:szCs w:val="24"/>
                <w:lang w:val="en-US" w:eastAsia="zh-CN" w:bidi="ar-SA"/>
              </w:rPr>
            </w:pPr>
            <w:r>
              <w:rPr>
                <w:rFonts w:ascii="Times New Roman" w:cs="Times New Roman" w:hAnsi="Times New Roman"/>
                <w:sz w:val="24"/>
                <w:szCs w:val="20"/>
              </w:rPr>
              <mc:AlternateContent>
                <mc:Choice Requires="wps">
                  <w:drawing>
                    <wp:anchor distT="0" distB="0" distL="114300" distR="114300" simplePos="0" relativeHeight="65" behindDoc="0" locked="0" layoutInCell="1" hidden="0" allowOverlap="1">
                      <wp:simplePos x="0" y="0"/>
                      <wp:positionH relativeFrom="column">
                        <wp:posOffset>3549015</wp:posOffset>
                      </wp:positionH>
                      <wp:positionV relativeFrom="paragraph">
                        <wp:posOffset>321945</wp:posOffset>
                      </wp:positionV>
                      <wp:extent cx="777875" cy="314325"/>
                      <wp:effectExtent l="501015" t="12700" r="16510" b="911225"/>
                      <wp:wrapNone/>
                      <wp:docPr id="27" name="矩形标注 27"/>
                      <wp:cNvGraphicFramePr>
                        <a:graphicFrameLocks noChangeAspect="0"/>
                      </wp:cNvGraphicFramePr>
                      <a:graphic>
                        <a:graphicData uri="http://schemas.microsoft.com/office/word/2010/wordprocessingShape">
                          <wps:wsp>
                            <wps:cNvSpPr/>
                            <wps:spPr>
                              <a:xfrm rot="0">
                                <a:off x="0" y="0"/>
                                <a:ext cx="777875" cy="314325"/>
                              </a:xfrm>
                              <a:prstGeom prst="wedgeRectCallout">
                                <a:avLst>
                                  <a:gd name="adj1" fmla="val -112773"/>
                                  <a:gd name="adj2" fmla="val 331208"/>
                                </a:avLst>
                              </a:prstGeom>
                              <a:solidFill>
                                <a:srgbClr val="FFFFFF"/>
                              </a:solidFill>
                              <a:ln w="9525" cmpd="sng" cap="flat">
                                <a:solidFill>
                                  <a:srgbClr val="000000"/>
                                </a:solidFill>
                                <a:prstDash val="solid"/>
                                <a:round/>
                              </a:ln>
                            </wps:spPr>
                            <wps:txbx id="7">
                              <w:txbxContent>
                                <w:p>
                                  <w:pPr>
                                    <w:jc w:val="center"/>
                                    <w:rPr>
                                      <w:rFonts w:eastAsia="宋体" w:hint="eastAsia"/>
                                      <w:color w:val="FF0000"/>
                                      <w:lang w:val="en-US" w:eastAsia="zh-CN"/>
                                    </w:rPr>
                                  </w:pPr>
                                  <w:r>
                                    <w:rPr>
                                      <w:rFonts w:hint="eastAsia"/>
                                      <w:color w:val="FF0000"/>
                                      <w:lang w:val="en-US" w:eastAsia="zh-CN"/>
                                    </w:rPr>
                                    <w:t>本项目</w:t>
                                  </w:r>
                                </w:p>
                              </w:txbxContent>
                            </wps:txbx>
                            <wps:bodyPr vert="horz" wrap="square" lIns="91440" tIns="45720" rIns="91440" bIns="45720" anchor="ctr" anchorCtr="0" upright="0">
                              <a:noAutofit/>
                            </wps:bodyPr>
                          </wps:wsp>
                        </a:graphicData>
                      </a:graphic>
                    </wp:anchor>
                  </w:drawing>
                </mc:Choice>
                <mc:Fallback>
                  <w:pict>
                    <v:shape type="#_x0000_t61" id="矩形标注 27" o:spid="_x0000_s8" fillcolor="#FFFFFF" stroked="t" adj="-13559,82341" style="position:absolute;margin-left:279.45pt;margin-top:25.350002pt;width:61.250015pt;height:24.75pt;z-index:65;mso-position-horizontal:absolute;mso-position-vertical:absolute;mso-wrap-style:square;">
                      <v:stroke color="#000000"/>
                      <v:textbox id="851" inset="2.54mm,1.27mm,2.54mm,1.27mm" o:insetmode="custom" style="layout-flow:horizontal;v-text-anchor:middle;">
                        <w:txbxContent>
                          <w:p>
                            <w:pPr>
                              <w:jc w:val="center"/>
                              <w:rPr>
                                <w:rFonts w:eastAsia="宋体" w:hint="eastAsia"/>
                                <w:color w:val="FF0000"/>
                                <w:lang w:val="en-US" w:eastAsia="zh-CN"/>
                              </w:rPr>
                            </w:pPr>
                            <w:r>
                              <w:rPr>
                                <w:rFonts w:hint="eastAsia"/>
                                <w:color w:val="FF0000"/>
                                <w:lang w:val="en-US" w:eastAsia="zh-CN"/>
                              </w:rPr>
                              <w:t>本项目</w:t>
                            </w:r>
                          </w:p>
                        </w:txbxContent>
                      </v:textbox>
                    </v:shape>
                  </w:pict>
                </mc:Fallback>
              </mc:AlternateContent>
            </w:r>
          </w:p>
          <w:p>
            <w:pPr>
              <w:keepNext w:val="0"/>
              <w:keepLines w:val="0"/>
              <w:suppressLineNumbers w:val="0"/>
              <w:spacing w:before="0" w:beforeAutospacing="0" w:after="0" w:afterAutospacing="0"/>
              <w:ind w:left="0" w:right="0"/>
              <w:rPr>
                <w:rFonts w:ascii="Times New Roman" w:eastAsia="宋体" w:cs="Times New Roman" w:hAnsi="Times New Roman"/>
                <w:b w:val="0"/>
                <w:bCs/>
                <w:color w:val="000000"/>
                <w:kern w:val="2"/>
                <w:sz w:val="24"/>
                <w:szCs w:val="24"/>
                <w:lang w:val="en-US" w:eastAsia="zh-CN" w:bidi="ar-SA"/>
              </w:rPr>
            </w:pPr>
          </w:p>
          <w:p>
            <w:pPr>
              <w:pStyle w:val="1"/>
              <w:keepNext/>
              <w:keepLines w:val="0"/>
              <w:suppressLineNumbers w:val="0"/>
              <w:spacing w:beforeAutospacing="0" w:afterAutospacing="0"/>
              <w:ind w:right="0"/>
              <w:rPr>
                <w:lang w:val="en-US" w:eastAsia="zh-CN"/>
              </w:rPr>
            </w:pPr>
          </w:p>
          <w:p>
            <w:pPr>
              <w:keepNext w:val="0"/>
              <w:keepLines w:val="0"/>
              <w:suppressLineNumbers w:val="0"/>
              <w:spacing w:before="0" w:beforeAutospacing="0" w:after="0" w:afterAutospacing="0"/>
              <w:ind w:left="0" w:right="0"/>
              <w:rPr>
                <w:rFonts w:ascii="Times New Roman" w:eastAsia="宋体" w:cs="Times New Roman" w:hAnsi="Times New Roman"/>
                <w:b w:val="0"/>
                <w:bCs/>
                <w:color w:val="000000"/>
                <w:kern w:val="2"/>
                <w:sz w:val="24"/>
                <w:szCs w:val="24"/>
                <w:lang w:val="en-US" w:eastAsia="zh-CN" w:bidi="ar-SA"/>
              </w:rPr>
            </w:pPr>
          </w:p>
          <w:p>
            <w:pPr>
              <w:pStyle w:val="1"/>
              <w:keepNext/>
              <w:keepLines w:val="0"/>
              <w:suppressLineNumbers w:val="0"/>
              <w:spacing w:beforeAutospacing="0" w:afterAutospacing="0"/>
              <w:ind w:right="0"/>
              <w:rPr>
                <w:rFonts w:ascii="Times New Roman" w:eastAsia="宋体" w:cs="Times New Roman" w:hAnsi="Times New Roman"/>
                <w:b w:val="0"/>
                <w:bCs/>
                <w:color w:val="000000"/>
                <w:kern w:val="2"/>
                <w:sz w:val="24"/>
                <w:szCs w:val="24"/>
                <w:lang w:val="en-US" w:eastAsia="zh-CN" w:bidi="ar-SA"/>
              </w:rPr>
            </w:pPr>
          </w:p>
          <w:p>
            <w:pPr>
              <w:keepNext w:val="0"/>
              <w:keepLines w:val="0"/>
              <w:suppressLineNumbers w:val="0"/>
              <w:spacing w:before="0" w:beforeAutospacing="0" w:after="0" w:afterAutospacing="0"/>
              <w:ind w:left="0" w:right="0"/>
              <w:rPr>
                <w:rFonts w:ascii="Times New Roman" w:eastAsia="宋体" w:cs="Times New Roman" w:hAnsi="Times New Roman"/>
                <w:b w:val="0"/>
                <w:bCs/>
                <w:color w:val="000000"/>
                <w:kern w:val="2"/>
                <w:sz w:val="24"/>
                <w:szCs w:val="24"/>
                <w:lang w:val="en-US" w:eastAsia="zh-CN" w:bidi="ar-SA"/>
              </w:rPr>
            </w:pPr>
          </w:p>
          <w:p>
            <w:pPr>
              <w:pStyle w:val="1"/>
              <w:keepNext/>
              <w:keepLines w:val="0"/>
              <w:suppressLineNumbers w:val="0"/>
              <w:spacing w:beforeAutospacing="0" w:afterAutospacing="0"/>
              <w:ind w:right="0"/>
              <w:rPr>
                <w:rFonts w:ascii="Times New Roman" w:eastAsia="宋体" w:cs="Times New Roman" w:hAnsi="Times New Roman"/>
                <w:b w:val="0"/>
                <w:bCs/>
                <w:color w:val="000000"/>
                <w:kern w:val="2"/>
                <w:sz w:val="24"/>
                <w:szCs w:val="24"/>
                <w:lang w:val="en-US" w:eastAsia="zh-CN" w:bidi="ar-SA"/>
              </w:rPr>
            </w:pPr>
          </w:p>
          <w:p>
            <w:pPr>
              <w:keepNext w:val="0"/>
              <w:keepLines w:val="0"/>
              <w:suppressLineNumbers w:val="0"/>
              <w:spacing w:before="0" w:beforeAutospacing="0" w:after="0" w:afterAutospacing="0"/>
              <w:ind w:left="0" w:right="0"/>
              <w:rPr>
                <w:rFonts w:ascii="Times New Roman" w:eastAsia="宋体" w:cs="Times New Roman" w:hAnsi="Times New Roman"/>
                <w:b w:val="0"/>
                <w:bCs/>
                <w:color w:val="000000"/>
                <w:kern w:val="2"/>
                <w:sz w:val="24"/>
                <w:szCs w:val="24"/>
                <w:lang w:val="en-US" w:eastAsia="zh-CN" w:bidi="ar-SA"/>
              </w:rPr>
            </w:pPr>
          </w:p>
          <w:p>
            <w:pPr>
              <w:pStyle w:val="1"/>
              <w:keepNext/>
              <w:keepLines w:val="0"/>
              <w:suppressLineNumbers w:val="0"/>
              <w:spacing w:beforeAutospacing="0" w:afterAutospacing="0"/>
              <w:ind w:right="0"/>
              <w:rPr>
                <w:rFonts w:ascii="Times New Roman" w:eastAsia="宋体" w:cs="Times New Roman" w:hAnsi="Times New Roman"/>
                <w:b w:val="0"/>
                <w:bCs/>
                <w:color w:val="000000"/>
                <w:kern w:val="2"/>
                <w:sz w:val="24"/>
                <w:szCs w:val="24"/>
                <w:lang w:val="en-US" w:eastAsia="zh-CN" w:bidi="ar-SA"/>
              </w:rPr>
            </w:pPr>
          </w:p>
          <w:p>
            <w:pPr>
              <w:keepNext w:val="0"/>
              <w:keepLines w:val="0"/>
              <w:suppressLineNumbers w:val="0"/>
              <w:spacing w:before="0" w:beforeAutospacing="0" w:after="0" w:afterAutospacing="0"/>
              <w:ind w:left="0" w:right="0"/>
              <w:rPr>
                <w:rFonts w:ascii="Times New Roman" w:eastAsia="宋体" w:cs="Times New Roman" w:hAnsi="Times New Roman"/>
                <w:b w:val="0"/>
                <w:bCs/>
                <w:color w:val="000000"/>
                <w:kern w:val="2"/>
                <w:sz w:val="24"/>
                <w:szCs w:val="24"/>
                <w:lang w:val="en-US" w:eastAsia="zh-CN" w:bidi="ar-SA"/>
              </w:rPr>
            </w:pPr>
          </w:p>
          <w:p>
            <w:pPr>
              <w:pStyle w:val="1"/>
              <w:keepNext/>
              <w:keepLines w:val="0"/>
              <w:suppressLineNumbers w:val="0"/>
              <w:spacing w:beforeAutospacing="0" w:afterAutospacing="0"/>
              <w:ind w:right="0"/>
              <w:rPr>
                <w:rFonts w:hint="eastAsia"/>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baseline"/>
              <w:rPr>
                <w:rFonts w:ascii="Times New Roman" w:cs="Times New Roman" w:hAnsi="Times New Roman"/>
                <w:b/>
                <w:bCs/>
                <w:color w:val="auto"/>
                <w:szCs w:val="21"/>
                <w:lang w:val="en-US" w:eastAsia="zh-CN"/>
                <w:highlight w:val="none"/>
              </w:rPr>
            </w:pPr>
            <w:r>
              <w:rPr>
                <w:rFonts w:ascii="Times New Roman" w:cs="Times New Roman" w:hAnsi="Times New Roman"/>
                <w:b/>
                <w:bCs/>
                <w:color w:val="auto"/>
                <w:sz w:val="24"/>
                <w:szCs w:val="21"/>
                <w:lang w:val="en-US" w:eastAsia="zh-CN"/>
                <w:highlight w:val="none"/>
              </w:rPr>
              <w:t>图2  河南省三线一单综合信息应用平台研判分析图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baseline"/>
              <w:rPr>
                <w:rFonts w:ascii="Times New Roman" w:cs="Times New Roman" w:hAnsi="Times New Roman"/>
                <w:b/>
                <w:bCs/>
                <w:color w:val="000000"/>
                <w:sz w:val="24"/>
                <w:highlight w:val="none"/>
              </w:rPr>
            </w:pPr>
            <w:r>
              <w:rPr>
                <w:rFonts w:ascii="Times New Roman" w:cs="Times New Roman" w:hAnsi="Times New Roman"/>
                <w:bCs/>
                <w:color w:val="000000"/>
                <w:sz w:val="24"/>
                <w:szCs w:val="20"/>
                <w:lang w:val="en-US" w:eastAsia="zh-CN"/>
                <w:highlight w:val="none"/>
              </w:rPr>
              <w:t>本项目与</w:t>
            </w:r>
            <w:r>
              <w:rPr>
                <w:rFonts w:ascii="Times New Roman" w:cs="Times New Roman" w:hAnsi="Times New Roman"/>
                <w:bCs/>
                <w:color w:val="000000"/>
                <w:sz w:val="24"/>
                <w:szCs w:val="20"/>
                <w:lang w:eastAsia="zh-CN"/>
              </w:rPr>
              <w:t>《</w:t>
            </w:r>
            <w:r>
              <w:rPr>
                <w:rFonts w:ascii="Times New Roman" w:cs="Times New Roman" w:hAnsi="Times New Roman"/>
                <w:bCs/>
                <w:color w:val="000000"/>
                <w:sz w:val="24"/>
                <w:szCs w:val="20"/>
              </w:rPr>
              <w:t>河南省生态环境分区管控总体要求</w:t>
            </w:r>
            <w:r>
              <w:rPr>
                <w:rFonts w:ascii="Times New Roman" w:cs="Times New Roman" w:hAnsi="Times New Roman"/>
                <w:bCs/>
                <w:color w:val="000000"/>
                <w:sz w:val="24"/>
                <w:szCs w:val="20"/>
                <w:lang w:eastAsia="zh-CN"/>
              </w:rPr>
              <w:t>》（</w:t>
            </w:r>
            <w:r>
              <w:rPr>
                <w:rFonts w:ascii="Times New Roman" w:cs="Times New Roman" w:hAnsi="Times New Roman"/>
                <w:bCs/>
                <w:color w:val="000000"/>
                <w:sz w:val="24"/>
                <w:szCs w:val="20"/>
                <w:lang w:val="en-US" w:eastAsia="zh-CN"/>
              </w:rPr>
              <w:t>2023年版</w:t>
            </w:r>
            <w:r>
              <w:rPr>
                <w:rFonts w:ascii="Times New Roman" w:cs="Times New Roman" w:hAnsi="Times New Roman"/>
                <w:bCs/>
                <w:color w:val="000000"/>
                <w:sz w:val="24"/>
                <w:szCs w:val="20"/>
                <w:lang w:eastAsia="zh-CN"/>
              </w:rPr>
              <w:t>）</w:t>
            </w:r>
            <w:r>
              <w:rPr>
                <w:rFonts w:ascii="Times New Roman" w:cs="Times New Roman" w:hAnsi="Times New Roman"/>
                <w:bCs/>
                <w:color w:val="000000"/>
                <w:sz w:val="24"/>
                <w:szCs w:val="20"/>
              </w:rPr>
              <w:t>、</w:t>
            </w:r>
            <w:r>
              <w:rPr>
                <w:rFonts w:ascii="Times New Roman" w:cs="Times New Roman" w:hAnsi="Times New Roman"/>
                <w:bCs/>
                <w:color w:val="000000"/>
                <w:sz w:val="24"/>
                <w:szCs w:val="20"/>
                <w:lang w:eastAsia="zh-CN"/>
              </w:rPr>
              <w:t>《</w:t>
            </w:r>
            <w:r>
              <w:rPr>
                <w:rFonts w:ascii="Times New Roman" w:cs="Times New Roman" w:hAnsi="Times New Roman"/>
                <w:bCs/>
                <w:color w:val="000000"/>
                <w:sz w:val="24"/>
                <w:szCs w:val="20"/>
              </w:rPr>
              <w:t>新乡市</w:t>
            </w:r>
            <w:r>
              <w:rPr>
                <w:rFonts w:ascii="Times New Roman" w:cs="Times New Roman" w:hAnsi="Times New Roman" w:hint="eastAsia"/>
                <w:bCs/>
                <w:color w:val="000000"/>
                <w:sz w:val="24"/>
                <w:szCs w:val="20"/>
                <w:lang w:eastAsia="zh-CN"/>
              </w:rPr>
              <w:t>“</w:t>
            </w:r>
            <w:r>
              <w:rPr>
                <w:rFonts w:ascii="Times New Roman" w:cs="Times New Roman" w:hAnsi="Times New Roman"/>
                <w:bCs/>
                <w:color w:val="000000"/>
                <w:sz w:val="24"/>
                <w:szCs w:val="20"/>
                <w:lang w:eastAsia="zh-CN"/>
              </w:rPr>
              <w:t>三线一单</w:t>
            </w:r>
            <w:r>
              <w:rPr>
                <w:rFonts w:ascii="Times New Roman" w:cs="Times New Roman" w:hAnsi="Times New Roman" w:hint="eastAsia"/>
                <w:bCs/>
                <w:color w:val="000000"/>
                <w:sz w:val="24"/>
                <w:szCs w:val="20"/>
                <w:lang w:eastAsia="zh-CN"/>
              </w:rPr>
              <w:t>”</w:t>
            </w:r>
            <w:r>
              <w:rPr>
                <w:rFonts w:ascii="Times New Roman" w:cs="Times New Roman" w:hAnsi="Times New Roman"/>
                <w:bCs/>
                <w:color w:val="000000"/>
                <w:sz w:val="24"/>
                <w:szCs w:val="20"/>
              </w:rPr>
              <w:t>生态环境准入</w:t>
            </w:r>
            <w:r>
              <w:rPr>
                <w:rFonts w:ascii="Times New Roman" w:cs="Times New Roman" w:hAnsi="Times New Roman"/>
                <w:bCs/>
                <w:color w:val="000000"/>
                <w:sz w:val="24"/>
                <w:szCs w:val="20"/>
                <w:lang w:eastAsia="zh-CN"/>
              </w:rPr>
              <w:t>清单》（</w:t>
            </w:r>
            <w:r>
              <w:rPr>
                <w:rFonts w:ascii="Times New Roman" w:cs="Times New Roman" w:hAnsi="Times New Roman"/>
                <w:bCs/>
                <w:color w:val="000000"/>
                <w:sz w:val="24"/>
                <w:szCs w:val="20"/>
                <w:lang w:val="en-US" w:eastAsia="zh-CN"/>
              </w:rPr>
              <w:t>2023年版</w:t>
            </w:r>
            <w:r>
              <w:rPr>
                <w:rFonts w:ascii="Times New Roman" w:cs="Times New Roman" w:hAnsi="Times New Roman"/>
                <w:bCs/>
                <w:color w:val="000000"/>
                <w:sz w:val="24"/>
                <w:szCs w:val="20"/>
                <w:lang w:eastAsia="zh-CN"/>
              </w:rPr>
              <w:t>）</w:t>
            </w:r>
            <w:r>
              <w:rPr>
                <w:rFonts w:ascii="Times New Roman" w:cs="Times New Roman" w:hAnsi="Times New Roman"/>
                <w:bCs/>
                <w:color w:val="000000"/>
                <w:sz w:val="24"/>
                <w:szCs w:val="20"/>
              </w:rPr>
              <w:t>相符性分析见下表。</w:t>
            </w:r>
          </w:p>
          <w:p>
            <w:pPr>
              <w:pStyle w:val="75"/>
              <w:keepNext/>
              <w:keepLines w:val="0"/>
              <w:suppressLineNumbers w:val="0"/>
              <w:bidi w:val="0"/>
              <w:spacing w:before="0" w:beforeAutospacing="0" w:after="0" w:afterAutospacing="0"/>
              <w:ind w:left="0" w:right="0" w:firstLine="420"/>
              <w:rPr>
                <w:lang w:val="en-US" w:eastAsia="zh-CN"/>
              </w:rPr>
            </w:pPr>
            <w:r>
              <w:rPr>
                <w:rFonts w:ascii="Times New Roman" w:cs="Times New Roman" w:hAnsi="Times New Roman"/>
                <w:sz w:val="24"/>
                <w:szCs w:val="20"/>
                <w:lang w:val="en-US" w:eastAsia="zh-CN"/>
              </w:rPr>
              <w:t xml:space="preserve">  本项目与</w:t>
            </w:r>
            <w:r>
              <w:rPr>
                <w:rFonts w:ascii="Times New Roman" w:cs="Times New Roman" w:hAnsi="Times New Roman"/>
                <w:sz w:val="24"/>
                <w:szCs w:val="20"/>
                <w:lang w:eastAsia="zh-CN"/>
              </w:rPr>
              <w:t>河南省生态环境分区管控总体</w:t>
            </w:r>
            <w:r>
              <w:rPr>
                <w:rFonts w:ascii="Times New Roman" w:cs="Times New Roman" w:hAnsi="Times New Roman"/>
                <w:sz w:val="24"/>
                <w:szCs w:val="20"/>
              </w:rPr>
              <w:t>要求符合性分析</w:t>
            </w:r>
          </w:p>
          <w:tbl>
            <w:tblPr>
              <w:jc w:val="cente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79"/>
              <w:gridCol w:w="672"/>
              <w:gridCol w:w="3989"/>
              <w:gridCol w:w="1908"/>
              <w:gridCol w:w="623"/>
            </w:tblGrid>
            <w:tr>
              <w:trPr>
                <w:trHeight w:val="397"/>
              </w:trPr>
              <w:tc>
                <w:tcPr>
                  <w:tcW w:w="599" w:type="pct"/>
                  <w:tcBorders>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b/>
                      <w:color w:val="auto"/>
                      <w:sz w:val="21"/>
                      <w:szCs w:val="21"/>
                      <w:lang w:eastAsia="zh-CN"/>
                      <w:highlight w:val="none"/>
                    </w:rPr>
                  </w:pPr>
                  <w:r>
                    <w:rPr>
                      <w:rFonts w:ascii="Times New Roman" w:cs="Times New Roman" w:hAnsi="Times New Roman"/>
                      <w:b/>
                      <w:color w:val="auto"/>
                      <w:sz w:val="21"/>
                      <w:szCs w:val="21"/>
                      <w:lang w:eastAsia="zh-CN"/>
                      <w:highlight w:val="none"/>
                    </w:rPr>
                    <w:t>环境管控单元分区</w:t>
                  </w:r>
                </w:p>
              </w:tc>
              <w:tc>
                <w:tcPr>
                  <w:tcW w:w="411" w:type="pct"/>
                  <w:tcBorders>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b/>
                      <w:color w:val="auto"/>
                      <w:sz w:val="21"/>
                      <w:szCs w:val="21"/>
                      <w:lang w:eastAsia="zh-CN"/>
                      <w:highlight w:val="none"/>
                    </w:rPr>
                  </w:pPr>
                  <w:r>
                    <w:rPr>
                      <w:rFonts w:ascii="Times New Roman" w:cs="Times New Roman" w:hAnsi="Times New Roman"/>
                      <w:b/>
                      <w:color w:val="auto"/>
                      <w:sz w:val="21"/>
                      <w:szCs w:val="21"/>
                      <w:lang w:eastAsia="zh-CN"/>
                      <w:highlight w:val="none"/>
                    </w:rPr>
                    <w:t>管控类别</w:t>
                  </w:r>
                </w:p>
              </w:tc>
              <w:tc>
                <w:tcPr>
                  <w:tcW w:w="2441" w:type="pct"/>
                  <w:tcBorders>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b/>
                      <w:color w:val="auto"/>
                      <w:sz w:val="21"/>
                      <w:szCs w:val="21"/>
                      <w:lang w:eastAsia="zh-CN"/>
                      <w:highlight w:val="none"/>
                    </w:rPr>
                  </w:pPr>
                  <w:r>
                    <w:rPr>
                      <w:rFonts w:ascii="Times New Roman" w:cs="Times New Roman" w:hAnsi="Times New Roman"/>
                      <w:b/>
                      <w:color w:val="auto"/>
                      <w:sz w:val="21"/>
                      <w:szCs w:val="21"/>
                      <w:lang w:eastAsia="zh-CN"/>
                      <w:highlight w:val="none"/>
                    </w:rPr>
                    <w:t>准入要求</w:t>
                  </w:r>
                </w:p>
              </w:tc>
              <w:tc>
                <w:tcPr>
                  <w:tcW w:w="1168" w:type="pct"/>
                  <w:tcBorders>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b/>
                      <w:color w:val="auto"/>
                      <w:sz w:val="21"/>
                      <w:szCs w:val="21"/>
                      <w:highlight w:val="none"/>
                    </w:rPr>
                  </w:pPr>
                  <w:r>
                    <w:rPr>
                      <w:rFonts w:ascii="Times New Roman" w:cs="Times New Roman" w:hAnsi="Times New Roman"/>
                      <w:b/>
                      <w:color w:val="auto"/>
                      <w:sz w:val="21"/>
                      <w:szCs w:val="21"/>
                      <w:highlight w:val="none"/>
                    </w:rPr>
                    <w:t>本项目情况</w:t>
                  </w:r>
                </w:p>
              </w:tc>
              <w:tc>
                <w:tcPr>
                  <w:tcW w:w="379" w:type="pct"/>
                  <w:tcBorders>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b/>
                      <w:color w:val="auto"/>
                      <w:sz w:val="21"/>
                      <w:szCs w:val="21"/>
                      <w:highlight w:val="none"/>
                    </w:rPr>
                  </w:pPr>
                  <w:r>
                    <w:rPr>
                      <w:rFonts w:ascii="Times New Roman" w:cs="Times New Roman" w:hAnsi="Times New Roman"/>
                      <w:b/>
                      <w:color w:val="auto"/>
                      <w:sz w:val="21"/>
                      <w:szCs w:val="21"/>
                      <w:highlight w:val="none"/>
                    </w:rPr>
                    <w:t>相符性</w:t>
                  </w:r>
                </w:p>
              </w:tc>
            </w:tr>
            <w:tr>
              <w:trPr>
                <w:trHeight w:val="397"/>
              </w:trPr>
              <w:tc>
                <w:tcPr>
                  <w:tcW w:w="5000" w:type="pct"/>
                  <w:gridSpan w:val="5"/>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b/>
                      <w:color w:val="auto"/>
                      <w:sz w:val="21"/>
                      <w:szCs w:val="21"/>
                      <w:lang w:eastAsia="zh-CN"/>
                      <w:highlight w:val="none"/>
                    </w:rPr>
                  </w:pPr>
                  <w:r>
                    <w:rPr>
                      <w:rFonts w:ascii="Times New Roman" w:cs="Times New Roman" w:hAnsi="Times New Roman"/>
                      <w:b/>
                      <w:bCs/>
                      <w:color w:val="auto"/>
                      <w:sz w:val="21"/>
                      <w:szCs w:val="21"/>
                      <w:lang w:eastAsia="zh-CN"/>
                      <w:highlight w:val="none"/>
                    </w:rPr>
                    <w:t>一、全省</w:t>
                  </w:r>
                  <w:r>
                    <w:rPr>
                      <w:rFonts w:ascii="Times New Roman" w:cs="Times New Roman" w:hAnsi="Times New Roman"/>
                      <w:b/>
                      <w:bCs/>
                      <w:color w:val="auto"/>
                      <w:sz w:val="21"/>
                      <w:szCs w:val="21"/>
                      <w:highlight w:val="none"/>
                    </w:rPr>
                    <w:t>生态环境</w:t>
                  </w:r>
                  <w:r>
                    <w:rPr>
                      <w:rFonts w:ascii="Times New Roman" w:cs="Times New Roman" w:hAnsi="Times New Roman"/>
                      <w:b/>
                      <w:bCs/>
                      <w:color w:val="auto"/>
                      <w:sz w:val="21"/>
                      <w:szCs w:val="21"/>
                      <w:lang w:eastAsia="zh-CN"/>
                      <w:highlight w:val="none"/>
                    </w:rPr>
                    <w:t>总体</w:t>
                  </w:r>
                  <w:r>
                    <w:rPr>
                      <w:rFonts w:ascii="Times New Roman" w:cs="Times New Roman" w:hAnsi="Times New Roman"/>
                      <w:b/>
                      <w:bCs/>
                      <w:color w:val="auto"/>
                      <w:sz w:val="21"/>
                      <w:szCs w:val="21"/>
                      <w:highlight w:val="none"/>
                    </w:rPr>
                    <w:t>准入清单</w:t>
                  </w:r>
                  <w:r>
                    <w:rPr>
                      <w:rFonts w:ascii="Times New Roman" w:cs="Times New Roman" w:hAnsi="Times New Roman"/>
                      <w:b/>
                      <w:bCs/>
                      <w:color w:val="auto"/>
                      <w:sz w:val="21"/>
                      <w:szCs w:val="21"/>
                      <w:lang w:eastAsia="zh-CN"/>
                      <w:highlight w:val="none"/>
                    </w:rPr>
                    <w:t>要求</w:t>
                  </w:r>
                </w:p>
              </w:tc>
            </w:tr>
            <w:tr>
              <w:trPr>
                <w:trHeight w:val="197"/>
              </w:trPr>
              <w:tc>
                <w:tcPr>
                  <w:tcW w:w="599" w:type="pct"/>
                  <w:vMerge w:val="restart"/>
                  <w:tcBorders>
                    <w:top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color w:val="000000"/>
                      <w:sz w:val="21"/>
                      <w:szCs w:val="21"/>
                      <w:lang w:eastAsia="zh-CN"/>
                      <w:highlight w:val="none"/>
                    </w:rPr>
                  </w:pPr>
                  <w:r>
                    <w:rPr>
                      <w:rFonts w:ascii="Times New Roman" w:cs="Times New Roman" w:hAnsi="Times New Roman"/>
                      <w:color w:val="000000"/>
                      <w:sz w:val="21"/>
                      <w:szCs w:val="21"/>
                      <w:lang w:eastAsia="zh-CN"/>
                      <w:highlight w:val="none"/>
                    </w:rPr>
                    <w:t>重点管控单元</w:t>
                  </w:r>
                </w:p>
              </w:tc>
              <w:tc>
                <w:tcPr>
                  <w:tcW w:w="411" w:type="pct"/>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lang w:eastAsia="zh-CN"/>
                      <w:highlight w:val="none"/>
                    </w:rPr>
                    <w:t>空间布局约束</w:t>
                  </w:r>
                </w:p>
              </w:tc>
              <w:tc>
                <w:tcPr>
                  <w:tcW w:w="2441" w:type="pct"/>
                  <w:tcBorders>
                    <w:top w:val="single" w:sz="4" w:space="0" w:color="auto"/>
                    <w:bottom w:val="single" w:sz="4" w:space="0" w:color="auto"/>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Times New Roman" w:eastAsia="宋体" w:cs="Times New Roman" w:hAnsi="Times New Roman"/>
                      <w:sz w:val="21"/>
                      <w:szCs w:val="21"/>
                      <w:highlight w:val="none"/>
                    </w:rPr>
                  </w:pPr>
                  <w:r>
                    <w:rPr>
                      <w:rFonts w:ascii="Times New Roman" w:eastAsia="宋体" w:cs="Times New Roman" w:hAnsi="Times New Roman"/>
                      <w:color w:val="000000"/>
                      <w:kern w:val="0"/>
                      <w:sz w:val="21"/>
                      <w:szCs w:val="21"/>
                      <w:lang w:val="en-US" w:eastAsia="zh-CN"/>
                      <w:highlight w:val="none"/>
                    </w:rPr>
                    <w:t>1.根据国家产业政策、区域定位及环境特征等，建立差别化的产业准入要求，鼓励建设符合规划环评的项目。</w:t>
                  </w:r>
                </w:p>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sz w:val="21"/>
                      <w:szCs w:val="21"/>
                      <w:highlight w:val="none"/>
                    </w:rPr>
                  </w:pPr>
                  <w:r>
                    <w:rPr>
                      <w:rFonts w:ascii="Times New Roman" w:eastAsia="宋体" w:cs="Times New Roman" w:hAnsi="Times New Roman"/>
                      <w:color w:val="000000"/>
                      <w:kern w:val="0"/>
                      <w:sz w:val="21"/>
                      <w:szCs w:val="21"/>
                      <w:lang w:val="en-US" w:eastAsia="zh-CN"/>
                      <w:highlight w:val="none"/>
                    </w:rPr>
                    <w:t>4.强化环境准入约束，坚决遏制</w:t>
                  </w:r>
                  <w:r>
                    <w:rPr>
                      <w:rFonts w:ascii="Times New Roman" w:cs="Times New Roman" w:hAnsi="Times New Roman" w:hint="eastAsia"/>
                      <w:color w:val="000000"/>
                      <w:kern w:val="0"/>
                      <w:sz w:val="21"/>
                      <w:szCs w:val="21"/>
                      <w:lang w:val="en-US" w:eastAsia="zh-CN"/>
                      <w:highlight w:val="none"/>
                    </w:rPr>
                    <w:t>“</w:t>
                  </w:r>
                  <w:r>
                    <w:rPr>
                      <w:rFonts w:ascii="Times New Roman" w:eastAsia="宋体" w:cs="Times New Roman" w:hAnsi="Times New Roman"/>
                      <w:color w:val="000000"/>
                      <w:kern w:val="0"/>
                      <w:sz w:val="21"/>
                      <w:szCs w:val="21"/>
                      <w:lang w:val="en-US" w:eastAsia="zh-CN"/>
                      <w:highlight w:val="none"/>
                    </w:rPr>
                    <w:t>两高一低</w:t>
                  </w:r>
                  <w:r>
                    <w:rPr>
                      <w:rFonts w:ascii="Times New Roman" w:cs="Times New Roman" w:hAnsi="Times New Roman" w:hint="eastAsia"/>
                      <w:color w:val="000000"/>
                      <w:kern w:val="0"/>
                      <w:sz w:val="21"/>
                      <w:szCs w:val="21"/>
                      <w:lang w:val="en-US" w:eastAsia="zh-CN"/>
                      <w:highlight w:val="none"/>
                    </w:rPr>
                    <w:t>”</w:t>
                  </w:r>
                  <w:r>
                    <w:rPr>
                      <w:rFonts w:ascii="Times New Roman" w:eastAsia="宋体" w:cs="Times New Roman" w:hAnsi="Times New Roman"/>
                      <w:color w:val="000000"/>
                      <w:kern w:val="0"/>
                      <w:sz w:val="21"/>
                      <w:szCs w:val="21"/>
                      <w:lang w:val="en-US" w:eastAsia="zh-CN"/>
                      <w:highlight w:val="none"/>
                    </w:rPr>
                    <w:t>项目盲目发展，对不符合规定的项目坚决停批停建。</w:t>
                  </w:r>
                </w:p>
              </w:tc>
              <w:tc>
                <w:tcPr>
                  <w:tcW w:w="1168" w:type="pct"/>
                  <w:tcBorders>
                    <w:top w:val="single" w:sz="4" w:space="0" w:color="auto"/>
                    <w:bottom w:val="single" w:sz="4" w:space="0" w:color="auto"/>
                  </w:tcBorders>
                  <w:vAlign w:val="center"/>
                </w:tcPr>
                <w:p>
                  <w:pPr>
                    <w:keepNext w:val="0"/>
                    <w:keepLines w:val="0"/>
                    <w:pageBreakBefore w:val="0"/>
                    <w:widowControl w:val="0"/>
                    <w:suppressLineNumbers w:val="0"/>
                    <w:kinsoku/>
                    <w:wordWrap/>
                    <w:topLinePunct w:val="0"/>
                    <w:autoSpaceDE/>
                    <w:autoSpaceDN/>
                    <w:bidi w:val="0"/>
                    <w:adjustRightInd w:val="0"/>
                    <w:snapToGrid w:val="0"/>
                    <w:spacing w:before="0" w:beforeAutospacing="0" w:after="0" w:afterAutospacing="0" w:line="240" w:lineRule="auto"/>
                    <w:ind w:left="0" w:right="0"/>
                    <w:jc w:val="both"/>
                    <w:textAlignment w:val="center"/>
                    <w:outlineLvl w:val="9"/>
                    <w:rPr>
                      <w:rFonts w:ascii="Times New Roman" w:cs="Times New Roman" w:hAnsi="Times New Roman"/>
                      <w:color w:val="000000"/>
                      <w:sz w:val="21"/>
                      <w:szCs w:val="21"/>
                      <w:lang w:eastAsia="zh-CN"/>
                      <w:highlight w:val="none"/>
                    </w:rPr>
                  </w:pPr>
                  <w:r>
                    <w:rPr>
                      <w:rFonts w:ascii="Times New Roman" w:cs="Times New Roman" w:hAnsi="Times New Roman"/>
                      <w:color w:val="000000"/>
                      <w:sz w:val="21"/>
                      <w:szCs w:val="21"/>
                      <w:lang w:val="en-US" w:eastAsia="zh-CN"/>
                      <w:highlight w:val="none"/>
                    </w:rPr>
                    <w:t>1、</w:t>
                  </w:r>
                  <w:r>
                    <w:rPr>
                      <w:rFonts w:ascii="Times New Roman" w:cs="Times New Roman" w:hAnsi="Times New Roman"/>
                      <w:color w:val="000000"/>
                      <w:sz w:val="21"/>
                      <w:szCs w:val="21"/>
                      <w:lang w:eastAsia="zh-CN"/>
                      <w:highlight w:val="none"/>
                    </w:rPr>
                    <w:t>本项目为社会事业与服务业</w:t>
                  </w:r>
                  <w:r>
                    <w:rPr>
                      <w:rFonts w:ascii="Times New Roman" w:cs="Times New Roman" w:hAnsi="Times New Roman" w:hint="eastAsia"/>
                      <w:sz w:val="21"/>
                      <w:szCs w:val="21"/>
                      <w:lang w:eastAsia="zh-CN"/>
                    </w:rPr>
                    <w:t>，</w:t>
                  </w:r>
                  <w:r>
                    <w:rPr>
                      <w:rFonts w:ascii="Times New Roman" w:cs="Times New Roman" w:hAnsi="Times New Roman" w:hint="eastAsia"/>
                      <w:sz w:val="21"/>
                      <w:szCs w:val="21"/>
                      <w:lang w:val="en-US" w:eastAsia="zh-CN"/>
                    </w:rPr>
                    <w:t>为园区车辆配套服务</w:t>
                  </w:r>
                  <w:r>
                    <w:rPr>
                      <w:rFonts w:ascii="Times New Roman" w:cs="Times New Roman" w:hAnsi="Times New Roman"/>
                      <w:color w:val="000000"/>
                      <w:sz w:val="21"/>
                      <w:szCs w:val="21"/>
                      <w:lang w:eastAsia="zh-CN"/>
                      <w:highlight w:val="none"/>
                    </w:rPr>
                    <w:t>；</w:t>
                  </w:r>
                </w:p>
                <w:p>
                  <w:pPr>
                    <w:keepNext w:val="0"/>
                    <w:keepLines w:val="0"/>
                    <w:pageBreakBefore w:val="0"/>
                    <w:widowControl w:val="0"/>
                    <w:suppressLineNumbers w:val="0"/>
                    <w:kinsoku/>
                    <w:wordWrap/>
                    <w:topLinePunct w:val="0"/>
                    <w:autoSpaceDE/>
                    <w:autoSpaceDN/>
                    <w:bidi w:val="0"/>
                    <w:spacing w:before="0" w:beforeAutospacing="0" w:after="0" w:afterAutospacing="0" w:line="240" w:lineRule="auto"/>
                    <w:ind w:left="0" w:right="0"/>
                    <w:jc w:val="both"/>
                    <w:outlineLvl w:val="9"/>
                    <w:rPr>
                      <w:rFonts w:ascii="Times New Roman" w:cs="Times New Roman" w:hAnsi="Times New Roman"/>
                      <w:sz w:val="21"/>
                      <w:szCs w:val="21"/>
                      <w:lang w:eastAsia="zh-CN"/>
                      <w:highlight w:val="none"/>
                    </w:rPr>
                  </w:pPr>
                  <w:r>
                    <w:rPr>
                      <w:rFonts w:ascii="Times New Roman" w:cs="Times New Roman" w:hAnsi="Times New Roman"/>
                      <w:b w:val="0"/>
                      <w:bCs w:val="0"/>
                      <w:color w:val="auto"/>
                      <w:kern w:val="2"/>
                      <w:sz w:val="21"/>
                      <w:szCs w:val="21"/>
                      <w:lang w:val="en-US" w:eastAsia="zh-CN" w:bidi="ar-SA"/>
                      <w:highlight w:val="none"/>
                    </w:rPr>
                    <w:t>4</w:t>
                  </w:r>
                  <w:r>
                    <w:rPr>
                      <w:rFonts w:ascii="Times New Roman" w:eastAsia="宋体" w:cs="Times New Roman" w:hAnsi="Times New Roman"/>
                      <w:b w:val="0"/>
                      <w:bCs w:val="0"/>
                      <w:color w:val="auto"/>
                      <w:kern w:val="2"/>
                      <w:sz w:val="21"/>
                      <w:szCs w:val="21"/>
                      <w:lang w:val="en-US" w:eastAsia="zh-CN" w:bidi="ar-SA"/>
                      <w:highlight w:val="none"/>
                    </w:rPr>
                    <w:t>、本项目不属于</w:t>
                  </w:r>
                  <w:r>
                    <w:rPr>
                      <w:rFonts w:ascii="Times New Roman" w:cs="Times New Roman" w:hAnsi="Times New Roman" w:hint="eastAsia"/>
                      <w:b w:val="0"/>
                      <w:bCs w:val="0"/>
                      <w:color w:val="auto"/>
                      <w:kern w:val="2"/>
                      <w:sz w:val="21"/>
                      <w:szCs w:val="21"/>
                      <w:lang w:val="en-US" w:eastAsia="zh-CN" w:bidi="ar-SA"/>
                      <w:highlight w:val="none"/>
                    </w:rPr>
                    <w:t>“</w:t>
                  </w:r>
                  <w:r>
                    <w:rPr>
                      <w:rFonts w:ascii="Times New Roman" w:eastAsia="宋体" w:cs="Times New Roman" w:hAnsi="Times New Roman"/>
                      <w:b w:val="0"/>
                      <w:bCs w:val="0"/>
                      <w:color w:val="auto"/>
                      <w:kern w:val="2"/>
                      <w:sz w:val="21"/>
                      <w:szCs w:val="21"/>
                      <w:lang w:val="en-US" w:eastAsia="zh-CN" w:bidi="ar-SA"/>
                      <w:highlight w:val="none"/>
                    </w:rPr>
                    <w:t>两高一低</w:t>
                  </w:r>
                  <w:r>
                    <w:rPr>
                      <w:rFonts w:ascii="Times New Roman" w:cs="Times New Roman" w:hAnsi="Times New Roman" w:hint="eastAsia"/>
                      <w:b w:val="0"/>
                      <w:bCs w:val="0"/>
                      <w:color w:val="auto"/>
                      <w:kern w:val="2"/>
                      <w:sz w:val="21"/>
                      <w:szCs w:val="21"/>
                      <w:lang w:val="en-US" w:eastAsia="zh-CN" w:bidi="ar-SA"/>
                      <w:highlight w:val="none"/>
                    </w:rPr>
                    <w:t>”</w:t>
                  </w:r>
                  <w:r>
                    <w:rPr>
                      <w:rFonts w:ascii="Times New Roman" w:eastAsia="宋体" w:cs="Times New Roman" w:hAnsi="Times New Roman"/>
                      <w:b w:val="0"/>
                      <w:bCs w:val="0"/>
                      <w:color w:val="auto"/>
                      <w:kern w:val="2"/>
                      <w:sz w:val="21"/>
                      <w:szCs w:val="21"/>
                      <w:lang w:val="en-US" w:eastAsia="zh-CN" w:bidi="ar-SA"/>
                      <w:highlight w:val="none"/>
                    </w:rPr>
                    <w:t>项目，不属于产能置换项目</w:t>
                  </w:r>
                  <w:r>
                    <w:rPr>
                      <w:rFonts w:ascii="Times New Roman" w:cs="Times New Roman" w:hAnsi="Times New Roman"/>
                      <w:sz w:val="21"/>
                      <w:szCs w:val="21"/>
                      <w:lang w:eastAsia="zh-CN"/>
                      <w:highlight w:val="none"/>
                    </w:rPr>
                    <w:t>。</w:t>
                  </w:r>
                </w:p>
                <w:p>
                  <w:pPr>
                    <w:pStyle w:val="1"/>
                    <w:keepNext/>
                    <w:keepLines w:val="0"/>
                    <w:suppressLineNumbers w:val="0"/>
                    <w:spacing w:beforeAutospacing="0" w:afterAutospacing="0" w:line="240" w:lineRule="auto"/>
                    <w:ind w:right="0"/>
                    <w:rPr>
                      <w:rFonts w:ascii="Times New Roman" w:cs="Times New Roman" w:hAnsi="Times New Roman"/>
                      <w:sz w:val="21"/>
                      <w:szCs w:val="21"/>
                      <w:lang w:eastAsia="zh-CN"/>
                      <w:highlight w:val="none"/>
                    </w:rPr>
                  </w:pPr>
                </w:p>
              </w:tc>
              <w:tc>
                <w:tcPr>
                  <w:tcW w:w="379" w:type="pct"/>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符合</w:t>
                  </w:r>
                </w:p>
              </w:tc>
            </w:tr>
            <w:tr>
              <w:trPr>
                <w:trHeight w:val="397"/>
              </w:trPr>
              <w:tc>
                <w:tcPr>
                  <w:tcW w:w="599" w:type="pct"/>
                  <w:vMerge/>
                  <w:vAlign w:val="center"/>
                </w:tcPr>
                <w:p/>
              </w:tc>
              <w:tc>
                <w:tcPr>
                  <w:tcW w:w="411" w:type="pct"/>
                  <w:tcBorders>
                    <w:top w:val="single" w:sz="4" w:space="0" w:color="auto"/>
                    <w:bottom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baseline"/>
                    <w:rPr>
                      <w:rFonts w:ascii="Times New Roman" w:eastAsia="宋体" w:cs="Times New Roman" w:hAnsi="Times New Roman"/>
                      <w:color w:val="000000"/>
                      <w:sz w:val="21"/>
                      <w:szCs w:val="21"/>
                      <w:lang w:eastAsia="zh-CN"/>
                      <w:highlight w:val="none"/>
                    </w:rPr>
                  </w:pPr>
                  <w:r>
                    <w:rPr>
                      <w:rFonts w:ascii="Times New Roman" w:cs="Times New Roman" w:hAnsi="Times New Roman"/>
                      <w:color w:val="000000"/>
                      <w:sz w:val="21"/>
                      <w:szCs w:val="21"/>
                      <w:lang w:eastAsia="zh-CN"/>
                      <w:highlight w:val="none"/>
                    </w:rPr>
                    <w:t>污染物排放管控</w:t>
                  </w:r>
                </w:p>
              </w:tc>
              <w:tc>
                <w:tcPr>
                  <w:tcW w:w="2441" w:type="pct"/>
                  <w:tcBorders>
                    <w:top w:val="single" w:sz="4" w:space="0" w:color="auto"/>
                    <w:bottom w:val="single" w:sz="4" w:space="0" w:color="auto"/>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ascii="Times New Roman" w:cs="Times New Roman" w:hAnsi="Times New Roman"/>
                      <w:color w:val="000000"/>
                      <w:sz w:val="21"/>
                      <w:szCs w:val="21"/>
                      <w:highlight w:val="none"/>
                    </w:rPr>
                  </w:pPr>
                  <w:r>
                    <w:rPr>
                      <w:rFonts w:ascii="Times New Roman" w:eastAsia="宋体" w:cs="Times New Roman" w:hAnsi="Times New Roman"/>
                      <w:color w:val="000000"/>
                      <w:kern w:val="0"/>
                      <w:sz w:val="21"/>
                      <w:szCs w:val="21"/>
                      <w:lang w:val="en-US" w:eastAsia="zh-CN"/>
                      <w:highlight w:val="none"/>
                    </w:rPr>
                    <w:t>7.鼓励企业采用先进治理技术，打造行业噪声污染治理示范典型。排放噪声的工业企业应切实采取减振降噪措施，加强厂区内固定设备、运输工具、货物装卸等噪声源管理，同时避免突发噪声扰民。</w:t>
                  </w:r>
                </w:p>
              </w:tc>
              <w:tc>
                <w:tcPr>
                  <w:tcW w:w="1168" w:type="pct"/>
                  <w:tcBorders>
                    <w:top w:val="single" w:sz="4" w:space="0" w:color="auto"/>
                    <w:bottom w:val="single" w:sz="4" w:space="0" w:color="auto"/>
                  </w:tcBorders>
                  <w:vAlign w:val="center"/>
                </w:tcPr>
                <w:p>
                  <w:pPr>
                    <w:pStyle w:val="1"/>
                    <w:keepNext/>
                    <w:keepLines w:val="0"/>
                    <w:pageBreakBefore w:val="0"/>
                    <w:widowControl w:val="0"/>
                    <w:suppressLineNumbers w:val="0"/>
                    <w:kinsoku/>
                    <w:wordWrap/>
                    <w:overflowPunct w:val="0"/>
                    <w:topLinePunct w:val="0"/>
                    <w:autoSpaceDE/>
                    <w:autoSpaceDN/>
                    <w:bidi w:val="0"/>
                    <w:spacing w:before="0" w:beforeAutospacing="0" w:after="0" w:afterAutospacing="0" w:line="240" w:lineRule="auto"/>
                    <w:ind w:left="0" w:right="0" w:firstLine="0"/>
                    <w:jc w:val="both"/>
                    <w:rPr>
                      <w:rFonts w:ascii="Times New Roman" w:eastAsia="黑体" w:cs="Times New Roman" w:hAnsi="Times New Roman"/>
                      <w:sz w:val="21"/>
                      <w:szCs w:val="21"/>
                      <w:lang w:val="en-US" w:eastAsia="zh-CN"/>
                      <w:highlight w:val="none"/>
                    </w:rPr>
                  </w:pPr>
                  <w:r>
                    <w:rPr>
                      <w:rFonts w:ascii="Times New Roman" w:eastAsia="宋体" w:cs="Times New Roman" w:hAnsi="Times New Roman"/>
                      <w:b w:val="0"/>
                      <w:bCs w:val="0"/>
                      <w:sz w:val="21"/>
                      <w:szCs w:val="21"/>
                      <w:lang w:val="en-US" w:eastAsia="zh-CN"/>
                      <w:highlight w:val="none"/>
                    </w:rPr>
                    <w:t>7、企业加强噪声源管理，采取减振降噪措施，可有效治理噪声污染，避免突发扰民。</w:t>
                  </w:r>
                </w:p>
              </w:tc>
              <w:tc>
                <w:tcPr>
                  <w:tcW w:w="379" w:type="pct"/>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符合</w:t>
                  </w:r>
                </w:p>
              </w:tc>
            </w:tr>
            <w:tr>
              <w:trPr>
                <w:trHeight w:val="397"/>
              </w:trPr>
              <w:tc>
                <w:tcPr>
                  <w:tcW w:w="599" w:type="pct"/>
                  <w:vMerge/>
                  <w:tcBorders>
                    <w:bottom w:val="single" w:sz="4" w:space="0" w:color="auto"/>
                  </w:tcBorders>
                  <w:vAlign w:val="center"/>
                </w:tcPr>
                <w:p/>
              </w:tc>
              <w:tc>
                <w:tcPr>
                  <w:tcW w:w="411" w:type="pct"/>
                  <w:tcBorders>
                    <w:top w:val="single" w:sz="4" w:space="0" w:color="auto"/>
                    <w:bottom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baseline"/>
                    <w:rPr>
                      <w:rFonts w:ascii="Times New Roman" w:cs="Times New Roman" w:hAnsi="Times New Roman"/>
                      <w:color w:val="000000"/>
                      <w:sz w:val="21"/>
                      <w:szCs w:val="21"/>
                      <w:lang w:eastAsia="zh-CN"/>
                      <w:highlight w:val="none"/>
                    </w:rPr>
                  </w:pPr>
                  <w:r>
                    <w:rPr>
                      <w:rFonts w:ascii="Times New Roman" w:cs="Times New Roman" w:hAnsi="Times New Roman"/>
                      <w:color w:val="000000"/>
                      <w:sz w:val="21"/>
                      <w:szCs w:val="21"/>
                      <w:lang w:eastAsia="zh-CN"/>
                      <w:highlight w:val="none"/>
                    </w:rPr>
                    <w:t>资源利用效率</w:t>
                  </w:r>
                </w:p>
              </w:tc>
              <w:tc>
                <w:tcPr>
                  <w:tcW w:w="2441" w:type="pct"/>
                  <w:tcBorders>
                    <w:top w:val="single" w:sz="4" w:space="0" w:color="auto"/>
                    <w:bottom w:val="single" w:sz="4" w:space="0" w:color="auto"/>
                  </w:tcBorders>
                  <w:vAlign w:val="center"/>
                </w:tcPr>
                <w:p>
                  <w:pPr>
                    <w:keepNext w:val="0"/>
                    <w:keepLines w:val="0"/>
                    <w:widowControl/>
                    <w:suppressLineNumbers w:val="0"/>
                    <w:spacing w:before="0" w:beforeAutospacing="0" w:after="0" w:afterAutospacing="0" w:line="240" w:lineRule="auto"/>
                    <w:ind w:left="0" w:right="0"/>
                    <w:jc w:val="left"/>
                    <w:rPr>
                      <w:rFonts w:ascii="Times New Roman" w:eastAsia="宋体" w:cs="Times New Roman" w:hAnsi="Times New Roman"/>
                      <w:color w:val="000000"/>
                      <w:kern w:val="0"/>
                      <w:sz w:val="21"/>
                      <w:szCs w:val="21"/>
                      <w:lang w:val="en-US" w:eastAsia="zh-CN"/>
                      <w:highlight w:val="none"/>
                    </w:rPr>
                  </w:pPr>
                  <w:r>
                    <w:rPr>
                      <w:rFonts w:ascii="Times New Roman" w:eastAsia="宋体" w:cs="Times New Roman" w:hAnsi="Times New Roman"/>
                      <w:color w:val="000000"/>
                      <w:kern w:val="0"/>
                      <w:sz w:val="21"/>
                      <w:szCs w:val="21"/>
                      <w:lang w:val="en-US" w:eastAsia="zh-CN"/>
                      <w:highlight w:val="none"/>
                    </w:rPr>
                    <w:t>2.新建、扩建</w:t>
                  </w:r>
                  <w:r>
                    <w:rPr>
                      <w:rFonts w:ascii="Times New Roman" w:cs="Times New Roman" w:hAnsi="Times New Roman" w:hint="eastAsia"/>
                      <w:color w:val="000000"/>
                      <w:kern w:val="0"/>
                      <w:sz w:val="21"/>
                      <w:szCs w:val="21"/>
                      <w:lang w:val="en-US" w:eastAsia="zh-CN"/>
                      <w:highlight w:val="none"/>
                    </w:rPr>
                    <w:t>“</w:t>
                  </w:r>
                  <w:r>
                    <w:rPr>
                      <w:rFonts w:ascii="Times New Roman" w:eastAsia="宋体" w:cs="Times New Roman" w:hAnsi="Times New Roman"/>
                      <w:color w:val="000000"/>
                      <w:kern w:val="0"/>
                      <w:sz w:val="21"/>
                      <w:szCs w:val="21"/>
                      <w:lang w:val="en-US" w:eastAsia="zh-CN"/>
                      <w:highlight w:val="none"/>
                    </w:rPr>
                    <w:t>两高</w:t>
                  </w:r>
                  <w:r>
                    <w:rPr>
                      <w:rFonts w:ascii="Times New Roman" w:cs="Times New Roman" w:hAnsi="Times New Roman" w:hint="eastAsia"/>
                      <w:color w:val="000000"/>
                      <w:kern w:val="0"/>
                      <w:sz w:val="21"/>
                      <w:szCs w:val="21"/>
                      <w:lang w:val="en-US" w:eastAsia="zh-CN"/>
                      <w:highlight w:val="none"/>
                    </w:rPr>
                    <w:t>”</w:t>
                  </w:r>
                  <w:r>
                    <w:rPr>
                      <w:rFonts w:ascii="Times New Roman" w:eastAsia="宋体" w:cs="Times New Roman" w:hAnsi="Times New Roman"/>
                      <w:color w:val="000000"/>
                      <w:kern w:val="0"/>
                      <w:sz w:val="21"/>
                      <w:szCs w:val="21"/>
                      <w:lang w:val="en-US" w:eastAsia="zh-CN"/>
                      <w:highlight w:val="none"/>
                    </w:rPr>
                    <w:t>项目单位产品物耗、能耗、水耗等达到清洁生产先进水平。</w:t>
                  </w:r>
                </w:p>
              </w:tc>
              <w:tc>
                <w:tcPr>
                  <w:tcW w:w="1168" w:type="pct"/>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both"/>
                    <w:textAlignment w:val="baseline"/>
                    <w:rPr>
                      <w:rFonts w:ascii="Times New Roman" w:eastAsia="宋体" w:cs="Times New Roman" w:hAnsi="Times New Roman"/>
                      <w:color w:val="000000"/>
                      <w:sz w:val="21"/>
                      <w:szCs w:val="21"/>
                      <w:lang w:eastAsia="zh-CN"/>
                      <w:highlight w:val="none"/>
                    </w:rPr>
                  </w:pPr>
                  <w:r>
                    <w:rPr>
                      <w:rFonts w:ascii="Times New Roman" w:cs="Times New Roman" w:hAnsi="Times New Roman"/>
                      <w:color w:val="000000"/>
                      <w:sz w:val="21"/>
                      <w:szCs w:val="21"/>
                      <w:lang w:eastAsia="zh-CN"/>
                      <w:highlight w:val="none"/>
                    </w:rPr>
                    <w:t>本项目不属于</w:t>
                  </w:r>
                  <w:r>
                    <w:rPr>
                      <w:rFonts w:ascii="Times New Roman" w:cs="Times New Roman" w:hAnsi="Times New Roman" w:hint="eastAsia"/>
                      <w:color w:val="000000"/>
                      <w:sz w:val="21"/>
                      <w:szCs w:val="21"/>
                      <w:lang w:eastAsia="zh-CN"/>
                      <w:highlight w:val="none"/>
                    </w:rPr>
                    <w:t>“</w:t>
                  </w:r>
                  <w:r>
                    <w:rPr>
                      <w:rFonts w:ascii="Times New Roman" w:cs="Times New Roman" w:hAnsi="Times New Roman"/>
                      <w:color w:val="000000"/>
                      <w:sz w:val="21"/>
                      <w:szCs w:val="21"/>
                      <w:lang w:eastAsia="zh-CN"/>
                      <w:highlight w:val="none"/>
                    </w:rPr>
                    <w:t>两高</w:t>
                  </w:r>
                  <w:r>
                    <w:rPr>
                      <w:rFonts w:ascii="Times New Roman" w:cs="Times New Roman" w:hAnsi="Times New Roman" w:hint="eastAsia"/>
                      <w:color w:val="000000"/>
                      <w:sz w:val="21"/>
                      <w:szCs w:val="21"/>
                      <w:lang w:eastAsia="zh-CN"/>
                      <w:highlight w:val="none"/>
                    </w:rPr>
                    <w:t>”</w:t>
                  </w:r>
                  <w:r>
                    <w:rPr>
                      <w:rFonts w:ascii="Times New Roman" w:cs="Times New Roman" w:hAnsi="Times New Roman"/>
                      <w:color w:val="000000"/>
                      <w:sz w:val="21"/>
                      <w:szCs w:val="21"/>
                      <w:lang w:eastAsia="zh-CN"/>
                      <w:highlight w:val="none"/>
                    </w:rPr>
                    <w:t>项目。</w:t>
                  </w:r>
                </w:p>
              </w:tc>
              <w:tc>
                <w:tcPr>
                  <w:tcW w:w="379" w:type="pct"/>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color w:val="000000"/>
                      <w:sz w:val="21"/>
                      <w:szCs w:val="21"/>
                      <w:lang w:eastAsia="zh-CN"/>
                      <w:highlight w:val="none"/>
                    </w:rPr>
                  </w:pPr>
                  <w:r>
                    <w:rPr>
                      <w:rFonts w:ascii="Times New Roman" w:cs="Times New Roman" w:hAnsi="Times New Roman"/>
                      <w:color w:val="000000"/>
                      <w:sz w:val="21"/>
                      <w:szCs w:val="21"/>
                      <w:lang w:eastAsia="zh-CN"/>
                      <w:highlight w:val="none"/>
                    </w:rPr>
                    <w:t>符合</w:t>
                  </w:r>
                </w:p>
              </w:tc>
            </w:tr>
            <w:tr>
              <w:trPr>
                <w:trHeight w:val="397"/>
              </w:trPr>
              <w:tc>
                <w:tcPr>
                  <w:tcW w:w="5000" w:type="pct"/>
                  <w:gridSpan w:val="5"/>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color w:val="000000"/>
                      <w:sz w:val="21"/>
                      <w:szCs w:val="21"/>
                      <w:lang w:eastAsia="zh-CN"/>
                      <w:highlight w:val="none"/>
                    </w:rPr>
                  </w:pPr>
                  <w:r>
                    <w:rPr>
                      <w:rFonts w:ascii="Times New Roman" w:cs="Times New Roman" w:hAnsi="Times New Roman"/>
                      <w:b/>
                      <w:bCs/>
                      <w:sz w:val="21"/>
                      <w:szCs w:val="21"/>
                      <w:lang w:eastAsia="zh-CN"/>
                      <w:highlight w:val="none"/>
                    </w:rPr>
                    <w:t>二、重点区域生态环境管控要求</w:t>
                  </w:r>
                </w:p>
              </w:tc>
            </w:tr>
            <w:tr>
              <w:trPr>
                <w:trHeight w:val="397"/>
              </w:trPr>
              <w:tc>
                <w:tcPr>
                  <w:tcW w:w="599" w:type="pct"/>
                  <w:vMerge w:val="restart"/>
                  <w:tcBorders>
                    <w:top w:val="single" w:sz="4" w:space="0" w:color="auto"/>
                    <w:bottom w:val="single" w:sz="4" w:space="0" w:color="auto"/>
                  </w:tcBorders>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jc w:val="both"/>
                    <w:textAlignment w:val="auto"/>
                    <w:rPr>
                      <w:rFonts w:ascii="Times New Roman" w:eastAsia="宋体" w:cs="Times New Roman" w:hAnsi="Times New Roman"/>
                      <w:sz w:val="21"/>
                      <w:szCs w:val="21"/>
                      <w:highlight w:val="none"/>
                    </w:rPr>
                  </w:pPr>
                  <w:r>
                    <w:rPr>
                      <w:rFonts w:ascii="Times New Roman" w:eastAsia="宋体" w:cs="Times New Roman" w:hAnsi="Times New Roman"/>
                      <w:color w:val="000000"/>
                      <w:kern w:val="0"/>
                      <w:sz w:val="21"/>
                      <w:szCs w:val="21"/>
                      <w:lang w:val="en-US" w:eastAsia="zh-CN"/>
                      <w:highlight w:val="none"/>
                    </w:rPr>
                    <w:t>京津冀及周边地区（郑州、开封、洛阳、平顶山、安阳、鹤壁、新乡、焦作、濮阳、许昌、漯河、三门峡、商丘、周口市以及济源示</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ascii="Times New Roman" w:cs="Times New Roman" w:hAnsi="Times New Roman"/>
                      <w:color w:val="000000"/>
                      <w:sz w:val="21"/>
                      <w:szCs w:val="21"/>
                      <w:highlight w:val="none"/>
                    </w:rPr>
                  </w:pPr>
                  <w:r>
                    <w:rPr>
                      <w:rFonts w:ascii="Times New Roman" w:eastAsia="宋体" w:cs="Times New Roman" w:hAnsi="Times New Roman"/>
                      <w:color w:val="000000"/>
                      <w:kern w:val="0"/>
                      <w:sz w:val="21"/>
                      <w:szCs w:val="21"/>
                      <w:lang w:val="en-US" w:eastAsia="zh-CN"/>
                      <w:highlight w:val="none"/>
                    </w:rPr>
                    <w:t>范区）</w:t>
                  </w:r>
                </w:p>
              </w:tc>
              <w:tc>
                <w:tcPr>
                  <w:tcW w:w="411" w:type="pct"/>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空间布局约束</w:t>
                  </w:r>
                </w:p>
              </w:tc>
              <w:tc>
                <w:tcPr>
                  <w:tcW w:w="2441" w:type="pct"/>
                  <w:tcBorders>
                    <w:top w:val="single" w:sz="4" w:space="0" w:color="auto"/>
                    <w:bottom w:val="single" w:sz="4" w:space="0" w:color="auto"/>
                  </w:tcBorders>
                  <w:vAlign w:val="center"/>
                </w:tcPr>
                <w:p>
                  <w:pPr>
                    <w:keepNext w:val="0"/>
                    <w:keepLines w:val="0"/>
                    <w:widowControl/>
                    <w:suppressLineNumbers w:val="0"/>
                    <w:spacing w:before="0" w:beforeAutospacing="0" w:after="0" w:afterAutospacing="0" w:line="240" w:lineRule="auto"/>
                    <w:ind w:left="0" w:right="0"/>
                    <w:jc w:val="left"/>
                    <w:rPr>
                      <w:rFonts w:ascii="Times New Roman" w:eastAsia="宋体" w:cs="Times New Roman" w:hAnsi="Times New Roman"/>
                      <w:color w:val="000000"/>
                      <w:sz w:val="21"/>
                      <w:szCs w:val="21"/>
                      <w:highlight w:val="none"/>
                    </w:rPr>
                  </w:pPr>
                  <w:r>
                    <w:rPr>
                      <w:rFonts w:ascii="Times New Roman" w:eastAsia="宋体" w:cs="Times New Roman" w:hAnsi="Times New Roman"/>
                      <w:color w:val="000000"/>
                      <w:kern w:val="0"/>
                      <w:sz w:val="21"/>
                      <w:szCs w:val="21"/>
                      <w:lang w:val="en-US" w:eastAsia="zh-CN"/>
                      <w:highlight w:val="none"/>
                    </w:rPr>
                    <w:t>1.坚决遏制</w:t>
                  </w:r>
                  <w:r>
                    <w:rPr>
                      <w:rFonts w:ascii="Times New Roman" w:cs="Times New Roman" w:hAnsi="Times New Roman" w:hint="eastAsia"/>
                      <w:color w:val="000000"/>
                      <w:kern w:val="0"/>
                      <w:sz w:val="21"/>
                      <w:szCs w:val="21"/>
                      <w:lang w:val="en-US" w:eastAsia="zh-CN"/>
                      <w:highlight w:val="none"/>
                    </w:rPr>
                    <w:t>“</w:t>
                  </w:r>
                  <w:r>
                    <w:rPr>
                      <w:rFonts w:ascii="Times New Roman" w:eastAsia="宋体" w:cs="Times New Roman" w:hAnsi="Times New Roman"/>
                      <w:color w:val="000000"/>
                      <w:kern w:val="0"/>
                      <w:sz w:val="21"/>
                      <w:szCs w:val="21"/>
                      <w:lang w:val="en-US" w:eastAsia="zh-CN"/>
                      <w:highlight w:val="none"/>
                    </w:rPr>
                    <w:t>两高</w:t>
                  </w:r>
                  <w:r>
                    <w:rPr>
                      <w:rFonts w:ascii="Times New Roman" w:cs="Times New Roman" w:hAnsi="Times New Roman" w:hint="eastAsia"/>
                      <w:color w:val="000000"/>
                      <w:kern w:val="0"/>
                      <w:sz w:val="21"/>
                      <w:szCs w:val="21"/>
                      <w:lang w:val="en-US" w:eastAsia="zh-CN"/>
                      <w:highlight w:val="none"/>
                    </w:rPr>
                    <w:t>”</w:t>
                  </w:r>
                  <w:r>
                    <w:rPr>
                      <w:rFonts w:ascii="Times New Roman" w:eastAsia="宋体" w:cs="Times New Roman" w:hAnsi="Times New Roman"/>
                      <w:color w:val="000000"/>
                      <w:kern w:val="0"/>
                      <w:sz w:val="21"/>
                      <w:szCs w:val="21"/>
                      <w:lang w:val="en-US" w:eastAsia="zh-CN"/>
                      <w:highlight w:val="none"/>
                    </w:rPr>
                    <w:t>项目盲目发展，落实《中共河南省委河南省人民政府关于深入打好污染防治攻坚战的实施意见》中关于空间布局约束的相关要求。</w:t>
                  </w:r>
                </w:p>
              </w:tc>
              <w:tc>
                <w:tcPr>
                  <w:tcW w:w="1168" w:type="pct"/>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both"/>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本项目不属于两高项目。</w:t>
                  </w:r>
                </w:p>
              </w:tc>
              <w:tc>
                <w:tcPr>
                  <w:tcW w:w="379" w:type="pct"/>
                  <w:tcBorders>
                    <w:top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符合</w:t>
                  </w:r>
                </w:p>
              </w:tc>
            </w:tr>
            <w:tr>
              <w:trPr>
                <w:trHeight w:val="397"/>
              </w:trPr>
              <w:tc>
                <w:tcPr>
                  <w:tcW w:w="599" w:type="pct"/>
                  <w:vMerge/>
                  <w:tcBorders>
                    <w:top w:val="single" w:sz="4" w:space="0" w:color="auto"/>
                  </w:tcBorders>
                  <w:vAlign w:val="center"/>
                </w:tcPr>
                <w:p/>
              </w:tc>
              <w:tc>
                <w:tcPr>
                  <w:tcW w:w="411" w:type="pct"/>
                  <w:tcBorders>
                    <w:top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highlight w:val="none"/>
                    </w:rPr>
                  </w:pPr>
                  <w:r>
                    <w:rPr>
                      <w:rFonts w:ascii="Times New Roman" w:cs="Times New Roman" w:hAnsi="Times New Roman"/>
                      <w:sz w:val="21"/>
                      <w:szCs w:val="21"/>
                      <w:highlight w:val="none"/>
                    </w:rPr>
                    <w:t>污染物排放管控</w:t>
                  </w:r>
                </w:p>
              </w:tc>
              <w:tc>
                <w:tcPr>
                  <w:tcW w:w="2441" w:type="pct"/>
                  <w:tcBorders>
                    <w:top w:val="single" w:sz="4" w:space="0" w:color="auto"/>
                  </w:tcBorders>
                  <w:vAlign w:val="center"/>
                </w:tcPr>
                <w:p>
                  <w:pPr>
                    <w:keepNext w:val="0"/>
                    <w:keepLines w:val="0"/>
                    <w:widowControl/>
                    <w:suppressLineNumbers w:val="0"/>
                    <w:spacing w:before="0" w:beforeAutospacing="0" w:after="0" w:afterAutospacing="0" w:line="240" w:lineRule="auto"/>
                    <w:ind w:left="0" w:right="0"/>
                    <w:jc w:val="left"/>
                    <w:rPr>
                      <w:rFonts w:ascii="Times New Roman" w:eastAsia="宋体" w:cs="Times New Roman" w:hAnsi="Times New Roman"/>
                      <w:color w:val="000000"/>
                      <w:sz w:val="21"/>
                      <w:szCs w:val="21"/>
                      <w:highlight w:val="none"/>
                    </w:rPr>
                  </w:pPr>
                  <w:r>
                    <w:rPr>
                      <w:rFonts w:ascii="Times New Roman" w:eastAsia="宋体" w:cs="Times New Roman" w:hAnsi="Times New Roman"/>
                      <w:color w:val="000000"/>
                      <w:kern w:val="0"/>
                      <w:sz w:val="21"/>
                      <w:szCs w:val="21"/>
                      <w:lang w:val="en-US" w:eastAsia="zh-CN"/>
                      <w:highlight w:val="none"/>
                    </w:rPr>
                    <w:t>1.落实超低排放要求、无组织排放特别控制要求。</w:t>
                  </w:r>
                </w:p>
              </w:tc>
              <w:tc>
                <w:tcPr>
                  <w:tcW w:w="1168" w:type="pct"/>
                  <w:tcBorders>
                    <w:top w:val="single" w:sz="4" w:space="0" w:color="auto"/>
                  </w:tcBorders>
                  <w:vAlign w:val="center"/>
                </w:tcPr>
                <w:p>
                  <w:pPr>
                    <w:pStyle w:val="60"/>
                    <w:keepNext w:val="0"/>
                    <w:keepLines w:val="0"/>
                    <w:suppressLineNumbers w:val="0"/>
                    <w:spacing w:before="0" w:beforeAutospacing="0" w:after="0" w:afterAutospacing="0" w:line="240" w:lineRule="auto"/>
                    <w:ind w:left="0" w:right="0"/>
                    <w:jc w:val="both"/>
                    <w:rPr>
                      <w:rFonts w:ascii="Times New Roman" w:eastAsia="宋体" w:cs="Times New Roman" w:hAnsi="Times New Roman"/>
                      <w:color w:val="000000"/>
                      <w:sz w:val="21"/>
                      <w:szCs w:val="21"/>
                      <w:lang w:eastAsia="zh-CN"/>
                      <w:highlight w:val="none"/>
                    </w:rPr>
                  </w:pPr>
                  <w:r>
                    <w:rPr>
                      <w:rFonts w:ascii="Times New Roman" w:cs="Times New Roman" w:hAnsi="Times New Roman"/>
                      <w:b w:val="0"/>
                      <w:bCs/>
                      <w:color w:val="000000"/>
                      <w:sz w:val="21"/>
                      <w:szCs w:val="21"/>
                      <w:highlight w:val="none"/>
                    </w:rPr>
                    <w:t>本项目</w:t>
                  </w:r>
                  <w:r>
                    <w:rPr>
                      <w:rFonts w:ascii="Times New Roman" w:cs="Times New Roman" w:hAnsi="Times New Roman"/>
                      <w:b w:val="0"/>
                      <w:bCs/>
                      <w:color w:val="000000"/>
                      <w:sz w:val="21"/>
                      <w:szCs w:val="21"/>
                      <w:lang w:eastAsia="zh-CN"/>
                      <w:highlight w:val="none"/>
                    </w:rPr>
                    <w:t>符合</w:t>
                  </w:r>
                  <w:r>
                    <w:rPr>
                      <w:rFonts w:ascii="Times New Roman" w:eastAsia="宋体" w:cs="Times New Roman" w:hAnsi="Times New Roman"/>
                      <w:b w:val="0"/>
                      <w:bCs/>
                      <w:color w:val="000000"/>
                      <w:kern w:val="0"/>
                      <w:sz w:val="21"/>
                      <w:szCs w:val="21"/>
                      <w:lang w:val="en-US" w:eastAsia="zh-CN"/>
                      <w:highlight w:val="none"/>
                    </w:rPr>
                    <w:t>超低排放要求、无组织排放特别控制要求</w:t>
                  </w:r>
                  <w:r>
                    <w:rPr>
                      <w:rFonts w:ascii="Times New Roman" w:cs="Times New Roman" w:hAnsi="Times New Roman"/>
                      <w:b w:val="0"/>
                      <w:bCs/>
                      <w:color w:val="000000"/>
                      <w:sz w:val="21"/>
                      <w:szCs w:val="21"/>
                      <w:lang w:eastAsia="zh-CN"/>
                      <w:highlight w:val="none"/>
                    </w:rPr>
                    <w:t>。</w:t>
                  </w:r>
                </w:p>
              </w:tc>
              <w:tc>
                <w:tcPr>
                  <w:tcW w:w="379" w:type="pct"/>
                  <w:tcBorders>
                    <w:top w:val="single" w:sz="4" w:space="0" w:color="auto"/>
                  </w:tcBorders>
                  <w:vAlign w:val="center"/>
                </w:tcPr>
                <w:p>
                  <w:pPr>
                    <w:pStyle w:val="39"/>
                    <w:keepNext w:val="0"/>
                    <w:keepLines w:val="0"/>
                    <w:suppressLineNumbers w:val="0"/>
                    <w:spacing w:before="0" w:beforeAutospacing="0" w:after="0" w:afterAutospacing="0" w:line="240" w:lineRule="auto"/>
                    <w:ind w:left="0" w:right="0"/>
                    <w:rPr>
                      <w:rFonts w:ascii="Times New Roman" w:eastAsia="宋体" w:cs="Times New Roman" w:hAnsi="Times New Roman"/>
                      <w:b w:val="0"/>
                      <w:sz w:val="21"/>
                      <w:szCs w:val="21"/>
                      <w:highlight w:val="none"/>
                    </w:rPr>
                  </w:pPr>
                  <w:r>
                    <w:rPr>
                      <w:rFonts w:ascii="Times New Roman" w:cs="Times New Roman" w:hAnsi="Times New Roman"/>
                      <w:b w:val="0"/>
                      <w:sz w:val="21"/>
                      <w:szCs w:val="21"/>
                      <w:highlight w:val="none"/>
                    </w:rPr>
                    <w:t>符合</w:t>
                  </w:r>
                </w:p>
                <w:p>
                  <w:pPr>
                    <w:pStyle w:val="41"/>
                    <w:keepNext w:val="0"/>
                    <w:keepLines w:val="0"/>
                    <w:suppressLineNumbers w:val="0"/>
                    <w:spacing w:before="0" w:beforeAutospacing="0" w:after="0" w:afterAutospacing="0" w:line="240" w:lineRule="auto"/>
                    <w:ind w:left="0" w:right="0"/>
                    <w:rPr>
                      <w:rFonts w:ascii="Times New Roman" w:cs="Times New Roman" w:hAnsi="Times New Roman"/>
                      <w:sz w:val="21"/>
                      <w:szCs w:val="21"/>
                      <w:highlight w:val="none"/>
                    </w:rPr>
                  </w:pPr>
                </w:p>
                <w:p>
                  <w:pPr>
                    <w:pStyle w:val="41"/>
                    <w:keepNext w:val="0"/>
                    <w:keepLines w:val="0"/>
                    <w:suppressLineNumbers w:val="0"/>
                    <w:spacing w:before="0" w:beforeAutospacing="0" w:after="0" w:afterAutospacing="0" w:line="240" w:lineRule="auto"/>
                    <w:ind w:left="0" w:right="0"/>
                    <w:rPr>
                      <w:rFonts w:ascii="Times New Roman" w:cs="Times New Roman" w:hAnsi="Times New Roman"/>
                      <w:sz w:val="21"/>
                      <w:szCs w:val="21"/>
                      <w:highlight w:val="none"/>
                    </w:rPr>
                  </w:pPr>
                </w:p>
              </w:tc>
            </w:tr>
            <w:tr>
              <w:trPr>
                <w:trHeight w:val="397"/>
              </w:trPr>
              <w:tc>
                <w:tcPr>
                  <w:tcW w:w="599" w:type="pct"/>
                  <w:vMerge/>
                  <w:vAlign w:val="center"/>
                </w:tcPr>
                <w:p/>
              </w:tc>
              <w:tc>
                <w:tcPr>
                  <w:tcW w:w="411"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环境风</w:t>
                  </w:r>
                </w:p>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险防控</w:t>
                  </w:r>
                </w:p>
              </w:tc>
              <w:tc>
                <w:tcPr>
                  <w:tcW w:w="2441" w:type="pct"/>
                  <w:vAlign w:val="center"/>
                </w:tcPr>
                <w:p>
                  <w:pPr>
                    <w:keepNext w:val="0"/>
                    <w:keepLines w:val="0"/>
                    <w:widowControl/>
                    <w:suppressLineNumbers w:val="0"/>
                    <w:spacing w:before="0" w:beforeAutospacing="0" w:after="0" w:afterAutospacing="0" w:line="240" w:lineRule="auto"/>
                    <w:ind w:left="0" w:right="0"/>
                    <w:jc w:val="left"/>
                    <w:rPr>
                      <w:rFonts w:ascii="Times New Roman" w:eastAsia="宋体" w:cs="Times New Roman" w:hAnsi="Times New Roman"/>
                      <w:color w:val="000000"/>
                      <w:sz w:val="21"/>
                      <w:szCs w:val="21"/>
                      <w:highlight w:val="none"/>
                    </w:rPr>
                  </w:pPr>
                  <w:r>
                    <w:rPr>
                      <w:rFonts w:ascii="Times New Roman" w:eastAsia="宋体" w:cs="Times New Roman" w:hAnsi="Times New Roman"/>
                      <w:color w:val="000000"/>
                      <w:kern w:val="0"/>
                      <w:sz w:val="21"/>
                      <w:szCs w:val="21"/>
                      <w:lang w:val="en-US" w:eastAsia="zh-CN"/>
                      <w:highlight w:val="none"/>
                    </w:rPr>
                    <w:t xml:space="preserve">1.对无法实现低VOCs原辅材料替代的工序，在保证安全情况下，应在密闭设备、密闭空间作业或安装二次密闭设施。 </w:t>
                  </w:r>
                </w:p>
              </w:tc>
              <w:tc>
                <w:tcPr>
                  <w:tcW w:w="1168" w:type="pct"/>
                  <w:vAlign w:val="center"/>
                </w:tcPr>
                <w:p>
                  <w:pPr>
                    <w:keepNext w:val="0"/>
                    <w:keepLines w:val="0"/>
                    <w:suppressLineNumbers w:val="0"/>
                    <w:adjustRightInd w:val="0"/>
                    <w:snapToGrid w:val="0"/>
                    <w:spacing w:before="0" w:beforeAutospacing="0" w:after="0" w:afterAutospacing="0" w:line="240" w:lineRule="auto"/>
                    <w:ind w:left="0" w:right="0"/>
                    <w:jc w:val="both"/>
                    <w:textAlignment w:val="baseline"/>
                    <w:rPr>
                      <w:rFonts w:ascii="Times New Roman" w:eastAsia="宋体" w:cs="Times New Roman" w:hAnsi="Times New Roman"/>
                      <w:color w:val="000000"/>
                      <w:sz w:val="21"/>
                      <w:szCs w:val="21"/>
                      <w:lang w:eastAsia="zh-CN"/>
                      <w:highlight w:val="none"/>
                    </w:rPr>
                  </w:pPr>
                  <w:r>
                    <w:rPr>
                      <w:rFonts w:ascii="Times New Roman" w:eastAsia="宋体" w:cs="Times New Roman" w:hAnsi="Times New Roman"/>
                      <w:b w:val="0"/>
                      <w:bCs/>
                      <w:color w:val="auto"/>
                      <w:sz w:val="21"/>
                      <w:szCs w:val="21"/>
                      <w:lang w:val="en-US" w:eastAsia="zh-CN"/>
                      <w:highlight w:val="none"/>
                    </w:rPr>
                    <w:t>本项目</w:t>
                  </w:r>
                  <w:r>
                    <w:rPr>
                      <w:rFonts w:ascii="Times New Roman" w:cs="Times New Roman" w:hAnsi="Times New Roman"/>
                      <w:b w:val="0"/>
                      <w:bCs/>
                      <w:color w:val="auto"/>
                      <w:sz w:val="21"/>
                      <w:szCs w:val="21"/>
                      <w:lang w:val="en-US" w:eastAsia="zh-CN"/>
                      <w:highlight w:val="none"/>
                    </w:rPr>
                    <w:t>为加油站项目，原料均在密封容器中储存</w:t>
                  </w:r>
                  <w:r>
                    <w:rPr>
                      <w:rFonts w:ascii="Times New Roman" w:cs="Times New Roman" w:hAnsi="Times New Roman" w:hint="eastAsia"/>
                      <w:b w:val="0"/>
                      <w:bCs/>
                      <w:color w:val="auto"/>
                      <w:sz w:val="21"/>
                      <w:szCs w:val="21"/>
                      <w:lang w:val="en-US" w:eastAsia="zh-CN"/>
                      <w:highlight w:val="none"/>
                    </w:rPr>
                    <w:t>，并设置有油气回收装置</w:t>
                  </w:r>
                  <w:r>
                    <w:rPr>
                      <w:rFonts w:ascii="Times New Roman" w:cs="Times New Roman" w:hAnsi="Times New Roman"/>
                      <w:color w:val="000000"/>
                      <w:kern w:val="0"/>
                      <w:sz w:val="21"/>
                      <w:szCs w:val="21"/>
                      <w:lang w:eastAsia="zh-CN"/>
                      <w:highlight w:val="none"/>
                    </w:rPr>
                    <w:t>。</w:t>
                  </w:r>
                </w:p>
              </w:tc>
              <w:tc>
                <w:tcPr>
                  <w:tcW w:w="379" w:type="pct"/>
                  <w:vAlign w:val="center"/>
                </w:tcPr>
                <w:p>
                  <w:pPr>
                    <w:keepNext w:val="0"/>
                    <w:keepLines w:val="0"/>
                    <w:suppressLineNumbers w:val="0"/>
                    <w:adjustRightInd w:val="0"/>
                    <w:snapToGrid w:val="0"/>
                    <w:spacing w:before="0" w:beforeAutospacing="0" w:after="0" w:afterAutospacing="0" w:line="240" w:lineRule="auto"/>
                    <w:ind w:left="0" w:right="0"/>
                    <w:jc w:val="left"/>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符合</w:t>
                  </w:r>
                </w:p>
              </w:tc>
            </w:tr>
            <w:tr>
              <w:trPr>
                <w:trHeight w:val="397"/>
              </w:trPr>
              <w:tc>
                <w:tcPr>
                  <w:tcW w:w="5000" w:type="pct"/>
                  <w:gridSpan w:val="5"/>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lang w:eastAsia="zh-CN"/>
                      <w:highlight w:val="none"/>
                    </w:rPr>
                  </w:pPr>
                  <w:r>
                    <w:rPr>
                      <w:rFonts w:ascii="Times New Roman" w:cs="Times New Roman" w:hAnsi="Times New Roman"/>
                      <w:b/>
                      <w:bCs/>
                      <w:sz w:val="21"/>
                      <w:szCs w:val="21"/>
                      <w:lang w:eastAsia="zh-CN"/>
                      <w:highlight w:val="none"/>
                    </w:rPr>
                    <w:t>三、重点流域生态环境管控要求</w:t>
                  </w:r>
                </w:p>
              </w:tc>
            </w:tr>
            <w:tr>
              <w:trPr>
                <w:trHeight w:val="397"/>
              </w:trPr>
              <w:tc>
                <w:tcPr>
                  <w:tcW w:w="59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color w:val="000000"/>
                      <w:sz w:val="21"/>
                      <w:szCs w:val="21"/>
                      <w:lang w:eastAsia="zh-CN"/>
                      <w:highlight w:val="none"/>
                    </w:rPr>
                  </w:pPr>
                  <w:r>
                    <w:rPr>
                      <w:rFonts w:ascii="Times New Roman" w:cs="Times New Roman" w:hAnsi="Times New Roman"/>
                      <w:color w:val="000000"/>
                      <w:sz w:val="21"/>
                      <w:szCs w:val="21"/>
                      <w:lang w:eastAsia="zh-CN"/>
                      <w:highlight w:val="none"/>
                    </w:rPr>
                    <w:t>省辖海河流域</w:t>
                  </w:r>
                </w:p>
              </w:tc>
              <w:tc>
                <w:tcPr>
                  <w:tcW w:w="411"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color w:val="000000"/>
                      <w:sz w:val="21"/>
                      <w:szCs w:val="21"/>
                      <w:lang w:eastAsia="zh-CN"/>
                      <w:highlight w:val="none"/>
                    </w:rPr>
                  </w:pPr>
                  <w:r>
                    <w:rPr>
                      <w:rFonts w:ascii="Times New Roman" w:cs="Times New Roman" w:hAnsi="Times New Roman"/>
                      <w:color w:val="000000"/>
                      <w:sz w:val="21"/>
                      <w:szCs w:val="21"/>
                      <w:lang w:eastAsia="zh-CN"/>
                      <w:highlight w:val="none"/>
                    </w:rPr>
                    <w:t>空间布局约束</w:t>
                  </w:r>
                </w:p>
              </w:tc>
              <w:tc>
                <w:tcPr>
                  <w:tcW w:w="2441" w:type="pct"/>
                  <w:vAlign w:val="center"/>
                </w:tcPr>
                <w:p>
                  <w:pPr>
                    <w:keepNext w:val="0"/>
                    <w:keepLines w:val="0"/>
                    <w:widowControl/>
                    <w:suppressLineNumbers w:val="0"/>
                    <w:spacing w:before="0" w:beforeAutospacing="0" w:after="0" w:afterAutospacing="0" w:line="240" w:lineRule="auto"/>
                    <w:ind w:left="0" w:right="0"/>
                    <w:jc w:val="both"/>
                    <w:rPr>
                      <w:rFonts w:ascii="Times New Roman" w:eastAsia="宋体" w:cs="Times New Roman" w:hAnsi="Times New Roman"/>
                      <w:sz w:val="21"/>
                      <w:szCs w:val="21"/>
                      <w:highlight w:val="none"/>
                    </w:rPr>
                  </w:pPr>
                  <w:r>
                    <w:rPr>
                      <w:rFonts w:ascii="Times New Roman" w:eastAsia="宋体" w:cs="Times New Roman" w:hAnsi="Times New Roman"/>
                      <w:color w:val="000000"/>
                      <w:kern w:val="0"/>
                      <w:sz w:val="21"/>
                      <w:szCs w:val="21"/>
                      <w:lang w:val="en-US" w:eastAsia="zh-CN"/>
                      <w:highlight w:val="none"/>
                    </w:rPr>
                    <w:t>1.严格限制造纸、印染等高耗水、重污染产业发展。</w:t>
                  </w:r>
                </w:p>
                <w:p>
                  <w:pPr>
                    <w:keepNext w:val="0"/>
                    <w:keepLines w:val="0"/>
                    <w:widowControl/>
                    <w:suppressLineNumbers w:val="0"/>
                    <w:spacing w:before="0" w:beforeAutospacing="0" w:after="0" w:afterAutospacing="0" w:line="240" w:lineRule="auto"/>
                    <w:ind w:left="0" w:right="0"/>
                    <w:jc w:val="both"/>
                    <w:rPr>
                      <w:rFonts w:ascii="Times New Roman" w:eastAsia="宋体" w:cs="Times New Roman" w:hAnsi="Times New Roman"/>
                      <w:color w:val="000000"/>
                      <w:kern w:val="0"/>
                      <w:sz w:val="21"/>
                      <w:szCs w:val="21"/>
                      <w:lang w:val="en-US" w:eastAsia="zh-CN"/>
                      <w:highlight w:val="none"/>
                    </w:rPr>
                  </w:pPr>
                  <w:r>
                    <w:rPr>
                      <w:rFonts w:ascii="Times New Roman" w:eastAsia="宋体" w:cs="Times New Roman" w:hAnsi="Times New Roman"/>
                      <w:color w:val="000000"/>
                      <w:kern w:val="0"/>
                      <w:sz w:val="21"/>
                      <w:szCs w:val="21"/>
                      <w:lang w:val="en-US" w:eastAsia="zh-CN"/>
                      <w:highlight w:val="none"/>
                    </w:rPr>
                    <w:t>2.严格落实南水北调干渠水源地保护的有关规定，避免水体受到污染。</w:t>
                  </w:r>
                </w:p>
              </w:tc>
              <w:tc>
                <w:tcPr>
                  <w:tcW w:w="1168" w:type="pct"/>
                  <w:vAlign w:val="center"/>
                </w:tcPr>
                <w:p>
                  <w:pPr>
                    <w:keepNext w:val="0"/>
                    <w:keepLines w:val="0"/>
                    <w:suppressLineNumbers w:val="0"/>
                    <w:adjustRightInd w:val="0"/>
                    <w:snapToGrid w:val="0"/>
                    <w:spacing w:before="0" w:beforeAutospacing="0" w:after="0" w:afterAutospacing="0" w:line="240" w:lineRule="auto"/>
                    <w:ind w:left="0" w:right="0"/>
                    <w:jc w:val="both"/>
                    <w:textAlignment w:val="baseline"/>
                    <w:rPr>
                      <w:rFonts w:ascii="Times New Roman" w:eastAsia="宋体" w:cs="Times New Roman" w:hAnsi="Times New Roman"/>
                      <w:bCs/>
                      <w:color w:val="000000"/>
                      <w:sz w:val="21"/>
                      <w:szCs w:val="21"/>
                      <w:lang w:val="en-US" w:eastAsia="zh-CN"/>
                      <w:highlight w:val="none"/>
                    </w:rPr>
                  </w:pPr>
                  <w:r>
                    <w:rPr>
                      <w:rFonts w:ascii="Times New Roman" w:cs="Times New Roman" w:hAnsi="Times New Roman"/>
                      <w:bCs/>
                      <w:color w:val="000000"/>
                      <w:sz w:val="21"/>
                      <w:szCs w:val="21"/>
                      <w:lang w:val="en-US" w:eastAsia="zh-CN"/>
                      <w:highlight w:val="none"/>
                    </w:rPr>
                    <w:t>本项目不属于高耗水、重污染产业；不在南水北调干渠水源地保护区内。</w:t>
                  </w:r>
                </w:p>
              </w:tc>
              <w:tc>
                <w:tcPr>
                  <w:tcW w:w="37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lang w:eastAsia="zh-CN"/>
                      <w:highlight w:val="none"/>
                    </w:rPr>
                  </w:pPr>
                  <w:r>
                    <w:rPr>
                      <w:rFonts w:ascii="Times New Roman" w:cs="Times New Roman" w:hAnsi="Times New Roman"/>
                      <w:color w:val="000000"/>
                      <w:sz w:val="21"/>
                      <w:szCs w:val="21"/>
                      <w:lang w:eastAsia="zh-CN"/>
                      <w:highlight w:val="none"/>
                    </w:rPr>
                    <w:t>符合</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baseline"/>
              <w:rPr>
                <w:rFonts w:ascii="宋体" w:hAnsi="宋体" w:hint="eastAsia"/>
                <w:bCs/>
                <w:color w:val="000000"/>
                <w:sz w:val="24"/>
              </w:rPr>
            </w:pPr>
            <w:r>
              <w:rPr>
                <w:rFonts w:ascii="宋体" w:cs="Times New Roman" w:hAnsi="宋体" w:hint="eastAsia"/>
                <w:bCs/>
                <w:color w:val="000000"/>
                <w:sz w:val="24"/>
                <w:szCs w:val="20"/>
              </w:rPr>
              <w:t>由上表可知，本项目符合</w:t>
            </w:r>
            <w:r>
              <w:rPr>
                <w:rFonts w:ascii="Times New Roman" w:cs="Times New Roman" w:hAnsi="Times New Roman" w:hint="eastAsia"/>
                <w:bCs/>
                <w:color w:val="000000"/>
                <w:sz w:val="24"/>
                <w:szCs w:val="20"/>
                <w:lang w:eastAsia="zh-CN"/>
              </w:rPr>
              <w:t>《</w:t>
            </w:r>
            <w:r>
              <w:rPr>
                <w:rFonts w:ascii="Times New Roman" w:cs="Times New Roman" w:hAnsi="Times New Roman"/>
                <w:bCs/>
                <w:color w:val="000000"/>
                <w:sz w:val="24"/>
                <w:szCs w:val="20"/>
              </w:rPr>
              <w:t>河南省生态环境分区管控总体要求</w:t>
            </w:r>
            <w:r>
              <w:rPr>
                <w:rFonts w:ascii="Times New Roman" w:cs="Times New Roman" w:hAnsi="Times New Roman" w:hint="eastAsia"/>
                <w:bCs/>
                <w:color w:val="000000"/>
                <w:sz w:val="24"/>
                <w:szCs w:val="20"/>
                <w:lang w:eastAsia="zh-CN"/>
              </w:rPr>
              <w:t>》（</w:t>
            </w:r>
            <w:r>
              <w:rPr>
                <w:rFonts w:ascii="Times New Roman" w:cs="Times New Roman" w:hAnsi="Times New Roman" w:hint="eastAsia"/>
                <w:bCs/>
                <w:color w:val="000000"/>
                <w:sz w:val="24"/>
                <w:szCs w:val="20"/>
                <w:lang w:val="en-US" w:eastAsia="zh-CN"/>
              </w:rPr>
              <w:t>2023年版</w:t>
            </w:r>
            <w:r>
              <w:rPr>
                <w:rFonts w:ascii="Times New Roman" w:cs="Times New Roman" w:hAnsi="Times New Roman" w:hint="eastAsia"/>
                <w:bCs/>
                <w:color w:val="000000"/>
                <w:sz w:val="24"/>
                <w:szCs w:val="20"/>
                <w:lang w:eastAsia="zh-CN"/>
              </w:rPr>
              <w:t>）</w:t>
            </w:r>
            <w:r>
              <w:rPr>
                <w:rFonts w:ascii="宋体" w:cs="Times New Roman" w:hAnsi="宋体" w:hint="eastAsia"/>
                <w:bCs/>
                <w:color w:val="000000"/>
                <w:sz w:val="24"/>
                <w:szCs w:val="20"/>
              </w:rPr>
              <w:t>中相关内容的要求。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baseline"/>
              <w:rPr>
                <w:rFonts w:ascii="宋体" w:hAnsi="宋体" w:hint="eastAsia"/>
                <w:b/>
                <w:bCs w:val="0"/>
                <w:color w:val="000000"/>
                <w:sz w:val="24"/>
              </w:rPr>
            </w:pPr>
            <w:r>
              <w:rPr>
                <w:rFonts w:ascii="宋体" w:cs="Times New Roman" w:hAnsi="宋体" w:hint="eastAsia"/>
                <w:bCs/>
                <w:color w:val="000000"/>
                <w:sz w:val="24"/>
                <w:szCs w:val="20"/>
              </w:rPr>
              <w:t>本项目与《新乡市</w:t>
            </w:r>
            <w:r>
              <w:rPr>
                <w:rFonts w:ascii="宋体" w:cs="Times New Roman" w:hAnsi="宋体" w:hint="eastAsia"/>
                <w:bCs/>
                <w:color w:val="000000"/>
                <w:sz w:val="24"/>
                <w:szCs w:val="20"/>
                <w:lang w:eastAsia="zh-CN"/>
              </w:rPr>
              <w:t>“</w:t>
            </w:r>
            <w:r>
              <w:rPr>
                <w:rFonts w:ascii="宋体" w:cs="Times New Roman" w:hAnsi="宋体" w:hint="eastAsia"/>
                <w:bCs/>
                <w:color w:val="000000"/>
                <w:sz w:val="24"/>
                <w:szCs w:val="20"/>
              </w:rPr>
              <w:t>三线一单</w:t>
            </w:r>
            <w:r>
              <w:rPr>
                <w:rFonts w:ascii="宋体" w:cs="Times New Roman" w:hAnsi="宋体" w:hint="eastAsia"/>
                <w:bCs/>
                <w:color w:val="000000"/>
                <w:sz w:val="24"/>
                <w:szCs w:val="20"/>
                <w:lang w:eastAsia="zh-CN"/>
              </w:rPr>
              <w:t>”</w:t>
            </w:r>
            <w:r>
              <w:rPr>
                <w:rFonts w:ascii="宋体" w:cs="Times New Roman" w:hAnsi="宋体" w:hint="eastAsia"/>
                <w:bCs/>
                <w:color w:val="000000"/>
                <w:sz w:val="24"/>
                <w:szCs w:val="20"/>
              </w:rPr>
              <w:t>生态环境准入清单》（</w:t>
            </w:r>
            <w:r>
              <w:rPr>
                <w:rFonts w:ascii="Times New Roman" w:cs="Times New Roman" w:hAnsi="Times New Roman"/>
                <w:bCs/>
                <w:color w:val="000000"/>
                <w:sz w:val="24"/>
                <w:szCs w:val="20"/>
                <w:lang w:val="en-US" w:eastAsia="zh-CN"/>
              </w:rPr>
              <w:t>2023</w:t>
            </w:r>
            <w:r>
              <w:rPr>
                <w:rFonts w:ascii="宋体" w:cs="Times New Roman" w:hAnsi="宋体" w:hint="eastAsia"/>
                <w:bCs/>
                <w:color w:val="000000"/>
                <w:sz w:val="24"/>
                <w:szCs w:val="20"/>
                <w:lang w:val="en-US" w:eastAsia="zh-CN"/>
              </w:rPr>
              <w:t>年版</w:t>
            </w:r>
            <w:r>
              <w:rPr>
                <w:rFonts w:ascii="宋体" w:cs="Times New Roman" w:hAnsi="宋体" w:hint="eastAsia"/>
                <w:bCs/>
                <w:color w:val="000000"/>
                <w:sz w:val="24"/>
                <w:szCs w:val="20"/>
              </w:rPr>
              <w:t>）中</w:t>
            </w:r>
            <w:r>
              <w:rPr>
                <w:rFonts w:ascii="宋体" w:cs="Times New Roman" w:hAnsi="宋体" w:hint="eastAsia"/>
                <w:bCs/>
                <w:color w:val="000000"/>
                <w:sz w:val="24"/>
                <w:szCs w:val="20"/>
                <w:lang w:val="en-US" w:eastAsia="zh-CN"/>
              </w:rPr>
              <w:t>相关内容</w:t>
            </w:r>
            <w:r>
              <w:rPr>
                <w:rFonts w:ascii="宋体" w:cs="Times New Roman" w:hAnsi="宋体" w:hint="eastAsia"/>
                <w:bCs/>
                <w:color w:val="000000"/>
                <w:sz w:val="24"/>
                <w:szCs w:val="20"/>
              </w:rPr>
              <w:t>相符性分析见下表。</w:t>
            </w:r>
          </w:p>
          <w:p>
            <w:pPr>
              <w:pStyle w:val="75"/>
              <w:keepNext/>
              <w:keepLines w:val="0"/>
              <w:suppressLineNumbers w:val="0"/>
              <w:bidi w:val="0"/>
              <w:spacing w:before="0" w:beforeAutospacing="0" w:after="0" w:afterAutospacing="0"/>
              <w:ind w:left="0" w:right="0" w:firstLine="420"/>
              <w:rPr>
                <w:rFonts w:hint="eastAsia"/>
              </w:rPr>
            </w:pPr>
            <w:r>
              <w:rPr>
                <w:rFonts w:ascii="Times New Roman" w:cs="Times New Roman" w:hAnsi="Times New Roman" w:hint="eastAsia"/>
                <w:sz w:val="24"/>
                <w:szCs w:val="20"/>
              </w:rPr>
              <w:t xml:space="preserve">  本项目与</w:t>
            </w:r>
            <w:r>
              <w:rPr>
                <w:rFonts w:ascii="Times New Roman" w:cs="Times New Roman" w:hAnsi="Times New Roman" w:hint="eastAsia"/>
                <w:sz w:val="24"/>
                <w:szCs w:val="20"/>
                <w:lang w:eastAsia="zh-CN"/>
              </w:rPr>
              <w:t>新乡市三线一单生态环境</w:t>
            </w:r>
            <w:r>
              <w:rPr>
                <w:rFonts w:ascii="Times New Roman" w:cs="Times New Roman" w:hAnsi="Times New Roman" w:hint="eastAsia"/>
                <w:sz w:val="24"/>
                <w:szCs w:val="20"/>
              </w:rPr>
              <w:t>准入要求符合性分析</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71"/>
              <w:gridCol w:w="630"/>
              <w:gridCol w:w="395"/>
              <w:gridCol w:w="3956"/>
              <w:gridCol w:w="2155"/>
              <w:gridCol w:w="494"/>
            </w:tblGrid>
            <w:tr>
              <w:trPr>
                <w:trHeight w:val="397"/>
              </w:trPr>
              <w:tc>
                <w:tcPr>
                  <w:tcW w:w="732" w:type="pct"/>
                  <w:gridSpan w:val="2"/>
                  <w:tcBorders>
                    <w:bottom w:val="single" w:sz="4" w:space="0" w:color="auto"/>
                  </w:tcBorders>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bCs/>
                      <w:sz w:val="21"/>
                      <w:szCs w:val="21"/>
                      <w:vertAlign w:val="baseline"/>
                      <w:highlight w:val="none"/>
                    </w:rPr>
                  </w:pPr>
                  <w:r>
                    <w:rPr>
                      <w:rFonts w:ascii="Times New Roman" w:cs="Times New Roman" w:hAnsi="Times New Roman"/>
                      <w:b/>
                      <w:bCs/>
                      <w:sz w:val="21"/>
                      <w:szCs w:val="21"/>
                      <w:vertAlign w:val="baseline"/>
                      <w:lang w:val="en-US" w:eastAsia="zh-CN" w:bidi="ar-SA"/>
                      <w:highlight w:val="none"/>
                    </w:rPr>
                    <w:t>维</w:t>
                  </w:r>
                  <w:r>
                    <w:rPr>
                      <w:rFonts w:ascii="Times New Roman" w:eastAsia="宋体" w:cs="Times New Roman" w:hAnsi="Times New Roman"/>
                      <w:b/>
                      <w:bCs/>
                      <w:sz w:val="21"/>
                      <w:szCs w:val="21"/>
                      <w:vertAlign w:val="baseline"/>
                      <w:lang w:val="en-US" w:eastAsia="zh-CN" w:bidi="ar-SA"/>
                      <w:highlight w:val="none"/>
                    </w:rPr>
                    <w:t>度</w:t>
                  </w:r>
                </w:p>
              </w:tc>
              <w:tc>
                <w:tcPr>
                  <w:tcW w:w="2653" w:type="pct"/>
                  <w:gridSpan w:val="2"/>
                  <w:tcBorders>
                    <w:bottom w:val="single" w:sz="4" w:space="0" w:color="auto"/>
                  </w:tcBorders>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bCs/>
                      <w:sz w:val="21"/>
                      <w:szCs w:val="21"/>
                      <w:vertAlign w:val="baseline"/>
                      <w:lang w:eastAsia="zh-CN"/>
                      <w:highlight w:val="none"/>
                    </w:rPr>
                  </w:pPr>
                  <w:r>
                    <w:rPr>
                      <w:rFonts w:ascii="Times New Roman" w:eastAsia="宋体" w:cs="Times New Roman" w:hAnsi="Times New Roman"/>
                      <w:b/>
                      <w:bCs/>
                      <w:sz w:val="21"/>
                      <w:szCs w:val="21"/>
                      <w:vertAlign w:val="baseline"/>
                      <w:lang w:val="en-US" w:eastAsia="zh-CN" w:bidi="ar-SA"/>
                      <w:highlight w:val="none"/>
                    </w:rPr>
                    <w:t>管控要求</w:t>
                  </w:r>
                </w:p>
              </w:tc>
              <w:tc>
                <w:tcPr>
                  <w:tcW w:w="1314" w:type="pct"/>
                  <w:tcBorders>
                    <w:bottom w:val="single" w:sz="4" w:space="0" w:color="auto"/>
                  </w:tcBorders>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bCs/>
                      <w:sz w:val="21"/>
                      <w:szCs w:val="21"/>
                      <w:vertAlign w:val="baseline"/>
                      <w:lang w:eastAsia="zh-CN"/>
                      <w:highlight w:val="none"/>
                    </w:rPr>
                  </w:pPr>
                  <w:r>
                    <w:rPr>
                      <w:rFonts w:ascii="Times New Roman" w:eastAsia="宋体" w:cs="Times New Roman" w:hAnsi="Times New Roman"/>
                      <w:b/>
                      <w:bCs/>
                      <w:sz w:val="21"/>
                      <w:szCs w:val="21"/>
                      <w:vertAlign w:val="baseline"/>
                      <w:lang w:val="en-US" w:eastAsia="zh-CN" w:bidi="ar-SA"/>
                      <w:highlight w:val="none"/>
                    </w:rPr>
                    <w:t>本项目情况</w:t>
                  </w:r>
                </w:p>
              </w:tc>
              <w:tc>
                <w:tcPr>
                  <w:tcW w:w="298" w:type="pct"/>
                  <w:tcBorders>
                    <w:bottom w:val="single" w:sz="4" w:space="0" w:color="auto"/>
                  </w:tcBorders>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bCs/>
                      <w:sz w:val="21"/>
                      <w:szCs w:val="21"/>
                      <w:vertAlign w:val="baseline"/>
                      <w:lang w:eastAsia="zh-CN"/>
                      <w:highlight w:val="none"/>
                    </w:rPr>
                  </w:pPr>
                  <w:r>
                    <w:rPr>
                      <w:rFonts w:ascii="Times New Roman" w:eastAsia="宋体" w:cs="Times New Roman" w:hAnsi="Times New Roman"/>
                      <w:b/>
                      <w:bCs/>
                      <w:sz w:val="21"/>
                      <w:szCs w:val="21"/>
                      <w:vertAlign w:val="baseline"/>
                      <w:lang w:val="en-US" w:eastAsia="zh-CN" w:bidi="ar-SA"/>
                      <w:highlight w:val="none"/>
                    </w:rPr>
                    <w:t>相符性</w:t>
                  </w:r>
                </w:p>
              </w:tc>
            </w:tr>
            <w:tr>
              <w:trPr>
                <w:trHeight w:val="397"/>
              </w:trPr>
              <w:tc>
                <w:tcPr>
                  <w:tcW w:w="5000" w:type="pct"/>
                  <w:gridSpan w:val="6"/>
                  <w:tcBorders>
                    <w:top w:val="single" w:sz="4" w:space="0" w:color="auto"/>
                  </w:tcBorders>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（一）全市生态环境总体准入要求</w:t>
                  </w:r>
                </w:p>
              </w:tc>
            </w:tr>
            <w:tr>
              <w:trPr>
                <w:trHeight w:val="397"/>
              </w:trPr>
              <w:tc>
                <w:tcPr>
                  <w:tcW w:w="732" w:type="pct"/>
                  <w:gridSpan w:val="2"/>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空间布局约束</w:t>
                  </w:r>
                </w:p>
              </w:tc>
              <w:tc>
                <w:tcPr>
                  <w:tcW w:w="2653" w:type="pct"/>
                  <w:gridSpan w:val="2"/>
                  <w:vAlign w:val="center"/>
                </w:tcPr>
                <w:p>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firstLine="0"/>
                    <w:jc w:val="both"/>
                    <w:textAlignment w:val="auto"/>
                    <w:outlineLvl w:val="9"/>
                    <w:rPr>
                      <w:rFonts w:ascii="Times New Roman" w:eastAsia="宋体" w:cs="Times New Roman" w:hAnsi="Times New Roman"/>
                      <w:sz w:val="21"/>
                      <w:szCs w:val="21"/>
                      <w:vertAlign w:val="baseline"/>
                      <w:highlight w:val="none"/>
                    </w:rPr>
                  </w:pPr>
                  <w:r>
                    <w:rPr>
                      <w:rFonts w:ascii="Times New Roman" w:eastAsia="宋体" w:cs="Times New Roman" w:hAnsi="Times New Roman"/>
                      <w:color w:val="000000"/>
                      <w:kern w:val="0"/>
                      <w:sz w:val="21"/>
                      <w:szCs w:val="21"/>
                      <w:lang w:val="en-US" w:eastAsia="zh-CN" w:bidi="ar-SA"/>
                      <w:highlight w:val="none"/>
                    </w:rPr>
                    <w:t>8.禁止生产、销售不符合标准的机动车船、非道路移动机械用燃料；禁止向汽车和摩托车销售普通柴油以及其他非机动车用燃料；禁止向非道路移动机械销售渣油、重油和不符合规定的燃用油。</w:t>
                  </w:r>
                </w:p>
              </w:tc>
              <w:tc>
                <w:tcPr>
                  <w:tcW w:w="1314" w:type="pct"/>
                  <w:vAlign w:val="center"/>
                </w:tcPr>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ascii="Times New Roman" w:eastAsia="宋体" w:cs="Times New Roman" w:hAnsi="Times New Roman"/>
                      <w:sz w:val="21"/>
                      <w:szCs w:val="21"/>
                      <w:vertAlign w:val="baseline"/>
                      <w:lang w:eastAsia="zh-CN"/>
                      <w:highlight w:val="none"/>
                    </w:rPr>
                  </w:pPr>
                  <w:r>
                    <w:rPr>
                      <w:rFonts w:ascii="Times New Roman" w:cs="Times New Roman" w:hAnsi="Times New Roman"/>
                      <w:snapToGrid w:val="0"/>
                      <w:color w:val="auto"/>
                      <w:sz w:val="21"/>
                      <w:szCs w:val="21"/>
                      <w:lang w:val="en-US" w:eastAsia="zh-CN" w:bidi="ar-SA"/>
                    </w:rPr>
                    <w:t>本项目为加油站项目，销售的汽油为95#</w:t>
                  </w:r>
                  <w:r>
                    <w:rPr>
                      <w:rFonts w:cs="Times New Roman" w:hint="eastAsia"/>
                      <w:snapToGrid w:val="0"/>
                      <w:color w:val="auto"/>
                      <w:sz w:val="21"/>
                      <w:szCs w:val="21"/>
                      <w:lang w:val="en-US" w:eastAsia="zh-CN" w:bidi="ar-SA"/>
                    </w:rPr>
                    <w:t>车用乙醇</w:t>
                  </w:r>
                  <w:r>
                    <w:rPr>
                      <w:rFonts w:ascii="Times New Roman" w:cs="Times New Roman" w:hAnsi="Times New Roman"/>
                      <w:snapToGrid w:val="0"/>
                      <w:color w:val="auto"/>
                      <w:sz w:val="21"/>
                      <w:szCs w:val="21"/>
                      <w:lang w:val="en-US" w:eastAsia="zh-CN" w:bidi="ar-SA"/>
                    </w:rPr>
                    <w:t>汽油，柴油为0#车用柴油；不</w:t>
                  </w:r>
                  <w:r>
                    <w:rPr>
                      <w:rFonts w:ascii="Times New Roman" w:cs="Times New Roman" w:hAnsi="Times New Roman"/>
                      <w:color w:val="auto"/>
                      <w:sz w:val="21"/>
                      <w:szCs w:val="21"/>
                      <w:lang w:val="en-US" w:eastAsia="zh-CN" w:bidi="ar-SA"/>
                    </w:rPr>
                    <w:t>销售渣油、重油和不符合规定的燃用油。</w:t>
                  </w:r>
                </w:p>
              </w:tc>
              <w:tc>
                <w:tcPr>
                  <w:tcW w:w="298"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sz w:val="21"/>
                      <w:szCs w:val="21"/>
                      <w:vertAlign w:val="baseline"/>
                      <w:highlight w:val="none"/>
                    </w:rPr>
                  </w:pPr>
                  <w:r>
                    <w:rPr>
                      <w:rFonts w:ascii="Times New Roman" w:eastAsia="宋体" w:cs="Times New Roman" w:hAnsi="Times New Roman"/>
                      <w:b w:val="0"/>
                      <w:bCs w:val="0"/>
                      <w:sz w:val="21"/>
                      <w:szCs w:val="21"/>
                      <w:vertAlign w:val="baseline"/>
                      <w:lang w:val="en-US" w:eastAsia="zh-CN" w:bidi="ar-SA"/>
                      <w:highlight w:val="none"/>
                    </w:rPr>
                    <w:t>符合</w:t>
                  </w:r>
                </w:p>
              </w:tc>
            </w:tr>
            <w:tr>
              <w:trPr>
                <w:trHeight w:val="397"/>
              </w:trPr>
              <w:tc>
                <w:tcPr>
                  <w:tcW w:w="732" w:type="pct"/>
                  <w:gridSpan w:val="2"/>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污染物排放管控</w:t>
                  </w:r>
                </w:p>
              </w:tc>
              <w:tc>
                <w:tcPr>
                  <w:tcW w:w="2653" w:type="pct"/>
                  <w:gridSpan w:val="2"/>
                  <w:vAlign w:val="center"/>
                </w:tcPr>
                <w:p>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firstLine="0"/>
                    <w:jc w:val="both"/>
                    <w:textAlignment w:val="auto"/>
                    <w:outlineLvl w:val="9"/>
                    <w:rPr>
                      <w:rFonts w:ascii="Times New Roman" w:eastAsia="宋体" w:cs="Times New Roman" w:hAnsi="Times New Roman"/>
                      <w:sz w:val="21"/>
                      <w:szCs w:val="21"/>
                      <w:vertAlign w:val="baseline"/>
                      <w:highlight w:val="none"/>
                    </w:rPr>
                  </w:pPr>
                  <w:r>
                    <w:rPr>
                      <w:rFonts w:ascii="Times New Roman" w:eastAsia="宋体" w:cs="Times New Roman" w:hAnsi="Times New Roman"/>
                      <w:color w:val="000000"/>
                      <w:kern w:val="0"/>
                      <w:sz w:val="21"/>
                      <w:szCs w:val="21"/>
                      <w:lang w:val="en-US" w:eastAsia="zh-CN" w:bidi="ar-SA"/>
                      <w:highlight w:val="none"/>
                    </w:rPr>
                    <w:t>1.新、改、扩建项目主要污染物排放要求满足当地总量减排要求。</w:t>
                  </w:r>
                </w:p>
              </w:tc>
              <w:tc>
                <w:tcPr>
                  <w:tcW w:w="1314"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both"/>
                    <w:textAlignment w:val="auto"/>
                    <w:outlineLvl w:val="9"/>
                    <w:rPr>
                      <w:rFonts w:ascii="Times New Roman" w:eastAsia="宋体" w:cs="Times New Roman" w:hAnsi="Times New Roman"/>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本项目为</w:t>
                  </w:r>
                  <w:r>
                    <w:rPr>
                      <w:rFonts w:ascii="Times New Roman" w:cs="Times New Roman" w:hAnsi="Times New Roman"/>
                      <w:b w:val="0"/>
                      <w:bCs w:val="0"/>
                      <w:sz w:val="21"/>
                      <w:szCs w:val="21"/>
                      <w:vertAlign w:val="baseline"/>
                      <w:lang w:val="en-US" w:eastAsia="zh-CN" w:bidi="ar-SA"/>
                      <w:highlight w:val="none"/>
                    </w:rPr>
                    <w:t>新</w:t>
                  </w:r>
                  <w:r>
                    <w:rPr>
                      <w:rFonts w:ascii="Times New Roman" w:eastAsia="宋体" w:cs="Times New Roman" w:hAnsi="Times New Roman"/>
                      <w:b w:val="0"/>
                      <w:bCs w:val="0"/>
                      <w:sz w:val="21"/>
                      <w:szCs w:val="21"/>
                      <w:vertAlign w:val="baseline"/>
                      <w:lang w:val="en-US" w:eastAsia="zh-CN" w:bidi="ar-SA"/>
                      <w:highlight w:val="none"/>
                    </w:rPr>
                    <w:t>建项目，污染物排放满足</w:t>
                  </w:r>
                  <w:r>
                    <w:rPr>
                      <w:rFonts w:ascii="Times New Roman" w:cs="Times New Roman" w:hAnsi="Times New Roman"/>
                      <w:b w:val="0"/>
                      <w:bCs w:val="0"/>
                      <w:sz w:val="21"/>
                      <w:szCs w:val="21"/>
                      <w:vertAlign w:val="baseline"/>
                      <w:lang w:val="en-US" w:eastAsia="zh-CN" w:bidi="ar-SA"/>
                      <w:highlight w:val="none"/>
                    </w:rPr>
                    <w:t>延津</w:t>
                  </w:r>
                  <w:r>
                    <w:rPr>
                      <w:rFonts w:ascii="Times New Roman" w:eastAsia="宋体" w:cs="Times New Roman" w:hAnsi="Times New Roman"/>
                      <w:b w:val="0"/>
                      <w:bCs w:val="0"/>
                      <w:sz w:val="21"/>
                      <w:szCs w:val="21"/>
                      <w:vertAlign w:val="baseline"/>
                      <w:lang w:val="en-US" w:eastAsia="zh-CN" w:bidi="ar-SA"/>
                      <w:highlight w:val="none"/>
                    </w:rPr>
                    <w:t>县总量减排要求</w:t>
                  </w:r>
                  <w:r>
                    <w:rPr>
                      <w:rFonts w:ascii="Times New Roman" w:cs="Times New Roman" w:hAnsi="Times New Roman"/>
                      <w:b w:val="0"/>
                      <w:bCs w:val="0"/>
                      <w:sz w:val="21"/>
                      <w:szCs w:val="21"/>
                      <w:vertAlign w:val="baseline"/>
                      <w:lang w:val="en-US" w:eastAsia="zh-CN" w:bidi="ar-SA"/>
                      <w:highlight w:val="none"/>
                    </w:rPr>
                    <w:t>。</w:t>
                  </w:r>
                </w:p>
              </w:tc>
              <w:tc>
                <w:tcPr>
                  <w:tcW w:w="298"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highlight w:val="none"/>
                    </w:rPr>
                  </w:pPr>
                  <w:r>
                    <w:rPr>
                      <w:rFonts w:ascii="Times New Roman" w:eastAsia="宋体" w:cs="Times New Roman" w:hAnsi="Times New Roman"/>
                      <w:b w:val="0"/>
                      <w:bCs w:val="0"/>
                      <w:sz w:val="21"/>
                      <w:szCs w:val="21"/>
                      <w:vertAlign w:val="baseline"/>
                      <w:lang w:val="en-US" w:eastAsia="zh-CN" w:bidi="ar-SA"/>
                      <w:highlight w:val="none"/>
                    </w:rPr>
                    <w:t>符合</w:t>
                  </w:r>
                </w:p>
              </w:tc>
            </w:tr>
            <w:tr>
              <w:trPr>
                <w:trHeight w:val="397"/>
              </w:trPr>
              <w:tc>
                <w:tcPr>
                  <w:tcW w:w="732" w:type="pct"/>
                  <w:gridSpan w:val="2"/>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资源开发效率要求</w:t>
                  </w:r>
                </w:p>
              </w:tc>
              <w:tc>
                <w:tcPr>
                  <w:tcW w:w="2653" w:type="pct"/>
                  <w:gridSpan w:val="2"/>
                  <w:vAlign w:val="center"/>
                </w:tcPr>
                <w:p>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firstLine="0"/>
                    <w:jc w:val="both"/>
                    <w:textAlignment w:val="auto"/>
                    <w:outlineLvl w:val="9"/>
                    <w:rPr>
                      <w:rFonts w:ascii="Times New Roman" w:eastAsia="宋体" w:cs="Times New Roman" w:hAnsi="Times New Roman"/>
                      <w:color w:val="000000"/>
                      <w:kern w:val="0"/>
                      <w:sz w:val="21"/>
                      <w:szCs w:val="21"/>
                      <w:lang w:val="en-US" w:eastAsia="zh-CN"/>
                      <w:highlight w:val="none"/>
                    </w:rPr>
                  </w:pPr>
                  <w:r>
                    <w:rPr>
                      <w:rFonts w:ascii="Times New Roman" w:eastAsia="宋体" w:cs="Times New Roman" w:hAnsi="Times New Roman"/>
                      <w:color w:val="000000"/>
                      <w:kern w:val="0"/>
                      <w:sz w:val="21"/>
                      <w:szCs w:val="21"/>
                      <w:lang w:val="en-US" w:eastAsia="zh-CN" w:bidi="ar-SA"/>
                      <w:highlight w:val="none"/>
                    </w:rPr>
                    <w:t>3.开展高耗水工业行业节水技术改造，大力推广工业水循环利用，推进节水型企业、节水型工业园区建设。</w:t>
                  </w:r>
                </w:p>
              </w:tc>
              <w:tc>
                <w:tcPr>
                  <w:tcW w:w="1314"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both"/>
                    <w:textAlignment w:val="auto"/>
                    <w:outlineLvl w:val="9"/>
                    <w:rPr>
                      <w:rFonts w:ascii="Times New Roman" w:eastAsia="宋体" w:cs="Times New Roman" w:hAnsi="Times New Roman"/>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本项目不属于高耗水行业</w:t>
                  </w:r>
                  <w:r>
                    <w:rPr>
                      <w:rFonts w:ascii="Times New Roman" w:cs="Times New Roman" w:hAnsi="Times New Roman"/>
                      <w:b w:val="0"/>
                      <w:bCs w:val="0"/>
                      <w:sz w:val="21"/>
                      <w:szCs w:val="21"/>
                      <w:vertAlign w:val="baseline"/>
                      <w:lang w:val="en-US" w:eastAsia="zh-CN" w:bidi="ar-SA"/>
                      <w:highlight w:val="none"/>
                    </w:rPr>
                    <w:t>。</w:t>
                  </w:r>
                </w:p>
              </w:tc>
              <w:tc>
                <w:tcPr>
                  <w:tcW w:w="298"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符合</w:t>
                  </w:r>
                </w:p>
              </w:tc>
            </w:tr>
            <w:tr>
              <w:trPr>
                <w:trHeight w:val="397"/>
              </w:trPr>
              <w:tc>
                <w:tcPr>
                  <w:tcW w:w="5000" w:type="pct"/>
                  <w:gridSpan w:val="6"/>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（二）各县区分区管控单元生态环境准入清单</w:t>
                  </w:r>
                </w:p>
              </w:tc>
            </w:tr>
            <w:tr>
              <w:trPr>
                <w:trHeight w:val="397"/>
              </w:trPr>
              <w:tc>
                <w:tcPr>
                  <w:tcW w:w="348"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环境管控单元名称</w:t>
                  </w:r>
                </w:p>
              </w:tc>
              <w:tc>
                <w:tcPr>
                  <w:tcW w:w="384"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管控单元分类</w:t>
                  </w:r>
                </w:p>
              </w:tc>
              <w:tc>
                <w:tcPr>
                  <w:tcW w:w="2653" w:type="pct"/>
                  <w:gridSpan w:val="2"/>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管控要求</w:t>
                  </w:r>
                </w:p>
              </w:tc>
              <w:tc>
                <w:tcPr>
                  <w:tcW w:w="1314"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本项目情况</w:t>
                  </w:r>
                </w:p>
              </w:tc>
              <w:tc>
                <w:tcPr>
                  <w:tcW w:w="298"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b w:val="0"/>
                      <w:bCs w:val="0"/>
                      <w:sz w:val="21"/>
                      <w:szCs w:val="21"/>
                      <w:vertAlign w:val="baseline"/>
                      <w:lang w:val="en-US" w:eastAsia="zh-CN" w:bidi="ar-SA"/>
                      <w:highlight w:val="none"/>
                    </w:rPr>
                    <w:t>相符性</w:t>
                  </w:r>
                </w:p>
              </w:tc>
            </w:tr>
            <w:tr>
              <w:trPr>
                <w:trHeight w:val="397"/>
              </w:trPr>
              <w:tc>
                <w:tcPr>
                  <w:tcW w:w="348" w:type="pct"/>
                  <w:vMerge w:val="restart"/>
                  <w:vAlign w:val="center"/>
                </w:tcPr>
                <w:p>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center"/>
                    <w:textAlignment w:val="auto"/>
                    <w:outlineLvl w:val="9"/>
                    <w:rPr>
                      <w:rFonts w:ascii="Times New Roman" w:eastAsia="宋体" w:cs="Times New Roman" w:hAnsi="Times New Roman"/>
                      <w:color w:val="000000"/>
                      <w:kern w:val="0"/>
                      <w:sz w:val="21"/>
                      <w:szCs w:val="21"/>
                      <w:lang w:val="en-US" w:eastAsia="zh-CN"/>
                      <w:highlight w:val="none"/>
                    </w:rPr>
                  </w:pPr>
                  <w:r>
                    <w:rPr>
                      <w:rFonts w:ascii="Times New Roman" w:eastAsia="宋体" w:cs="Times New Roman" w:hAnsi="Times New Roman"/>
                      <w:color w:val="000000"/>
                      <w:kern w:val="0"/>
                      <w:sz w:val="21"/>
                      <w:szCs w:val="21"/>
                      <w:lang w:val="en-US" w:eastAsia="zh-CN" w:bidi="ar-SA"/>
                      <w:highlight w:val="none"/>
                    </w:rPr>
                    <w:t>延津县先进制造业开发区</w:t>
                  </w:r>
                </w:p>
              </w:tc>
              <w:tc>
                <w:tcPr>
                  <w:tcW w:w="384" w:type="pct"/>
                  <w:vMerge w:val="restart"/>
                  <w:vAlign w:val="center"/>
                </w:tcPr>
                <w:p>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center"/>
                    <w:textAlignment w:val="auto"/>
                    <w:outlineLvl w:val="9"/>
                    <w:rPr>
                      <w:rFonts w:ascii="Times New Roman" w:eastAsia="宋体"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ZH41072620001</w:t>
                  </w:r>
                  <w:r>
                    <w:rPr>
                      <w:rFonts w:ascii="Times New Roman" w:eastAsia="宋体" w:cs="Times New Roman" w:hAnsi="Times New Roman"/>
                      <w:color w:val="000000"/>
                      <w:kern w:val="0"/>
                      <w:sz w:val="21"/>
                      <w:szCs w:val="21"/>
                      <w:lang w:val="en-US" w:eastAsia="zh-CN" w:bidi="ar-SA"/>
                      <w:highlight w:val="none"/>
                    </w:rPr>
                    <w:t>重点管控单元</w:t>
                  </w:r>
                  <w:r>
                    <w:rPr>
                      <w:rFonts w:ascii="Times New Roman" w:cs="Times New Roman" w:hAnsi="Times New Roman"/>
                      <w:color w:val="000000"/>
                      <w:kern w:val="0"/>
                      <w:sz w:val="21"/>
                      <w:szCs w:val="21"/>
                      <w:lang w:val="en-US" w:eastAsia="zh-CN" w:bidi="ar-SA"/>
                      <w:highlight w:val="none"/>
                    </w:rPr>
                    <w:t>1</w:t>
                  </w:r>
                  <w:r>
                    <w:rPr>
                      <w:rFonts w:ascii="Times New Roman" w:eastAsia="宋体" w:cs="Times New Roman" w:hAnsi="Times New Roman"/>
                      <w:color w:val="000000"/>
                      <w:kern w:val="0"/>
                      <w:sz w:val="21"/>
                      <w:szCs w:val="21"/>
                      <w:lang w:val="en-US" w:eastAsia="zh-CN" w:bidi="ar-SA"/>
                      <w:highlight w:val="none"/>
                    </w:rPr>
                    <w:t>-延津县先进制造业开发区</w:t>
                  </w:r>
                </w:p>
              </w:tc>
              <w:tc>
                <w:tcPr>
                  <w:tcW w:w="241"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cs="Times New Roman" w:hAnsi="Times New Roman"/>
                      <w:b w:val="0"/>
                      <w:bCs w:val="0"/>
                      <w:sz w:val="21"/>
                      <w:szCs w:val="21"/>
                      <w:vertAlign w:val="baseline"/>
                      <w:lang w:val="en-US" w:eastAsia="zh-CN" w:bidi="ar-SA"/>
                      <w:highlight w:val="none"/>
                    </w:rPr>
                    <w:t>空间布局约束</w:t>
                  </w:r>
                </w:p>
              </w:tc>
              <w:tc>
                <w:tcPr>
                  <w:tcW w:w="2412" w:type="pct"/>
                  <w:vAlign w:val="center"/>
                </w:tcPr>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3、严格控制新、改、扩建</w:t>
                  </w:r>
                  <w:r>
                    <w:rPr>
                      <w:rFonts w:cs="Times New Roman" w:hint="eastAsia"/>
                      <w:color w:val="000000"/>
                      <w:kern w:val="0"/>
                      <w:sz w:val="21"/>
                      <w:szCs w:val="21"/>
                      <w:lang w:val="en-US" w:eastAsia="zh-CN" w:bidi="ar-SA"/>
                      <w:highlight w:val="none"/>
                    </w:rPr>
                    <w:t>“</w:t>
                  </w:r>
                  <w:r>
                    <w:rPr>
                      <w:rFonts w:ascii="Times New Roman" w:cs="Times New Roman" w:hAnsi="Times New Roman"/>
                      <w:color w:val="000000"/>
                      <w:kern w:val="0"/>
                      <w:sz w:val="21"/>
                      <w:szCs w:val="21"/>
                      <w:lang w:val="en-US" w:eastAsia="zh-CN" w:bidi="ar-SA"/>
                      <w:highlight w:val="none"/>
                    </w:rPr>
                    <w:t>两高</w:t>
                  </w:r>
                  <w:r>
                    <w:rPr>
                      <w:rFonts w:cs="Times New Roman" w:hint="eastAsia"/>
                      <w:color w:val="000000"/>
                      <w:kern w:val="0"/>
                      <w:sz w:val="21"/>
                      <w:szCs w:val="21"/>
                      <w:lang w:val="en-US" w:eastAsia="zh-CN" w:bidi="ar-SA"/>
                      <w:highlight w:val="none"/>
                    </w:rPr>
                    <w:t>”</w:t>
                  </w:r>
                  <w:r>
                    <w:rPr>
                      <w:rFonts w:ascii="Times New Roman" w:cs="Times New Roman" w:hAnsi="Times New Roman"/>
                      <w:color w:val="000000"/>
                      <w:kern w:val="0"/>
                      <w:sz w:val="21"/>
                      <w:szCs w:val="21"/>
                      <w:lang w:val="en-US" w:eastAsia="zh-CN" w:bidi="ar-SA"/>
                      <w:highlight w:val="none"/>
                    </w:rPr>
                    <w:t>项目建设。</w:t>
                  </w:r>
                </w:p>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5、禁止入驻《产业结构调整指导目录》限制类、淘汰类及《河南省承接化工产业转移</w:t>
                  </w:r>
                  <w:r>
                    <w:rPr>
                      <w:rFonts w:cs="Times New Roman" w:hint="eastAsia"/>
                      <w:color w:val="000000"/>
                      <w:kern w:val="0"/>
                      <w:sz w:val="21"/>
                      <w:szCs w:val="21"/>
                      <w:lang w:val="en-US" w:eastAsia="zh-CN" w:bidi="ar-SA"/>
                      <w:highlight w:val="none"/>
                    </w:rPr>
                    <w:t>“</w:t>
                  </w:r>
                  <w:r>
                    <w:rPr>
                      <w:rFonts w:ascii="Times New Roman" w:cs="Times New Roman" w:hAnsi="Times New Roman"/>
                      <w:color w:val="000000"/>
                      <w:kern w:val="0"/>
                      <w:sz w:val="21"/>
                      <w:szCs w:val="21"/>
                      <w:lang w:val="en-US" w:eastAsia="zh-CN" w:bidi="ar-SA"/>
                      <w:highlight w:val="none"/>
                    </w:rPr>
                    <w:t>禁限控</w:t>
                  </w:r>
                  <w:r>
                    <w:rPr>
                      <w:rFonts w:cs="Times New Roman" w:hint="eastAsia"/>
                      <w:color w:val="000000"/>
                      <w:kern w:val="0"/>
                      <w:sz w:val="21"/>
                      <w:szCs w:val="21"/>
                      <w:lang w:val="en-US" w:eastAsia="zh-CN" w:bidi="ar-SA"/>
                      <w:highlight w:val="none"/>
                    </w:rPr>
                    <w:t>”</w:t>
                  </w:r>
                  <w:r>
                    <w:rPr>
                      <w:rFonts w:ascii="Times New Roman" w:cs="Times New Roman" w:hAnsi="Times New Roman"/>
                      <w:color w:val="000000"/>
                      <w:kern w:val="0"/>
                      <w:sz w:val="21"/>
                      <w:szCs w:val="21"/>
                      <w:lang w:val="en-US" w:eastAsia="zh-CN" w:bidi="ar-SA"/>
                      <w:highlight w:val="none"/>
                    </w:rPr>
                    <w:t xml:space="preserve">目录》中的项目。 </w:t>
                  </w:r>
                </w:p>
              </w:tc>
              <w:tc>
                <w:tcPr>
                  <w:tcW w:w="1314" w:type="pct"/>
                  <w:vAlign w:val="center"/>
                </w:tcPr>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3、</w:t>
                  </w:r>
                  <w:r>
                    <w:rPr>
                      <w:rFonts w:ascii="Times New Roman" w:eastAsia="宋体" w:cs="Times New Roman" w:hAnsi="Times New Roman"/>
                      <w:color w:val="000000"/>
                      <w:kern w:val="0"/>
                      <w:sz w:val="21"/>
                      <w:szCs w:val="21"/>
                      <w:lang w:val="en-US" w:eastAsia="zh-CN" w:bidi="ar-SA"/>
                      <w:highlight w:val="none"/>
                    </w:rPr>
                    <w:t>本项目不属于</w:t>
                  </w:r>
                  <w:r>
                    <w:rPr>
                      <w:rFonts w:cs="Times New Roman" w:hint="eastAsia"/>
                      <w:color w:val="000000"/>
                      <w:kern w:val="0"/>
                      <w:sz w:val="21"/>
                      <w:szCs w:val="21"/>
                      <w:lang w:val="en-US" w:eastAsia="zh-CN" w:bidi="ar-SA"/>
                      <w:highlight w:val="none"/>
                    </w:rPr>
                    <w:t>“</w:t>
                  </w:r>
                  <w:r>
                    <w:rPr>
                      <w:rFonts w:ascii="Times New Roman" w:cs="Times New Roman" w:hAnsi="Times New Roman"/>
                      <w:color w:val="000000"/>
                      <w:kern w:val="0"/>
                      <w:sz w:val="21"/>
                      <w:szCs w:val="21"/>
                      <w:lang w:val="en-US" w:eastAsia="zh-CN" w:bidi="ar-SA"/>
                      <w:highlight w:val="none"/>
                    </w:rPr>
                    <w:t>两高</w:t>
                  </w:r>
                  <w:r>
                    <w:rPr>
                      <w:rFonts w:cs="Times New Roman" w:hint="eastAsia"/>
                      <w:color w:val="000000"/>
                      <w:kern w:val="0"/>
                      <w:sz w:val="21"/>
                      <w:szCs w:val="21"/>
                      <w:lang w:val="en-US" w:eastAsia="zh-CN" w:bidi="ar-SA"/>
                      <w:highlight w:val="none"/>
                    </w:rPr>
                    <w:t>”</w:t>
                  </w:r>
                  <w:r>
                    <w:rPr>
                      <w:rFonts w:ascii="Times New Roman" w:eastAsia="宋体" w:cs="Times New Roman" w:hAnsi="Times New Roman"/>
                      <w:color w:val="000000"/>
                      <w:kern w:val="0"/>
                      <w:sz w:val="21"/>
                      <w:szCs w:val="21"/>
                      <w:lang w:val="en-US" w:eastAsia="zh-CN" w:bidi="ar-SA"/>
                      <w:highlight w:val="none"/>
                    </w:rPr>
                    <w:t>项目</w:t>
                  </w:r>
                  <w:r>
                    <w:rPr>
                      <w:rFonts w:ascii="Times New Roman" w:cs="Times New Roman" w:hAnsi="Times New Roman"/>
                      <w:color w:val="000000"/>
                      <w:kern w:val="0"/>
                      <w:sz w:val="21"/>
                      <w:szCs w:val="21"/>
                      <w:lang w:val="en-US" w:eastAsia="zh-CN" w:bidi="ar-SA"/>
                      <w:highlight w:val="none"/>
                    </w:rPr>
                    <w:t>；</w:t>
                  </w:r>
                </w:p>
                <w:p>
                  <w:pPr>
                    <w:keepNext w:val="0"/>
                    <w:keepLines w:val="0"/>
                    <w:widowControl/>
                    <w:suppressLineNumbers w:val="0"/>
                    <w:spacing w:before="0" w:beforeAutospacing="0" w:after="0" w:afterAutospacing="0" w:line="240" w:lineRule="auto"/>
                    <w:ind w:left="0" w:right="0"/>
                    <w:jc w:val="left"/>
                    <w:rPr>
                      <w:rFonts w:ascii="Times New Roman" w:eastAsia="宋体"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5、不属于《产业结构调整指导目录》限制类、淘汰类及《河南省承接化工产业转移</w:t>
                  </w:r>
                  <w:r>
                    <w:rPr>
                      <w:rFonts w:cs="Times New Roman" w:hint="eastAsia"/>
                      <w:color w:val="000000"/>
                      <w:kern w:val="0"/>
                      <w:sz w:val="21"/>
                      <w:szCs w:val="21"/>
                      <w:lang w:val="en-US" w:eastAsia="zh-CN" w:bidi="ar-SA"/>
                      <w:highlight w:val="none"/>
                    </w:rPr>
                    <w:t>“</w:t>
                  </w:r>
                  <w:r>
                    <w:rPr>
                      <w:rFonts w:ascii="Times New Roman" w:cs="Times New Roman" w:hAnsi="Times New Roman"/>
                      <w:color w:val="000000"/>
                      <w:kern w:val="0"/>
                      <w:sz w:val="21"/>
                      <w:szCs w:val="21"/>
                      <w:lang w:val="en-US" w:eastAsia="zh-CN" w:bidi="ar-SA"/>
                      <w:highlight w:val="none"/>
                    </w:rPr>
                    <w:t>禁限控</w:t>
                  </w:r>
                  <w:r>
                    <w:rPr>
                      <w:rFonts w:cs="Times New Roman" w:hint="eastAsia"/>
                      <w:color w:val="000000"/>
                      <w:kern w:val="0"/>
                      <w:sz w:val="21"/>
                      <w:szCs w:val="21"/>
                      <w:lang w:val="en-US" w:eastAsia="zh-CN" w:bidi="ar-SA"/>
                      <w:highlight w:val="none"/>
                    </w:rPr>
                    <w:t>”</w:t>
                  </w:r>
                  <w:r>
                    <w:rPr>
                      <w:rFonts w:ascii="Times New Roman" w:cs="Times New Roman" w:hAnsi="Times New Roman"/>
                      <w:color w:val="000000"/>
                      <w:kern w:val="0"/>
                      <w:sz w:val="21"/>
                      <w:szCs w:val="21"/>
                      <w:lang w:val="en-US" w:eastAsia="zh-CN" w:bidi="ar-SA"/>
                      <w:highlight w:val="none"/>
                    </w:rPr>
                    <w:t>目录》中的项目。</w:t>
                  </w:r>
                </w:p>
              </w:tc>
              <w:tc>
                <w:tcPr>
                  <w:tcW w:w="298"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val="en-US" w:eastAsia="zh-CN"/>
                      <w:highlight w:val="none"/>
                    </w:rPr>
                  </w:pPr>
                  <w:r>
                    <w:rPr>
                      <w:rFonts w:ascii="Times New Roman" w:cs="Times New Roman" w:hAnsi="Times New Roman"/>
                      <w:color w:val="000000"/>
                      <w:sz w:val="21"/>
                      <w:szCs w:val="21"/>
                      <w:lang w:val="en-US" w:eastAsia="zh-CN" w:bidi="ar-SA"/>
                      <w:highlight w:val="none"/>
                    </w:rPr>
                    <w:t>符合</w:t>
                  </w:r>
                </w:p>
              </w:tc>
            </w:tr>
            <w:tr>
              <w:trPr>
                <w:trHeight w:val="397"/>
              </w:trPr>
              <w:tc>
                <w:tcPr>
                  <w:tcW w:w="348" w:type="pct"/>
                  <w:vMerge/>
                  <w:vAlign w:val="center"/>
                </w:tcPr>
                <w:p/>
              </w:tc>
              <w:tc>
                <w:tcPr>
                  <w:tcW w:w="384" w:type="pct"/>
                  <w:vMerge/>
                  <w:vAlign w:val="center"/>
                </w:tcPr>
                <w:p/>
              </w:tc>
              <w:tc>
                <w:tcPr>
                  <w:tcW w:w="241"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cs="Times New Roman" w:hAnsi="Times New Roman"/>
                      <w:b w:val="0"/>
                      <w:bCs w:val="0"/>
                      <w:sz w:val="21"/>
                      <w:szCs w:val="21"/>
                      <w:vertAlign w:val="baseline"/>
                      <w:lang w:val="en-US" w:eastAsia="zh-CN" w:bidi="ar-SA"/>
                      <w:highlight w:val="none"/>
                    </w:rPr>
                    <w:t>污染物排放管控</w:t>
                  </w:r>
                </w:p>
              </w:tc>
              <w:tc>
                <w:tcPr>
                  <w:tcW w:w="2412" w:type="pct"/>
                  <w:vAlign w:val="center"/>
                </w:tcPr>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 xml:space="preserve">1、加快配套污水管网建设，确保入区企业外排废水全部经管网收集后进入污水处理厂。污水处理厂出水执行《河南省黄河流域水污染物排放标准》表 1 公共污水处理系统水污染物基本控制项目排放限值一级标准及属地管理要求。禁止含重金属废水进入城市生活污水处理厂。 </w:t>
                  </w:r>
                </w:p>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2、固废：一般工业固废回收或综合利用，外排固废应统一运至专用处置场安全处置，严禁企业随意弃置；危险废物要做到安全处置，危险废物要做到安全处置，危险废物的收集、贮存应满足《危险废物贮存污染控制标准》</w:t>
                  </w:r>
                  <w:r>
                    <w:rPr>
                      <w:rFonts w:cs="Times New Roman" w:hint="eastAsia"/>
                      <w:color w:val="000000"/>
                      <w:kern w:val="0"/>
                      <w:sz w:val="21"/>
                      <w:szCs w:val="21"/>
                      <w:lang w:val="en-US" w:eastAsia="zh-CN" w:bidi="ar-SA"/>
                      <w:highlight w:val="none"/>
                    </w:rPr>
                    <w:t>（</w:t>
                  </w:r>
                  <w:r>
                    <w:rPr>
                      <w:rFonts w:ascii="Times New Roman" w:cs="Times New Roman" w:hAnsi="Times New Roman"/>
                      <w:color w:val="000000"/>
                      <w:kern w:val="0"/>
                      <w:sz w:val="21"/>
                      <w:szCs w:val="21"/>
                      <w:lang w:val="en-US" w:eastAsia="zh-CN" w:bidi="ar-SA"/>
                      <w:highlight w:val="none"/>
                    </w:rPr>
                    <w:t xml:space="preserve">GB18597-2023）的要求，并送有资质的危险废物处置单位处置，危险废物的转运应执行《危险废物转移管理办法》的有关规定。 </w:t>
                  </w:r>
                </w:p>
              </w:tc>
              <w:tc>
                <w:tcPr>
                  <w:tcW w:w="1314" w:type="pct"/>
                  <w:vAlign w:val="center"/>
                </w:tcPr>
                <w:p>
                  <w:pPr>
                    <w:keepNext w:val="0"/>
                    <w:keepLines w:val="0"/>
                    <w:widowControl/>
                    <w:suppressLineNumbers w:val="0"/>
                    <w:spacing w:before="0" w:beforeAutospacing="0" w:after="0" w:afterAutospacing="0" w:line="240" w:lineRule="auto"/>
                    <w:ind w:left="0" w:right="0"/>
                    <w:jc w:val="left"/>
                    <w:rPr>
                      <w:rFonts w:ascii="Times New Roman" w:eastAsia="宋体" w:cs="Times New Roman" w:hAnsi="Times New Roman"/>
                      <w:color w:val="000000"/>
                      <w:kern w:val="0"/>
                      <w:sz w:val="21"/>
                      <w:szCs w:val="21"/>
                      <w:lang w:val="en-US" w:eastAsia="zh-CN"/>
                      <w:highlight w:val="none"/>
                    </w:rPr>
                  </w:pPr>
                  <w:r>
                    <w:rPr>
                      <w:rFonts w:ascii="Times New Roman" w:eastAsia="宋体" w:cs="Times New Roman" w:hAnsi="Times New Roman"/>
                      <w:color w:val="000000"/>
                      <w:kern w:val="0"/>
                      <w:sz w:val="21"/>
                      <w:szCs w:val="21"/>
                      <w:lang w:val="en-US" w:eastAsia="zh-CN" w:bidi="ar-SA"/>
                      <w:highlight w:val="none"/>
                    </w:rPr>
                    <w:t>1、本项目</w:t>
                  </w:r>
                  <w:r>
                    <w:rPr>
                      <w:rFonts w:cs="Times New Roman" w:hint="eastAsia"/>
                      <w:color w:val="000000"/>
                      <w:kern w:val="0"/>
                      <w:sz w:val="21"/>
                      <w:szCs w:val="21"/>
                      <w:lang w:val="en-US" w:eastAsia="zh-CN" w:bidi="ar-SA"/>
                      <w:highlight w:val="none"/>
                    </w:rPr>
                    <w:t>生活污水经化粪池处理后</w:t>
                  </w:r>
                  <w:r>
                    <w:rPr>
                      <w:rFonts w:hint="eastAsia"/>
                      <w:bCs/>
                      <w:color w:val="auto"/>
                      <w:kern w:val="0"/>
                      <w:sz w:val="21"/>
                      <w:szCs w:val="21"/>
                      <w:lang w:val="en-US" w:eastAsia="zh-CN" w:bidi="ar-SA"/>
                      <w:highlight w:val="none"/>
                    </w:rPr>
                    <w:t>由集聚区污水管网</w:t>
                  </w:r>
                  <w:r>
                    <w:rPr>
                      <w:color w:val="auto"/>
                      <w:kern w:val="0"/>
                      <w:sz w:val="21"/>
                      <w:szCs w:val="21"/>
                      <w:lang w:val="en-US" w:eastAsia="zh-CN" w:bidi="ar-SA"/>
                      <w:highlight w:val="none"/>
                    </w:rPr>
                    <w:t>排入延津县第二污水处理厂进行处理</w:t>
                  </w:r>
                  <w:r>
                    <w:rPr>
                      <w:rFonts w:ascii="Times New Roman" w:cs="Times New Roman" w:hAnsi="Times New Roman"/>
                      <w:color w:val="000000"/>
                      <w:kern w:val="0"/>
                      <w:sz w:val="21"/>
                      <w:szCs w:val="21"/>
                      <w:lang w:val="en-US" w:eastAsia="zh-CN" w:bidi="ar-SA"/>
                      <w:highlight w:val="none"/>
                    </w:rPr>
                    <w:t>；</w:t>
                  </w:r>
                </w:p>
                <w:p>
                  <w:pPr>
                    <w:keepNext w:val="0"/>
                    <w:keepLines w:val="0"/>
                    <w:suppressLineNumbers w:val="0"/>
                    <w:adjustRightInd w:val="0"/>
                    <w:snapToGrid w:val="0"/>
                    <w:spacing w:before="0" w:beforeAutospacing="0" w:after="0" w:afterAutospacing="0" w:line="240" w:lineRule="auto"/>
                    <w:ind w:left="0" w:right="0"/>
                    <w:jc w:val="left"/>
                    <w:textAlignment w:val="baseline"/>
                    <w:rPr>
                      <w:lang w:val="en-US" w:eastAsia="zh-CN"/>
                    </w:rPr>
                  </w:pPr>
                  <w:r>
                    <w:rPr>
                      <w:rFonts w:ascii="Times New Roman" w:eastAsia="宋体" w:cs="Times New Roman" w:hAnsi="Times New Roman"/>
                      <w:color w:val="000000"/>
                      <w:kern w:val="0"/>
                      <w:sz w:val="21"/>
                      <w:szCs w:val="21"/>
                      <w:lang w:val="en-US" w:eastAsia="zh-CN" w:bidi="ar-SA"/>
                      <w:highlight w:val="none"/>
                    </w:rPr>
                    <w:t>2、本项目</w:t>
                  </w:r>
                  <w:r>
                    <w:rPr>
                      <w:rFonts w:ascii="Times New Roman" w:cs="Times New Roman" w:hAnsi="Times New Roman"/>
                      <w:color w:val="000000"/>
                      <w:kern w:val="0"/>
                      <w:sz w:val="21"/>
                      <w:szCs w:val="21"/>
                      <w:lang w:val="en-US" w:eastAsia="zh-CN" w:bidi="ar-SA"/>
                      <w:highlight w:val="none"/>
                    </w:rPr>
                    <w:t>危废做到了合理化处置，不会对环境造成影响</w:t>
                  </w:r>
                  <w:r>
                    <w:rPr>
                      <w:rFonts w:ascii="Times New Roman" w:eastAsia="宋体" w:cs="Times New Roman" w:hAnsi="Times New Roman"/>
                      <w:color w:val="000000"/>
                      <w:kern w:val="0"/>
                      <w:sz w:val="21"/>
                      <w:szCs w:val="21"/>
                      <w:lang w:val="en-US" w:eastAsia="zh-CN" w:bidi="ar-SA"/>
                      <w:highlight w:val="none"/>
                    </w:rPr>
                    <w:t>。</w:t>
                  </w:r>
                </w:p>
              </w:tc>
              <w:tc>
                <w:tcPr>
                  <w:tcW w:w="298"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val="en-US" w:eastAsia="zh-CN"/>
                      <w:highlight w:val="none"/>
                    </w:rPr>
                  </w:pPr>
                  <w:r>
                    <w:rPr>
                      <w:rFonts w:ascii="Times New Roman" w:cs="Times New Roman" w:hAnsi="Times New Roman"/>
                      <w:color w:val="000000"/>
                      <w:sz w:val="21"/>
                      <w:szCs w:val="21"/>
                      <w:lang w:val="en-US" w:eastAsia="zh-CN" w:bidi="ar-SA"/>
                      <w:highlight w:val="none"/>
                    </w:rPr>
                    <w:t>符合</w:t>
                  </w:r>
                </w:p>
              </w:tc>
            </w:tr>
            <w:tr>
              <w:trPr>
                <w:trHeight w:val="397"/>
              </w:trPr>
              <w:tc>
                <w:tcPr>
                  <w:tcW w:w="348" w:type="pct"/>
                  <w:vMerge/>
                  <w:vAlign w:val="center"/>
                </w:tcPr>
                <w:p/>
              </w:tc>
              <w:tc>
                <w:tcPr>
                  <w:tcW w:w="384" w:type="pct"/>
                  <w:vMerge/>
                  <w:vAlign w:val="center"/>
                </w:tcPr>
                <w:p/>
              </w:tc>
              <w:tc>
                <w:tcPr>
                  <w:tcW w:w="241" w:type="pct"/>
                  <w:vAlign w:val="center"/>
                </w:tcPr>
                <w:p>
                  <w:pPr>
                    <w:keepNext w:val="0"/>
                    <w:keepLines w:val="0"/>
                    <w:pageBreakBefore w:val="0"/>
                    <w:widowControl/>
                    <w:suppressLineNumbers w:val="0"/>
                    <w:kinsoku/>
                    <w:wordWrap/>
                    <w:topLinePunct w:val="0"/>
                    <w:autoSpaceDE/>
                    <w:autoSpaceDN/>
                    <w:bidi w:val="0"/>
                    <w:adjustRightInd/>
                    <w:spacing w:before="0" w:beforeAutospacing="0" w:after="0" w:afterAutospacing="0" w:line="240" w:lineRule="auto"/>
                    <w:ind w:left="0" w:right="0"/>
                    <w:jc w:val="center"/>
                    <w:textAlignment w:val="auto"/>
                    <w:outlineLvl w:val="9"/>
                    <w:rPr>
                      <w:rFonts w:ascii="Times New Roman" w:eastAsia="宋体" w:cs="Times New Roman" w:hAnsi="Times New Roman"/>
                      <w:b w:val="0"/>
                      <w:bCs w:val="0"/>
                      <w:sz w:val="21"/>
                      <w:szCs w:val="21"/>
                      <w:vertAlign w:val="baseline"/>
                      <w:lang w:eastAsia="zh-CN"/>
                      <w:highlight w:val="none"/>
                    </w:rPr>
                  </w:pPr>
                  <w:r>
                    <w:rPr>
                      <w:rFonts w:ascii="Times New Roman" w:eastAsia="宋体" w:cs="Times New Roman" w:hAnsi="Times New Roman"/>
                      <w:color w:val="000000"/>
                      <w:kern w:val="0"/>
                      <w:sz w:val="21"/>
                      <w:szCs w:val="21"/>
                      <w:lang w:val="en-US" w:eastAsia="zh-CN" w:bidi="ar-SA"/>
                      <w:highlight w:val="none"/>
                    </w:rPr>
                    <w:t>环境风险防控</w:t>
                  </w:r>
                </w:p>
              </w:tc>
              <w:tc>
                <w:tcPr>
                  <w:tcW w:w="2412" w:type="pct"/>
                  <w:vAlign w:val="center"/>
                </w:tcPr>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 xml:space="preserve">1、加强园区环境安全管理工作，严格危险化学品管理，建立集聚区风险防范体系以及风险防范应急预案。 </w:t>
                  </w:r>
                </w:p>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2、在基础设施和企业内部生产运营管理中，认真落实环境风险防范措施，杜绝发生污染事故。</w:t>
                  </w:r>
                </w:p>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3、区内具有重大危险源的企业应在厂区内修建消防废水应急水池，在发生事故时，对消防废水或未经处理的高浓度废水进行收集，防止对地表水产生影响。</w:t>
                  </w:r>
                </w:p>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4、有色金属冶炼、铅酸蓄电池、石油加工、化工、电镀、制革和危险化学品生产、储存、使用等企业在拆除生产设施设备、污染治理设施时，要事先制定企业拆除活动污染防治方案和拆除活动环境应急预案。</w:t>
                  </w:r>
                </w:p>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5、规范园区建设，对涉重行业企业加强管理，建立土壤和地下水污染隐患排查治理制度、风险防控体系和长效监管机制。</w:t>
                  </w:r>
                </w:p>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 xml:space="preserve">6、高关注地块划分污染风险等级，纳入优先管控名录。 </w:t>
                  </w:r>
                </w:p>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 xml:space="preserve">7、化工园区应根据自身规模和产业结构需要，建立完善的安全生产和生态环境的监测监控和风险预警体系，相关监测监控数据应接入地方监测预警系统。 </w:t>
                  </w:r>
                </w:p>
              </w:tc>
              <w:tc>
                <w:tcPr>
                  <w:tcW w:w="1314" w:type="pct"/>
                  <w:vAlign w:val="center"/>
                </w:tcPr>
                <w:p>
                  <w:pPr>
                    <w:keepNext w:val="0"/>
                    <w:keepLines w:val="0"/>
                    <w:widowControl/>
                    <w:suppressLineNumbers w:val="0"/>
                    <w:spacing w:before="0" w:beforeAutospacing="0" w:after="0" w:afterAutospacing="0" w:line="240" w:lineRule="auto"/>
                    <w:ind w:left="0" w:right="0"/>
                    <w:jc w:val="left"/>
                    <w:rPr>
                      <w:rFonts w:ascii="Times New Roman" w:eastAsia="宋体" w:cs="Times New Roman" w:hAnsi="Times New Roman"/>
                      <w:color w:val="000000"/>
                      <w:kern w:val="0"/>
                      <w:sz w:val="21"/>
                      <w:szCs w:val="21"/>
                      <w:lang w:val="en-US" w:eastAsia="zh-CN"/>
                      <w:highlight w:val="none"/>
                    </w:rPr>
                  </w:pPr>
                  <w:r>
                    <w:rPr>
                      <w:rFonts w:ascii="Times New Roman" w:cs="Times New Roman" w:hAnsi="Times New Roman"/>
                      <w:color w:val="000000"/>
                      <w:kern w:val="0"/>
                      <w:sz w:val="21"/>
                      <w:szCs w:val="21"/>
                      <w:lang w:val="en-US" w:eastAsia="zh-CN" w:bidi="ar-SA"/>
                      <w:highlight w:val="none"/>
                    </w:rPr>
                    <w:t>1、</w:t>
                  </w:r>
                  <w:r>
                    <w:rPr>
                      <w:rFonts w:ascii="Times New Roman" w:eastAsia="宋体" w:cs="Times New Roman" w:hAnsi="Times New Roman"/>
                      <w:color w:val="000000"/>
                      <w:kern w:val="0"/>
                      <w:sz w:val="21"/>
                      <w:szCs w:val="21"/>
                      <w:lang w:val="en-US" w:eastAsia="zh-CN" w:bidi="ar-SA"/>
                      <w:highlight w:val="none"/>
                    </w:rPr>
                    <w:t>本项目</w:t>
                  </w:r>
                  <w:r>
                    <w:rPr>
                      <w:rFonts w:ascii="Times New Roman" w:cs="Times New Roman" w:hAnsi="Times New Roman"/>
                      <w:color w:val="000000"/>
                      <w:kern w:val="0"/>
                      <w:sz w:val="21"/>
                      <w:szCs w:val="21"/>
                      <w:lang w:val="en-US" w:eastAsia="zh-CN" w:bidi="ar-SA"/>
                      <w:highlight w:val="none"/>
                    </w:rPr>
                    <w:t>在生产中加强管理，认真落实环境风险防范措施</w:t>
                  </w:r>
                  <w:r>
                    <w:rPr>
                      <w:rFonts w:ascii="Times New Roman" w:eastAsia="宋体" w:cs="Times New Roman" w:hAnsi="Times New Roman"/>
                      <w:color w:val="000000"/>
                      <w:kern w:val="0"/>
                      <w:sz w:val="21"/>
                      <w:szCs w:val="21"/>
                      <w:lang w:val="en-US" w:eastAsia="zh-CN" w:bidi="ar-SA"/>
                      <w:highlight w:val="none"/>
                    </w:rPr>
                    <w:t>。</w:t>
                  </w:r>
                </w:p>
                <w:p>
                  <w:pPr>
                    <w:pStyle w:val="1"/>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ind w:left="0" w:right="0" w:firstLine="0"/>
                    <w:textAlignment w:val="auto"/>
                    <w:rPr>
                      <w:rFonts w:ascii="Times New Roman" w:eastAsia="宋体" w:cs="Times New Roman" w:hAnsi="Times New Roman"/>
                      <w:b w:val="0"/>
                      <w:color w:val="000000"/>
                      <w:kern w:val="0"/>
                      <w:sz w:val="21"/>
                      <w:szCs w:val="21"/>
                      <w:lang w:val="en-US" w:eastAsia="zh-CN"/>
                      <w:highlight w:val="none"/>
                    </w:rPr>
                  </w:pPr>
                  <w:r>
                    <w:rPr>
                      <w:rFonts w:ascii="Times New Roman" w:eastAsia="宋体" w:cs="Times New Roman" w:hAnsi="Times New Roman"/>
                      <w:b w:val="0"/>
                      <w:color w:val="000000"/>
                      <w:kern w:val="0"/>
                      <w:sz w:val="21"/>
                      <w:szCs w:val="21"/>
                      <w:lang w:val="en-US" w:eastAsia="zh-CN" w:bidi="ar-SA"/>
                      <w:highlight w:val="none"/>
                    </w:rPr>
                    <w:t>2、本项目不属于重大危险源企业。</w:t>
                  </w:r>
                </w:p>
                <w:p>
                  <w:pPr>
                    <w:keepNext w:val="0"/>
                    <w:keepLines w:val="0"/>
                    <w:suppressLineNumbers w:val="0"/>
                    <w:adjustRightInd w:val="0"/>
                    <w:snapToGrid w:val="0"/>
                    <w:spacing w:before="0" w:beforeAutospacing="0" w:after="0" w:afterAutospacing="0" w:line="240" w:lineRule="auto"/>
                    <w:ind w:left="0" w:right="0"/>
                    <w:jc w:val="left"/>
                    <w:textAlignment w:val="baseline"/>
                    <w:rPr>
                      <w:rFonts w:ascii="Times New Roman" w:hAnsi="Times New Roman" w:hint="eastAsia"/>
                      <w:sz w:val="21"/>
                      <w:szCs w:val="21"/>
                      <w:lang w:eastAsia="zh-CN"/>
                    </w:rPr>
                  </w:pPr>
                  <w:r>
                    <w:rPr>
                      <w:rFonts w:ascii="Times New Roman" w:hAnsi="Times New Roman" w:hint="eastAsia"/>
                      <w:sz w:val="21"/>
                      <w:szCs w:val="21"/>
                      <w:lang w:val="en-US" w:eastAsia="zh-CN" w:bidi="ar-SA"/>
                    </w:rPr>
                    <w:t>3、本项目不涉及重大危险源。</w:t>
                  </w:r>
                </w:p>
                <w:p>
                  <w:pPr>
                    <w:keepNext w:val="0"/>
                    <w:keepLines w:val="0"/>
                    <w:suppressLineNumbers w:val="0"/>
                    <w:adjustRightInd w:val="0"/>
                    <w:snapToGrid w:val="0"/>
                    <w:spacing w:before="0" w:beforeAutospacing="0" w:after="0" w:afterAutospacing="0" w:line="240" w:lineRule="auto"/>
                    <w:ind w:left="0" w:right="0"/>
                    <w:jc w:val="left"/>
                    <w:textAlignment w:val="baseline"/>
                    <w:rPr>
                      <w:rFonts w:hint="eastAsia"/>
                      <w:sz w:val="21"/>
                      <w:szCs w:val="21"/>
                      <w:lang w:eastAsia="zh-CN"/>
                    </w:rPr>
                  </w:pPr>
                  <w:r>
                    <w:rPr>
                      <w:rFonts w:ascii="Times New Roman" w:hAnsi="Times New Roman" w:hint="eastAsia"/>
                      <w:sz w:val="21"/>
                      <w:szCs w:val="21"/>
                      <w:lang w:val="en-US" w:eastAsia="zh-CN" w:bidi="ar-SA"/>
                    </w:rPr>
                    <w:t>4、本项目属于新建加油站项目。</w:t>
                  </w:r>
                </w:p>
                <w:p>
                  <w:pPr>
                    <w:keepNext w:val="0"/>
                    <w:keepLines w:val="0"/>
                    <w:suppressLineNumbers w:val="0"/>
                    <w:adjustRightInd w:val="0"/>
                    <w:snapToGrid w:val="0"/>
                    <w:spacing w:before="0" w:beforeAutospacing="0" w:after="0" w:afterAutospacing="0" w:line="240" w:lineRule="auto"/>
                    <w:ind w:left="0" w:right="0"/>
                    <w:jc w:val="left"/>
                    <w:textAlignment w:val="baseline"/>
                    <w:rPr>
                      <w:rFonts w:ascii="Times New Roman" w:hAnsi="Times New Roman" w:hint="eastAsia"/>
                      <w:sz w:val="21"/>
                      <w:szCs w:val="21"/>
                      <w:lang w:eastAsia="zh-CN"/>
                    </w:rPr>
                  </w:pPr>
                  <w:r>
                    <w:rPr>
                      <w:rFonts w:hint="eastAsia"/>
                      <w:sz w:val="21"/>
                      <w:szCs w:val="21"/>
                      <w:lang w:val="en-US" w:eastAsia="zh-CN" w:bidi="ar-SA"/>
                    </w:rPr>
                    <w:t>5、</w:t>
                  </w:r>
                  <w:r>
                    <w:rPr>
                      <w:rFonts w:ascii="Times New Roman" w:hAnsi="Times New Roman" w:hint="eastAsia"/>
                      <w:sz w:val="21"/>
                      <w:szCs w:val="21"/>
                      <w:lang w:val="en-US" w:eastAsia="zh-CN" w:bidi="ar-SA"/>
                    </w:rPr>
                    <w:t>本项目不属于涉重行业企业项目。</w:t>
                  </w:r>
                </w:p>
                <w:p>
                  <w:pPr>
                    <w:keepNext w:val="0"/>
                    <w:keepLines w:val="0"/>
                    <w:suppressLineNumbers w:val="0"/>
                    <w:adjustRightInd w:val="0"/>
                    <w:snapToGrid w:val="0"/>
                    <w:spacing w:before="0" w:beforeAutospacing="0" w:after="0" w:afterAutospacing="0" w:line="240" w:lineRule="auto"/>
                    <w:ind w:left="0" w:right="0"/>
                    <w:jc w:val="left"/>
                    <w:textAlignment w:val="baseline"/>
                    <w:rPr>
                      <w:rFonts w:ascii="Times New Roman" w:hAnsi="Times New Roman" w:hint="eastAsia"/>
                      <w:sz w:val="21"/>
                      <w:szCs w:val="21"/>
                      <w:lang w:eastAsia="zh-CN"/>
                    </w:rPr>
                  </w:pPr>
                  <w:r>
                    <w:rPr>
                      <w:rFonts w:ascii="Times New Roman" w:hAnsi="Times New Roman" w:hint="eastAsia"/>
                      <w:sz w:val="21"/>
                      <w:szCs w:val="21"/>
                      <w:lang w:val="en-US" w:eastAsia="zh-CN" w:bidi="ar-SA"/>
                    </w:rPr>
                    <w:t>6、本项目用地不属于高关注地块。</w:t>
                  </w:r>
                </w:p>
                <w:p>
                  <w:pPr>
                    <w:keepNext w:val="0"/>
                    <w:keepLines w:val="0"/>
                    <w:suppressLineNumbers w:val="0"/>
                    <w:spacing w:before="0" w:beforeAutospacing="0" w:after="0" w:afterAutospacing="0"/>
                    <w:ind w:left="0" w:right="0"/>
                    <w:rPr>
                      <w:lang w:val="en-US" w:eastAsia="zh-CN"/>
                    </w:rPr>
                  </w:pPr>
                  <w:r>
                    <w:rPr>
                      <w:rFonts w:ascii="Times New Roman" w:hAnsi="Times New Roman" w:hint="eastAsia"/>
                      <w:sz w:val="21"/>
                      <w:szCs w:val="21"/>
                      <w:lang w:val="en-US" w:eastAsia="zh-CN" w:bidi="ar-SA"/>
                    </w:rPr>
                    <w:t>7、本项目</w:t>
                  </w:r>
                  <w:r>
                    <w:rPr>
                      <w:rFonts w:hint="eastAsia"/>
                      <w:sz w:val="21"/>
                      <w:szCs w:val="21"/>
                      <w:lang w:val="en-US" w:eastAsia="zh-CN" w:bidi="ar-SA"/>
                    </w:rPr>
                    <w:t>建成后</w:t>
                  </w:r>
                  <w:r>
                    <w:rPr>
                      <w:rFonts w:ascii="Times New Roman" w:cs="Times New Roman" w:hAnsi="Times New Roman"/>
                      <w:color w:val="000000"/>
                      <w:kern w:val="0"/>
                      <w:sz w:val="21"/>
                      <w:szCs w:val="21"/>
                      <w:lang w:val="en-US" w:eastAsia="zh-CN" w:bidi="ar-SA"/>
                      <w:highlight w:val="none"/>
                    </w:rPr>
                    <w:t>根据自身规模和产业结构需要，建立完善的安全生产和生态环境的监测监控和风险预警体系</w:t>
                  </w:r>
                  <w:r>
                    <w:rPr>
                      <w:rFonts w:ascii="Times New Roman" w:hAnsi="Times New Roman" w:hint="eastAsia"/>
                      <w:sz w:val="21"/>
                      <w:szCs w:val="21"/>
                      <w:lang w:val="en-US" w:eastAsia="zh-CN" w:bidi="ar-SA"/>
                    </w:rPr>
                    <w:t>。</w:t>
                  </w:r>
                </w:p>
              </w:tc>
              <w:tc>
                <w:tcPr>
                  <w:tcW w:w="298" w:type="pct"/>
                  <w:vAlign w:val="center"/>
                </w:tcPr>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b w:val="0"/>
                      <w:bCs w:val="0"/>
                      <w:sz w:val="21"/>
                      <w:szCs w:val="21"/>
                      <w:vertAlign w:val="baseline"/>
                      <w:lang w:val="en-US" w:eastAsia="zh-CN"/>
                      <w:highlight w:val="none"/>
                    </w:rPr>
                  </w:pPr>
                  <w:r>
                    <w:rPr>
                      <w:rFonts w:ascii="Times New Roman" w:cs="Times New Roman" w:hAnsi="Times New Roman"/>
                      <w:color w:val="000000"/>
                      <w:sz w:val="21"/>
                      <w:szCs w:val="21"/>
                      <w:lang w:val="en-US" w:eastAsia="zh-CN" w:bidi="ar-SA"/>
                      <w:highlight w:val="none"/>
                    </w:rPr>
                    <w:t>符合</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baseline"/>
              <w:rPr>
                <w:rFonts w:ascii="宋体" w:hAnsi="宋体" w:hint="eastAsia"/>
                <w:bCs/>
                <w:color w:val="000000"/>
                <w:sz w:val="24"/>
                <w:lang w:val="en-US" w:eastAsia="zh-CN"/>
              </w:rPr>
            </w:pPr>
            <w:r>
              <w:rPr>
                <w:rFonts w:ascii="宋体" w:cs="Times New Roman" w:hAnsi="宋体" w:hint="eastAsia"/>
                <w:bCs/>
                <w:color w:val="000000"/>
                <w:sz w:val="24"/>
                <w:szCs w:val="20"/>
                <w:lang w:val="en-US" w:eastAsia="zh-CN"/>
              </w:rPr>
              <w:t>由上表可知，本项目符合</w:t>
            </w:r>
            <w:r>
              <w:rPr>
                <w:rFonts w:ascii="Times New Roman" w:cs="Times New Roman" w:hAnsi="Times New Roman" w:hint="eastAsia"/>
                <w:b w:val="0"/>
                <w:bCs/>
                <w:sz w:val="24"/>
                <w:szCs w:val="20"/>
                <w:lang w:val="en-US" w:eastAsia="zh-CN"/>
              </w:rPr>
              <w:t>《新乡市“三线一单”生态环境准入清单》（2023年版）</w:t>
            </w:r>
            <w:r>
              <w:rPr>
                <w:rFonts w:ascii="宋体" w:cs="Times New Roman" w:hAnsi="宋体" w:hint="eastAsia"/>
                <w:bCs/>
                <w:color w:val="000000"/>
                <w:sz w:val="24"/>
                <w:szCs w:val="20"/>
                <w:lang w:val="en-US" w:eastAsia="zh-CN"/>
              </w:rPr>
              <w:t>中的相关内容的要求。</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baseline"/>
              <w:rPr>
                <w:rFonts w:ascii="宋体" w:hAnsi="宋体" w:hint="eastAsia"/>
                <w:b/>
                <w:sz w:val="24"/>
              </w:rPr>
            </w:pPr>
            <w:r>
              <w:rPr>
                <w:rFonts w:ascii="Times New Roman" w:cs="Times New Roman" w:hAnsi="Times New Roman"/>
                <w:b/>
                <w:sz w:val="24"/>
                <w:szCs w:val="20"/>
              </w:rPr>
              <w:t>2</w:t>
            </w:r>
            <w:r>
              <w:rPr>
                <w:rFonts w:ascii="宋体" w:cs="Times New Roman" w:hAnsi="宋体" w:hint="eastAsia"/>
                <w:b/>
                <w:sz w:val="24"/>
                <w:szCs w:val="20"/>
              </w:rPr>
              <w:t>、本项目与分类管理名录对照分析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left"/>
              <w:textAlignment w:val="auto"/>
              <w:rPr>
                <w:rFonts w:ascii="Times New Roman" w:eastAsia="宋体" w:cs="Times New Roman" w:hAnsi="Times New Roman"/>
                <w:color w:val="000000"/>
                <w:sz w:val="24"/>
                <w:highlight w:val="none"/>
              </w:rPr>
            </w:pPr>
            <w:r>
              <w:rPr>
                <w:rFonts w:ascii="Times New Roman" w:eastAsia="宋体" w:cs="Times New Roman" w:hAnsi="Times New Roman"/>
                <w:color w:val="000000"/>
                <w:sz w:val="24"/>
                <w:szCs w:val="20"/>
                <w:highlight w:val="none"/>
              </w:rPr>
              <w:t>经查阅《建设项目环境影响评价分类管理名录》（2021年版），本项目属于</w:t>
            </w:r>
            <w:r>
              <w:rPr>
                <w:rFonts w:ascii="Times New Roman" w:eastAsia="宋体" w:cs="Times New Roman" w:hAnsi="Times New Roman"/>
                <w:color w:val="000000"/>
                <w:sz w:val="24"/>
                <w:szCs w:val="20"/>
                <w:lang w:val="en-US" w:eastAsia="zh-CN"/>
                <w:highlight w:val="none"/>
              </w:rPr>
              <w:t>五</w:t>
            </w:r>
            <w:r>
              <w:rPr>
                <w:rFonts w:ascii="Times New Roman" w:eastAsia="宋体" w:cs="Times New Roman" w:hAnsi="Times New Roman"/>
                <w:color w:val="auto"/>
                <w:sz w:val="24"/>
                <w:szCs w:val="20"/>
                <w:lang w:val="en-US" w:eastAsia="zh-CN"/>
                <w:highlight w:val="none"/>
              </w:rPr>
              <w:t>十、社会事业与服务业</w:t>
            </w:r>
            <w:r>
              <w:rPr>
                <w:rFonts w:ascii="Times New Roman" w:eastAsia="宋体" w:cs="Times New Roman" w:hAnsi="Times New Roman"/>
                <w:color w:val="000000"/>
                <w:sz w:val="24"/>
                <w:szCs w:val="20"/>
                <w:highlight w:val="none"/>
              </w:rPr>
              <w:t>：</w:t>
            </w:r>
            <w:r>
              <w:rPr>
                <w:rFonts w:ascii="Times New Roman" w:eastAsia="宋体" w:cs="Times New Roman" w:hAnsi="Times New Roman"/>
                <w:color w:val="000000"/>
                <w:sz w:val="24"/>
                <w:szCs w:val="20"/>
                <w:lang w:val="en-US" w:eastAsia="zh-CN"/>
                <w:highlight w:val="none"/>
              </w:rPr>
              <w:t>第119条加油、加气站</w:t>
            </w:r>
            <w:r>
              <w:rPr>
                <w:rFonts w:ascii="Times New Roman" w:eastAsia="宋体" w:cs="Times New Roman" w:hAnsi="Times New Roman"/>
                <w:color w:val="000000"/>
                <w:sz w:val="24"/>
                <w:szCs w:val="20"/>
                <w:highlight w:val="none"/>
              </w:rPr>
              <w:t>。名录规定：</w:t>
            </w:r>
            <w:r>
              <w:rPr>
                <w:rFonts w:ascii="Times New Roman" w:eastAsia="宋体" w:cs="Times New Roman" w:hAnsi="Times New Roman"/>
                <w:color w:val="000000"/>
                <w:sz w:val="24"/>
                <w:szCs w:val="20"/>
                <w:lang w:val="en-US" w:eastAsia="zh-CN"/>
                <w:highlight w:val="none"/>
              </w:rPr>
              <w:t>城市建成区新建、扩建加油站；涉及环境敏感区</w:t>
            </w:r>
            <w:r>
              <w:rPr>
                <w:rFonts w:ascii="Times New Roman" w:cs="Times New Roman" w:hAnsi="Times New Roman" w:hint="eastAsia"/>
                <w:color w:val="000000"/>
                <w:sz w:val="24"/>
                <w:szCs w:val="20"/>
                <w:lang w:val="en-US" w:eastAsia="zh-CN"/>
                <w:highlight w:val="none"/>
              </w:rPr>
              <w:t>的</w:t>
            </w:r>
            <w:r>
              <w:rPr>
                <w:rFonts w:ascii="Times New Roman" w:eastAsia="宋体" w:cs="Times New Roman" w:hAnsi="Times New Roman"/>
                <w:color w:val="000000"/>
                <w:sz w:val="24"/>
                <w:szCs w:val="20"/>
                <w:highlight w:val="none"/>
              </w:rPr>
              <w:t>应编制环境影响</w:t>
            </w:r>
            <w:r>
              <w:rPr>
                <w:rFonts w:ascii="Times New Roman" w:eastAsia="宋体" w:cs="Times New Roman" w:hAnsi="Times New Roman"/>
                <w:color w:val="000000"/>
                <w:sz w:val="24"/>
                <w:szCs w:val="20"/>
                <w:lang w:val="en-US" w:eastAsia="zh-CN"/>
                <w:highlight w:val="none"/>
              </w:rPr>
              <w:t>报告</w:t>
            </w:r>
            <w:r>
              <w:rPr>
                <w:rFonts w:ascii="Times New Roman" w:eastAsia="宋体" w:cs="Times New Roman" w:hAnsi="Times New Roman"/>
                <w:color w:val="000000"/>
                <w:sz w:val="24"/>
                <w:szCs w:val="20"/>
                <w:highlight w:val="none"/>
              </w:rPr>
              <w:t>表。本项目</w:t>
            </w:r>
            <w:r>
              <w:rPr>
                <w:rFonts w:ascii="Times New Roman" w:eastAsia="宋体" w:cs="Times New Roman" w:hAnsi="Times New Roman"/>
                <w:color w:val="auto"/>
                <w:sz w:val="24"/>
                <w:szCs w:val="20"/>
                <w:lang w:val="en-US" w:eastAsia="zh-CN"/>
                <w:highlight w:val="none"/>
              </w:rPr>
              <w:t>在城市建成区</w:t>
            </w:r>
            <w:r>
              <w:rPr>
                <w:rFonts w:ascii="Times New Roman" w:eastAsia="宋体" w:cs="Times New Roman" w:hAnsi="Times New Roman"/>
                <w:color w:val="000000"/>
                <w:sz w:val="24"/>
                <w:szCs w:val="20"/>
                <w:lang w:val="en-US" w:eastAsia="zh-CN"/>
                <w:highlight w:val="none"/>
              </w:rPr>
              <w:t>，</w:t>
            </w:r>
            <w:r>
              <w:rPr>
                <w:rFonts w:ascii="Times New Roman" w:eastAsia="宋体" w:cs="Times New Roman" w:hAnsi="Times New Roman"/>
                <w:color w:val="000000"/>
                <w:sz w:val="24"/>
                <w:szCs w:val="20"/>
                <w:highlight w:val="none"/>
              </w:rPr>
              <w:t>应编制环境影响报告表。</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rPr>
                <w:rFonts w:ascii="宋体" w:hAnsi="宋体"/>
                <w:b/>
                <w:bCs/>
                <w:color w:val="000000"/>
                <w:sz w:val="24"/>
              </w:rPr>
            </w:pPr>
            <w:r>
              <w:rPr>
                <w:rFonts w:ascii="Times New Roman" w:cs="Times New Roman" w:hAnsi="Times New Roman"/>
                <w:b/>
                <w:bCs/>
                <w:color w:val="000000"/>
                <w:sz w:val="24"/>
                <w:szCs w:val="20"/>
              </w:rPr>
              <w:t>3</w:t>
            </w:r>
            <w:r>
              <w:rPr>
                <w:rFonts w:ascii="宋体" w:cs="Times New Roman" w:hAnsi="宋体" w:hint="eastAsia"/>
                <w:b/>
                <w:bCs/>
                <w:color w:val="000000"/>
                <w:sz w:val="24"/>
                <w:szCs w:val="20"/>
              </w:rPr>
              <w:t>、项目建设与产业政策及备案相符性分析</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rPr>
                <w:rFonts w:ascii="宋体" w:hAnsi="宋体"/>
                <w:color w:val="000000"/>
                <w:sz w:val="24"/>
                <w:highlight w:val="none"/>
              </w:rPr>
            </w:pPr>
            <w:r>
              <w:rPr>
                <w:rFonts w:ascii="宋体" w:cs="Times New Roman" w:hAnsi="宋体"/>
                <w:sz w:val="24"/>
                <w:szCs w:val="20"/>
                <w:highlight w:val="none"/>
              </w:rPr>
              <w:t>本项目已在</w:t>
            </w:r>
            <w:r>
              <w:rPr>
                <w:rFonts w:ascii="宋体" w:cs="Times New Roman" w:hAnsi="宋体" w:hint="eastAsia"/>
                <w:sz w:val="24"/>
                <w:szCs w:val="20"/>
                <w:lang w:val="en-US" w:eastAsia="zh-CN"/>
                <w:highlight w:val="none"/>
              </w:rPr>
              <w:t>延津县先进制造业开发区管理委员会</w:t>
            </w:r>
            <w:r>
              <w:rPr>
                <w:rFonts w:ascii="宋体" w:cs="Times New Roman" w:hAnsi="宋体"/>
                <w:sz w:val="24"/>
                <w:szCs w:val="20"/>
                <w:highlight w:val="none"/>
              </w:rPr>
              <w:t>备案，项目代码</w:t>
            </w:r>
            <w:r>
              <w:rPr>
                <w:rFonts w:ascii="Times New Roman" w:cs="Times New Roman" w:hAnsi="Times New Roman" w:hint="eastAsia"/>
                <w:sz w:val="24"/>
                <w:szCs w:val="24"/>
                <w:lang w:val="en-US" w:eastAsia="zh-CN"/>
                <w:highlight w:val="none"/>
              </w:rPr>
              <w:t>2504-410726-04-01-448598</w:t>
            </w:r>
            <w:r>
              <w:rPr>
                <w:rFonts w:ascii="宋体" w:cs="Times New Roman" w:hAnsi="宋体"/>
                <w:sz w:val="24"/>
                <w:szCs w:val="20"/>
                <w:highlight w:val="none"/>
              </w:rPr>
              <w:t>（详见附件）。经查阅《产业结构调整指导目录》（</w:t>
            </w:r>
            <w:r>
              <w:rPr>
                <w:rFonts w:ascii="Times New Roman" w:cs="Times New Roman" w:hAnsi="Times New Roman"/>
                <w:sz w:val="24"/>
                <w:szCs w:val="20"/>
                <w:highlight w:val="none"/>
              </w:rPr>
              <w:t>2024</w:t>
            </w:r>
            <w:r>
              <w:rPr>
                <w:rFonts w:ascii="宋体" w:cs="Times New Roman" w:hAnsi="宋体"/>
                <w:sz w:val="24"/>
                <w:szCs w:val="20"/>
                <w:highlight w:val="none"/>
              </w:rPr>
              <w:t>年本），该项目属于</w:t>
            </w:r>
            <w:r>
              <w:rPr>
                <w:rFonts w:ascii="宋体" w:cs="Times New Roman" w:hAnsi="宋体" w:hint="eastAsia"/>
                <w:sz w:val="24"/>
                <w:szCs w:val="20"/>
                <w:lang w:eastAsia="zh-CN"/>
                <w:highlight w:val="none"/>
              </w:rPr>
              <w:t>“</w:t>
            </w:r>
            <w:r>
              <w:rPr>
                <w:rFonts w:ascii="宋体" w:cs="Times New Roman" w:hAnsi="宋体" w:hint="eastAsia"/>
                <w:sz w:val="24"/>
                <w:szCs w:val="20"/>
                <w:lang w:val="en-US" w:eastAsia="zh-CN"/>
                <w:highlight w:val="none"/>
              </w:rPr>
              <w:t>允许类</w:t>
            </w:r>
            <w:r>
              <w:rPr>
                <w:rFonts w:ascii="宋体" w:cs="Times New Roman" w:hAnsi="宋体" w:hint="eastAsia"/>
                <w:sz w:val="24"/>
                <w:szCs w:val="20"/>
                <w:lang w:eastAsia="zh-CN"/>
                <w:highlight w:val="none"/>
              </w:rPr>
              <w:t>”</w:t>
            </w:r>
            <w:r>
              <w:rPr>
                <w:rFonts w:ascii="宋体" w:cs="Times New Roman" w:hAnsi="宋体"/>
                <w:sz w:val="24"/>
                <w:szCs w:val="20"/>
                <w:highlight w:val="none"/>
              </w:rPr>
              <w:t>，符合国家产业政策要求。</w:t>
            </w:r>
            <w:r>
              <w:rPr>
                <w:rFonts w:ascii="宋体" w:cs="Times New Roman" w:hAnsi="宋体"/>
                <w:color w:val="000000"/>
                <w:sz w:val="24"/>
                <w:szCs w:val="20"/>
                <w:highlight w:val="none"/>
              </w:rPr>
              <w:t>本项目情况与产业政策一致性分析见</w:t>
            </w:r>
            <w:r>
              <w:rPr>
                <w:rFonts w:ascii="宋体" w:cs="Times New Roman" w:hAnsi="宋体" w:hint="eastAsia"/>
                <w:color w:val="000000"/>
                <w:sz w:val="24"/>
                <w:szCs w:val="20"/>
                <w:lang w:val="en-US" w:eastAsia="zh-CN"/>
                <w:highlight w:val="none"/>
              </w:rPr>
              <w:t>下</w:t>
            </w:r>
            <w:r>
              <w:rPr>
                <w:rFonts w:ascii="宋体" w:cs="Times New Roman" w:hAnsi="宋体"/>
                <w:color w:val="000000"/>
                <w:sz w:val="24"/>
                <w:szCs w:val="20"/>
                <w:highlight w:val="none"/>
              </w:rPr>
              <w:t>表。</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hint="eastAsia"/>
                <w:sz w:val="24"/>
                <w:szCs w:val="20"/>
                <w:lang w:val="en-US" w:eastAsia="zh-CN"/>
              </w:rPr>
              <w:t xml:space="preserve">  </w:t>
            </w:r>
            <w:r>
              <w:rPr>
                <w:rFonts w:ascii="Times New Roman" w:cs="Times New Roman" w:hAnsi="Times New Roman"/>
                <w:sz w:val="24"/>
                <w:szCs w:val="20"/>
              </w:rPr>
              <w:t>项目与产业政策一致性分析</w:t>
            </w:r>
          </w:p>
          <w:tbl>
            <w:tblPr>
              <w:jc w:val="center"/>
              <w:tblW w:w="4999" w:type="pct"/>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630"/>
              <w:gridCol w:w="2591"/>
              <w:gridCol w:w="1943"/>
              <w:gridCol w:w="1040"/>
            </w:tblGrid>
            <w:tr>
              <w:trPr>
                <w:trHeight w:val="397"/>
              </w:trPr>
              <w:tc>
                <w:tcPr>
                  <w:tcW w:w="2833" w:type="dxa"/>
                  <w:tcBorders>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ascii="宋体" w:hAnsi="宋体"/>
                      <w:b/>
                      <w:color w:val="000000"/>
                      <w:sz w:val="21"/>
                      <w:szCs w:val="21"/>
                      <w:highlight w:val="none"/>
                    </w:rPr>
                  </w:pPr>
                  <w:r>
                    <w:rPr>
                      <w:rFonts w:ascii="宋体" w:cs="Times New Roman" w:hAnsi="宋体"/>
                      <w:b/>
                      <w:color w:val="000000"/>
                      <w:sz w:val="21"/>
                      <w:szCs w:val="21"/>
                      <w:highlight w:val="none"/>
                    </w:rPr>
                    <w:t>类 别</w:t>
                  </w:r>
                </w:p>
              </w:tc>
              <w:tc>
                <w:tcPr>
                  <w:tcW w:w="2791" w:type="dxa"/>
                  <w:tcBorders>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ascii="宋体" w:hAnsi="宋体"/>
                      <w:b/>
                      <w:color w:val="000000"/>
                      <w:sz w:val="21"/>
                      <w:szCs w:val="21"/>
                      <w:highlight w:val="none"/>
                    </w:rPr>
                  </w:pPr>
                  <w:r>
                    <w:rPr>
                      <w:rFonts w:ascii="宋体" w:cs="Times New Roman" w:hAnsi="宋体"/>
                      <w:b/>
                      <w:color w:val="000000"/>
                      <w:sz w:val="21"/>
                      <w:szCs w:val="21"/>
                      <w:highlight w:val="none"/>
                    </w:rPr>
                    <w:t>内 容</w:t>
                  </w:r>
                </w:p>
              </w:tc>
              <w:tc>
                <w:tcPr>
                  <w:tcW w:w="2093" w:type="dxa"/>
                  <w:tcBorders>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ascii="宋体" w:hAnsi="宋体"/>
                      <w:b/>
                      <w:color w:val="000000"/>
                      <w:sz w:val="21"/>
                      <w:szCs w:val="21"/>
                      <w:highlight w:val="none"/>
                    </w:rPr>
                  </w:pPr>
                  <w:r>
                    <w:rPr>
                      <w:rFonts w:ascii="宋体" w:cs="Times New Roman" w:hAnsi="宋体"/>
                      <w:b/>
                      <w:color w:val="000000"/>
                      <w:sz w:val="21"/>
                      <w:szCs w:val="21"/>
                      <w:highlight w:val="none"/>
                    </w:rPr>
                    <w:t>本项目情况</w:t>
                  </w:r>
                </w:p>
              </w:tc>
              <w:tc>
                <w:tcPr>
                  <w:tcW w:w="1120" w:type="dxa"/>
                  <w:tcBorders>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ascii="宋体" w:hAnsi="宋体"/>
                      <w:b/>
                      <w:color w:val="000000"/>
                      <w:sz w:val="21"/>
                      <w:szCs w:val="21"/>
                      <w:highlight w:val="none"/>
                    </w:rPr>
                  </w:pPr>
                  <w:r>
                    <w:rPr>
                      <w:rFonts w:ascii="宋体" w:cs="Times New Roman" w:hAnsi="宋体"/>
                      <w:b/>
                      <w:color w:val="000000"/>
                      <w:sz w:val="21"/>
                      <w:szCs w:val="21"/>
                      <w:highlight w:val="none"/>
                    </w:rPr>
                    <w:t>相符性</w:t>
                  </w:r>
                </w:p>
              </w:tc>
            </w:tr>
            <w:tr>
              <w:trPr>
                <w:trHeight w:val="397"/>
              </w:trPr>
              <w:tc>
                <w:tcPr>
                  <w:tcW w:w="2833"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auto"/>
                      <w:sz w:val="21"/>
                      <w:szCs w:val="21"/>
                      <w:highlight w:val="none"/>
                    </w:rPr>
                  </w:pPr>
                  <w:r>
                    <w:rPr>
                      <w:rFonts w:ascii="宋体" w:cs="Times New Roman" w:hAnsi="宋体" w:hint="eastAsia"/>
                      <w:color w:val="auto"/>
                      <w:sz w:val="21"/>
                      <w:szCs w:val="21"/>
                      <w:highlight w:val="none"/>
                    </w:rPr>
                    <w:t>鼓励类</w:t>
                  </w:r>
                </w:p>
              </w:tc>
              <w:tc>
                <w:tcPr>
                  <w:tcW w:w="2791"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eastAsia="宋体"/>
                      <w:color w:val="auto"/>
                      <w:sz w:val="21"/>
                      <w:szCs w:val="21"/>
                      <w:lang w:val="en-US" w:eastAsia="zh-CN"/>
                      <w:highlight w:val="none"/>
                    </w:rPr>
                  </w:pPr>
                  <w:r>
                    <w:rPr>
                      <w:rFonts w:ascii="宋体" w:cs="Times New Roman" w:hAnsi="宋体" w:hint="eastAsia"/>
                      <w:color w:val="auto"/>
                      <w:sz w:val="21"/>
                      <w:szCs w:val="21"/>
                      <w:highlight w:val="none"/>
                    </w:rPr>
                    <w:t>查无相关对应条款</w:t>
                  </w:r>
                </w:p>
              </w:tc>
              <w:tc>
                <w:tcPr>
                  <w:tcW w:w="209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eastAsia="宋体"/>
                      <w:color w:val="auto"/>
                      <w:sz w:val="21"/>
                      <w:szCs w:val="21"/>
                      <w:lang w:val="en-US" w:eastAsia="zh-CN"/>
                      <w:highlight w:val="none"/>
                    </w:rPr>
                  </w:pPr>
                  <w:r>
                    <w:rPr>
                      <w:rFonts w:ascii="宋体" w:cs="Times New Roman" w:hAnsi="宋体" w:hint="eastAsia"/>
                      <w:color w:val="auto"/>
                      <w:sz w:val="21"/>
                      <w:szCs w:val="21"/>
                      <w:lang w:val="en-US" w:eastAsia="zh-CN"/>
                      <w:highlight w:val="none"/>
                    </w:rPr>
                    <w:t>/</w:t>
                  </w:r>
                </w:p>
              </w:tc>
              <w:tc>
                <w:tcPr>
                  <w:tcW w:w="1120"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eastAsia="宋体"/>
                      <w:color w:val="auto"/>
                      <w:sz w:val="21"/>
                      <w:szCs w:val="21"/>
                      <w:lang w:val="en-US" w:eastAsia="zh-CN"/>
                      <w:highlight w:val="none"/>
                    </w:rPr>
                  </w:pPr>
                  <w:r>
                    <w:rPr>
                      <w:rFonts w:ascii="宋体" w:eastAsia="宋体" w:cs="宋体" w:hAnsi="宋体" w:hint="eastAsia"/>
                      <w:color w:val="auto"/>
                      <w:sz w:val="21"/>
                      <w:szCs w:val="21"/>
                      <w:lang w:val="en-US" w:eastAsia="zh-CN"/>
                      <w:highlight w:val="none"/>
                    </w:rPr>
                    <w:t>/</w:t>
                  </w:r>
                </w:p>
              </w:tc>
            </w:tr>
            <w:tr>
              <w:trPr>
                <w:trHeight w:val="397"/>
              </w:trPr>
              <w:tc>
                <w:tcPr>
                  <w:tcW w:w="2833"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000000"/>
                      <w:sz w:val="21"/>
                      <w:szCs w:val="21"/>
                      <w:highlight w:val="none"/>
                    </w:rPr>
                  </w:pPr>
                  <w:r>
                    <w:rPr>
                      <w:rFonts w:ascii="宋体" w:cs="Times New Roman" w:hAnsi="宋体" w:hint="eastAsia"/>
                      <w:color w:val="000000"/>
                      <w:sz w:val="21"/>
                      <w:szCs w:val="21"/>
                      <w:highlight w:val="none"/>
                    </w:rPr>
                    <w:t>限制类</w:t>
                  </w:r>
                </w:p>
              </w:tc>
              <w:tc>
                <w:tcPr>
                  <w:tcW w:w="2791"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hAnsi="宋体"/>
                      <w:color w:val="000000"/>
                      <w:sz w:val="21"/>
                      <w:szCs w:val="21"/>
                      <w:highlight w:val="none"/>
                    </w:rPr>
                  </w:pPr>
                  <w:r>
                    <w:rPr>
                      <w:rFonts w:ascii="宋体" w:cs="Times New Roman" w:hAnsi="宋体" w:hint="eastAsia"/>
                      <w:color w:val="000000"/>
                      <w:sz w:val="21"/>
                      <w:szCs w:val="21"/>
                      <w:highlight w:val="none"/>
                    </w:rPr>
                    <w:t>查无相关对应条款</w:t>
                  </w:r>
                </w:p>
              </w:tc>
              <w:tc>
                <w:tcPr>
                  <w:tcW w:w="209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hAnsi="宋体"/>
                      <w:color w:val="000000"/>
                      <w:sz w:val="21"/>
                      <w:szCs w:val="21"/>
                      <w:highlight w:val="none"/>
                    </w:rPr>
                  </w:pPr>
                  <w:r>
                    <w:rPr>
                      <w:rFonts w:ascii="宋体" w:cs="Times New Roman" w:hAnsi="宋体" w:hint="eastAsia"/>
                      <w:color w:val="000000"/>
                      <w:sz w:val="21"/>
                      <w:szCs w:val="21"/>
                      <w:highlight w:val="none"/>
                    </w:rPr>
                    <w:t>/</w:t>
                  </w:r>
                </w:p>
              </w:tc>
              <w:tc>
                <w:tcPr>
                  <w:tcW w:w="1120"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hAnsi="宋体"/>
                      <w:color w:val="000000"/>
                      <w:sz w:val="21"/>
                      <w:szCs w:val="21"/>
                      <w:highlight w:val="none"/>
                    </w:rPr>
                  </w:pPr>
                  <w:r>
                    <w:rPr>
                      <w:rFonts w:ascii="宋体" w:cs="Times New Roman" w:hAnsi="宋体" w:hint="eastAsia"/>
                      <w:color w:val="000000"/>
                      <w:sz w:val="21"/>
                      <w:szCs w:val="21"/>
                      <w:highlight w:val="none"/>
                    </w:rPr>
                    <w:t>/</w:t>
                  </w:r>
                </w:p>
              </w:tc>
            </w:tr>
            <w:tr>
              <w:trPr>
                <w:trHeight w:val="397"/>
              </w:trPr>
              <w:tc>
                <w:tcPr>
                  <w:tcW w:w="2833"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000000"/>
                      <w:sz w:val="21"/>
                      <w:szCs w:val="21"/>
                      <w:highlight w:val="none"/>
                    </w:rPr>
                  </w:pPr>
                  <w:r>
                    <w:rPr>
                      <w:rFonts w:ascii="宋体" w:cs="Times New Roman" w:hAnsi="宋体" w:hint="eastAsia"/>
                      <w:color w:val="000000"/>
                      <w:sz w:val="21"/>
                      <w:szCs w:val="21"/>
                      <w:highlight w:val="none"/>
                    </w:rPr>
                    <w:t>淘汰类（落后生产工艺装备）</w:t>
                  </w:r>
                </w:p>
              </w:tc>
              <w:tc>
                <w:tcPr>
                  <w:tcW w:w="2791"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hAnsi="宋体"/>
                      <w:color w:val="000000"/>
                      <w:sz w:val="21"/>
                      <w:szCs w:val="21"/>
                      <w:highlight w:val="none"/>
                    </w:rPr>
                  </w:pPr>
                  <w:r>
                    <w:rPr>
                      <w:rFonts w:ascii="宋体" w:cs="Times New Roman" w:hAnsi="宋体" w:hint="eastAsia"/>
                      <w:color w:val="000000"/>
                      <w:sz w:val="21"/>
                      <w:szCs w:val="21"/>
                      <w:highlight w:val="none"/>
                    </w:rPr>
                    <w:t>查无相关对应条款</w:t>
                  </w:r>
                </w:p>
              </w:tc>
              <w:tc>
                <w:tcPr>
                  <w:tcW w:w="2093"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hAnsi="宋体"/>
                      <w:color w:val="000000"/>
                      <w:sz w:val="21"/>
                      <w:szCs w:val="21"/>
                      <w:highlight w:val="none"/>
                    </w:rPr>
                  </w:pPr>
                  <w:r>
                    <w:rPr>
                      <w:rFonts w:ascii="宋体" w:cs="Times New Roman" w:hAnsi="宋体" w:hint="eastAsia"/>
                      <w:color w:val="000000"/>
                      <w:sz w:val="21"/>
                      <w:szCs w:val="21"/>
                      <w:highlight w:val="none"/>
                    </w:rPr>
                    <w:t>/</w:t>
                  </w:r>
                </w:p>
              </w:tc>
              <w:tc>
                <w:tcPr>
                  <w:tcW w:w="1120"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hAnsi="宋体"/>
                      <w:color w:val="000000"/>
                      <w:sz w:val="21"/>
                      <w:szCs w:val="21"/>
                      <w:highlight w:val="none"/>
                    </w:rPr>
                  </w:pPr>
                  <w:r>
                    <w:rPr>
                      <w:rFonts w:ascii="宋体" w:cs="Times New Roman" w:hAnsi="宋体" w:hint="eastAsia"/>
                      <w:color w:val="000000"/>
                      <w:sz w:val="21"/>
                      <w:szCs w:val="21"/>
                      <w:highlight w:val="none"/>
                    </w:rPr>
                    <w:t>/</w:t>
                  </w:r>
                </w:p>
              </w:tc>
            </w:tr>
            <w:tr>
              <w:trPr>
                <w:trHeight w:val="397"/>
              </w:trPr>
              <w:tc>
                <w:tcPr>
                  <w:tcW w:w="2833" w:type="dxa"/>
                  <w:tcBorders>
                    <w:top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ascii="宋体" w:hAnsi="宋体"/>
                      <w:color w:val="000000"/>
                      <w:sz w:val="21"/>
                      <w:szCs w:val="21"/>
                      <w:highlight w:val="none"/>
                    </w:rPr>
                  </w:pPr>
                  <w:r>
                    <w:rPr>
                      <w:rFonts w:ascii="宋体" w:cs="Times New Roman" w:hAnsi="宋体" w:hint="eastAsia"/>
                      <w:color w:val="000000"/>
                      <w:sz w:val="21"/>
                      <w:szCs w:val="21"/>
                      <w:highlight w:val="none"/>
                    </w:rPr>
                    <w:t>淘汰类（落后产品）</w:t>
                  </w:r>
                </w:p>
              </w:tc>
              <w:tc>
                <w:tcPr>
                  <w:tcW w:w="2791" w:type="dxa"/>
                  <w:tcBorders>
                    <w:top w:val="single" w:sz="4" w:space="0" w:color="auto"/>
                    <w:left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hAnsi="宋体"/>
                      <w:color w:val="000000"/>
                      <w:sz w:val="21"/>
                      <w:szCs w:val="21"/>
                      <w:highlight w:val="none"/>
                    </w:rPr>
                  </w:pPr>
                  <w:r>
                    <w:rPr>
                      <w:rFonts w:ascii="宋体" w:cs="Times New Roman" w:hAnsi="宋体" w:hint="eastAsia"/>
                      <w:color w:val="000000"/>
                      <w:sz w:val="21"/>
                      <w:szCs w:val="21"/>
                      <w:highlight w:val="none"/>
                    </w:rPr>
                    <w:t>查无相关对应条款</w:t>
                  </w:r>
                </w:p>
              </w:tc>
              <w:tc>
                <w:tcPr>
                  <w:tcW w:w="2093" w:type="dxa"/>
                  <w:tcBorders>
                    <w:top w:val="single" w:sz="4" w:space="0" w:color="auto"/>
                    <w:left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hAnsi="宋体"/>
                      <w:color w:val="000000"/>
                      <w:sz w:val="21"/>
                      <w:szCs w:val="21"/>
                      <w:highlight w:val="none"/>
                    </w:rPr>
                  </w:pPr>
                  <w:r>
                    <w:rPr>
                      <w:rFonts w:ascii="宋体" w:cs="Times New Roman" w:hAnsi="宋体" w:hint="eastAsia"/>
                      <w:color w:val="000000"/>
                      <w:sz w:val="21"/>
                      <w:szCs w:val="21"/>
                      <w:highlight w:val="none"/>
                    </w:rPr>
                    <w:t>/</w:t>
                  </w:r>
                </w:p>
              </w:tc>
              <w:tc>
                <w:tcPr>
                  <w:tcW w:w="1120" w:type="dxa"/>
                  <w:tcBorders>
                    <w:top w:val="single" w:sz="4" w:space="0" w:color="auto"/>
                    <w:left w:val="single" w:sz="4" w:space="0" w:color="auto"/>
                  </w:tcBorders>
                  <w:vAlign w:val="center"/>
                </w:tcPr>
                <w:p>
                  <w:pPr>
                    <w:keepNext w:val="0"/>
                    <w:keepLines w:val="0"/>
                    <w:suppressLineNumbers w:val="0"/>
                    <w:adjustRightInd w:val="0"/>
                    <w:snapToGrid w:val="0"/>
                    <w:spacing w:before="0" w:beforeAutospacing="0" w:after="0" w:afterAutospacing="0"/>
                    <w:ind w:left="0" w:right="0"/>
                    <w:jc w:val="center"/>
                    <w:rPr>
                      <w:rFonts w:hAnsi="宋体"/>
                      <w:color w:val="000000"/>
                      <w:sz w:val="21"/>
                      <w:szCs w:val="21"/>
                      <w:highlight w:val="none"/>
                    </w:rPr>
                  </w:pPr>
                  <w:r>
                    <w:rPr>
                      <w:rFonts w:ascii="宋体" w:cs="Times New Roman" w:hAnsi="宋体" w:hint="eastAsia"/>
                      <w:color w:val="000000"/>
                      <w:sz w:val="21"/>
                      <w:szCs w:val="21"/>
                      <w:highlight w:val="none"/>
                    </w:rPr>
                    <w:t>/</w:t>
                  </w:r>
                </w:p>
              </w:tc>
            </w:tr>
          </w:tbl>
          <w:p>
            <w:pPr>
              <w:keepNext w:val="0"/>
              <w:keepLines w:val="0"/>
              <w:suppressLineNumbers w:val="0"/>
              <w:spacing w:before="0" w:beforeAutospacing="0" w:after="0" w:afterAutospacing="0" w:line="440" w:lineRule="exact"/>
              <w:ind w:left="0" w:right="0" w:firstLineChars="200" w:firstLine="480"/>
              <w:rPr>
                <w:rFonts w:ascii="宋体" w:hAnsi="宋体"/>
                <w:b/>
                <w:bCs/>
                <w:color w:val="auto"/>
                <w:sz w:val="24"/>
                <w:highlight w:val="none"/>
              </w:rPr>
            </w:pPr>
            <w:r>
              <w:rPr>
                <w:rFonts w:ascii="Times New Roman" w:cs="Times New Roman" w:hAnsi="宋体"/>
                <w:color w:val="000000"/>
                <w:sz w:val="24"/>
                <w:szCs w:val="20"/>
                <w:highlight w:val="none"/>
              </w:rPr>
              <w:t>本项目与备案一致性分析见</w:t>
            </w:r>
            <w:r>
              <w:rPr>
                <w:rFonts w:ascii="Times New Roman" w:cs="Times New Roman" w:hAnsi="宋体" w:hint="eastAsia"/>
                <w:color w:val="000000"/>
                <w:sz w:val="24"/>
                <w:szCs w:val="20"/>
                <w:lang w:val="en-US" w:eastAsia="zh-CN"/>
                <w:highlight w:val="none"/>
              </w:rPr>
              <w:t>下</w:t>
            </w:r>
            <w:r>
              <w:rPr>
                <w:rFonts w:ascii="Times New Roman" w:cs="Times New Roman" w:hAnsi="宋体"/>
                <w:color w:val="000000"/>
                <w:sz w:val="24"/>
                <w:szCs w:val="20"/>
                <w:highlight w:val="none"/>
              </w:rPr>
              <w:t>表。</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sz w:val="24"/>
                <w:szCs w:val="20"/>
              </w:rPr>
              <w:t xml:space="preserve"> </w:t>
            </w:r>
            <w:r>
              <w:rPr>
                <w:rFonts w:ascii="Times New Roman" w:cs="Times New Roman" w:hAnsi="Times New Roman" w:hint="eastAsia"/>
                <w:sz w:val="24"/>
                <w:szCs w:val="20"/>
                <w:lang w:val="en-US" w:eastAsia="zh-CN"/>
              </w:rPr>
              <w:t xml:space="preserve"> </w:t>
            </w:r>
            <w:r>
              <w:rPr>
                <w:rFonts w:ascii="Times New Roman" w:cs="Times New Roman" w:hAnsi="Times New Roman"/>
                <w:sz w:val="24"/>
                <w:szCs w:val="20"/>
              </w:rPr>
              <w:t>本项目与备案一致性分析一览表</w:t>
            </w:r>
          </w:p>
          <w:tbl>
            <w:tblPr>
              <w:jc w:val="center"/>
              <w:tblW w:w="4998" w:type="pct"/>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082"/>
              <w:gridCol w:w="3058"/>
              <w:gridCol w:w="3169"/>
              <w:gridCol w:w="891"/>
            </w:tblGrid>
            <w:tr>
              <w:trPr>
                <w:trHeight w:val="397"/>
              </w:trPr>
              <w:tc>
                <w:tcPr>
                  <w:tcW w:w="1076" w:type="dxa"/>
                  <w:tcBorders>
                    <w:bottom w:val="single" w:sz="4" w:space="0" w:color="auto"/>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b/>
                      <w:color w:val="auto"/>
                      <w:sz w:val="21"/>
                      <w:szCs w:val="21"/>
                      <w:highlight w:val="none"/>
                    </w:rPr>
                  </w:pPr>
                  <w:r>
                    <w:rPr>
                      <w:rFonts w:ascii="Times New Roman" w:cs="Times New Roman" w:hAnsi="宋体"/>
                      <w:b/>
                      <w:color w:val="auto"/>
                      <w:sz w:val="21"/>
                      <w:szCs w:val="21"/>
                      <w:highlight w:val="none"/>
                    </w:rPr>
                    <w:t>名称</w:t>
                  </w:r>
                </w:p>
              </w:tc>
              <w:tc>
                <w:tcPr>
                  <w:tcW w:w="3040" w:type="dxa"/>
                  <w:tcBorders>
                    <w:left w:val="single" w:sz="4" w:space="0" w:color="000000"/>
                    <w:bottom w:val="single" w:sz="4" w:space="0" w:color="auto"/>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b/>
                      <w:color w:val="auto"/>
                      <w:sz w:val="21"/>
                      <w:szCs w:val="21"/>
                      <w:lang w:val="en-US" w:eastAsia="zh-CN"/>
                      <w:highlight w:val="none"/>
                    </w:rPr>
                  </w:pPr>
                  <w:r>
                    <w:rPr>
                      <w:rFonts w:ascii="Times New Roman" w:cs="Times New Roman" w:hAnsi="宋体"/>
                      <w:b/>
                      <w:color w:val="auto"/>
                      <w:sz w:val="21"/>
                      <w:szCs w:val="21"/>
                      <w:highlight w:val="none"/>
                    </w:rPr>
                    <w:t>项目备案</w:t>
                  </w:r>
                  <w:r>
                    <w:rPr>
                      <w:rFonts w:ascii="Times New Roman" w:cs="Times New Roman" w:hAnsi="宋体" w:hint="eastAsia"/>
                      <w:b/>
                      <w:color w:val="auto"/>
                      <w:sz w:val="21"/>
                      <w:szCs w:val="21"/>
                      <w:lang w:val="en-US" w:eastAsia="zh-CN"/>
                      <w:highlight w:val="none"/>
                    </w:rPr>
                    <w:t>情况</w:t>
                  </w:r>
                </w:p>
              </w:tc>
              <w:tc>
                <w:tcPr>
                  <w:tcW w:w="3150" w:type="dxa"/>
                  <w:tcBorders>
                    <w:left w:val="single" w:sz="4" w:space="0" w:color="000000"/>
                    <w:bottom w:val="single" w:sz="4" w:space="0" w:color="auto"/>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b/>
                      <w:color w:val="auto"/>
                      <w:sz w:val="21"/>
                      <w:szCs w:val="21"/>
                      <w:highlight w:val="none"/>
                    </w:rPr>
                  </w:pPr>
                  <w:r>
                    <w:rPr>
                      <w:rFonts w:ascii="Times New Roman" w:cs="Times New Roman" w:hAnsi="宋体"/>
                      <w:b/>
                      <w:color w:val="auto"/>
                      <w:sz w:val="21"/>
                      <w:szCs w:val="21"/>
                      <w:highlight w:val="none"/>
                    </w:rPr>
                    <w:t>项目</w:t>
                  </w:r>
                  <w:r>
                    <w:rPr>
                      <w:rFonts w:ascii="Times New Roman" w:cs="Times New Roman" w:hAnsi="宋体" w:hint="eastAsia"/>
                      <w:b/>
                      <w:color w:val="auto"/>
                      <w:sz w:val="21"/>
                      <w:szCs w:val="21"/>
                      <w:lang w:val="en-US" w:eastAsia="zh-CN"/>
                      <w:highlight w:val="none"/>
                    </w:rPr>
                    <w:t>环评</w:t>
                  </w:r>
                  <w:r>
                    <w:rPr>
                      <w:rFonts w:ascii="Times New Roman" w:cs="Times New Roman" w:hAnsi="宋体"/>
                      <w:b/>
                      <w:color w:val="auto"/>
                      <w:sz w:val="21"/>
                      <w:szCs w:val="21"/>
                      <w:highlight w:val="none"/>
                    </w:rPr>
                    <w:t>情况</w:t>
                  </w:r>
                </w:p>
              </w:tc>
              <w:tc>
                <w:tcPr>
                  <w:tcW w:w="886" w:type="dxa"/>
                  <w:tcBorders>
                    <w:left w:val="single" w:sz="4" w:space="0" w:color="000000"/>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b/>
                      <w:color w:val="auto"/>
                      <w:sz w:val="21"/>
                      <w:szCs w:val="21"/>
                      <w:highlight w:val="none"/>
                    </w:rPr>
                  </w:pPr>
                  <w:r>
                    <w:rPr>
                      <w:rFonts w:ascii="Times New Roman" w:cs="Times New Roman" w:hAnsi="宋体"/>
                      <w:b/>
                      <w:color w:val="auto"/>
                      <w:sz w:val="21"/>
                      <w:szCs w:val="21"/>
                      <w:highlight w:val="none"/>
                    </w:rPr>
                    <w:t>相符性</w:t>
                  </w:r>
                </w:p>
              </w:tc>
            </w:tr>
            <w:tr>
              <w:trPr>
                <w:trHeight w:val="397"/>
              </w:trPr>
              <w:tc>
                <w:tcPr>
                  <w:tcW w:w="1076" w:type="dxa"/>
                  <w:tcBorders>
                    <w:top w:val="single" w:sz="4" w:space="0" w:color="auto"/>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建设内容</w:t>
                  </w:r>
                </w:p>
              </w:tc>
              <w:tc>
                <w:tcPr>
                  <w:tcW w:w="3040" w:type="dxa"/>
                  <w:tcBorders>
                    <w:top w:val="single" w:sz="4" w:space="0" w:color="auto"/>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Ansi="宋体"/>
                      <w:color w:val="auto"/>
                      <w:sz w:val="21"/>
                      <w:szCs w:val="21"/>
                      <w:lang w:val="en-US" w:eastAsia="zh-CN"/>
                      <w:highlight w:val="red"/>
                    </w:rPr>
                  </w:pPr>
                  <w:r>
                    <w:rPr>
                      <w:rFonts w:ascii="Times New Roman" w:cs="Times New Roman" w:hAnsi="Times New Roman" w:hint="eastAsia"/>
                      <w:color w:val="auto"/>
                      <w:sz w:val="21"/>
                      <w:szCs w:val="21"/>
                      <w:lang w:val="en-US" w:eastAsia="zh-CN"/>
                      <w:highlight w:val="none"/>
                    </w:rPr>
                    <w:t>该站设置汽油储罐、柴油储罐及自吸式双枪加油机，充电桩。新建承重罐池一座,新建站房及罩棚各一座。</w:t>
                  </w:r>
                </w:p>
              </w:tc>
              <w:tc>
                <w:tcPr>
                  <w:tcW w:w="3150" w:type="dxa"/>
                  <w:tcBorders>
                    <w:top w:val="single" w:sz="4" w:space="0" w:color="auto"/>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color w:val="auto"/>
                      <w:sz w:val="21"/>
                      <w:szCs w:val="21"/>
                      <w:lang w:val="en-US" w:eastAsia="zh-CN"/>
                      <w:highlight w:val="red"/>
                    </w:rPr>
                  </w:pPr>
                  <w:r>
                    <w:rPr>
                      <w:rFonts w:ascii="Times New Roman" w:cs="Times New Roman" w:hAnsi="Times New Roman" w:hint="eastAsia"/>
                      <w:color w:val="auto"/>
                      <w:sz w:val="21"/>
                      <w:szCs w:val="21"/>
                      <w:lang w:val="en-US" w:eastAsia="zh-CN"/>
                      <w:highlight w:val="none"/>
                    </w:rPr>
                    <w:t>该站设置汽油储罐、柴油储罐及自吸式双枪加油机，充电桩。新建承重罐池一座,新建站房及罩棚各一座。</w:t>
                  </w:r>
                </w:p>
              </w:tc>
              <w:tc>
                <w:tcPr>
                  <w:tcW w:w="886" w:type="dxa"/>
                  <w:tcBorders>
                    <w:top w:val="single" w:sz="4" w:space="0" w:color="auto"/>
                    <w:left w:val="single" w:sz="4" w:space="0" w:color="000000"/>
                    <w:bottom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color w:val="auto"/>
                      <w:sz w:val="21"/>
                      <w:szCs w:val="21"/>
                      <w:lang w:val="en-US" w:eastAsia="zh-CN"/>
                      <w:highlight w:val="none"/>
                    </w:rPr>
                  </w:pPr>
                  <w:r>
                    <w:rPr>
                      <w:rFonts w:ascii="Times New Roman" w:cs="Times New Roman" w:hAnsi="宋体"/>
                      <w:color w:val="auto"/>
                      <w:sz w:val="21"/>
                      <w:szCs w:val="21"/>
                      <w:highlight w:val="none"/>
                    </w:rPr>
                    <w:t>相符</w:t>
                  </w:r>
                </w:p>
              </w:tc>
            </w:tr>
            <w:tr>
              <w:trPr>
                <w:trHeight w:val="397"/>
              </w:trPr>
              <w:tc>
                <w:tcPr>
                  <w:tcW w:w="1076" w:type="dxa"/>
                  <w:tcBorders>
                    <w:top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Times New Roman" w:hint="eastAsia"/>
                      <w:color w:val="auto"/>
                      <w:sz w:val="21"/>
                      <w:szCs w:val="21"/>
                      <w:lang w:val="en-US" w:eastAsia="zh-CN"/>
                      <w:highlight w:val="none"/>
                    </w:rPr>
                    <w:t>项目</w:t>
                  </w:r>
                  <w:r>
                    <w:rPr>
                      <w:rFonts w:ascii="Times New Roman" w:cs="Times New Roman" w:hAnsi="Times New Roman"/>
                      <w:color w:val="auto"/>
                      <w:sz w:val="21"/>
                      <w:szCs w:val="21"/>
                      <w:highlight w:val="none"/>
                    </w:rPr>
                    <w:t>投资</w:t>
                  </w:r>
                </w:p>
              </w:tc>
              <w:tc>
                <w:tcPr>
                  <w:tcW w:w="304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Times New Roman" w:hint="eastAsia"/>
                      <w:color w:val="auto"/>
                      <w:sz w:val="21"/>
                      <w:szCs w:val="21"/>
                      <w:lang w:val="en-US" w:eastAsia="zh-CN"/>
                      <w:highlight w:val="none"/>
                    </w:rPr>
                    <w:t>1000万元</w:t>
                  </w:r>
                </w:p>
              </w:tc>
              <w:tc>
                <w:tcPr>
                  <w:tcW w:w="315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Times New Roman" w:hint="eastAsia"/>
                      <w:color w:val="auto"/>
                      <w:sz w:val="21"/>
                      <w:szCs w:val="21"/>
                      <w:lang w:val="en-US" w:eastAsia="zh-CN"/>
                      <w:highlight w:val="none"/>
                    </w:rPr>
                    <w:t>1000万元</w:t>
                  </w:r>
                </w:p>
              </w:tc>
              <w:tc>
                <w:tcPr>
                  <w:tcW w:w="886" w:type="dxa"/>
                  <w:tcBorders>
                    <w:top w:val="single" w:sz="4" w:space="0" w:color="000000"/>
                    <w:left w:val="single" w:sz="4" w:space="0" w:color="000000"/>
                    <w:bottom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宋体"/>
                      <w:color w:val="auto"/>
                      <w:sz w:val="21"/>
                      <w:szCs w:val="21"/>
                      <w:highlight w:val="none"/>
                    </w:rPr>
                    <w:t>相符</w:t>
                  </w:r>
                </w:p>
              </w:tc>
            </w:tr>
            <w:tr>
              <w:trPr>
                <w:trHeight w:val="397"/>
              </w:trPr>
              <w:tc>
                <w:tcPr>
                  <w:tcW w:w="1076" w:type="dxa"/>
                  <w:tcBorders>
                    <w:top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占地面积</w:t>
                  </w:r>
                </w:p>
              </w:tc>
              <w:tc>
                <w:tcPr>
                  <w:tcW w:w="304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2095.29m</w:t>
                  </w:r>
                  <w:r>
                    <w:rPr>
                      <w:rFonts w:ascii="Times New Roman" w:cs="Times New Roman" w:hAnsi="Times New Roman" w:hint="eastAsia"/>
                      <w:color w:val="auto"/>
                      <w:sz w:val="21"/>
                      <w:szCs w:val="21"/>
                      <w:vertAlign w:val="superscript"/>
                      <w:lang w:val="en-US" w:eastAsia="zh-CN"/>
                      <w:highlight w:val="none"/>
                    </w:rPr>
                    <w:t>2</w:t>
                  </w:r>
                </w:p>
              </w:tc>
              <w:tc>
                <w:tcPr>
                  <w:tcW w:w="315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2095.29m</w:t>
                  </w:r>
                  <w:r>
                    <w:rPr>
                      <w:rFonts w:ascii="Times New Roman" w:cs="Times New Roman" w:hAnsi="Times New Roman" w:hint="eastAsia"/>
                      <w:color w:val="auto"/>
                      <w:sz w:val="21"/>
                      <w:szCs w:val="21"/>
                      <w:vertAlign w:val="superscript"/>
                      <w:lang w:val="en-US" w:eastAsia="zh-CN"/>
                      <w:highlight w:val="none"/>
                    </w:rPr>
                    <w:t>2</w:t>
                  </w:r>
                </w:p>
              </w:tc>
              <w:tc>
                <w:tcPr>
                  <w:tcW w:w="886" w:type="dxa"/>
                  <w:tcBorders>
                    <w:top w:val="single" w:sz="4" w:space="0" w:color="000000"/>
                    <w:left w:val="single" w:sz="4" w:space="0" w:color="000000"/>
                    <w:bottom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Ansi="宋体"/>
                      <w:color w:val="auto"/>
                      <w:sz w:val="21"/>
                      <w:szCs w:val="21"/>
                      <w:highlight w:val="none"/>
                    </w:rPr>
                  </w:pPr>
                  <w:r>
                    <w:rPr>
                      <w:rFonts w:ascii="Times New Roman" w:cs="Times New Roman" w:hAnsi="宋体"/>
                      <w:color w:val="auto"/>
                      <w:sz w:val="21"/>
                      <w:szCs w:val="21"/>
                      <w:highlight w:val="none"/>
                    </w:rPr>
                    <w:t>相符</w:t>
                  </w:r>
                </w:p>
              </w:tc>
            </w:tr>
            <w:tr>
              <w:trPr>
                <w:trHeight w:val="397"/>
              </w:trPr>
              <w:tc>
                <w:tcPr>
                  <w:tcW w:w="1076" w:type="dxa"/>
                  <w:tcBorders>
                    <w:top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建筑面积</w:t>
                  </w:r>
                </w:p>
              </w:tc>
              <w:tc>
                <w:tcPr>
                  <w:tcW w:w="304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376.66m</w:t>
                  </w:r>
                  <w:r>
                    <w:rPr>
                      <w:rFonts w:ascii="Times New Roman" w:cs="Times New Roman" w:hAnsi="Times New Roman" w:hint="eastAsia"/>
                      <w:color w:val="auto"/>
                      <w:sz w:val="21"/>
                      <w:szCs w:val="21"/>
                      <w:vertAlign w:val="superscript"/>
                      <w:lang w:val="en-US" w:eastAsia="zh-CN"/>
                      <w:highlight w:val="none"/>
                    </w:rPr>
                    <w:t>2</w:t>
                  </w:r>
                </w:p>
              </w:tc>
              <w:tc>
                <w:tcPr>
                  <w:tcW w:w="3150"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376.66m</w:t>
                  </w:r>
                  <w:r>
                    <w:rPr>
                      <w:rFonts w:ascii="Times New Roman" w:cs="Times New Roman" w:hAnsi="Times New Roman" w:hint="eastAsia"/>
                      <w:color w:val="auto"/>
                      <w:sz w:val="21"/>
                      <w:szCs w:val="21"/>
                      <w:vertAlign w:val="superscript"/>
                      <w:lang w:val="en-US" w:eastAsia="zh-CN"/>
                      <w:highlight w:val="none"/>
                    </w:rPr>
                    <w:t>2</w:t>
                  </w:r>
                </w:p>
              </w:tc>
              <w:tc>
                <w:tcPr>
                  <w:tcW w:w="886" w:type="dxa"/>
                  <w:tcBorders>
                    <w:top w:val="single" w:sz="4" w:space="0" w:color="000000"/>
                    <w:left w:val="single" w:sz="4" w:space="0" w:color="000000"/>
                    <w:bottom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Ansi="宋体"/>
                      <w:color w:val="auto"/>
                      <w:sz w:val="21"/>
                      <w:szCs w:val="21"/>
                      <w:highlight w:val="none"/>
                    </w:rPr>
                  </w:pPr>
                  <w:r>
                    <w:rPr>
                      <w:rFonts w:ascii="Times New Roman" w:cs="Times New Roman" w:hAnsi="宋体"/>
                      <w:color w:val="auto"/>
                      <w:sz w:val="21"/>
                      <w:szCs w:val="21"/>
                      <w:highlight w:val="none"/>
                    </w:rPr>
                    <w:t>相符</w:t>
                  </w:r>
                </w:p>
              </w:tc>
            </w:tr>
            <w:tr>
              <w:trPr>
                <w:trHeight w:val="397"/>
              </w:trPr>
              <w:tc>
                <w:tcPr>
                  <w:tcW w:w="1076" w:type="dxa"/>
                  <w:tcBorders>
                    <w:top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宋体"/>
                      <w:color w:val="auto"/>
                      <w:sz w:val="21"/>
                      <w:szCs w:val="21"/>
                      <w:highlight w:val="none"/>
                    </w:rPr>
                    <w:t>建设地点</w:t>
                  </w:r>
                </w:p>
              </w:tc>
              <w:tc>
                <w:tcPr>
                  <w:tcW w:w="3040" w:type="dxa"/>
                  <w:tcBorders>
                    <w:top w:val="single" w:sz="4" w:space="0" w:color="000000"/>
                    <w:left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auto"/>
                      <w:sz w:val="21"/>
                      <w:szCs w:val="21"/>
                      <w:lang w:val="en-US" w:eastAsia="zh-CN"/>
                      <w:highlight w:val="red"/>
                    </w:rPr>
                  </w:pPr>
                  <w:r>
                    <w:rPr>
                      <w:rFonts w:ascii="Times New Roman" w:cs="宋体" w:hAnsi="Times New Roman" w:hint="eastAsia"/>
                      <w:color w:val="auto"/>
                      <w:sz w:val="21"/>
                      <w:szCs w:val="21"/>
                      <w:lang w:val="en-US" w:eastAsia="zh-CN"/>
                      <w:highlight w:val="none"/>
                    </w:rPr>
                    <w:t>新乡市延津县化工园区纬一路与榆林排交叉口东南角</w:t>
                  </w:r>
                </w:p>
              </w:tc>
              <w:tc>
                <w:tcPr>
                  <w:tcW w:w="3150" w:type="dxa"/>
                  <w:tcBorders>
                    <w:top w:val="single" w:sz="4" w:space="0" w:color="000000"/>
                    <w:left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hint="eastAsia"/>
                      <w:color w:val="auto"/>
                      <w:sz w:val="21"/>
                      <w:szCs w:val="21"/>
                      <w:lang w:eastAsia="zh-CN"/>
                      <w:highlight w:val="red"/>
                    </w:rPr>
                  </w:pPr>
                  <w:r>
                    <w:rPr>
                      <w:rFonts w:ascii="Times New Roman" w:cs="宋体" w:hAnsi="Times New Roman" w:hint="eastAsia"/>
                      <w:color w:val="auto"/>
                      <w:sz w:val="21"/>
                      <w:szCs w:val="21"/>
                      <w:lang w:val="en-US" w:eastAsia="zh-CN"/>
                      <w:highlight w:val="none"/>
                    </w:rPr>
                    <w:t>新乡市延津县化工园区纬一路与榆林排交叉口东南角</w:t>
                  </w:r>
                </w:p>
              </w:tc>
              <w:tc>
                <w:tcPr>
                  <w:tcW w:w="886" w:type="dxa"/>
                  <w:tcBorders>
                    <w:top w:val="single" w:sz="4" w:space="0" w:color="000000"/>
                    <w:lef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宋体"/>
                      <w:color w:val="auto"/>
                      <w:sz w:val="21"/>
                      <w:szCs w:val="21"/>
                      <w:highlight w:val="none"/>
                    </w:rPr>
                    <w:t>相符</w:t>
                  </w:r>
                </w:p>
              </w:tc>
            </w:tr>
          </w:tbl>
          <w:p>
            <w:pPr>
              <w:keepNext w:val="0"/>
              <w:keepLines w:val="0"/>
              <w:pageBreakBefore w:val="0"/>
              <w:suppressLineNumbers w:val="0"/>
              <w:kinsoku/>
              <w:wordWrap/>
              <w:overflowPunct/>
              <w:topLinePunct w:val="0"/>
              <w:bidi w:val="0"/>
              <w:spacing w:before="0" w:beforeAutospacing="0" w:after="0" w:afterAutospacing="0" w:line="440" w:lineRule="exact"/>
              <w:ind w:left="0" w:right="0" w:firstLineChars="200" w:firstLine="480"/>
              <w:rPr>
                <w:rFonts w:hint="eastAsia"/>
                <w:b w:val="0"/>
                <w:bCs/>
                <w:color w:val="auto"/>
                <w:sz w:val="24"/>
              </w:rPr>
            </w:pPr>
            <w:r>
              <w:rPr>
                <w:rFonts w:ascii="Times New Roman" w:cs="Times New Roman" w:hAnsi="Times New Roman" w:hint="eastAsia"/>
                <w:b w:val="0"/>
                <w:bCs/>
                <w:color w:val="auto"/>
                <w:sz w:val="24"/>
                <w:szCs w:val="20"/>
              </w:rPr>
              <w:t>依据备案信息，本项目与备案</w:t>
            </w:r>
            <w:r>
              <w:rPr>
                <w:rFonts w:ascii="Times New Roman" w:cs="Times New Roman" w:hAnsi="Times New Roman" w:hint="eastAsia"/>
                <w:b w:val="0"/>
                <w:bCs/>
                <w:color w:val="auto"/>
                <w:sz w:val="24"/>
                <w:szCs w:val="20"/>
                <w:lang w:val="en-US" w:eastAsia="zh-CN"/>
              </w:rPr>
              <w:t>信息</w:t>
            </w:r>
            <w:r>
              <w:rPr>
                <w:rFonts w:ascii="Times New Roman" w:cs="Times New Roman" w:hAnsi="Times New Roman" w:hint="eastAsia"/>
                <w:b w:val="0"/>
                <w:bCs/>
                <w:color w:val="auto"/>
                <w:sz w:val="24"/>
                <w:szCs w:val="20"/>
              </w:rPr>
              <w:t>一致。</w:t>
            </w:r>
          </w:p>
          <w:p>
            <w:pPr>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Chars="200" w:firstLine="480"/>
              <w:rPr>
                <w:rFonts w:ascii="宋体" w:hAnsi="宋体"/>
                <w:b/>
                <w:bCs/>
                <w:color w:val="000000"/>
                <w:sz w:val="24"/>
                <w:highlight w:val="none"/>
              </w:rPr>
            </w:pPr>
            <w:r>
              <w:rPr>
                <w:rFonts w:ascii="Times New Roman" w:cs="Times New Roman" w:hAnsi="Times New Roman" w:hint="eastAsia"/>
                <w:b/>
                <w:color w:val="000000"/>
                <w:sz w:val="24"/>
                <w:szCs w:val="20"/>
                <w14:textFill>
                  <w14:solidFill>
                    <w14:srgbClr w14:val="000000"/>
                  </w14:solidFill>
                </w14:textFill>
                <w:lang w:val="en-US" w:eastAsia="zh-CN"/>
                <w:highlight w:val="none"/>
              </w:rPr>
              <w:t>4</w:t>
            </w:r>
            <w:r>
              <w:rPr>
                <w:rFonts w:ascii="Times New Roman" w:cs="Times New Roman" w:hAnsi="Times New Roman"/>
                <w:b/>
                <w:color w:val="000000"/>
                <w:sz w:val="24"/>
                <w:szCs w:val="20"/>
                <w14:textFill>
                  <w14:solidFill>
                    <w14:srgbClr w14:val="000000"/>
                  </w14:solidFill>
                </w14:textFill>
                <w:highlight w:val="none"/>
              </w:rPr>
              <w:t>、</w:t>
            </w:r>
            <w:r>
              <w:rPr>
                <w:rFonts w:ascii="Times New Roman" w:cs="Times New Roman" w:hAnsi="Times New Roman" w:hint="eastAsia"/>
                <w:b/>
                <w:bCs/>
                <w:color w:val="auto"/>
                <w:kern w:val="0"/>
                <w:sz w:val="24"/>
                <w:szCs w:val="20"/>
                <w:highlight w:val="none"/>
              </w:rPr>
              <w:t>本项目</w:t>
            </w:r>
            <w:r>
              <w:rPr>
                <w:rFonts w:ascii="Times New Roman" w:eastAsia="宋体" w:cs="Times New Roman" w:hAnsi="Times New Roman" w:hint="eastAsia"/>
                <w:b/>
                <w:bCs/>
                <w:color w:val="auto"/>
                <w:kern w:val="0"/>
                <w:sz w:val="24"/>
                <w:szCs w:val="20"/>
                <w:lang w:val="en-US" w:eastAsia="zh-CN"/>
                <w:highlight w:val="none"/>
              </w:rPr>
              <w:t>与《新乡市生态环境保护委员会办公室关于印发&lt;新乡市2025年蓝天保卫战实施方案&gt; &lt;新乡市2025年碧水保卫战实施方案&gt; &lt;新乡市2025年柴油货车污染治理攻坚战实施方案&gt;的通知》</w:t>
            </w:r>
            <w:r>
              <w:rPr>
                <w:rFonts w:ascii="Times New Roman" w:eastAsia="宋体" w:cs="Times New Roman" w:hAnsi="Times New Roman" w:hint="eastAsia"/>
                <w:b/>
                <w:bCs/>
                <w:color w:val="auto"/>
                <w:sz w:val="24"/>
                <w:szCs w:val="20"/>
                <w:lang w:val="en-US" w:eastAsia="zh-CN"/>
              </w:rPr>
              <w:t>的通知文件相</w:t>
            </w:r>
            <w:r>
              <w:rPr>
                <w:rFonts w:ascii="Times New Roman" w:eastAsia="宋体" w:cs="Times New Roman" w:hAnsi="Times New Roman" w:hint="eastAsia"/>
                <w:b/>
                <w:bCs/>
                <w:color w:val="auto"/>
                <w:sz w:val="24"/>
                <w:szCs w:val="20"/>
                <w:lang w:eastAsia="zh-CN"/>
              </w:rPr>
              <w:t>符性</w:t>
            </w:r>
            <w:r>
              <w:rPr>
                <w:rFonts w:ascii="Times New Roman" w:eastAsia="宋体" w:cs="Times New Roman" w:hAnsi="Times New Roman"/>
                <w:b/>
                <w:bCs/>
                <w:color w:val="auto"/>
                <w:sz w:val="24"/>
                <w:szCs w:val="20"/>
                <w:lang w:eastAsia="zh-CN"/>
              </w:rPr>
              <w:t>分析</w:t>
            </w:r>
            <w:r>
              <w:rPr>
                <w:rFonts w:ascii="Times New Roman" w:cs="Times New Roman" w:hAnsi="Times New Roman"/>
                <w:color w:val="000000"/>
                <w:kern w:val="0"/>
                <w:sz w:val="24"/>
                <w:szCs w:val="20"/>
                <w:highlight w:val="none"/>
              </w:rPr>
              <w:t>。</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sz w:val="24"/>
                <w:szCs w:val="20"/>
                <w:lang w:val="en-US" w:eastAsia="zh-CN"/>
              </w:rPr>
              <w:t xml:space="preserve"> </w:t>
            </w:r>
            <w:r>
              <w:rPr>
                <w:rFonts w:ascii="Times New Roman" w:cs="Times New Roman" w:hAnsi="Times New Roman" w:hint="eastAsia"/>
                <w:sz w:val="24"/>
                <w:szCs w:val="20"/>
                <w:lang w:val="en-US" w:eastAsia="zh-CN"/>
              </w:rPr>
              <w:t xml:space="preserve"> </w:t>
            </w:r>
            <w:r>
              <w:rPr>
                <w:rFonts w:ascii="Times New Roman" w:cs="Times New Roman" w:hAnsi="Times New Roman" w:hint="eastAsia"/>
                <w:sz w:val="24"/>
                <w:szCs w:val="20"/>
              </w:rPr>
              <w:t>与新乡市</w:t>
            </w:r>
            <w:r>
              <w:rPr>
                <w:rFonts w:ascii="Times New Roman" w:cs="Times New Roman" w:hAnsi="Times New Roman"/>
                <w:sz w:val="24"/>
                <w:szCs w:val="20"/>
              </w:rPr>
              <w:t>202</w:t>
            </w:r>
            <w:r>
              <w:rPr>
                <w:rFonts w:ascii="Times New Roman" w:cs="Times New Roman" w:hAnsi="Times New Roman" w:hint="eastAsia"/>
                <w:sz w:val="24"/>
                <w:szCs w:val="20"/>
                <w:lang w:val="en-US" w:eastAsia="zh-CN"/>
              </w:rPr>
              <w:t>5</w:t>
            </w:r>
            <w:r>
              <w:rPr>
                <w:rFonts w:ascii="Times New Roman" w:cs="Times New Roman" w:hAnsi="Times New Roman"/>
                <w:sz w:val="24"/>
                <w:szCs w:val="20"/>
              </w:rPr>
              <w:t>年各项</w:t>
            </w:r>
            <w:r>
              <w:rPr>
                <w:rFonts w:ascii="Times New Roman" w:cs="Times New Roman" w:hAnsi="Times New Roman" w:hint="eastAsia"/>
                <w:sz w:val="24"/>
                <w:szCs w:val="20"/>
              </w:rPr>
              <w:t>保卫战实施方案的相符性分析</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63"/>
              <w:gridCol w:w="222"/>
              <w:gridCol w:w="4601"/>
              <w:gridCol w:w="1686"/>
              <w:gridCol w:w="109"/>
              <w:gridCol w:w="724"/>
            </w:tblGrid>
            <w:tr>
              <w:trPr>
                <w:trHeight w:val="397"/>
              </w:trPr>
              <w:tc>
                <w:tcPr>
                  <w:tcW w:w="857" w:type="dxa"/>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b/>
                      <w:color w:val="000000"/>
                      <w:sz w:val="21"/>
                      <w:szCs w:val="21"/>
                      <w:lang w:eastAsia="zh-CN"/>
                      <w:highlight w:val="none"/>
                    </w:rPr>
                  </w:pPr>
                  <w:r>
                    <w:rPr>
                      <w:rFonts w:ascii="Times New Roman" w:cs="Times New Roman" w:hAnsi="Times New Roman"/>
                      <w:b/>
                      <w:color w:val="000000"/>
                      <w:sz w:val="21"/>
                      <w:szCs w:val="21"/>
                      <w:lang w:val="en-US" w:eastAsia="zh-CN"/>
                      <w:highlight w:val="none"/>
                    </w:rPr>
                    <w:t>类别</w:t>
                  </w:r>
                </w:p>
              </w:tc>
              <w:tc>
                <w:tcPr>
                  <w:tcW w:w="4788"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b/>
                      <w:color w:val="000000"/>
                      <w:sz w:val="21"/>
                      <w:szCs w:val="21"/>
                      <w:lang w:eastAsia="zh-CN"/>
                      <w:highlight w:val="none"/>
                    </w:rPr>
                  </w:pPr>
                  <w:r>
                    <w:rPr>
                      <w:rFonts w:ascii="Times New Roman" w:cs="Times New Roman" w:hAnsi="Times New Roman"/>
                      <w:b/>
                      <w:color w:val="000000"/>
                      <w:sz w:val="21"/>
                      <w:szCs w:val="21"/>
                      <w:lang w:val="en-US" w:eastAsia="zh-CN"/>
                      <w:highlight w:val="none"/>
                    </w:rPr>
                    <w:t>文件要求</w:t>
                  </w:r>
                </w:p>
              </w:tc>
              <w:tc>
                <w:tcPr>
                  <w:tcW w:w="1674" w:type="dxa"/>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b/>
                      <w:color w:val="000000"/>
                      <w:sz w:val="21"/>
                      <w:szCs w:val="21"/>
                      <w:highlight w:val="none"/>
                    </w:rPr>
                  </w:pPr>
                  <w:r>
                    <w:rPr>
                      <w:rFonts w:ascii="Times New Roman" w:cs="Times New Roman" w:hAnsi="Times New Roman"/>
                      <w:b/>
                      <w:color w:val="000000"/>
                      <w:sz w:val="21"/>
                      <w:szCs w:val="21"/>
                      <w:highlight w:val="none"/>
                    </w:rPr>
                    <w:t>本项目情况</w:t>
                  </w:r>
                </w:p>
              </w:tc>
              <w:tc>
                <w:tcPr>
                  <w:tcW w:w="827"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b/>
                      <w:color w:val="000000"/>
                      <w:sz w:val="21"/>
                      <w:szCs w:val="21"/>
                      <w:highlight w:val="none"/>
                    </w:rPr>
                  </w:pPr>
                  <w:r>
                    <w:rPr>
                      <w:rFonts w:ascii="Times New Roman" w:cs="Times New Roman" w:hAnsi="Times New Roman"/>
                      <w:b/>
                      <w:color w:val="000000"/>
                      <w:sz w:val="21"/>
                      <w:szCs w:val="21"/>
                      <w:highlight w:val="none"/>
                    </w:rPr>
                    <w:t>相符性</w:t>
                  </w:r>
                </w:p>
              </w:tc>
            </w:tr>
            <w:tr>
              <w:trPr>
                <w:trHeight w:val="397"/>
              </w:trPr>
              <w:tc>
                <w:tcPr>
                  <w:tcW w:w="8146" w:type="dxa"/>
                  <w:gridSpan w:val="6"/>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highlight w:val="none"/>
                    </w:rPr>
                  </w:pPr>
                  <w:r>
                    <w:rPr>
                      <w:rFonts w:ascii="Times New Roman" w:cs="Times New Roman" w:hAnsi="Times New Roman"/>
                      <w:b/>
                      <w:bCs/>
                      <w:sz w:val="21"/>
                      <w:szCs w:val="21"/>
                      <w:highlight w:val="none"/>
                    </w:rPr>
                    <w:t>新乡市202</w:t>
                  </w:r>
                  <w:r>
                    <w:rPr>
                      <w:rFonts w:ascii="Times New Roman" w:cs="Times New Roman" w:hAnsi="Times New Roman" w:hint="eastAsia"/>
                      <w:b/>
                      <w:bCs/>
                      <w:sz w:val="21"/>
                      <w:szCs w:val="21"/>
                      <w:lang w:val="en-US" w:eastAsia="zh-CN"/>
                      <w:highlight w:val="none"/>
                    </w:rPr>
                    <w:t>5</w:t>
                  </w:r>
                  <w:r>
                    <w:rPr>
                      <w:rFonts w:ascii="Times New Roman" w:cs="Times New Roman" w:hAnsi="Times New Roman"/>
                      <w:b/>
                      <w:bCs/>
                      <w:sz w:val="21"/>
                      <w:szCs w:val="21"/>
                      <w:highlight w:val="none"/>
                    </w:rPr>
                    <w:t>年蓝天保卫战实施方案</w:t>
                  </w:r>
                </w:p>
              </w:tc>
            </w:tr>
            <w:tr>
              <w:trPr>
                <w:trHeight w:val="397"/>
              </w:trPr>
              <w:tc>
                <w:tcPr>
                  <w:tcW w:w="857" w:type="dxa"/>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ascii="Times New Roman" w:cs="Times New Roman" w:hAnsi="Times New Roman"/>
                      <w:bCs/>
                      <w:color w:val="FF0000"/>
                      <w:sz w:val="21"/>
                      <w:szCs w:val="21"/>
                      <w:highlight w:val="none"/>
                    </w:rPr>
                  </w:pPr>
                  <w:r>
                    <w:rPr>
                      <w:rFonts w:ascii="Times New Roman" w:eastAsia="宋体" w:cs="Times New Roman" w:hAnsi="Times New Roman"/>
                      <w:color w:val="000000"/>
                      <w:kern w:val="0"/>
                      <w:sz w:val="21"/>
                      <w:szCs w:val="21"/>
                      <w:lang w:val="en-US" w:eastAsia="zh-CN"/>
                      <w:highlight w:val="none"/>
                    </w:rPr>
                    <w:t>9.实施挥发性有机物综合治理</w:t>
                  </w:r>
                </w:p>
              </w:tc>
              <w:tc>
                <w:tcPr>
                  <w:tcW w:w="4788" w:type="dxa"/>
                  <w:gridSpan w:val="2"/>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ascii="Times New Roman" w:cs="Times New Roman" w:hAnsi="Times New Roman"/>
                      <w:color w:val="000000"/>
                      <w:sz w:val="21"/>
                      <w:szCs w:val="21"/>
                      <w:highlight w:val="none"/>
                    </w:rPr>
                  </w:pPr>
                  <w:r>
                    <w:rPr>
                      <w:rFonts w:ascii="Times New Roman" w:eastAsia="宋体" w:cs="Times New Roman" w:hAnsi="Times New Roman"/>
                      <w:color w:val="000000"/>
                      <w:kern w:val="0"/>
                      <w:sz w:val="21"/>
                      <w:szCs w:val="21"/>
                      <w:lang w:val="en-US" w:eastAsia="zh-CN"/>
                      <w:highlight w:val="none"/>
                    </w:rPr>
                    <w:t>实施涉 VOCs重点企业“夏病冬治”，2025年5月15日前完成对全市2000余家工业涂装、包装印刷、医药化工等行业企业的帮扶指导，加强全流程综合治理，减少VOCs排放。重点开展挥发性有机液体储罐、装卸、敞开液面、泄漏检测与修复（LDAR）、废气收集、废气旁路、治理设施、加油站、非正常工况、产品VOCs含量等10个关键环节的VOCs治理突出问题排查整治，在汽车、机械制造、家具、汽修、塑料软包装、印铁制罐、包装印刷领等域深入推广使用低（无）VOCs含量涂料和油墨。</w:t>
                  </w:r>
                </w:p>
              </w:tc>
              <w:tc>
                <w:tcPr>
                  <w:tcW w:w="1674"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FF0000"/>
                      <w:kern w:val="0"/>
                      <w:sz w:val="21"/>
                      <w:szCs w:val="21"/>
                      <w:highlight w:val="none"/>
                    </w:rPr>
                  </w:pPr>
                  <w:r>
                    <w:rPr>
                      <w:rFonts w:ascii="Times New Roman" w:eastAsia="宋体" w:cs="Times New Roman" w:hAnsi="Times New Roman"/>
                      <w:b w:val="0"/>
                      <w:bCs w:val="0"/>
                      <w:color w:val="000000"/>
                      <w:sz w:val="21"/>
                      <w:szCs w:val="21"/>
                      <w:vertAlign w:val="baseline"/>
                      <w:lang w:val="en-US" w:eastAsia="zh-CN"/>
                      <w:highlight w:val="none"/>
                    </w:rPr>
                    <w:t>本项目</w:t>
                  </w:r>
                  <w:r>
                    <w:rPr>
                      <w:rFonts w:ascii="Times New Roman" w:eastAsia="宋体" w:cs="Times New Roman" w:hAnsi="Times New Roman"/>
                      <w:b w:val="0"/>
                      <w:color w:val="auto"/>
                      <w:kern w:val="2"/>
                      <w:sz w:val="21"/>
                      <w:szCs w:val="21"/>
                      <w:lang w:val="en-US" w:eastAsia="zh-CN" w:bidi="ar-SA"/>
                    </w:rPr>
                    <w:t>汽油、柴油均以储罐形式密闭储存</w:t>
                  </w:r>
                  <w:r>
                    <w:rPr>
                      <w:rFonts w:ascii="Times New Roman" w:cs="Times New Roman" w:hAnsi="Times New Roman"/>
                      <w:b w:val="0"/>
                      <w:color w:val="auto"/>
                      <w:kern w:val="2"/>
                      <w:sz w:val="21"/>
                      <w:szCs w:val="21"/>
                      <w:lang w:val="en-US" w:eastAsia="zh-CN" w:bidi="ar-SA"/>
                    </w:rPr>
                    <w:t>，汽油</w:t>
                  </w:r>
                  <w:r>
                    <w:rPr>
                      <w:rFonts w:ascii="Times New Roman" w:eastAsia="宋体" w:cs="Times New Roman" w:hAnsi="Times New Roman"/>
                      <w:color w:val="auto"/>
                      <w:sz w:val="21"/>
                      <w:szCs w:val="21"/>
                      <w:lang w:val="en-US" w:eastAsia="zh-CN"/>
                    </w:rPr>
                    <w:t>储罐呼吸废气和</w:t>
                  </w:r>
                  <w:r>
                    <w:rPr>
                      <w:rFonts w:ascii="Times New Roman" w:cs="Times New Roman" w:hAnsi="Times New Roman"/>
                      <w:color w:val="auto"/>
                      <w:sz w:val="21"/>
                      <w:szCs w:val="21"/>
                      <w:lang w:val="en-US" w:eastAsia="zh-CN"/>
                    </w:rPr>
                    <w:t>卸油、</w:t>
                  </w:r>
                  <w:r>
                    <w:rPr>
                      <w:rFonts w:ascii="Times New Roman" w:eastAsia="宋体" w:cs="Times New Roman" w:hAnsi="Times New Roman"/>
                      <w:color w:val="auto"/>
                      <w:sz w:val="21"/>
                      <w:szCs w:val="21"/>
                      <w:lang w:val="en-US" w:eastAsia="zh-CN"/>
                    </w:rPr>
                    <w:t>加油作业废气均配置相应的油气回收系统。</w:t>
                  </w:r>
                </w:p>
              </w:tc>
              <w:tc>
                <w:tcPr>
                  <w:tcW w:w="827" w:type="dxa"/>
                  <w:gridSpan w:val="2"/>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highlight w:val="none"/>
                    </w:rPr>
                  </w:pPr>
                  <w:r>
                    <w:rPr>
                      <w:rFonts w:ascii="Times New Roman" w:cs="Times New Roman" w:hAnsi="Times New Roman"/>
                      <w:sz w:val="21"/>
                      <w:szCs w:val="21"/>
                      <w:highlight w:val="none"/>
                    </w:rPr>
                    <w:t>相符</w:t>
                  </w:r>
                </w:p>
              </w:tc>
            </w:tr>
            <w:tr>
              <w:trPr>
                <w:trHeight w:val="397"/>
              </w:trPr>
              <w:tc>
                <w:tcPr>
                  <w:tcW w:w="857" w:type="dxa"/>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highlight w:val="none"/>
                    </w:rPr>
                  </w:pPr>
                  <w:r>
                    <w:rPr>
                      <w:rFonts w:ascii="Times New Roman" w:eastAsia="宋体" w:cs="Times New Roman" w:hAnsi="Times New Roman"/>
                      <w:color w:val="000000"/>
                      <w:kern w:val="0"/>
                      <w:sz w:val="21"/>
                      <w:szCs w:val="21"/>
                      <w:lang w:val="en-US" w:eastAsia="zh-CN"/>
                      <w:highlight w:val="none"/>
                    </w:rPr>
                    <w:t>1</w:t>
                  </w:r>
                  <w:r>
                    <w:rPr>
                      <w:rFonts w:ascii="Times New Roman" w:cs="Times New Roman" w:hAnsi="Times New Roman" w:hint="eastAsia"/>
                      <w:color w:val="000000"/>
                      <w:kern w:val="0"/>
                      <w:sz w:val="21"/>
                      <w:szCs w:val="21"/>
                      <w:lang w:val="en-US" w:eastAsia="zh-CN"/>
                      <w:highlight w:val="none"/>
                    </w:rPr>
                    <w:t>5</w:t>
                  </w:r>
                  <w:r>
                    <w:rPr>
                      <w:rFonts w:ascii="Times New Roman" w:eastAsia="宋体" w:cs="Times New Roman" w:hAnsi="Times New Roman"/>
                      <w:color w:val="000000"/>
                      <w:kern w:val="0"/>
                      <w:sz w:val="21"/>
                      <w:szCs w:val="21"/>
                      <w:lang w:val="en-US" w:eastAsia="zh-CN"/>
                      <w:highlight w:val="none"/>
                    </w:rPr>
                    <w:t>、全面保障成品油质量</w:t>
                  </w:r>
                </w:p>
              </w:tc>
              <w:tc>
                <w:tcPr>
                  <w:tcW w:w="4788" w:type="dxa"/>
                  <w:gridSpan w:val="2"/>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highlight w:val="none"/>
                    </w:rPr>
                  </w:pPr>
                  <w:r>
                    <w:rPr>
                      <w:rFonts w:ascii="Times New Roman" w:eastAsia="宋体" w:cs="Times New Roman" w:hAnsi="Times New Roman"/>
                      <w:color w:val="000000"/>
                      <w:kern w:val="0"/>
                      <w:sz w:val="21"/>
                      <w:szCs w:val="21"/>
                      <w:lang w:val="en-US" w:eastAsia="zh-CN"/>
                      <w:highlight w:val="none"/>
                    </w:rPr>
                    <w:t>加强油品进口、生产、仓储、销售、运输、使用全环节监管，按年度组织开展非标油专项联合执法行动，全面清理整顿自建油罐、流动加油车和黑加油站点，坚决打击将非标油品作为发动机燃料销售等行为。提升货车、非道路移动机械油箱中柴油抽测频次，对发现的线索进行追溯，严厉追究相关生产、销售、运输者主体责任。加大油气回收装置使用执法检查力度。</w:t>
                  </w:r>
                </w:p>
              </w:tc>
              <w:tc>
                <w:tcPr>
                  <w:tcW w:w="1674"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kern w:val="0"/>
                      <w:sz w:val="21"/>
                      <w:szCs w:val="21"/>
                      <w:highlight w:val="none"/>
                    </w:rPr>
                  </w:pPr>
                  <w:r>
                    <w:rPr>
                      <w:rFonts w:ascii="Times New Roman" w:cs="Times New Roman" w:hAnsi="Times New Roman"/>
                      <w:snapToGrid w:val="0"/>
                      <w:color w:val="auto"/>
                      <w:sz w:val="21"/>
                      <w:szCs w:val="21"/>
                    </w:rPr>
                    <w:t>本项目</w:t>
                  </w:r>
                  <w:r>
                    <w:rPr>
                      <w:rFonts w:ascii="Times New Roman" w:cs="Times New Roman" w:hAnsi="Times New Roman"/>
                      <w:snapToGrid w:val="0"/>
                      <w:color w:val="auto"/>
                      <w:sz w:val="21"/>
                      <w:szCs w:val="21"/>
                      <w:lang w:val="en-US" w:eastAsia="zh-CN"/>
                    </w:rPr>
                    <w:t>销售的汽油、柴油均为符合标准的油品</w:t>
                  </w:r>
                  <w:r>
                    <w:rPr>
                      <w:rFonts w:ascii="Times New Roman" w:cs="Times New Roman" w:hAnsi="Times New Roman"/>
                      <w:color w:val="auto"/>
                      <w:sz w:val="21"/>
                      <w:szCs w:val="21"/>
                    </w:rPr>
                    <w:t>。</w:t>
                  </w:r>
                </w:p>
              </w:tc>
              <w:tc>
                <w:tcPr>
                  <w:tcW w:w="827" w:type="dxa"/>
                  <w:gridSpan w:val="2"/>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highlight w:val="none"/>
                    </w:rPr>
                  </w:pPr>
                </w:p>
              </w:tc>
            </w:tr>
            <w:tr>
              <w:trPr>
                <w:trHeight w:val="397"/>
              </w:trPr>
              <w:tc>
                <w:tcPr>
                  <w:tcW w:w="8146" w:type="dxa"/>
                  <w:gridSpan w:val="6"/>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highlight w:val="none"/>
                    </w:rPr>
                  </w:pPr>
                  <w:r>
                    <w:rPr>
                      <w:rFonts w:ascii="Times New Roman" w:cs="Times New Roman" w:hAnsi="Times New Roman"/>
                      <w:b/>
                      <w:bCs/>
                      <w:color w:val="000000"/>
                      <w:kern w:val="0"/>
                      <w:sz w:val="21"/>
                      <w:szCs w:val="21"/>
                      <w:highlight w:val="none"/>
                    </w:rPr>
                    <w:t>新乡市202</w:t>
                  </w:r>
                  <w:r>
                    <w:rPr>
                      <w:rFonts w:ascii="Times New Roman" w:cs="Times New Roman" w:hAnsi="Times New Roman" w:hint="eastAsia"/>
                      <w:b/>
                      <w:bCs/>
                      <w:color w:val="000000"/>
                      <w:kern w:val="0"/>
                      <w:sz w:val="21"/>
                      <w:szCs w:val="21"/>
                      <w:lang w:val="en-US" w:eastAsia="zh-CN"/>
                      <w:highlight w:val="none"/>
                    </w:rPr>
                    <w:t>5</w:t>
                  </w:r>
                  <w:r>
                    <w:rPr>
                      <w:rFonts w:ascii="Times New Roman" w:cs="Times New Roman" w:hAnsi="Times New Roman"/>
                      <w:b/>
                      <w:bCs/>
                      <w:color w:val="000000"/>
                      <w:kern w:val="0"/>
                      <w:sz w:val="21"/>
                      <w:szCs w:val="21"/>
                      <w:highlight w:val="none"/>
                    </w:rPr>
                    <w:t>年碧水保卫战实施方案</w:t>
                  </w:r>
                </w:p>
              </w:tc>
            </w:tr>
            <w:tr>
              <w:trPr>
                <w:trHeight w:val="397"/>
              </w:trPr>
              <w:tc>
                <w:tcPr>
                  <w:tcW w:w="1077"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Cs/>
                      <w:color w:val="FF0000"/>
                      <w:sz w:val="21"/>
                      <w:szCs w:val="21"/>
                      <w:highlight w:val="none"/>
                    </w:rPr>
                  </w:pPr>
                  <w:r>
                    <w:rPr>
                      <w:rFonts w:ascii="Times New Roman" w:eastAsia="宋体" w:cs="Times New Roman" w:hAnsi="Times New Roman"/>
                      <w:kern w:val="0"/>
                      <w:sz w:val="21"/>
                      <w:szCs w:val="21"/>
                      <w:lang w:val="en-US" w:eastAsia="zh-CN"/>
                      <w:highlight w:val="none"/>
                    </w:rPr>
                    <w:t>1</w:t>
                  </w:r>
                  <w:r>
                    <w:rPr>
                      <w:rFonts w:ascii="Times New Roman" w:cs="Times New Roman" w:hAnsi="Times New Roman" w:hint="eastAsia"/>
                      <w:kern w:val="0"/>
                      <w:sz w:val="21"/>
                      <w:szCs w:val="21"/>
                      <w:lang w:val="en-US" w:eastAsia="zh-CN"/>
                      <w:highlight w:val="none"/>
                    </w:rPr>
                    <w:t>3</w:t>
                  </w:r>
                  <w:r>
                    <w:rPr>
                      <w:rFonts w:ascii="Times New Roman" w:eastAsia="宋体" w:cs="Times New Roman" w:hAnsi="Times New Roman"/>
                      <w:kern w:val="0"/>
                      <w:sz w:val="21"/>
                      <w:szCs w:val="21"/>
                      <w:lang w:val="en-US" w:eastAsia="zh-CN"/>
                      <w:highlight w:val="none"/>
                    </w:rPr>
                    <w:t>、推动企业绿色转型发展</w:t>
                  </w:r>
                </w:p>
              </w:tc>
              <w:tc>
                <w:tcPr>
                  <w:tcW w:w="4568"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000000"/>
                      <w:sz w:val="21"/>
                      <w:szCs w:val="21"/>
                      <w:highlight w:val="none"/>
                    </w:rPr>
                  </w:pPr>
                  <w:r>
                    <w:rPr>
                      <w:rFonts w:ascii="Times New Roman" w:eastAsia="宋体" w:cs="Times New Roman" w:hAnsi="Times New Roman"/>
                      <w:kern w:val="0"/>
                      <w:sz w:val="21"/>
                      <w:szCs w:val="21"/>
                      <w:lang w:val="en-US" w:eastAsia="zh-CN"/>
                      <w:highlight w:val="none"/>
                    </w:rPr>
                    <w:t>坚决遏制“两高一低”项目盲目发展，严把新建项目准入关；严格落实生态环境分区管控，加快推进工业企业绿色转型发展；培育壮大节能、节水、环保和资源综合利用产业，提高能源资源利用效率；对有色金属、化工、电镀、制革、造纸、印染、农副食品加工等行业，全面推进清洁生产改造或清洁化改造。</w:t>
                  </w:r>
                </w:p>
              </w:tc>
              <w:tc>
                <w:tcPr>
                  <w:tcW w:w="1782"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FF0000"/>
                      <w:kern w:val="0"/>
                      <w:sz w:val="21"/>
                      <w:szCs w:val="21"/>
                      <w:lang w:val="en-US" w:eastAsia="zh-CN"/>
                      <w:highlight w:val="none"/>
                    </w:rPr>
                  </w:pPr>
                  <w:r>
                    <w:rPr>
                      <w:rFonts w:ascii="Times New Roman" w:cs="Times New Roman" w:hAnsi="Times New Roman"/>
                      <w:color w:val="auto"/>
                      <w:kern w:val="0"/>
                      <w:sz w:val="21"/>
                      <w:szCs w:val="21"/>
                      <w:highlight w:val="none"/>
                    </w:rPr>
                    <w:t>本项目</w:t>
                  </w:r>
                  <w:r>
                    <w:rPr>
                      <w:rFonts w:ascii="Times New Roman" w:cs="Times New Roman" w:hAnsi="Times New Roman" w:hint="eastAsia"/>
                      <w:color w:val="auto"/>
                      <w:kern w:val="0"/>
                      <w:sz w:val="21"/>
                      <w:szCs w:val="21"/>
                      <w:lang w:val="en-US" w:eastAsia="zh-CN"/>
                      <w:highlight w:val="none"/>
                    </w:rPr>
                    <w:t>无生产废水，</w:t>
                  </w:r>
                  <w:r>
                    <w:rPr>
                      <w:rFonts w:ascii="Times New Roman" w:cs="Times New Roman" w:hAnsi="Times New Roman"/>
                      <w:color w:val="auto"/>
                      <w:sz w:val="21"/>
                      <w:szCs w:val="21"/>
                      <w:highlight w:val="none"/>
                    </w:rPr>
                    <w:t>生活污水经化粪池处理后</w:t>
                  </w:r>
                  <w:r>
                    <w:rPr>
                      <w:rFonts w:ascii="Times New Roman" w:cs="Times New Roman" w:hAnsi="Times New Roman" w:hint="eastAsia"/>
                      <w:bCs/>
                      <w:color w:val="auto"/>
                      <w:kern w:val="0"/>
                      <w:sz w:val="21"/>
                      <w:szCs w:val="21"/>
                      <w:highlight w:val="none"/>
                    </w:rPr>
                    <w:t>由管网</w:t>
                  </w:r>
                  <w:r>
                    <w:rPr>
                      <w:rFonts w:ascii="Times New Roman" w:cs="Times New Roman" w:hAnsi="Times New Roman"/>
                      <w:color w:val="auto"/>
                      <w:kern w:val="0"/>
                      <w:sz w:val="21"/>
                      <w:szCs w:val="21"/>
                      <w:highlight w:val="none"/>
                    </w:rPr>
                    <w:t>排入延津县第二污水处理厂进行处理</w:t>
                  </w:r>
                  <w:r>
                    <w:rPr>
                      <w:rFonts w:ascii="Times New Roman" w:cs="Times New Roman" w:hAnsi="Times New Roman"/>
                      <w:color w:val="auto"/>
                      <w:sz w:val="21"/>
                      <w:szCs w:val="21"/>
                      <w:highlight w:val="none"/>
                    </w:rPr>
                    <w:t>。</w:t>
                  </w:r>
                </w:p>
              </w:tc>
              <w:tc>
                <w:tcPr>
                  <w:tcW w:w="719" w:type="dxa"/>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highlight w:val="none"/>
                    </w:rPr>
                  </w:pPr>
                  <w:r>
                    <w:rPr>
                      <w:rFonts w:ascii="Times New Roman" w:cs="Times New Roman" w:hAnsi="Times New Roman"/>
                      <w:sz w:val="21"/>
                      <w:szCs w:val="21"/>
                      <w:highlight w:val="none"/>
                    </w:rPr>
                    <w:t>相符</w:t>
                  </w:r>
                </w:p>
              </w:tc>
            </w:tr>
            <w:tr>
              <w:trPr>
                <w:trHeight w:val="397"/>
              </w:trPr>
              <w:tc>
                <w:tcPr>
                  <w:tcW w:w="8146" w:type="dxa"/>
                  <w:gridSpan w:val="6"/>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highlight w:val="none"/>
                    </w:rPr>
                  </w:pPr>
                  <w:r>
                    <w:rPr>
                      <w:rFonts w:ascii="Times New Roman" w:eastAsia="宋体" w:cs="Times New Roman" w:hAnsi="Times New Roman"/>
                      <w:b/>
                      <w:bCs/>
                      <w:sz w:val="21"/>
                      <w:szCs w:val="21"/>
                      <w:lang w:val="en-US" w:eastAsia="zh-CN"/>
                      <w:highlight w:val="none"/>
                    </w:rPr>
                    <w:t>新乡市202</w:t>
                  </w:r>
                  <w:r>
                    <w:rPr>
                      <w:rFonts w:ascii="Times New Roman" w:cs="Times New Roman" w:hAnsi="Times New Roman" w:hint="eastAsia"/>
                      <w:b/>
                      <w:bCs/>
                      <w:sz w:val="21"/>
                      <w:szCs w:val="21"/>
                      <w:lang w:val="en-US" w:eastAsia="zh-CN"/>
                      <w:highlight w:val="none"/>
                    </w:rPr>
                    <w:t>5</w:t>
                  </w:r>
                  <w:r>
                    <w:rPr>
                      <w:rFonts w:ascii="Times New Roman" w:eastAsia="宋体" w:cs="Times New Roman" w:hAnsi="Times New Roman"/>
                      <w:b/>
                      <w:bCs/>
                      <w:sz w:val="21"/>
                      <w:szCs w:val="21"/>
                      <w:lang w:val="en-US" w:eastAsia="zh-CN"/>
                      <w:highlight w:val="none"/>
                    </w:rPr>
                    <w:t>年柴油货车污染治理攻坚战实施方案</w:t>
                  </w:r>
                </w:p>
              </w:tc>
            </w:tr>
            <w:tr>
              <w:trPr>
                <w:trHeight w:val="397"/>
              </w:trPr>
              <w:tc>
                <w:tcPr>
                  <w:tcW w:w="1077"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Cs/>
                      <w:color w:val="FF0000"/>
                      <w:sz w:val="21"/>
                      <w:szCs w:val="21"/>
                      <w:highlight w:val="none"/>
                    </w:rPr>
                  </w:pPr>
                  <w:r>
                    <w:rPr>
                      <w:rFonts w:ascii="Times New Roman" w:eastAsia="宋体" w:cs="Times New Roman" w:hAnsi="Times New Roman"/>
                      <w:sz w:val="21"/>
                      <w:szCs w:val="21"/>
                      <w:lang w:val="en-US" w:eastAsia="zh-CN"/>
                      <w:highlight w:val="none"/>
                    </w:rPr>
                    <w:t>4</w:t>
                  </w:r>
                  <w:r>
                    <w:rPr>
                      <w:rFonts w:ascii="Times New Roman" w:eastAsia="宋体" w:cs="Times New Roman" w:hAnsi="Times New Roman"/>
                      <w:sz w:val="21"/>
                      <w:szCs w:val="21"/>
                      <w:highlight w:val="none"/>
                    </w:rPr>
                    <w:t>、</w:t>
                  </w:r>
                  <w:r>
                    <w:rPr>
                      <w:rFonts w:ascii="Times New Roman" w:eastAsia="宋体" w:cs="Times New Roman" w:hAnsi="Times New Roman"/>
                      <w:sz w:val="21"/>
                      <w:szCs w:val="21"/>
                      <w:lang w:val="en-US" w:eastAsia="zh-CN"/>
                      <w:highlight w:val="none"/>
                    </w:rPr>
                    <w:t>淘汰老旧车辆</w:t>
                  </w:r>
                </w:p>
              </w:tc>
              <w:tc>
                <w:tcPr>
                  <w:tcW w:w="4568"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kern w:val="0"/>
                      <w:sz w:val="21"/>
                      <w:szCs w:val="21"/>
                      <w:lang w:val="en-US" w:eastAsia="zh-CN"/>
                      <w:highlight w:val="none"/>
                    </w:rPr>
                  </w:pPr>
                  <w:r>
                    <w:rPr>
                      <w:rFonts w:ascii="Times New Roman" w:eastAsia="宋体" w:cs="Times New Roman" w:hAnsi="Times New Roman"/>
                      <w:sz w:val="21"/>
                      <w:szCs w:val="21"/>
                      <w:lang w:val="en-US" w:eastAsia="zh-CN"/>
                      <w:highlight w:val="none"/>
                    </w:rPr>
                    <w:t>制定老旧车辆淘汰目标及实施计划，统筹运用“两新”资金和大气污染防治资金加快淘汰国四及以下排放标准汽车。严格执行机动车强制报废标准规定，符合强制报废情形的交具有资质的报废机动车回收企业按规定回收拆解。加大对报废汽车回收拆解企业的监管力度，规范报废汽车回收拆解行为，严厉打击“作坊式”回收拆解，确保淘汰车辆真拆解、真报废。</w:t>
                  </w:r>
                </w:p>
              </w:tc>
              <w:tc>
                <w:tcPr>
                  <w:tcW w:w="1782"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kern w:val="0"/>
                      <w:sz w:val="21"/>
                      <w:szCs w:val="21"/>
                      <w:highlight w:val="none"/>
                    </w:rPr>
                  </w:pPr>
                  <w:r>
                    <w:rPr>
                      <w:rFonts w:ascii="Times New Roman" w:cs="Times New Roman" w:hAnsi="Times New Roman"/>
                      <w:sz w:val="21"/>
                      <w:szCs w:val="21"/>
                      <w:highlight w:val="none"/>
                    </w:rPr>
                    <w:t>本项目</w:t>
                  </w:r>
                  <w:r>
                    <w:rPr>
                      <w:rFonts w:ascii="Times New Roman" w:cs="Times New Roman" w:hAnsi="Times New Roman"/>
                      <w:sz w:val="21"/>
                      <w:szCs w:val="21"/>
                      <w:lang w:val="en-US" w:eastAsia="zh-CN"/>
                      <w:highlight w:val="none"/>
                    </w:rPr>
                    <w:t>油品</w:t>
                  </w:r>
                  <w:r>
                    <w:rPr>
                      <w:rFonts w:ascii="Times New Roman" w:eastAsia="宋体" w:cs="Times New Roman" w:hAnsi="Times New Roman"/>
                      <w:color w:val="auto"/>
                      <w:sz w:val="21"/>
                      <w:szCs w:val="21"/>
                      <w:lang w:val="en-US" w:eastAsia="zh-CN"/>
                    </w:rPr>
                    <w:t>委托第三方公司运输，</w:t>
                  </w:r>
                  <w:r>
                    <w:rPr>
                      <w:rFonts w:ascii="Times New Roman" w:cs="Times New Roman" w:hAnsi="Times New Roman"/>
                      <w:color w:val="auto"/>
                      <w:sz w:val="21"/>
                      <w:szCs w:val="21"/>
                      <w:lang w:val="en-US" w:eastAsia="zh-CN"/>
                    </w:rPr>
                    <w:t>将</w:t>
                  </w:r>
                  <w:r>
                    <w:rPr>
                      <w:rFonts w:ascii="Times New Roman" w:eastAsia="宋体" w:cs="Times New Roman" w:hAnsi="Times New Roman"/>
                      <w:color w:val="auto"/>
                      <w:sz w:val="21"/>
                      <w:szCs w:val="21"/>
                      <w:lang w:val="en-US" w:eastAsia="zh-CN"/>
                    </w:rPr>
                    <w:t>要求运输单位全部使用国五</w:t>
                  </w:r>
                  <w:r>
                    <w:rPr>
                      <w:rFonts w:ascii="Times New Roman" w:cs="Times New Roman" w:hAnsi="Times New Roman"/>
                      <w:color w:val="auto"/>
                      <w:sz w:val="21"/>
                      <w:szCs w:val="21"/>
                      <w:lang w:val="en-US" w:eastAsia="zh-CN"/>
                    </w:rPr>
                    <w:t>及以上</w:t>
                  </w:r>
                  <w:r>
                    <w:rPr>
                      <w:rFonts w:ascii="Times New Roman" w:eastAsia="宋体" w:cs="Times New Roman" w:hAnsi="Times New Roman"/>
                      <w:color w:val="auto"/>
                      <w:sz w:val="21"/>
                      <w:szCs w:val="21"/>
                      <w:lang w:val="en-US" w:eastAsia="zh-CN"/>
                    </w:rPr>
                    <w:t>排放标准车辆</w:t>
                  </w:r>
                  <w:r>
                    <w:rPr>
                      <w:rFonts w:ascii="Times New Roman" w:cs="Times New Roman" w:hAnsi="Times New Roman"/>
                      <w:sz w:val="21"/>
                      <w:szCs w:val="21"/>
                      <w:highlight w:val="none"/>
                    </w:rPr>
                    <w:t>。</w:t>
                  </w:r>
                </w:p>
              </w:tc>
              <w:tc>
                <w:tcPr>
                  <w:tcW w:w="719" w:type="dxa"/>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highlight w:val="none"/>
                    </w:rPr>
                  </w:pPr>
                  <w:r>
                    <w:rPr>
                      <w:rFonts w:ascii="Times New Roman" w:cs="Times New Roman" w:hAnsi="Times New Roman"/>
                      <w:color w:val="000000"/>
                      <w:sz w:val="21"/>
                      <w:szCs w:val="21"/>
                      <w:highlight w:val="none"/>
                    </w:rPr>
                    <w:t>相符</w:t>
                  </w:r>
                </w:p>
              </w:tc>
            </w:tr>
            <w:tr>
              <w:trPr>
                <w:trHeight w:val="397"/>
              </w:trPr>
              <w:tc>
                <w:tcPr>
                  <w:tcW w:w="1077"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sz w:val="21"/>
                      <w:szCs w:val="21"/>
                      <w:lang w:val="en-US" w:eastAsia="zh-CN"/>
                      <w:highlight w:val="none"/>
                    </w:rPr>
                  </w:pPr>
                  <w:r>
                    <w:rPr>
                      <w:rFonts w:ascii="Times New Roman" w:eastAsia="宋体" w:cs="Times New Roman" w:hAnsi="Times New Roman"/>
                      <w:sz w:val="21"/>
                      <w:szCs w:val="21"/>
                      <w:lang w:val="en-US" w:eastAsia="zh-CN"/>
                      <w:highlight w:val="none"/>
                    </w:rPr>
                    <w:t>14、提升燃油清洁化水平</w:t>
                  </w:r>
                </w:p>
              </w:tc>
              <w:tc>
                <w:tcPr>
                  <w:tcW w:w="4568"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sz w:val="21"/>
                      <w:szCs w:val="21"/>
                      <w:lang w:val="en-US" w:eastAsia="zh-CN"/>
                      <w:highlight w:val="none"/>
                    </w:rPr>
                  </w:pPr>
                  <w:r>
                    <w:rPr>
                      <w:rFonts w:ascii="Times New Roman" w:eastAsia="宋体" w:cs="Times New Roman" w:hAnsi="Times New Roman"/>
                      <w:sz w:val="21"/>
                      <w:szCs w:val="21"/>
                      <w:lang w:val="en-US" w:eastAsia="zh-CN"/>
                      <w:highlight w:val="none"/>
                    </w:rPr>
                    <w:t>加强油品质量监督检查，建立常态化油品监督检查机制，完善部门协同监管模式，组织开展非标油专项联合执法行动，对柴油进口、生产、仓储、销售、运输、使用等全环节开展部门联合监管，全面清理整顿无证无照或证照不全的自建油罐、流动加油车和黑加油站点，坚决打击非标油品。对发现的线索进行追溯，严厉追究相关生产、销售、运输者主体责任。燃料生产企业应该按照国家标准规定生产合格的车船燃料。</w:t>
                  </w:r>
                </w:p>
              </w:tc>
              <w:tc>
                <w:tcPr>
                  <w:tcW w:w="1782"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sz w:val="21"/>
                      <w:szCs w:val="21"/>
                      <w:highlight w:val="none"/>
                    </w:rPr>
                  </w:pPr>
                  <w:r>
                    <w:rPr>
                      <w:rFonts w:ascii="Times New Roman" w:cs="Times New Roman" w:hAnsi="Times New Roman"/>
                      <w:snapToGrid w:val="0"/>
                      <w:color w:val="auto"/>
                      <w:sz w:val="21"/>
                      <w:szCs w:val="21"/>
                    </w:rPr>
                    <w:t>本项目</w:t>
                  </w:r>
                  <w:r>
                    <w:rPr>
                      <w:rFonts w:ascii="Times New Roman" w:cs="Times New Roman" w:hAnsi="Times New Roman"/>
                      <w:snapToGrid w:val="0"/>
                      <w:color w:val="auto"/>
                      <w:sz w:val="21"/>
                      <w:szCs w:val="21"/>
                      <w:lang w:val="en-US" w:eastAsia="zh-CN"/>
                    </w:rPr>
                    <w:t>销售的汽油、柴油均为符合标准的油品；</w:t>
                  </w:r>
                  <w:r>
                    <w:rPr>
                      <w:rFonts w:ascii="Times New Roman" w:cs="Times New Roman" w:hAnsi="Times New Roman"/>
                      <w:sz w:val="21"/>
                      <w:szCs w:val="21"/>
                      <w:lang w:val="en-US" w:eastAsia="zh-CN"/>
                      <w:highlight w:val="none"/>
                    </w:rPr>
                    <w:t>油品</w:t>
                  </w:r>
                  <w:r>
                    <w:rPr>
                      <w:rFonts w:ascii="Times New Roman" w:eastAsia="宋体" w:cs="Times New Roman" w:hAnsi="Times New Roman"/>
                      <w:color w:val="auto"/>
                      <w:sz w:val="21"/>
                      <w:szCs w:val="21"/>
                      <w:lang w:val="en-US" w:eastAsia="zh-CN"/>
                    </w:rPr>
                    <w:t>委托第三方公司运输</w:t>
                  </w:r>
                  <w:r>
                    <w:rPr>
                      <w:rFonts w:ascii="Times New Roman" w:cs="Times New Roman" w:hAnsi="Times New Roman"/>
                      <w:color w:val="auto"/>
                      <w:sz w:val="21"/>
                      <w:szCs w:val="21"/>
                    </w:rPr>
                    <w:t>。</w:t>
                  </w:r>
                </w:p>
              </w:tc>
              <w:tc>
                <w:tcPr>
                  <w:tcW w:w="719" w:type="dxa"/>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相符</w:t>
                  </w:r>
                </w:p>
              </w:tc>
            </w:tr>
            <w:tr>
              <w:trPr>
                <w:trHeight w:val="397"/>
              </w:trPr>
              <w:tc>
                <w:tcPr>
                  <w:tcW w:w="1077"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sz w:val="21"/>
                      <w:szCs w:val="21"/>
                      <w:lang w:val="en-US" w:eastAsia="zh-CN"/>
                      <w:highlight w:val="none"/>
                    </w:rPr>
                  </w:pPr>
                  <w:r>
                    <w:rPr>
                      <w:rFonts w:ascii="Times New Roman" w:eastAsia="宋体" w:cs="Times New Roman" w:hAnsi="Times New Roman"/>
                      <w:sz w:val="21"/>
                      <w:szCs w:val="21"/>
                      <w:lang w:val="en-US" w:eastAsia="zh-CN"/>
                      <w:highlight w:val="none"/>
                    </w:rPr>
                    <w:t>15、加强油品储运销环节油气污染防治</w:t>
                  </w:r>
                </w:p>
              </w:tc>
              <w:tc>
                <w:tcPr>
                  <w:tcW w:w="4568"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sz w:val="21"/>
                      <w:szCs w:val="21"/>
                      <w:lang w:val="en-US" w:eastAsia="zh-CN"/>
                      <w:highlight w:val="none"/>
                    </w:rPr>
                  </w:pPr>
                  <w:r>
                    <w:rPr>
                      <w:rFonts w:ascii="Times New Roman" w:eastAsia="宋体" w:cs="Times New Roman" w:hAnsi="Times New Roman"/>
                      <w:sz w:val="21"/>
                      <w:szCs w:val="21"/>
                      <w:lang w:val="en-US" w:eastAsia="zh-CN"/>
                      <w:highlight w:val="none"/>
                    </w:rPr>
                    <w:t>落实油品经营单位油气排放控制的主体责任，完善油气回收装置使用维保、安全管理、日常检查和定期自检制度等，确保油气回收装置正常运行。</w:t>
                  </w:r>
                </w:p>
              </w:tc>
              <w:tc>
                <w:tcPr>
                  <w:tcW w:w="1782"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snapToGrid w:val="0"/>
                      <w:color w:val="auto"/>
                      <w:sz w:val="21"/>
                      <w:szCs w:val="21"/>
                      <w:lang w:val="en-US" w:eastAsia="zh-CN"/>
                    </w:rPr>
                  </w:pPr>
                  <w:r>
                    <w:rPr>
                      <w:rFonts w:ascii="Times New Roman" w:eastAsia="宋体" w:cs="Times New Roman" w:hAnsi="Times New Roman"/>
                      <w:sz w:val="21"/>
                      <w:szCs w:val="21"/>
                      <w:lang w:val="en-US" w:eastAsia="zh-CN"/>
                      <w:highlight w:val="none"/>
                    </w:rPr>
                    <w:t>项目建成后将按要求日常检查及安全管理，确保正常运行。</w:t>
                  </w:r>
                </w:p>
              </w:tc>
              <w:tc>
                <w:tcPr>
                  <w:tcW w:w="719" w:type="dxa"/>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相符</w:t>
                  </w:r>
                </w:p>
              </w:tc>
            </w:tr>
            <w:tr>
              <w:trPr>
                <w:trHeight w:val="397"/>
              </w:trPr>
              <w:tc>
                <w:tcPr>
                  <w:tcW w:w="1077"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sz w:val="21"/>
                      <w:szCs w:val="21"/>
                      <w:lang w:val="en-US" w:eastAsia="zh-CN"/>
                      <w:highlight w:val="none"/>
                    </w:rPr>
                  </w:pPr>
                  <w:r>
                    <w:rPr>
                      <w:rFonts w:ascii="Times New Roman" w:eastAsia="宋体" w:cs="Times New Roman" w:hAnsi="Times New Roman"/>
                      <w:sz w:val="21"/>
                      <w:szCs w:val="21"/>
                      <w:lang w:val="en-US" w:eastAsia="zh-CN"/>
                      <w:highlight w:val="none"/>
                    </w:rPr>
                    <w:t>1</w:t>
                  </w:r>
                  <w:r>
                    <w:rPr>
                      <w:rFonts w:ascii="Times New Roman" w:cs="Times New Roman" w:hAnsi="Times New Roman" w:hint="eastAsia"/>
                      <w:sz w:val="21"/>
                      <w:szCs w:val="21"/>
                      <w:lang w:val="en-US" w:eastAsia="zh-CN"/>
                      <w:highlight w:val="none"/>
                    </w:rPr>
                    <w:t>7</w:t>
                  </w:r>
                  <w:r>
                    <w:rPr>
                      <w:rFonts w:ascii="Times New Roman" w:eastAsia="宋体" w:cs="Times New Roman" w:hAnsi="Times New Roman"/>
                      <w:sz w:val="21"/>
                      <w:szCs w:val="21"/>
                      <w:lang w:val="en-US" w:eastAsia="zh-CN"/>
                      <w:highlight w:val="none"/>
                    </w:rPr>
                    <w:t>、加快推进油气回收信息化建设</w:t>
                  </w:r>
                </w:p>
              </w:tc>
              <w:tc>
                <w:tcPr>
                  <w:tcW w:w="4568"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2025年底前，力争完成全市汽油储油库、油罐车和高速公路、城市中心区加油站油气回收在线信息系统的安装及联网，实现油气回收在线实时监控</w:t>
                  </w:r>
                </w:p>
              </w:tc>
              <w:tc>
                <w:tcPr>
                  <w:tcW w:w="1782" w:type="dxa"/>
                  <w:gridSpan w:val="2"/>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snapToGrid w:val="0"/>
                      <w:color w:val="auto"/>
                      <w:sz w:val="21"/>
                      <w:szCs w:val="21"/>
                      <w:lang w:val="en-US" w:eastAsia="zh-CN"/>
                    </w:rPr>
                  </w:pPr>
                  <w:r>
                    <w:rPr>
                      <w:rFonts w:ascii="Times New Roman" w:cs="Times New Roman" w:hAnsi="Times New Roman"/>
                      <w:snapToGrid w:val="0"/>
                      <w:color w:val="auto"/>
                      <w:sz w:val="21"/>
                      <w:szCs w:val="21"/>
                      <w:lang w:val="en-US" w:eastAsia="zh-CN"/>
                    </w:rPr>
                    <w:t>项目建成后将按管理要求安装油气回收系统。</w:t>
                  </w:r>
                </w:p>
              </w:tc>
              <w:tc>
                <w:tcPr>
                  <w:tcW w:w="719" w:type="dxa"/>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auto"/>
                      <w:sz w:val="21"/>
                      <w:szCs w:val="21"/>
                      <w:highlight w:val="none"/>
                    </w:rPr>
                  </w:pPr>
                  <w:r>
                    <w:rPr>
                      <w:rFonts w:ascii="Times New Roman" w:cs="Times New Roman" w:hAnsi="Times New Roman"/>
                      <w:color w:val="auto"/>
                      <w:sz w:val="21"/>
                      <w:szCs w:val="21"/>
                      <w:highlight w:val="none"/>
                    </w:rPr>
                    <w:t>相符</w:t>
                  </w:r>
                </w:p>
              </w:tc>
            </w:tr>
          </w:tbl>
          <w:p>
            <w:pPr>
              <w:keepNext w:val="0"/>
              <w:keepLines w:val="0"/>
              <w:suppressLineNumbers w:val="0"/>
              <w:adjustRightInd w:val="0"/>
              <w:snapToGrid w:val="0"/>
              <w:spacing w:before="0" w:beforeAutospacing="0" w:after="0" w:afterAutospacing="0" w:line="440" w:lineRule="exact"/>
              <w:ind w:left="0" w:right="0" w:firstLineChars="200" w:firstLine="480"/>
              <w:rPr>
                <w:rFonts w:hint="eastAsia"/>
                <w:b/>
                <w:bCs/>
                <w:color w:val="000000"/>
                <w:sz w:val="24"/>
                <w:highlight w:val="none"/>
              </w:rPr>
            </w:pPr>
            <w:r>
              <w:rPr>
                <w:rFonts w:ascii="Times New Roman" w:cs="Times New Roman" w:hAnsi="Times New Roman"/>
                <w:color w:val="000000"/>
                <w:sz w:val="24"/>
                <w:szCs w:val="20"/>
                <w:highlight w:val="none"/>
              </w:rPr>
              <w:t>由上表可知，</w:t>
            </w:r>
            <w:r>
              <w:rPr>
                <w:rFonts w:ascii="Times New Roman" w:cs="Times New Roman" w:hAnsi="Times New Roman" w:hint="eastAsia"/>
                <w:color w:val="000000"/>
                <w:sz w:val="24"/>
                <w:szCs w:val="20"/>
                <w:highlight w:val="none"/>
              </w:rPr>
              <w:t>本项目符合</w:t>
            </w:r>
            <w:r>
              <w:rPr>
                <w:rFonts w:ascii="Times New Roman" w:cs="Times New Roman" w:hAnsi="Times New Roman"/>
                <w:color w:val="000000"/>
                <w:kern w:val="0"/>
                <w:sz w:val="24"/>
                <w:szCs w:val="20"/>
                <w:highlight w:val="none"/>
              </w:rPr>
              <w:t>《新乡市</w:t>
            </w:r>
            <w:r>
              <w:rPr>
                <w:rFonts w:ascii="Times New Roman" w:cs="Times New Roman" w:hAnsi="Times New Roman" w:hint="eastAsia"/>
                <w:color w:val="000000"/>
                <w:kern w:val="0"/>
                <w:sz w:val="24"/>
                <w:szCs w:val="20"/>
                <w:lang w:val="en-US" w:eastAsia="zh-CN"/>
                <w:highlight w:val="none"/>
              </w:rPr>
              <w:t>生态环境保护委员会办公室关于印发《新乡市2025年蓝天保卫战实施方案》《新乡市2025年碧水保卫战实施方案》《新乡市2025年柴油货车污染治理攻坚战实施方案》的通知</w:t>
            </w:r>
            <w:r>
              <w:rPr>
                <w:rFonts w:ascii="Times New Roman" w:cs="Times New Roman" w:hAnsi="Times New Roman"/>
                <w:color w:val="000000"/>
                <w:kern w:val="0"/>
                <w:sz w:val="24"/>
                <w:szCs w:val="20"/>
                <w:highlight w:val="none"/>
              </w:rPr>
              <w:t>》</w:t>
            </w:r>
            <w:r>
              <w:rPr>
                <w:rFonts w:ascii="Times New Roman" w:cs="Times New Roman" w:hAnsi="Times New Roman" w:hint="eastAsia"/>
                <w:color w:val="000000"/>
                <w:kern w:val="0"/>
                <w:sz w:val="24"/>
                <w:szCs w:val="20"/>
                <w:lang w:eastAsia="zh-CN"/>
                <w:highlight w:val="none"/>
              </w:rPr>
              <w:t>的</w:t>
            </w:r>
            <w:r>
              <w:rPr>
                <w:rFonts w:ascii="Times New Roman" w:cs="Times New Roman" w:hAnsi="Times New Roman" w:hint="eastAsia"/>
                <w:color w:val="000000"/>
                <w:sz w:val="24"/>
                <w:szCs w:val="20"/>
                <w:highlight w:val="none"/>
              </w:rPr>
              <w:t>相关要求。</w:t>
            </w:r>
          </w:p>
          <w:p>
            <w:pPr>
              <w:keepNext w:val="0"/>
              <w:keepLines w:val="0"/>
              <w:suppressLineNumbers w:val="0"/>
              <w:spacing w:before="0" w:beforeAutospacing="0" w:after="0" w:afterAutospacing="0" w:line="440" w:lineRule="exact"/>
              <w:ind w:left="0" w:right="0" w:firstLineChars="200" w:firstLine="480"/>
              <w:rPr>
                <w:rFonts w:hint="eastAsia"/>
                <w:b/>
                <w:sz w:val="24"/>
                <w:highlight w:val="none"/>
              </w:rPr>
            </w:pPr>
            <w:r>
              <w:rPr>
                <w:rFonts w:ascii="Times New Roman" w:cs="Times New Roman" w:hAnsi="Times New Roman" w:hint="eastAsia"/>
                <w:b/>
                <w:sz w:val="24"/>
                <w:szCs w:val="20"/>
                <w:lang w:val="en-US" w:eastAsia="zh-CN"/>
                <w:highlight w:val="none"/>
              </w:rPr>
              <w:t>5</w:t>
            </w:r>
            <w:r>
              <w:rPr>
                <w:rFonts w:ascii="Times New Roman" w:cs="Times New Roman" w:hAnsi="Times New Roman" w:hint="eastAsia"/>
                <w:b/>
                <w:sz w:val="24"/>
                <w:szCs w:val="20"/>
                <w:highlight w:val="none"/>
              </w:rPr>
              <w:t>、</w:t>
            </w:r>
            <w:r>
              <w:rPr>
                <w:rFonts w:ascii="Times New Roman" w:cs="Times New Roman" w:hAnsi="Times New Roman"/>
                <w:b/>
                <w:sz w:val="24"/>
                <w:szCs w:val="20"/>
                <w:highlight w:val="none"/>
              </w:rPr>
              <w:t>与《</w:t>
            </w:r>
            <w:r>
              <w:rPr>
                <w:rFonts w:ascii="Times New Roman" w:cs="Times New Roman" w:hAnsi="Times New Roman" w:hint="eastAsia"/>
                <w:b/>
                <w:sz w:val="24"/>
                <w:szCs w:val="20"/>
                <w:highlight w:val="none"/>
              </w:rPr>
              <w:t>加油站地下水污染防治技术指南（试行）</w:t>
            </w:r>
            <w:r>
              <w:rPr>
                <w:rFonts w:ascii="Times New Roman" w:cs="Times New Roman" w:hAnsi="Times New Roman"/>
                <w:b/>
                <w:sz w:val="24"/>
                <w:szCs w:val="20"/>
                <w:highlight w:val="none"/>
              </w:rPr>
              <w:t>》</w:t>
            </w:r>
            <w:r>
              <w:rPr>
                <w:rFonts w:ascii="Times New Roman" w:cs="Times New Roman" w:hAnsi="Times New Roman" w:hint="eastAsia"/>
                <w:b/>
                <w:sz w:val="24"/>
                <w:szCs w:val="20"/>
                <w:highlight w:val="none"/>
              </w:rPr>
              <w:t>相符性分析。</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sz w:val="24"/>
                <w:szCs w:val="20"/>
                <w:lang w:val="en-US" w:eastAsia="zh-CN"/>
              </w:rPr>
              <w:t xml:space="preserve">  </w:t>
            </w:r>
            <w:r>
              <w:rPr>
                <w:rFonts w:ascii="Times New Roman" w:cs="Times New Roman" w:hAnsi="Times New Roman"/>
                <w:sz w:val="24"/>
                <w:szCs w:val="20"/>
              </w:rPr>
              <w:t>与《</w:t>
            </w:r>
            <w:r>
              <w:rPr>
                <w:rFonts w:ascii="Times New Roman" w:cs="Times New Roman" w:hAnsi="Times New Roman" w:hint="eastAsia"/>
                <w:sz w:val="24"/>
                <w:szCs w:val="20"/>
              </w:rPr>
              <w:t>加油站地下水污染防治技术指南（试行）</w:t>
            </w:r>
            <w:r>
              <w:rPr>
                <w:rFonts w:ascii="Times New Roman" w:cs="Times New Roman" w:hAnsi="Times New Roman"/>
                <w:sz w:val="24"/>
                <w:szCs w:val="20"/>
              </w:rPr>
              <w:t>》</w:t>
            </w:r>
            <w:r>
              <w:rPr>
                <w:rFonts w:ascii="Times New Roman" w:cs="Times New Roman" w:hAnsi="Times New Roman" w:hint="eastAsia"/>
                <w:sz w:val="24"/>
                <w:szCs w:val="20"/>
              </w:rPr>
              <w:t>相符性分析</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56"/>
              <w:gridCol w:w="4708"/>
              <w:gridCol w:w="2149"/>
              <w:gridCol w:w="791"/>
            </w:tblGrid>
            <w:tr>
              <w:trPr>
                <w:trHeight w:val="397"/>
              </w:trPr>
              <w:tc>
                <w:tcPr>
                  <w:tcW w:w="599"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b/>
                      <w:sz w:val="21"/>
                      <w:szCs w:val="21"/>
                      <w:lang w:eastAsia="zh-CN"/>
                      <w:highlight w:val="none"/>
                    </w:rPr>
                  </w:pPr>
                  <w:r>
                    <w:rPr>
                      <w:rFonts w:ascii="Times New Roman" w:cs="Times New Roman" w:hAnsi="Times New Roman"/>
                      <w:b/>
                      <w:sz w:val="21"/>
                      <w:szCs w:val="21"/>
                      <w:lang w:val="en-US" w:eastAsia="zh-CN"/>
                      <w:highlight w:val="none"/>
                    </w:rPr>
                    <w:t>项目</w:t>
                  </w:r>
                </w:p>
              </w:tc>
              <w:tc>
                <w:tcPr>
                  <w:tcW w:w="507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b/>
                      <w:sz w:val="21"/>
                      <w:szCs w:val="21"/>
                      <w:highlight w:val="none"/>
                    </w:rPr>
                  </w:pPr>
                  <w:r>
                    <w:rPr>
                      <w:rFonts w:ascii="Times New Roman" w:cs="Times New Roman" w:hAnsi="Times New Roman"/>
                      <w:b/>
                      <w:sz w:val="21"/>
                      <w:szCs w:val="21"/>
                      <w:highlight w:val="none"/>
                    </w:rPr>
                    <w:t>与本项目相关条文</w:t>
                  </w:r>
                </w:p>
              </w:tc>
              <w:tc>
                <w:tcPr>
                  <w:tcW w:w="231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b/>
                      <w:sz w:val="21"/>
                      <w:szCs w:val="21"/>
                      <w:highlight w:val="none"/>
                    </w:rPr>
                  </w:pPr>
                  <w:r>
                    <w:rPr>
                      <w:rFonts w:ascii="Times New Roman" w:cs="Times New Roman" w:hAnsi="Times New Roman"/>
                      <w:b/>
                      <w:sz w:val="21"/>
                      <w:szCs w:val="21"/>
                      <w:highlight w:val="none"/>
                    </w:rPr>
                    <w:t>本项目情况</w:t>
                  </w:r>
                </w:p>
              </w:tc>
              <w:tc>
                <w:tcPr>
                  <w:tcW w:w="85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Chars="-52" w:left="-125" w:right="0"/>
                    <w:jc w:val="right"/>
                    <w:textAlignment w:val="baseline"/>
                    <w:rPr>
                      <w:rFonts w:ascii="Times New Roman" w:cs="Times New Roman" w:hAnsi="Times New Roman"/>
                      <w:b/>
                      <w:sz w:val="21"/>
                      <w:szCs w:val="21"/>
                      <w:highlight w:val="none"/>
                    </w:rPr>
                  </w:pPr>
                  <w:r>
                    <w:rPr>
                      <w:rFonts w:ascii="Times New Roman" w:cs="Times New Roman" w:hAnsi="Times New Roman"/>
                      <w:b/>
                      <w:sz w:val="21"/>
                      <w:szCs w:val="21"/>
                      <w:highlight w:val="none"/>
                    </w:rPr>
                    <w:t>相符性</w:t>
                  </w:r>
                </w:p>
              </w:tc>
            </w:tr>
            <w:tr>
              <w:trPr>
                <w:trHeight w:val="397"/>
              </w:trPr>
              <w:tc>
                <w:tcPr>
                  <w:tcW w:w="599" w:type="dxa"/>
                  <w:vMerge w:val="restar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双层罐设置</w:t>
                  </w:r>
                </w:p>
              </w:tc>
              <w:tc>
                <w:tcPr>
                  <w:tcW w:w="507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left"/>
                    <w:textAlignment w:val="baseline"/>
                    <w:rPr>
                      <w:rFonts w:ascii="Times New Roman" w:eastAsia="宋体" w:cs="Times New Roman" w:hAnsi="Times New Roman"/>
                      <w:color w:val="auto"/>
                      <w:kern w:val="0"/>
                      <w:sz w:val="21"/>
                      <w:szCs w:val="21"/>
                      <w:lang w:val="en-US" w:eastAsia="zh-CN" w:bidi="ar-SA"/>
                      <w:highlight w:val="none"/>
                    </w:rPr>
                  </w:pPr>
                  <w:r>
                    <w:rPr>
                      <w:rFonts w:ascii="Times New Roman" w:cs="Times New Roman" w:hAnsi="Times New Roman"/>
                      <w:sz w:val="21"/>
                      <w:szCs w:val="21"/>
                      <w:highlight w:val="none"/>
                    </w:rPr>
                    <w:t>埋地油罐采用双层油罐时，可采用双层钢制油罐、双层玻璃纤维增强塑料油罐、内钢外玻璃纤</w:t>
                  </w:r>
                  <w:r>
                    <w:rPr>
                      <w:rFonts w:ascii="Times New Roman" w:eastAsia="宋体" w:cs="Times New Roman" w:hAnsi="Times New Roman"/>
                      <w:color w:val="auto"/>
                      <w:kern w:val="0"/>
                      <w:sz w:val="21"/>
                      <w:szCs w:val="21"/>
                      <w:lang w:val="en-US" w:eastAsia="zh-CN" w:bidi="ar-SA"/>
                      <w:highlight w:val="none"/>
                    </w:rPr>
                    <w:t>维增强塑料双层油罐。</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highlight w:val="none"/>
                    </w:rPr>
                  </w:pPr>
                  <w:r>
                    <w:rPr>
                      <w:rFonts w:ascii="Times New Roman" w:eastAsia="宋体" w:cs="Times New Roman" w:hAnsi="Times New Roman"/>
                      <w:color w:val="auto"/>
                      <w:kern w:val="0"/>
                      <w:sz w:val="21"/>
                      <w:szCs w:val="21"/>
                      <w:lang w:val="en-US" w:eastAsia="zh-CN" w:bidi="ar-SA"/>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汽车加油加气站设计与施工规范》（GB 50156）的其他规定。</w:t>
                  </w:r>
                </w:p>
              </w:tc>
              <w:tc>
                <w:tcPr>
                  <w:tcW w:w="2315"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both"/>
                    <w:rPr>
                      <w:rFonts w:ascii="Times New Roman" w:cs="Times New Roman" w:hAnsi="Times New Roman"/>
                      <w:sz w:val="21"/>
                      <w:szCs w:val="21"/>
                      <w:highlight w:val="none"/>
                    </w:rPr>
                  </w:pPr>
                  <w:r>
                    <w:rPr>
                      <w:rFonts w:ascii="Times New Roman" w:cs="Times New Roman" w:hAnsi="Times New Roman"/>
                      <w:kern w:val="0"/>
                      <w:sz w:val="21"/>
                      <w:szCs w:val="21"/>
                      <w:highlight w:val="none"/>
                    </w:rPr>
                    <w:t>本项目拟使用的油罐均为</w:t>
                  </w:r>
                  <w:r>
                    <w:rPr>
                      <w:rFonts w:ascii="Times New Roman" w:cs="Times New Roman" w:hAnsi="Times New Roman" w:hint="eastAsia"/>
                      <w:kern w:val="0"/>
                      <w:sz w:val="21"/>
                      <w:szCs w:val="21"/>
                      <w:lang w:val="en-US" w:eastAsia="zh-CN"/>
                      <w:highlight w:val="none"/>
                    </w:rPr>
                    <w:t>SF双层埋地油罐</w:t>
                  </w:r>
                  <w:r>
                    <w:rPr>
                      <w:rFonts w:ascii="Times New Roman" w:cs="Times New Roman" w:hAnsi="Times New Roman"/>
                      <w:kern w:val="0"/>
                      <w:sz w:val="21"/>
                      <w:szCs w:val="21"/>
                      <w:highlight w:val="none"/>
                    </w:rPr>
                    <w:t>，罐体结构设计符合</w:t>
                  </w:r>
                  <w:r>
                    <w:rPr>
                      <w:rFonts w:ascii="Times New Roman" w:cs="Times New Roman" w:hAnsi="Times New Roman" w:hint="eastAsia"/>
                      <w:kern w:val="0"/>
                      <w:sz w:val="21"/>
                      <w:szCs w:val="21"/>
                      <w:lang w:val="en-US" w:eastAsia="zh-CN"/>
                      <w:highlight w:val="none"/>
                    </w:rPr>
                    <w:t>相关</w:t>
                  </w:r>
                  <w:r>
                    <w:rPr>
                      <w:rFonts w:ascii="Times New Roman" w:cs="Times New Roman" w:hAnsi="Times New Roman"/>
                      <w:kern w:val="0"/>
                      <w:sz w:val="21"/>
                      <w:szCs w:val="21"/>
                      <w:highlight w:val="none"/>
                    </w:rPr>
                    <w:t>规定。</w:t>
                  </w:r>
                </w:p>
              </w:tc>
              <w:tc>
                <w:tcPr>
                  <w:tcW w:w="85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eastAsia="宋体" w:cs="Times New Roman" w:hAnsi="Times New Roman"/>
                      <w:sz w:val="21"/>
                      <w:szCs w:val="21"/>
                      <w:lang w:val="en-US" w:eastAsia="zh-CN"/>
                      <w:highlight w:val="none"/>
                    </w:rPr>
                  </w:pPr>
                  <w:r>
                    <w:rPr>
                      <w:rFonts w:ascii="Times New Roman" w:eastAsia="宋体" w:cs="Times New Roman" w:hAnsi="Times New Roman"/>
                      <w:b w:val="0"/>
                      <w:bCs w:val="0"/>
                      <w:color w:val="000000"/>
                      <w:sz w:val="21"/>
                      <w:szCs w:val="21"/>
                      <w:vertAlign w:val="baseline"/>
                      <w:lang w:val="en-US" w:eastAsia="zh-CN"/>
                      <w:highlight w:val="none"/>
                    </w:rPr>
                    <w:t>相符</w:t>
                  </w:r>
                </w:p>
              </w:tc>
            </w:tr>
            <w:tr>
              <w:trPr>
                <w:trHeight w:val="397"/>
              </w:trPr>
              <w:tc>
                <w:tcPr>
                  <w:tcW w:w="599" w:type="dxa"/>
                  <w:vMerge/>
                  <w:tcBorders>
                    <w:tl2br w:val="nil"/>
                    <w:tr2bl w:val="nil"/>
                  </w:tcBorders>
                  <w:vAlign w:val="center"/>
                </w:tcPr>
                <w:p/>
              </w:tc>
              <w:tc>
                <w:tcPr>
                  <w:tcW w:w="5072" w:type="dxa"/>
                  <w:tcBorders>
                    <w:tl2br w:val="nil"/>
                    <w:tr2bl w:val="nil"/>
                  </w:tcBorders>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highlight w:val="none"/>
                    </w:rPr>
                  </w:pPr>
                  <w:r>
                    <w:rPr>
                      <w:rFonts w:ascii="Times New Roman" w:eastAsia="宋体" w:cs="Times New Roman" w:hAnsi="Times New Roman"/>
                      <w:color w:val="auto"/>
                      <w:kern w:val="0"/>
                      <w:sz w:val="21"/>
                      <w:szCs w:val="21"/>
                      <w:lang w:val="en-US" w:eastAsia="zh-CN" w:bidi="ar-SA"/>
                      <w:highlight w:val="none"/>
                    </w:rPr>
                    <w:t>与土壤接触的钢制油罐外表面，其防腐设计应符合现行行业标准《石油化工设备和管道涂料防腐蚀技术规范》（SH 3022）的有关规定，且防腐等级不应低于加强级。</w:t>
                  </w:r>
                </w:p>
              </w:tc>
              <w:tc>
                <w:tcPr>
                  <w:tcW w:w="2315"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both"/>
                    <w:rPr>
                      <w:rFonts w:ascii="Times New Roman" w:eastAsia="宋体" w:cs="Times New Roman" w:hAnsi="Times New Roman"/>
                      <w:kern w:val="0"/>
                      <w:sz w:val="21"/>
                      <w:szCs w:val="21"/>
                      <w:lang w:val="en-US" w:eastAsia="zh-CN"/>
                      <w:highlight w:val="none"/>
                    </w:rPr>
                  </w:pPr>
                  <w:r>
                    <w:rPr>
                      <w:rFonts w:ascii="Times New Roman" w:cs="Times New Roman" w:hAnsi="Times New Roman"/>
                      <w:kern w:val="0"/>
                      <w:sz w:val="21"/>
                      <w:szCs w:val="21"/>
                      <w:highlight w:val="none"/>
                    </w:rPr>
                    <w:t>本项目</w:t>
                  </w:r>
                  <w:r>
                    <w:rPr>
                      <w:rFonts w:ascii="Times New Roman" w:cs="Times New Roman" w:hAnsi="Times New Roman" w:hint="eastAsia"/>
                      <w:kern w:val="0"/>
                      <w:sz w:val="21"/>
                      <w:szCs w:val="21"/>
                      <w:lang w:eastAsia="zh-CN"/>
                      <w:highlight w:val="none"/>
                    </w:rPr>
                    <w:t>SF双层埋地油罐</w:t>
                  </w:r>
                  <w:r>
                    <w:rPr>
                      <w:rFonts w:ascii="Times New Roman" w:cs="Times New Roman" w:hAnsi="Times New Roman" w:hint="eastAsia"/>
                      <w:kern w:val="0"/>
                      <w:sz w:val="21"/>
                      <w:szCs w:val="21"/>
                      <w:lang w:val="en-US" w:eastAsia="zh-CN"/>
                      <w:highlight w:val="none"/>
                    </w:rPr>
                    <w:t>放置于防渗池中，</w:t>
                  </w:r>
                  <w:r>
                    <w:rPr>
                      <w:rFonts w:ascii="Times New Roman" w:eastAsia="宋体" w:cs="Times New Roman" w:hAnsi="Times New Roman"/>
                      <w:color w:val="auto"/>
                      <w:kern w:val="0"/>
                      <w:sz w:val="21"/>
                      <w:szCs w:val="21"/>
                      <w:lang w:val="en-US" w:eastAsia="zh-CN" w:bidi="ar-SA"/>
                      <w:highlight w:val="none"/>
                    </w:rPr>
                    <w:t>防腐设计</w:t>
                  </w:r>
                  <w:r>
                    <w:rPr>
                      <w:rFonts w:ascii="Times New Roman" w:cs="Times New Roman" w:hAnsi="Times New Roman" w:hint="eastAsia"/>
                      <w:color w:val="auto"/>
                      <w:kern w:val="0"/>
                      <w:sz w:val="21"/>
                      <w:szCs w:val="21"/>
                      <w:lang w:val="en-US" w:eastAsia="zh-CN" w:bidi="ar-SA"/>
                      <w:highlight w:val="none"/>
                    </w:rPr>
                    <w:t>符合相关规定</w:t>
                  </w:r>
                  <w:r>
                    <w:rPr>
                      <w:rFonts w:ascii="Times New Roman" w:cs="Times New Roman" w:hAnsi="Times New Roman" w:hint="eastAsia"/>
                      <w:kern w:val="0"/>
                      <w:sz w:val="21"/>
                      <w:szCs w:val="21"/>
                      <w:lang w:val="en-US" w:eastAsia="zh-CN"/>
                      <w:highlight w:val="none"/>
                    </w:rPr>
                    <w:t>。</w:t>
                  </w:r>
                </w:p>
              </w:tc>
              <w:tc>
                <w:tcPr>
                  <w:tcW w:w="85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lang w:val="en-US" w:eastAsia="zh-CN"/>
                      <w:highlight w:val="none"/>
                    </w:rPr>
                  </w:pPr>
                  <w:r>
                    <w:rPr>
                      <w:rFonts w:ascii="Times New Roman" w:eastAsia="宋体" w:cs="Times New Roman" w:hAnsi="Times New Roman"/>
                      <w:b w:val="0"/>
                      <w:bCs w:val="0"/>
                      <w:color w:val="000000"/>
                      <w:sz w:val="21"/>
                      <w:szCs w:val="21"/>
                      <w:vertAlign w:val="baseline"/>
                      <w:lang w:val="en-US" w:eastAsia="zh-CN"/>
                      <w:highlight w:val="none"/>
                    </w:rPr>
                    <w:t>相符</w:t>
                  </w:r>
                </w:p>
              </w:tc>
            </w:tr>
            <w:tr>
              <w:trPr>
                <w:trHeight w:val="397"/>
              </w:trPr>
              <w:tc>
                <w:tcPr>
                  <w:tcW w:w="599" w:type="dxa"/>
                  <w:vMerge/>
                  <w:tcBorders>
                    <w:tl2br w:val="nil"/>
                    <w:tr2bl w:val="nil"/>
                  </w:tcBorders>
                  <w:vAlign w:val="center"/>
                </w:tcPr>
                <w:p/>
              </w:tc>
              <w:tc>
                <w:tcPr>
                  <w:tcW w:w="507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left"/>
                    <w:textAlignment w:val="baseline"/>
                    <w:rPr>
                      <w:rFonts w:ascii="Times New Roman" w:cs="Times New Roman" w:hAnsi="Times New Roman"/>
                      <w:sz w:val="21"/>
                      <w:szCs w:val="21"/>
                      <w:highlight w:val="none"/>
                    </w:rPr>
                  </w:pPr>
                  <w:r>
                    <w:rPr>
                      <w:rFonts w:ascii="Times New Roman" w:cs="Times New Roman" w:hAnsi="Times New Roman"/>
                      <w:sz w:val="21"/>
                      <w:szCs w:val="21"/>
                      <w:highlight w:val="none"/>
                    </w:rPr>
                    <w:t>双层油罐系统的渗漏检测可参考《双层罐渗漏检测系统》（GB/T30040）中的渗漏检测方法，在地下水饮用水水源地保护区和补给区优先采用压力和真空系统的渗漏检测方法。</w:t>
                  </w:r>
                </w:p>
              </w:tc>
              <w:tc>
                <w:tcPr>
                  <w:tcW w:w="2315"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both"/>
                    <w:rPr>
                      <w:rFonts w:ascii="Times New Roman" w:cs="Times New Roman" w:hAnsi="Times New Roman"/>
                      <w:kern w:val="0"/>
                      <w:sz w:val="21"/>
                      <w:szCs w:val="21"/>
                      <w:highlight w:val="none"/>
                    </w:rPr>
                  </w:pPr>
                  <w:r>
                    <w:rPr>
                      <w:rFonts w:ascii="Times New Roman" w:cs="Times New Roman" w:hAnsi="Times New Roman"/>
                      <w:kern w:val="0"/>
                      <w:sz w:val="21"/>
                      <w:szCs w:val="21"/>
                      <w:highlight w:val="none"/>
                    </w:rPr>
                    <w:t>本项目</w:t>
                  </w:r>
                  <w:r>
                    <w:rPr>
                      <w:rFonts w:ascii="Times New Roman" w:cs="Times New Roman" w:hAnsi="Times New Roman" w:hint="eastAsia"/>
                      <w:kern w:val="0"/>
                      <w:sz w:val="21"/>
                      <w:szCs w:val="21"/>
                      <w:lang w:eastAsia="zh-CN"/>
                      <w:highlight w:val="none"/>
                    </w:rPr>
                    <w:t>SF双层埋地油罐</w:t>
                  </w:r>
                  <w:r>
                    <w:rPr>
                      <w:rFonts w:ascii="Times New Roman" w:cs="Times New Roman" w:hAnsi="Times New Roman"/>
                      <w:kern w:val="0"/>
                      <w:sz w:val="21"/>
                      <w:szCs w:val="21"/>
                      <w:highlight w:val="none"/>
                    </w:rPr>
                    <w:t>设置测漏仪，可实时监控油罐渗漏情况，若发生渗漏将进行报警提示。</w:t>
                  </w:r>
                </w:p>
              </w:tc>
              <w:tc>
                <w:tcPr>
                  <w:tcW w:w="85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lang w:val="en-US" w:eastAsia="zh-CN"/>
                      <w:highlight w:val="none"/>
                    </w:rPr>
                  </w:pPr>
                  <w:r>
                    <w:rPr>
                      <w:rFonts w:ascii="Times New Roman" w:eastAsia="宋体" w:cs="Times New Roman" w:hAnsi="Times New Roman"/>
                      <w:b w:val="0"/>
                      <w:bCs w:val="0"/>
                      <w:color w:val="000000"/>
                      <w:sz w:val="21"/>
                      <w:szCs w:val="21"/>
                      <w:vertAlign w:val="baseline"/>
                      <w:lang w:val="en-US" w:eastAsia="zh-CN"/>
                      <w:highlight w:val="none"/>
                    </w:rPr>
                    <w:t>相符</w:t>
                  </w:r>
                </w:p>
              </w:tc>
            </w:tr>
            <w:tr>
              <w:trPr>
                <w:trHeight w:val="397"/>
              </w:trPr>
              <w:tc>
                <w:tcPr>
                  <w:tcW w:w="599"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防渗池设置</w:t>
                  </w:r>
                </w:p>
              </w:tc>
              <w:tc>
                <w:tcPr>
                  <w:tcW w:w="5072" w:type="dxa"/>
                  <w:tcBorders>
                    <w:tl2br w:val="nil"/>
                    <w:tr2bl w:val="nil"/>
                  </w:tcBorders>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highlight w:val="none"/>
                    </w:rPr>
                  </w:pPr>
                  <w:r>
                    <w:rPr>
                      <w:rFonts w:ascii="Times New Roman" w:cs="Times New Roman" w:hAnsi="Times New Roman"/>
                      <w:sz w:val="21"/>
                      <w:szCs w:val="21"/>
                      <w:lang w:val="en-US" w:eastAsia="zh-CN"/>
                      <w:highlight w:val="none"/>
                    </w:rPr>
                    <w:t>采取防渗漏措施的加油站，其埋地加油管道应采用双层管道。具体设计要求应符合《汽车加油加气站设计与施工规范》（GB 50156）的规定。双层油罐、防渗池和管道系统的渗漏检测宜采用在线监测系统。采用液体传感器监测时，传感器的检测精度不应大于3.5mm。其他设置要求可参见《汽车加油加气站设计与施工规范》（GB50156）及《石油化工防渗工程技术规范》（GB/T 50934）。</w:t>
                  </w:r>
                </w:p>
              </w:tc>
              <w:tc>
                <w:tcPr>
                  <w:tcW w:w="2315"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both"/>
                    <w:rPr>
                      <w:rFonts w:ascii="Times New Roman" w:cs="Times New Roman" w:hAnsi="Times New Roman"/>
                      <w:kern w:val="0"/>
                      <w:sz w:val="21"/>
                      <w:szCs w:val="21"/>
                      <w:highlight w:val="none"/>
                    </w:rPr>
                  </w:pPr>
                  <w:r>
                    <w:rPr>
                      <w:rFonts w:ascii="Times New Roman" w:cs="Times New Roman" w:hAnsi="Times New Roman"/>
                      <w:sz w:val="21"/>
                      <w:szCs w:val="21"/>
                    </w:rPr>
                    <w:t>本项目</w:t>
                  </w:r>
                  <w:r>
                    <w:rPr>
                      <w:rFonts w:ascii="Times New Roman" w:cs="Times New Roman" w:hAnsi="Times New Roman"/>
                      <w:sz w:val="21"/>
                      <w:szCs w:val="21"/>
                      <w:lang w:val="en-US" w:eastAsia="zh-CN"/>
                      <w:highlight w:val="none"/>
                    </w:rPr>
                    <w:t>埋地加油管道采用双层管道</w:t>
                  </w:r>
                  <w:r>
                    <w:rPr>
                      <w:rFonts w:ascii="Times New Roman" w:cs="Times New Roman" w:hAnsi="Times New Roman" w:hint="eastAsia"/>
                      <w:sz w:val="21"/>
                      <w:szCs w:val="21"/>
                      <w:lang w:val="en-US" w:eastAsia="zh-CN"/>
                      <w:highlight w:val="none"/>
                    </w:rPr>
                    <w:t>，</w:t>
                  </w:r>
                  <w:r>
                    <w:rPr>
                      <w:rFonts w:ascii="Times New Roman" w:cs="Times New Roman" w:hAnsi="Times New Roman"/>
                      <w:sz w:val="21"/>
                      <w:szCs w:val="21"/>
                      <w:lang w:val="en-US" w:eastAsia="zh-CN"/>
                      <w:highlight w:val="none"/>
                    </w:rPr>
                    <w:t>设计要求符合</w:t>
                  </w:r>
                  <w:r>
                    <w:rPr>
                      <w:rFonts w:ascii="Times New Roman" w:cs="Times New Roman" w:hAnsi="Times New Roman" w:hint="eastAsia"/>
                      <w:sz w:val="21"/>
                      <w:szCs w:val="21"/>
                      <w:lang w:val="en-US" w:eastAsia="zh-CN"/>
                      <w:highlight w:val="none"/>
                    </w:rPr>
                    <w:t>相关要求</w:t>
                  </w:r>
                  <w:r>
                    <w:rPr>
                      <w:rFonts w:ascii="Times New Roman" w:cs="Times New Roman" w:hAnsi="Times New Roman"/>
                      <w:sz w:val="21"/>
                      <w:szCs w:val="21"/>
                      <w:lang w:val="en-US" w:eastAsia="zh-CN"/>
                      <w:highlight w:val="none"/>
                    </w:rPr>
                    <w:t>的规定。双层油罐、防渗池和管道系统的渗漏检测采用在线监测系统。</w:t>
                  </w:r>
                </w:p>
              </w:tc>
              <w:tc>
                <w:tcPr>
                  <w:tcW w:w="85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lang w:val="en-US" w:eastAsia="zh-CN"/>
                      <w:highlight w:val="none"/>
                    </w:rPr>
                  </w:pPr>
                  <w:r>
                    <w:rPr>
                      <w:rFonts w:ascii="Times New Roman" w:eastAsia="宋体" w:cs="Times New Roman" w:hAnsi="Times New Roman"/>
                      <w:b w:val="0"/>
                      <w:bCs w:val="0"/>
                      <w:color w:val="000000"/>
                      <w:sz w:val="21"/>
                      <w:szCs w:val="21"/>
                      <w:vertAlign w:val="baseline"/>
                      <w:lang w:val="en-US" w:eastAsia="zh-CN"/>
                      <w:highlight w:val="none"/>
                    </w:rPr>
                    <w:t>相符</w:t>
                  </w:r>
                </w:p>
              </w:tc>
            </w:tr>
            <w:tr>
              <w:trPr>
                <w:trHeight w:val="397"/>
              </w:trPr>
              <w:tc>
                <w:tcPr>
                  <w:tcW w:w="599"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color w:val="000000"/>
                      <w:sz w:val="21"/>
                      <w:szCs w:val="21"/>
                      <w:highlight w:val="none"/>
                    </w:rPr>
                  </w:pPr>
                  <w:r>
                    <w:rPr>
                      <w:rFonts w:ascii="Times New Roman" w:cs="Times New Roman" w:hAnsi="Times New Roman"/>
                      <w:color w:val="000000"/>
                      <w:sz w:val="21"/>
                      <w:szCs w:val="21"/>
                      <w:highlight w:val="none"/>
                    </w:rPr>
                    <w:t>应急响应</w:t>
                  </w:r>
                </w:p>
              </w:tc>
              <w:tc>
                <w:tcPr>
                  <w:tcW w:w="507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left"/>
                    <w:textAlignment w:val="baseline"/>
                    <w:rPr>
                      <w:rFonts w:ascii="Times New Roman" w:cs="Times New Roman" w:hAnsi="Times New Roman"/>
                      <w:sz w:val="21"/>
                      <w:szCs w:val="21"/>
                      <w:highlight w:val="none"/>
                    </w:rPr>
                  </w:pPr>
                  <w:r>
                    <w:rPr>
                      <w:rFonts w:ascii="Times New Roman" w:cs="Times New Roman" w:hAnsi="Times New Roman"/>
                      <w:sz w:val="21"/>
                      <w:szCs w:val="21"/>
                      <w:highlight w:val="none"/>
                    </w:rPr>
                    <w:t>若发现油品泄漏，需启动环境预警和开展应急响应。应急响应措施主要有泄漏加油站停运、油品阻隔和泄漏油品回收。在1天内向环境保护主管部门报告，在5个工作日内提供泄漏加油站的初始环境报告，包括责任人的名称和电话号码，泄漏物的类型、体积和地下水污染物浓度，采取应急响应措施。</w:t>
                  </w:r>
                </w:p>
              </w:tc>
              <w:tc>
                <w:tcPr>
                  <w:tcW w:w="2315"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both"/>
                    <w:rPr>
                      <w:rFonts w:ascii="Times New Roman" w:cs="Times New Roman" w:hAnsi="Times New Roman"/>
                      <w:kern w:val="0"/>
                      <w:sz w:val="21"/>
                      <w:szCs w:val="21"/>
                      <w:highlight w:val="none"/>
                    </w:rPr>
                  </w:pPr>
                  <w:r>
                    <w:rPr>
                      <w:rFonts w:ascii="Times New Roman" w:cs="Times New Roman" w:hAnsi="Times New Roman"/>
                      <w:sz w:val="21"/>
                      <w:szCs w:val="21"/>
                    </w:rPr>
                    <w:t>本项目将制定相关的应急预案及应急响应措施，如发生泄漏，将立即启动应急响应措施，配合整体救援行动，控制影响污染程度，将环境影响及损失降至最小。</w:t>
                  </w:r>
                </w:p>
              </w:tc>
              <w:tc>
                <w:tcPr>
                  <w:tcW w:w="85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ascii="Times New Roman" w:cs="Times New Roman" w:hAnsi="Times New Roman"/>
                      <w:sz w:val="21"/>
                      <w:szCs w:val="21"/>
                      <w:lang w:val="en-US" w:eastAsia="zh-CN"/>
                      <w:highlight w:val="none"/>
                    </w:rPr>
                  </w:pPr>
                  <w:r>
                    <w:rPr>
                      <w:rFonts w:ascii="Times New Roman" w:eastAsia="宋体" w:cs="Times New Roman" w:hAnsi="Times New Roman"/>
                      <w:b w:val="0"/>
                      <w:bCs w:val="0"/>
                      <w:color w:val="000000"/>
                      <w:sz w:val="21"/>
                      <w:szCs w:val="21"/>
                      <w:vertAlign w:val="baseline"/>
                      <w:lang w:val="en-US" w:eastAsia="zh-CN"/>
                      <w:highlight w:val="none"/>
                    </w:rPr>
                    <w:t>相符</w:t>
                  </w:r>
                </w:p>
              </w:tc>
            </w:tr>
          </w:tbl>
          <w:p>
            <w:pPr>
              <w:keepNext w:val="0"/>
              <w:keepLines w:val="0"/>
              <w:pageBreakBefore w:val="0"/>
              <w:widowControl w:val="0"/>
              <w:suppressLineNumbers w:val="0"/>
              <w:kinsoku/>
              <w:wordWrap/>
              <w:overflowPunct/>
              <w:topLinePunct w:val="0"/>
              <w:bidi w:val="0"/>
              <w:adjustRightInd/>
              <w:snapToGrid/>
              <w:spacing w:before="0" w:beforeAutospacing="0" w:after="0" w:afterAutospacing="0" w:line="440" w:lineRule="exact"/>
              <w:ind w:left="0" w:right="0" w:firstLineChars="200" w:firstLine="480"/>
              <w:textAlignment w:val="auto"/>
              <w:rPr>
                <w:rFonts w:eastAsia="宋体"/>
                <w:b/>
                <w:sz w:val="24"/>
                <w:lang w:val="en-US" w:eastAsia="zh-CN"/>
                <w:highlight w:val="none"/>
              </w:rPr>
            </w:pPr>
            <w:r>
              <w:rPr>
                <w:rFonts w:ascii="Times New Roman" w:cs="Times New Roman" w:hAnsi="Times New Roman" w:hint="eastAsia"/>
                <w:b w:val="0"/>
                <w:bCs/>
                <w:sz w:val="24"/>
                <w:szCs w:val="20"/>
                <w:lang w:val="en-US" w:eastAsia="zh-CN"/>
                <w:highlight w:val="none"/>
              </w:rPr>
              <w:t>由上表可知，本项目满足</w:t>
            </w:r>
            <w:r>
              <w:rPr>
                <w:rFonts w:ascii="Times New Roman" w:cs="Times New Roman" w:hAnsi="Times New Roman"/>
                <w:b w:val="0"/>
                <w:bCs/>
                <w:sz w:val="24"/>
                <w:szCs w:val="20"/>
                <w:highlight w:val="none"/>
              </w:rPr>
              <w:t>《</w:t>
            </w:r>
            <w:r>
              <w:rPr>
                <w:rFonts w:ascii="Times New Roman" w:cs="Times New Roman" w:hAnsi="Times New Roman" w:hint="eastAsia"/>
                <w:b w:val="0"/>
                <w:bCs/>
                <w:sz w:val="24"/>
                <w:szCs w:val="20"/>
                <w:highlight w:val="none"/>
              </w:rPr>
              <w:t>加油站地下水污染防治技术指南（试行）</w:t>
            </w:r>
            <w:r>
              <w:rPr>
                <w:rFonts w:ascii="Times New Roman" w:cs="Times New Roman" w:hAnsi="Times New Roman"/>
                <w:b w:val="0"/>
                <w:bCs/>
                <w:sz w:val="24"/>
                <w:szCs w:val="20"/>
                <w:highlight w:val="none"/>
              </w:rPr>
              <w:t>》</w:t>
            </w:r>
            <w:r>
              <w:rPr>
                <w:rFonts w:ascii="Times New Roman" w:cs="Times New Roman" w:hAnsi="Times New Roman" w:hint="eastAsia"/>
                <w:b w:val="0"/>
                <w:bCs/>
                <w:sz w:val="24"/>
                <w:szCs w:val="20"/>
                <w:lang w:val="en-US" w:eastAsia="zh-CN"/>
                <w:highlight w:val="none"/>
              </w:rPr>
              <w:t>相关要求。</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440" w:lineRule="exact"/>
              <w:ind w:left="0" w:right="0" w:firstLineChars="200" w:firstLine="480"/>
              <w:textAlignment w:val="auto"/>
              <w:rPr>
                <w:rFonts w:ascii="Times New Roman" w:cs="Times New Roman" w:hAnsi="Times New Roman"/>
                <w:b/>
                <w:color w:val="000000"/>
                <w:sz w:val="24"/>
              </w:rPr>
            </w:pPr>
            <w:r>
              <w:rPr>
                <w:rFonts w:ascii="Times New Roman" w:cs="Times New Roman" w:hAnsi="Times New Roman" w:hint="eastAsia"/>
                <w:b/>
                <w:color w:val="000000"/>
                <w:sz w:val="24"/>
                <w:szCs w:val="20"/>
                <w:lang w:val="en-US" w:eastAsia="zh-CN"/>
              </w:rPr>
              <w:t>6、</w:t>
            </w:r>
            <w:r>
              <w:rPr>
                <w:rFonts w:ascii="Times New Roman" w:cs="Times New Roman" w:hAnsi="Times New Roman"/>
                <w:b/>
                <w:color w:val="000000"/>
                <w:sz w:val="24"/>
                <w:szCs w:val="20"/>
              </w:rPr>
              <w:t>与《加油站大气污染物排放标准》（GB20952-2020）相符性分析</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40" w:lineRule="exact"/>
              <w:ind w:left="0" w:right="0" w:firstLineChars="200" w:firstLine="468"/>
              <w:jc w:val="left"/>
              <w:textAlignment w:val="auto"/>
              <w:rPr>
                <w:rFonts w:ascii="Times New Roman" w:eastAsia="黑体" w:cs="Times New Roman" w:hAnsi="Times New Roman"/>
                <w:b w:val="0"/>
                <w:bCs w:val="0"/>
                <w:color w:val="000000"/>
                <w:sz w:val="24"/>
                <w:szCs w:val="24"/>
                <w:lang w:val="en-US" w:eastAsia="zh-CN"/>
              </w:rPr>
            </w:pPr>
            <w:r>
              <w:rPr>
                <w:rFonts w:ascii="Times New Roman" w:cs="Times New Roman" w:hAnsi="Times New Roman"/>
                <w:color w:val="000000"/>
                <w:spacing w:val="-3"/>
                <w:sz w:val="24"/>
                <w:szCs w:val="20"/>
              </w:rPr>
              <w:t>本项目与《加油站大气污染物排放标准》（</w:t>
            </w:r>
            <w:r>
              <w:rPr>
                <w:rFonts w:ascii="Times New Roman" w:cs="Times New Roman" w:hAnsi="Times New Roman"/>
                <w:color w:val="000000"/>
                <w:spacing w:val="0"/>
                <w:sz w:val="24"/>
                <w:szCs w:val="20"/>
              </w:rPr>
              <w:t>GB20952-2020</w:t>
            </w:r>
            <w:r>
              <w:rPr>
                <w:rFonts w:ascii="Times New Roman" w:cs="Times New Roman" w:hAnsi="Times New Roman"/>
                <w:color w:val="000000"/>
                <w:spacing w:val="-19"/>
                <w:sz w:val="24"/>
                <w:szCs w:val="20"/>
              </w:rPr>
              <w:t>）相</w:t>
            </w:r>
            <w:r>
              <w:rPr>
                <w:rFonts w:ascii="Times New Roman" w:cs="Times New Roman" w:hAnsi="Times New Roman"/>
                <w:color w:val="000000"/>
                <w:spacing w:val="0"/>
                <w:sz w:val="24"/>
                <w:szCs w:val="20"/>
              </w:rPr>
              <w:t>符性分析见下表。</w:t>
            </w:r>
          </w:p>
          <w:p>
            <w:pPr>
              <w:pStyle w:val="75"/>
              <w:keepNext/>
              <w:keepLines w:val="0"/>
              <w:suppressLineNumbers w:val="0"/>
              <w:bidi w:val="0"/>
              <w:spacing w:before="0" w:beforeAutospacing="0" w:after="0" w:afterAutospacing="0"/>
              <w:ind w:left="0" w:right="0" w:firstLine="420"/>
              <w:rPr>
                <w:rFonts w:hint="eastAsia"/>
                <w:lang w:val="en-US" w:eastAsia="zh-CN"/>
              </w:rPr>
            </w:pPr>
            <w:r>
              <w:rPr>
                <w:rFonts w:ascii="Times New Roman" w:cs="Times New Roman" w:hAnsi="Times New Roman" w:hint="eastAsia"/>
                <w:sz w:val="24"/>
                <w:szCs w:val="20"/>
                <w:lang w:val="en-US" w:eastAsia="zh-CN"/>
              </w:rPr>
              <w:t xml:space="preserve">  本项目与</w:t>
            </w:r>
            <w:r>
              <w:rPr>
                <w:rFonts w:ascii="Times New Roman" w:cs="Times New Roman" w:hAnsi="Times New Roman"/>
                <w:sz w:val="24"/>
                <w:szCs w:val="20"/>
              </w:rPr>
              <w:t>《加油站大气污染物排放标准》</w:t>
            </w:r>
            <w:r>
              <w:rPr>
                <w:rFonts w:ascii="Times New Roman" w:cs="Times New Roman" w:hAnsi="Times New Roman" w:hint="eastAsia"/>
                <w:sz w:val="24"/>
                <w:szCs w:val="20"/>
                <w:lang w:val="en-US" w:eastAsia="zh-CN"/>
              </w:rPr>
              <w:t>相符性分析一览表</w:t>
            </w:r>
          </w:p>
          <w:tbl>
            <w:tblPr>
              <w:jc w:val="left"/>
              <w:tblInd w:w="0" w:type="dxa"/>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91"/>
              <w:gridCol w:w="4338"/>
              <w:gridCol w:w="2564"/>
              <w:gridCol w:w="807"/>
            </w:tblGrid>
            <w:tr>
              <w:trPr>
                <w:trHeight w:val="397"/>
              </w:trPr>
              <w:tc>
                <w:tcPr>
                  <w:tcW w:w="2943" w:type="pct"/>
                  <w:gridSpan w:val="2"/>
                  <w:vAlign w:val="center"/>
                </w:tcPr>
                <w:p>
                  <w:pPr>
                    <w:keepNext w:val="0"/>
                    <w:keepLines w:val="0"/>
                    <w:suppressLineNumbers w:val="0"/>
                    <w:tabs>
                      <w:tab w:val="left" w:pos="8590"/>
                    </w:tabs>
                    <w:spacing w:before="0" w:beforeAutospacing="0" w:after="0" w:afterAutospacing="0" w:line="240" w:lineRule="auto"/>
                    <w:ind w:left="0" w:right="0"/>
                    <w:jc w:val="center"/>
                    <w:rPr>
                      <w:rFonts w:ascii="Times New Roman" w:eastAsia="宋体" w:cs="Times New Roman" w:hAnsi="Times New Roman"/>
                      <w:b/>
                      <w:bCs w:val="0"/>
                      <w:color w:val="000000"/>
                      <w:sz w:val="21"/>
                      <w:szCs w:val="21"/>
                      <w:vertAlign w:val="baseline"/>
                      <w:lang w:val="en-US" w:eastAsia="zh-CN"/>
                    </w:rPr>
                  </w:pPr>
                  <w:r>
                    <w:rPr>
                      <w:rFonts w:ascii="Times New Roman" w:cs="Times New Roman" w:hAnsi="Times New Roman"/>
                      <w:b/>
                      <w:bCs w:val="0"/>
                      <w:color w:val="000000"/>
                      <w:sz w:val="21"/>
                      <w:szCs w:val="21"/>
                      <w:vertAlign w:val="baseline"/>
                      <w:lang w:val="en-US" w:eastAsia="zh-CN" w:bidi="ar-SA"/>
                    </w:rPr>
                    <w:t>文件要求</w:t>
                  </w:r>
                </w:p>
              </w:tc>
              <w:tc>
                <w:tcPr>
                  <w:tcW w:w="1563" w:type="pct"/>
                  <w:vAlign w:val="center"/>
                </w:tcPr>
                <w:p>
                  <w:pPr>
                    <w:keepNext w:val="0"/>
                    <w:keepLines w:val="0"/>
                    <w:pageBreakBefore w:val="0"/>
                    <w:widowControl w:val="0"/>
                    <w:suppressLineNumbers w:val="0"/>
                    <w:tabs>
                      <w:tab w:val="left" w:pos="8590"/>
                    </w:tabs>
                    <w:kinsoku/>
                    <w:wordWrap/>
                    <w:overflowPunct/>
                    <w:topLinePunct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val="0"/>
                      <w:color w:val="000000"/>
                      <w:sz w:val="21"/>
                      <w:szCs w:val="21"/>
                      <w:vertAlign w:val="baseline"/>
                      <w:lang w:val="en-US" w:eastAsia="zh-CN"/>
                    </w:rPr>
                  </w:pPr>
                  <w:r>
                    <w:rPr>
                      <w:rFonts w:ascii="Times New Roman" w:cs="Times New Roman" w:hAnsi="Times New Roman"/>
                      <w:b/>
                      <w:bCs w:val="0"/>
                      <w:color w:val="000000"/>
                      <w:sz w:val="21"/>
                      <w:szCs w:val="21"/>
                      <w:vertAlign w:val="baseline"/>
                      <w:lang w:val="en-US" w:eastAsia="zh-CN" w:bidi="ar-SA"/>
                    </w:rPr>
                    <w:t>项目建设情况</w:t>
                  </w:r>
                </w:p>
              </w:tc>
              <w:tc>
                <w:tcPr>
                  <w:tcW w:w="492" w:type="pct"/>
                  <w:vAlign w:val="center"/>
                </w:tcPr>
                <w:p>
                  <w:pPr>
                    <w:keepNext w:val="0"/>
                    <w:keepLines w:val="0"/>
                    <w:pageBreakBefore w:val="0"/>
                    <w:widowControl w:val="0"/>
                    <w:suppressLineNumbers w:val="0"/>
                    <w:tabs>
                      <w:tab w:val="left" w:pos="8590"/>
                    </w:tabs>
                    <w:kinsoku/>
                    <w:wordWrap/>
                    <w:overflowPunct/>
                    <w:topLinePunct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val="0"/>
                      <w:color w:val="000000"/>
                      <w:sz w:val="21"/>
                      <w:szCs w:val="21"/>
                      <w:vertAlign w:val="baseline"/>
                      <w:lang w:val="en-US" w:eastAsia="zh-CN"/>
                    </w:rPr>
                  </w:pPr>
                  <w:r>
                    <w:rPr>
                      <w:rFonts w:ascii="Times New Roman" w:cs="Times New Roman" w:hAnsi="Times New Roman"/>
                      <w:b/>
                      <w:bCs w:val="0"/>
                      <w:color w:val="000000"/>
                      <w:sz w:val="21"/>
                      <w:szCs w:val="21"/>
                      <w:vertAlign w:val="baseline"/>
                      <w:lang w:val="en-US" w:eastAsia="zh-CN" w:bidi="ar-SA"/>
                    </w:rPr>
                    <w:t>相符性</w:t>
                  </w:r>
                </w:p>
              </w:tc>
            </w:tr>
            <w:tr>
              <w:trPr>
                <w:trHeight w:val="397"/>
              </w:trPr>
              <w:tc>
                <w:tcPr>
                  <w:tcW w:w="299" w:type="pct"/>
                  <w:vMerge w:val="restar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1"/>
                      <w:sz w:val="21"/>
                      <w:szCs w:val="21"/>
                      <w:lang w:val="en-US" w:eastAsia="zh-CN" w:bidi="ar-SA"/>
                    </w:rPr>
                    <w:t>储油油气排放控制</w:t>
                  </w: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宋体" w:eastAsia="宋体" w:cs="宋体" w:hAnsi="宋体" w:hint="eastAsia"/>
                      <w:color w:val="000000"/>
                      <w:kern w:val="0"/>
                      <w:sz w:val="21"/>
                      <w:szCs w:val="21"/>
                      <w:lang w:val="en-US" w:eastAsia="zh-CN" w:bidi="ar-SA"/>
                    </w:rPr>
                    <w:t>所有影响储油油气密闭性的部件，包括油气管线和所连接的法兰、阀门、快接头以及其他相关部件在正常工作状况下应保持密闭，油气泄漏浓度满足本标准油气回收系统密闭点位限值要求。</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本项目油气管线和所</w:t>
                  </w:r>
                  <w:r>
                    <w:rPr>
                      <w:rFonts w:cs="Times New Roman" w:hint="eastAsia"/>
                      <w:color w:val="000000"/>
                      <w:spacing w:val="0"/>
                      <w:sz w:val="21"/>
                      <w:szCs w:val="21"/>
                      <w:lang w:val="en-US" w:eastAsia="zh-CN" w:bidi="ar-SA"/>
                    </w:rPr>
                    <w:t>连接的</w:t>
                  </w:r>
                  <w:r>
                    <w:rPr>
                      <w:rFonts w:ascii="Times New Roman" w:cs="Times New Roman" w:hAnsi="Times New Roman" w:hint="eastAsia"/>
                      <w:color w:val="000000"/>
                      <w:spacing w:val="0"/>
                      <w:sz w:val="21"/>
                      <w:szCs w:val="21"/>
                      <w:lang w:val="en-US" w:eastAsia="zh-CN" w:bidi="ar-SA"/>
                    </w:rPr>
                    <w:t>法</w:t>
                  </w:r>
                  <w:r>
                    <w:rPr>
                      <w:rFonts w:ascii="Times New Roman" w:cs="Times New Roman" w:hAnsi="Times New Roman"/>
                      <w:color w:val="000000"/>
                      <w:spacing w:val="-7"/>
                      <w:sz w:val="21"/>
                      <w:szCs w:val="21"/>
                      <w:lang w:val="en-US" w:eastAsia="zh-CN" w:bidi="ar-SA"/>
                    </w:rPr>
                    <w:t>兰、阀门、快接头以及其</w:t>
                  </w:r>
                  <w:r>
                    <w:rPr>
                      <w:rFonts w:ascii="Times New Roman" w:cs="Times New Roman" w:hAnsi="Times New Roman"/>
                      <w:color w:val="000000"/>
                      <w:spacing w:val="0"/>
                      <w:sz w:val="21"/>
                      <w:szCs w:val="21"/>
                      <w:lang w:val="en-US" w:eastAsia="zh-CN" w:bidi="ar-SA"/>
                    </w:rPr>
                    <w:t>他影响储油油气</w:t>
                  </w:r>
                  <w:r>
                    <w:rPr>
                      <w:rFonts w:cs="Times New Roman" w:hint="eastAsia"/>
                      <w:color w:val="000000"/>
                      <w:spacing w:val="0"/>
                      <w:sz w:val="21"/>
                      <w:szCs w:val="21"/>
                      <w:lang w:val="en-US" w:eastAsia="zh-CN" w:bidi="ar-SA"/>
                    </w:rPr>
                    <w:t>密封性</w:t>
                  </w:r>
                  <w:r>
                    <w:rPr>
                      <w:rFonts w:ascii="Times New Roman" w:cs="Times New Roman" w:hAnsi="Times New Roman"/>
                      <w:color w:val="000000"/>
                      <w:spacing w:val="0"/>
                      <w:sz w:val="21"/>
                      <w:szCs w:val="21"/>
                      <w:lang w:val="en-US" w:eastAsia="zh-CN" w:bidi="ar-SA"/>
                    </w:rPr>
                    <w:t>的部件</w:t>
                  </w:r>
                  <w:r>
                    <w:rPr>
                      <w:rFonts w:cs="Times New Roman" w:hint="eastAsia"/>
                      <w:color w:val="000000"/>
                      <w:spacing w:val="0"/>
                      <w:sz w:val="21"/>
                      <w:szCs w:val="21"/>
                      <w:lang w:val="en-US" w:eastAsia="zh-CN" w:bidi="ar-SA"/>
                    </w:rPr>
                    <w:t>均符合要求</w:t>
                  </w:r>
                  <w:r>
                    <w:rPr>
                      <w:rFonts w:ascii="Times New Roman" w:cs="Times New Roman" w:hAnsi="Times New Roman"/>
                      <w:color w:val="000000"/>
                      <w:spacing w:val="0"/>
                      <w:sz w:val="21"/>
                      <w:szCs w:val="21"/>
                      <w:lang w:val="en-US" w:eastAsia="zh-CN" w:bidi="ar-SA"/>
                    </w:rPr>
                    <w:t>。</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宋体" w:eastAsia="宋体" w:cs="宋体" w:hAnsi="宋体" w:hint="eastAsia"/>
                      <w:color w:val="000000"/>
                      <w:kern w:val="0"/>
                      <w:sz w:val="21"/>
                      <w:szCs w:val="21"/>
                      <w:lang w:val="en-US" w:eastAsia="zh-CN" w:bidi="ar-SA"/>
                    </w:rPr>
                    <w:t>埋地油罐应采用电子式液位计进行汽油密闭测量。</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本项目储油罐</w:t>
                  </w:r>
                  <w:r>
                    <w:rPr>
                      <w:rFonts w:cs="Times New Roman" w:hint="eastAsia"/>
                      <w:color w:val="000000"/>
                      <w:spacing w:val="0"/>
                      <w:sz w:val="21"/>
                      <w:szCs w:val="21"/>
                      <w:lang w:val="en-US" w:eastAsia="zh-CN" w:bidi="ar-SA"/>
                    </w:rPr>
                    <w:t>按要求</w:t>
                  </w:r>
                  <w:r>
                    <w:rPr>
                      <w:rFonts w:ascii="Times New Roman" w:cs="Times New Roman" w:hAnsi="Times New Roman"/>
                      <w:color w:val="000000"/>
                      <w:spacing w:val="0"/>
                      <w:sz w:val="21"/>
                      <w:szCs w:val="21"/>
                      <w:lang w:val="en-US" w:eastAsia="zh-CN" w:bidi="ar-SA"/>
                    </w:rPr>
                    <w:t>安装具有测漏功能的电子式液位计。</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宋体" w:eastAsia="宋体" w:cs="宋体" w:hAnsi="宋体" w:hint="eastAsia"/>
                      <w:color w:val="000000"/>
                      <w:kern w:val="0"/>
                      <w:sz w:val="21"/>
                      <w:szCs w:val="21"/>
                      <w:lang w:val="en-US" w:eastAsia="zh-CN" w:bidi="ar-SA"/>
                    </w:rPr>
                    <w:t>应采用符合</w:t>
                  </w:r>
                  <w:r>
                    <w:rPr>
                      <w:rFonts w:ascii="Times New Roman" w:eastAsia="宋体" w:cs="Times New Roman" w:hAnsi="Times New Roman"/>
                      <w:color w:val="000000"/>
                      <w:kern w:val="0"/>
                      <w:sz w:val="21"/>
                      <w:szCs w:val="21"/>
                      <w:lang w:val="en-US" w:eastAsia="zh-CN" w:bidi="ar-SA"/>
                    </w:rPr>
                    <w:t>GB50156</w:t>
                  </w:r>
                  <w:r>
                    <w:rPr>
                      <w:rFonts w:ascii="宋体" w:eastAsia="宋体" w:cs="宋体" w:hAnsi="宋体" w:hint="eastAsia"/>
                      <w:color w:val="000000"/>
                      <w:kern w:val="0"/>
                      <w:sz w:val="21"/>
                      <w:szCs w:val="21"/>
                      <w:lang w:val="en-US" w:eastAsia="zh-CN" w:bidi="ar-SA"/>
                    </w:rPr>
                    <w:t>相关规定的溢油控制措施。</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本项目采用</w:t>
                  </w:r>
                  <w:r>
                    <w:rPr>
                      <w:rFonts w:ascii="宋体" w:eastAsia="宋体" w:cs="宋体" w:hAnsi="宋体" w:hint="eastAsia"/>
                      <w:color w:val="000000"/>
                      <w:kern w:val="0"/>
                      <w:sz w:val="21"/>
                      <w:szCs w:val="21"/>
                      <w:lang w:val="en-US" w:eastAsia="zh-CN" w:bidi="ar-SA"/>
                    </w:rPr>
                    <w:t>符合</w:t>
                  </w:r>
                  <w:r>
                    <w:rPr>
                      <w:rFonts w:ascii="Times New Roman" w:eastAsia="宋体" w:cs="Times New Roman" w:hAnsi="Times New Roman"/>
                      <w:color w:val="000000"/>
                      <w:kern w:val="0"/>
                      <w:sz w:val="21"/>
                      <w:szCs w:val="21"/>
                      <w:lang w:val="en-US" w:eastAsia="zh-CN" w:bidi="ar-SA"/>
                    </w:rPr>
                    <w:t>GB50156</w:t>
                  </w:r>
                  <w:r>
                    <w:rPr>
                      <w:rFonts w:ascii="宋体" w:eastAsia="宋体" w:cs="宋体" w:hAnsi="宋体" w:hint="eastAsia"/>
                      <w:color w:val="000000"/>
                      <w:kern w:val="0"/>
                      <w:sz w:val="21"/>
                      <w:szCs w:val="21"/>
                      <w:lang w:val="en-US" w:eastAsia="zh-CN" w:bidi="ar-SA"/>
                    </w:rPr>
                    <w:t>相关规定的溢油控制措施</w:t>
                  </w:r>
                  <w:r>
                    <w:rPr>
                      <w:rFonts w:ascii="Times New Roman" w:cs="Times New Roman" w:hAnsi="Times New Roman"/>
                      <w:color w:val="000000"/>
                      <w:spacing w:val="0"/>
                      <w:sz w:val="21"/>
                      <w:szCs w:val="21"/>
                      <w:lang w:val="en-US" w:eastAsia="zh-CN" w:bidi="ar-SA"/>
                    </w:rPr>
                    <w:t>。</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restart"/>
                  <w:vAlign w:val="center"/>
                </w:tcPr>
                <w:p>
                  <w:pPr>
                    <w:keepNext w:val="0"/>
                    <w:keepLines w:val="0"/>
                    <w:suppressLineNumbers w:val="0"/>
                    <w:tabs>
                      <w:tab w:val="left" w:pos="8590"/>
                    </w:tabs>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Times New Roman" w:eastAsia="宋体" w:cs="Times New Roman" w:hAnsi="Times New Roman"/>
                      <w:color w:val="000000"/>
                      <w:spacing w:val="-1"/>
                      <w:sz w:val="21"/>
                      <w:szCs w:val="21"/>
                      <w:lang w:val="en-US" w:eastAsia="zh-CN" w:bidi="ar-SA"/>
                    </w:rPr>
                    <w:t>卸油油气排放控制</w:t>
                  </w:r>
                </w:p>
              </w:tc>
              <w:tc>
                <w:tcPr>
                  <w:tcW w:w="264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5"/>
                      <w:sz w:val="21"/>
                      <w:szCs w:val="21"/>
                      <w:lang w:val="en-US" w:eastAsia="zh-CN" w:bidi="ar-SA"/>
                    </w:rPr>
                    <w:t>应采用浸没式卸油方式，卸油管出油口</w:t>
                  </w:r>
                  <w:r>
                    <w:rPr>
                      <w:rFonts w:ascii="Times New Roman" w:cs="Times New Roman" w:hAnsi="Times New Roman"/>
                      <w:color w:val="000000"/>
                      <w:spacing w:val="0"/>
                      <w:sz w:val="21"/>
                      <w:szCs w:val="21"/>
                      <w:lang w:val="en-US" w:eastAsia="zh-CN" w:bidi="ar-SA"/>
                    </w:rPr>
                    <w:t>距罐底高度应小于200mm。</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w:t>
                  </w:r>
                  <w:r>
                    <w:rPr>
                      <w:rFonts w:ascii="Times New Roman" w:cs="Times New Roman" w:hAnsi="Times New Roman"/>
                      <w:color w:val="000000"/>
                      <w:spacing w:val="-7"/>
                      <w:sz w:val="21"/>
                      <w:szCs w:val="21"/>
                      <w:lang w:val="en-US" w:eastAsia="zh-CN" w:bidi="ar-SA"/>
                    </w:rPr>
                    <w:t>采用浸没式卸油方式，卸</w:t>
                  </w:r>
                  <w:r>
                    <w:rPr>
                      <w:rFonts w:ascii="Times New Roman" w:cs="Times New Roman" w:hAnsi="Times New Roman"/>
                      <w:color w:val="000000"/>
                      <w:spacing w:val="0"/>
                      <w:sz w:val="21"/>
                      <w:szCs w:val="21"/>
                      <w:lang w:val="en-US" w:eastAsia="zh-CN" w:bidi="ar-SA"/>
                    </w:rPr>
                    <w:t>油管出油口距罐底高度小于200mm。</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宋体" w:eastAsia="宋体" w:cs="宋体" w:hAnsi="宋体" w:hint="eastAsia"/>
                      <w:color w:val="000000"/>
                      <w:kern w:val="0"/>
                      <w:sz w:val="21"/>
                      <w:szCs w:val="21"/>
                      <w:lang w:val="en-US" w:eastAsia="zh-CN" w:bidi="ar-SA"/>
                    </w:rPr>
                    <w:t>卸油和油气回收接口应安装公称直径为</w:t>
                  </w:r>
                  <w:r>
                    <w:rPr>
                      <w:rFonts w:ascii="Times New Roman" w:eastAsia="宋体" w:cs="Times New Roman" w:hAnsi="Times New Roman"/>
                      <w:color w:val="000000"/>
                      <w:kern w:val="0"/>
                      <w:sz w:val="21"/>
                      <w:szCs w:val="21"/>
                      <w:lang w:val="en-US" w:eastAsia="zh-CN" w:bidi="ar-SA"/>
                    </w:rPr>
                    <w:t>100mm</w:t>
                  </w:r>
                  <w:r>
                    <w:rPr>
                      <w:rFonts w:ascii="宋体" w:eastAsia="宋体" w:cs="宋体" w:hAnsi="宋体" w:hint="eastAsia"/>
                      <w:color w:val="000000"/>
                      <w:kern w:val="0"/>
                      <w:sz w:val="21"/>
                      <w:szCs w:val="21"/>
                      <w:lang w:val="en-US" w:eastAsia="zh-CN" w:bidi="ar-SA"/>
                    </w:rPr>
                    <w:t>的截流阀（或密封式快速接头）和帽盖，现有加油站已采取卸油油气排放控制措施但接口尺寸不符的可采用变径连接。</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本项目卸油和油气回收接口安</w:t>
                  </w:r>
                  <w:r>
                    <w:rPr>
                      <w:rFonts w:ascii="Times New Roman" w:cs="Times New Roman" w:hAnsi="Times New Roman"/>
                      <w:color w:val="000000"/>
                      <w:spacing w:val="-1"/>
                      <w:sz w:val="21"/>
                      <w:szCs w:val="21"/>
                      <w:lang w:val="en-US" w:eastAsia="zh-CN" w:bidi="ar-SA"/>
                    </w:rPr>
                    <w:t>装</w:t>
                  </w:r>
                  <w:r>
                    <w:rPr>
                      <w:rFonts w:cs="Times New Roman" w:hint="eastAsia"/>
                      <w:color w:val="000000"/>
                      <w:spacing w:val="0"/>
                      <w:sz w:val="21"/>
                      <w:szCs w:val="21"/>
                      <w:lang w:val="en-US" w:eastAsia="zh-CN" w:bidi="ar-SA"/>
                    </w:rPr>
                    <w:t>直径为</w:t>
                  </w:r>
                  <w:r>
                    <w:rPr>
                      <w:rFonts w:ascii="Times New Roman" w:cs="Times New Roman" w:hAnsi="Times New Roman"/>
                      <w:color w:val="000000"/>
                      <w:spacing w:val="0"/>
                      <w:sz w:val="21"/>
                      <w:szCs w:val="21"/>
                      <w:lang w:val="en-US" w:eastAsia="zh-CN" w:bidi="ar-SA"/>
                    </w:rPr>
                    <w:t>100mm的截流阀。</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宋体" w:eastAsia="宋体" w:cs="宋体" w:hAnsi="宋体" w:hint="eastAsia"/>
                      <w:color w:val="000000"/>
                      <w:kern w:val="0"/>
                      <w:sz w:val="21"/>
                      <w:szCs w:val="21"/>
                      <w:lang w:val="en-US" w:eastAsia="zh-CN" w:bidi="ar-SA"/>
                    </w:rPr>
                    <w:t>连接软管应采用公称直径为</w:t>
                  </w:r>
                  <w:r>
                    <w:rPr>
                      <w:rFonts w:ascii="Times New Roman" w:eastAsia="宋体" w:cs="Times New Roman" w:hAnsi="Times New Roman"/>
                      <w:color w:val="000000"/>
                      <w:kern w:val="0"/>
                      <w:sz w:val="21"/>
                      <w:szCs w:val="21"/>
                      <w:lang w:val="en-US" w:eastAsia="zh-CN" w:bidi="ar-SA"/>
                    </w:rPr>
                    <w:t>100mm</w:t>
                  </w:r>
                  <w:r>
                    <w:rPr>
                      <w:rFonts w:ascii="宋体" w:eastAsia="宋体" w:cs="宋体" w:hAnsi="宋体" w:hint="eastAsia"/>
                      <w:color w:val="000000"/>
                      <w:kern w:val="0"/>
                      <w:sz w:val="21"/>
                      <w:szCs w:val="21"/>
                      <w:lang w:val="en-US" w:eastAsia="zh-CN" w:bidi="ar-SA"/>
                    </w:rPr>
                    <w:t>的密封式快速接头与卸油车连接。</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本项目连接软管采</w:t>
                  </w:r>
                  <w:r>
                    <w:rPr>
                      <w:rFonts w:hint="eastAsia"/>
                      <w:color w:val="000000"/>
                      <w:sz w:val="21"/>
                      <w:szCs w:val="21"/>
                      <w:lang w:val="en-US" w:eastAsia="zh-CN" w:bidi="ar-SA"/>
                    </w:rPr>
                    <w:t>用</w:t>
                  </w:r>
                  <w:r>
                    <w:rPr>
                      <w:rFonts w:ascii="宋体" w:eastAsia="宋体" w:cs="宋体" w:hAnsi="宋体" w:hint="eastAsia"/>
                      <w:color w:val="000000"/>
                      <w:kern w:val="0"/>
                      <w:sz w:val="21"/>
                      <w:szCs w:val="21"/>
                      <w:lang w:val="en-US" w:eastAsia="zh-CN" w:bidi="ar-SA"/>
                    </w:rPr>
                    <w:t>公称直径</w:t>
                  </w:r>
                  <w:r>
                    <w:rPr>
                      <w:rFonts w:ascii="宋体" w:cs="宋体" w:hAnsi="宋体" w:hint="eastAsia"/>
                      <w:color w:val="000000"/>
                      <w:kern w:val="0"/>
                      <w:sz w:val="21"/>
                      <w:szCs w:val="21"/>
                      <w:lang w:val="en-US" w:eastAsia="zh-CN" w:bidi="ar-SA"/>
                    </w:rPr>
                    <w:t>为</w:t>
                  </w:r>
                  <w:r>
                    <w:rPr>
                      <w:rFonts w:ascii="Times New Roman" w:cs="Times New Roman" w:hAnsi="Times New Roman"/>
                      <w:color w:val="000000"/>
                      <w:spacing w:val="0"/>
                      <w:sz w:val="21"/>
                      <w:szCs w:val="21"/>
                      <w:lang w:val="en-US" w:eastAsia="zh-CN" w:bidi="ar-SA"/>
                    </w:rPr>
                    <w:t>100mm的密封式快速接头与卸</w:t>
                  </w:r>
                  <w:r>
                    <w:rPr>
                      <w:rFonts w:ascii="Times New Roman" w:cs="Times New Roman" w:hAnsi="Times New Roman"/>
                      <w:color w:val="000000"/>
                      <w:spacing w:val="-7"/>
                      <w:sz w:val="21"/>
                      <w:szCs w:val="21"/>
                      <w:lang w:val="en-US" w:eastAsia="zh-CN" w:bidi="ar-SA"/>
                    </w:rPr>
                    <w:t>油车连接，卸油后连接软</w:t>
                  </w:r>
                  <w:r>
                    <w:rPr>
                      <w:rFonts w:ascii="Times New Roman" w:cs="Times New Roman" w:hAnsi="Times New Roman"/>
                      <w:color w:val="000000"/>
                      <w:spacing w:val="0"/>
                      <w:sz w:val="21"/>
                      <w:szCs w:val="21"/>
                      <w:lang w:val="en-US" w:eastAsia="zh-CN" w:bidi="ar-SA"/>
                    </w:rPr>
                    <w:t>管内不存留残油。</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宋体" w:eastAsia="宋体" w:cs="宋体" w:hAnsi="宋体" w:hint="eastAsia"/>
                      <w:color w:val="000000"/>
                      <w:kern w:val="0"/>
                      <w:sz w:val="21"/>
                      <w:szCs w:val="21"/>
                      <w:lang w:val="en-US" w:eastAsia="zh-CN" w:bidi="ar-SA"/>
                    </w:rPr>
                    <w:t>所有油气管线排放口应按</w:t>
                  </w:r>
                  <w:r>
                    <w:rPr>
                      <w:rFonts w:ascii="Times New Roman" w:eastAsia="宋体" w:cs="Times New Roman" w:hAnsi="Times New Roman"/>
                      <w:color w:val="000000"/>
                      <w:kern w:val="0"/>
                      <w:sz w:val="21"/>
                      <w:szCs w:val="21"/>
                      <w:lang w:val="en-US" w:eastAsia="zh-CN" w:bidi="ar-SA"/>
                    </w:rPr>
                    <w:t>GB50156</w:t>
                  </w:r>
                  <w:r>
                    <w:rPr>
                      <w:rFonts w:ascii="宋体" w:eastAsia="宋体" w:cs="宋体" w:hAnsi="宋体" w:hint="eastAsia"/>
                      <w:color w:val="000000"/>
                      <w:kern w:val="0"/>
                      <w:sz w:val="21"/>
                      <w:szCs w:val="21"/>
                      <w:lang w:val="en-US" w:eastAsia="zh-CN" w:bidi="ar-SA"/>
                    </w:rPr>
                    <w:t>的要求设置压力</w:t>
                  </w:r>
                  <w:r>
                    <w:rPr>
                      <w:rFonts w:ascii="Calibri" w:eastAsia="宋体" w:cs="Calibri" w:hAnsi="Calibri"/>
                      <w:color w:val="000000"/>
                      <w:kern w:val="0"/>
                      <w:sz w:val="21"/>
                      <w:szCs w:val="21"/>
                      <w:lang w:val="en-US" w:eastAsia="zh-CN" w:bidi="ar-SA"/>
                    </w:rPr>
                    <w:t>/</w:t>
                  </w:r>
                  <w:r>
                    <w:rPr>
                      <w:rFonts w:ascii="宋体" w:eastAsia="宋体" w:cs="宋体" w:hAnsi="宋体" w:hint="eastAsia"/>
                      <w:color w:val="000000"/>
                      <w:kern w:val="0"/>
                      <w:sz w:val="21"/>
                      <w:szCs w:val="21"/>
                      <w:lang w:val="en-US" w:eastAsia="zh-CN" w:bidi="ar-SA"/>
                    </w:rPr>
                    <w:t>真空阀，如设有阀门，阀门应保持常开状态；未安装压力</w:t>
                  </w:r>
                  <w:r>
                    <w:rPr>
                      <w:rFonts w:ascii="Calibri" w:eastAsia="宋体" w:cs="Calibri" w:hAnsi="Calibri"/>
                      <w:color w:val="000000"/>
                      <w:kern w:val="0"/>
                      <w:sz w:val="21"/>
                      <w:szCs w:val="21"/>
                      <w:lang w:val="en-US" w:eastAsia="zh-CN" w:bidi="ar-SA"/>
                    </w:rPr>
                    <w:t>/</w:t>
                  </w:r>
                  <w:r>
                    <w:rPr>
                      <w:rFonts w:ascii="宋体" w:eastAsia="宋体" w:cs="宋体" w:hAnsi="宋体" w:hint="eastAsia"/>
                      <w:color w:val="000000"/>
                      <w:kern w:val="0"/>
                      <w:sz w:val="21"/>
                      <w:szCs w:val="21"/>
                      <w:lang w:val="en-US" w:eastAsia="zh-CN" w:bidi="ar-SA"/>
                    </w:rPr>
                    <w:t>真空阀的汽油排放管应保持常闭状态。</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本项目所有油气管线排放口按GB50156的要求设置真空阀。</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宋体" w:eastAsia="宋体" w:cs="宋体" w:hAnsi="宋体" w:hint="eastAsia"/>
                      <w:color w:val="000000"/>
                      <w:kern w:val="0"/>
                      <w:sz w:val="21"/>
                      <w:szCs w:val="21"/>
                      <w:lang w:val="en-US" w:eastAsia="zh-CN" w:bidi="ar-SA"/>
                    </w:rPr>
                    <w:t>连接排气管的地下管线应坡向油罐，坡度不应小于</w:t>
                  </w:r>
                  <w:r>
                    <w:rPr>
                      <w:rFonts w:ascii="Times New Roman" w:eastAsia="宋体" w:cs="Times New Roman" w:hAnsi="Times New Roman"/>
                      <w:color w:val="000000"/>
                      <w:kern w:val="0"/>
                      <w:sz w:val="21"/>
                      <w:szCs w:val="21"/>
                      <w:lang w:val="en-US" w:eastAsia="zh-CN" w:bidi="ar-SA"/>
                    </w:rPr>
                    <w:t>1%</w:t>
                  </w:r>
                  <w:r>
                    <w:rPr>
                      <w:rFonts w:ascii="宋体" w:eastAsia="宋体" w:cs="宋体" w:hAnsi="宋体" w:hint="eastAsia"/>
                      <w:color w:val="000000"/>
                      <w:kern w:val="0"/>
                      <w:sz w:val="21"/>
                      <w:szCs w:val="21"/>
                      <w:lang w:val="en-US" w:eastAsia="zh-CN" w:bidi="ar-SA"/>
                    </w:rPr>
                    <w:t>，管线公称直径不小于</w:t>
                  </w:r>
                  <w:r>
                    <w:rPr>
                      <w:rFonts w:ascii="Times New Roman" w:eastAsia="宋体" w:cs="Times New Roman" w:hAnsi="Times New Roman"/>
                      <w:color w:val="000000"/>
                      <w:kern w:val="0"/>
                      <w:sz w:val="21"/>
                      <w:szCs w:val="21"/>
                      <w:lang w:val="en-US" w:eastAsia="zh-CN" w:bidi="ar-SA"/>
                    </w:rPr>
                    <w:t>50mm</w:t>
                  </w:r>
                  <w:r>
                    <w:rPr>
                      <w:rFonts w:ascii="宋体" w:eastAsia="宋体" w:cs="宋体" w:hAnsi="宋体" w:hint="eastAsia"/>
                      <w:color w:val="000000"/>
                      <w:kern w:val="0"/>
                      <w:sz w:val="21"/>
                      <w:szCs w:val="21"/>
                      <w:lang w:val="en-US" w:eastAsia="zh-CN" w:bidi="ar-SA"/>
                    </w:rPr>
                    <w:t>。</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本项目连接排气管的地下管线</w:t>
                  </w:r>
                  <w:r>
                    <w:rPr>
                      <w:rFonts w:ascii="Times New Roman" w:cs="Times New Roman" w:hAnsi="Times New Roman"/>
                      <w:color w:val="000000"/>
                      <w:spacing w:val="-7"/>
                      <w:sz w:val="21"/>
                      <w:szCs w:val="21"/>
                      <w:lang w:val="en-US" w:eastAsia="zh-CN" w:bidi="ar-SA"/>
                    </w:rPr>
                    <w:t>坡向油罐，坡度</w:t>
                  </w:r>
                  <w:r>
                    <w:rPr>
                      <w:rFonts w:cs="Times New Roman" w:hint="eastAsia"/>
                      <w:color w:val="000000"/>
                      <w:spacing w:val="-7"/>
                      <w:sz w:val="21"/>
                      <w:szCs w:val="21"/>
                      <w:lang w:val="en-US" w:eastAsia="zh-CN" w:bidi="ar-SA"/>
                    </w:rPr>
                    <w:t>不</w:t>
                  </w:r>
                  <w:r>
                    <w:rPr>
                      <w:rFonts w:ascii="Times New Roman" w:cs="Times New Roman" w:hAnsi="Times New Roman"/>
                      <w:color w:val="000000"/>
                      <w:spacing w:val="-7"/>
                      <w:sz w:val="21"/>
                      <w:szCs w:val="21"/>
                      <w:lang w:val="en-US" w:eastAsia="zh-CN" w:bidi="ar-SA"/>
                    </w:rPr>
                    <w:t>小</w:t>
                  </w:r>
                  <w:r>
                    <w:rPr>
                      <w:rFonts w:ascii="Times New Roman" w:cs="Times New Roman" w:hAnsi="Times New Roman"/>
                      <w:color w:val="000000"/>
                      <w:spacing w:val="-1"/>
                      <w:sz w:val="21"/>
                      <w:szCs w:val="21"/>
                      <w:lang w:val="en-US" w:eastAsia="zh-CN" w:bidi="ar-SA"/>
                    </w:rPr>
                    <w:t>于</w:t>
                  </w:r>
                  <w:r>
                    <w:rPr>
                      <w:rFonts w:ascii="Times New Roman" w:cs="Times New Roman" w:hAnsi="Times New Roman"/>
                      <w:color w:val="000000"/>
                      <w:spacing w:val="0"/>
                      <w:sz w:val="21"/>
                      <w:szCs w:val="21"/>
                      <w:lang w:val="en-US" w:eastAsia="zh-CN" w:bidi="ar-SA"/>
                    </w:rPr>
                    <w:t>1%，管线</w:t>
                  </w:r>
                  <w:r>
                    <w:rPr>
                      <w:rFonts w:cs="Times New Roman" w:hint="eastAsia"/>
                      <w:color w:val="000000"/>
                      <w:spacing w:val="0"/>
                      <w:sz w:val="21"/>
                      <w:szCs w:val="21"/>
                      <w:lang w:val="en-US" w:eastAsia="zh-CN" w:bidi="ar-SA"/>
                    </w:rPr>
                    <w:t>公称</w:t>
                  </w:r>
                  <w:r>
                    <w:rPr>
                      <w:rFonts w:ascii="Times New Roman" w:cs="Times New Roman" w:hAnsi="Times New Roman"/>
                      <w:color w:val="000000"/>
                      <w:spacing w:val="0"/>
                      <w:sz w:val="21"/>
                      <w:szCs w:val="21"/>
                      <w:lang w:val="en-US" w:eastAsia="zh-CN" w:bidi="ar-SA"/>
                    </w:rPr>
                    <w:t>直径不小于50mm</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宋体" w:eastAsia="宋体" w:cs="宋体" w:hAnsi="宋体" w:hint="eastAsia"/>
                      <w:color w:val="000000"/>
                      <w:kern w:val="0"/>
                      <w:sz w:val="21"/>
                      <w:szCs w:val="21"/>
                      <w:lang w:val="en-US" w:eastAsia="zh-CN" w:bidi="ar-SA"/>
                    </w:rPr>
                    <w:t>卸油时应保证卸油油气回收系统密闭。卸油前卸油软管和油气回收软管应与油品运输汽车罐车和埋地油罐紧密连接，然后开启油气回收管路阀门，再开启卸油管路阀门进行卸油作业。</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本项目设置汽油油气</w:t>
                  </w:r>
                  <w:r>
                    <w:rPr>
                      <w:rFonts w:ascii="Times New Roman" w:cs="Times New Roman" w:hAnsi="Times New Roman"/>
                      <w:color w:val="000000"/>
                      <w:spacing w:val="-7"/>
                      <w:sz w:val="21"/>
                      <w:szCs w:val="21"/>
                      <w:lang w:val="en-US" w:eastAsia="zh-CN" w:bidi="ar-SA"/>
                    </w:rPr>
                    <w:t>回收装置，保证卸油过程</w:t>
                  </w:r>
                  <w:r>
                    <w:rPr>
                      <w:rFonts w:ascii="Times New Roman" w:cs="Times New Roman" w:hAnsi="Times New Roman"/>
                      <w:color w:val="000000"/>
                      <w:spacing w:val="0"/>
                      <w:sz w:val="21"/>
                      <w:szCs w:val="21"/>
                      <w:lang w:val="en-US" w:eastAsia="zh-CN" w:bidi="ar-SA"/>
                    </w:rPr>
                    <w:t>产生的油气进入油罐车的罐内。</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restart"/>
                  <w:vAlign w:val="center"/>
                </w:tcPr>
                <w:p>
                  <w:pPr>
                    <w:keepNext w:val="0"/>
                    <w:keepLines w:val="0"/>
                    <w:suppressLineNumbers w:val="0"/>
                    <w:tabs>
                      <w:tab w:val="left" w:pos="8590"/>
                    </w:tabs>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Times New Roman" w:eastAsia="宋体" w:cs="Times New Roman" w:hAnsi="Times New Roman"/>
                      <w:color w:val="000000"/>
                      <w:spacing w:val="-1"/>
                      <w:sz w:val="21"/>
                      <w:szCs w:val="21"/>
                      <w:lang w:val="en-US" w:eastAsia="zh-CN" w:bidi="ar-SA"/>
                    </w:rPr>
                    <w:t>加油油气排放控制</w:t>
                  </w:r>
                </w:p>
              </w:tc>
              <w:tc>
                <w:tcPr>
                  <w:tcW w:w="264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加油产生的油气应采用真空辅助方式密闭收集。</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本项目加油产生的油气采用真空辅助方式密闭收集</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宋体" w:eastAsia="宋体" w:cs="宋体" w:hAnsi="宋体" w:hint="eastAsia"/>
                      <w:color w:val="000000"/>
                      <w:kern w:val="0"/>
                      <w:sz w:val="21"/>
                      <w:szCs w:val="21"/>
                      <w:lang w:val="en-US" w:eastAsia="zh-CN" w:bidi="ar-SA"/>
                    </w:rPr>
                    <w:t>油气回收管线应坡向油罐，坡度不应小于</w:t>
                  </w:r>
                  <w:r>
                    <w:rPr>
                      <w:rFonts w:ascii="Times New Roman" w:eastAsia="宋体" w:cs="Times New Roman" w:hAnsi="Times New Roman"/>
                      <w:color w:val="000000"/>
                      <w:kern w:val="0"/>
                      <w:sz w:val="21"/>
                      <w:szCs w:val="21"/>
                      <w:lang w:val="en-US" w:eastAsia="zh-CN" w:bidi="ar-SA"/>
                    </w:rPr>
                    <w:t>1%</w:t>
                  </w:r>
                  <w:r>
                    <w:rPr>
                      <w:rFonts w:ascii="宋体" w:eastAsia="宋体" w:cs="宋体" w:hAnsi="宋体" w:hint="eastAsia"/>
                      <w:color w:val="000000"/>
                      <w:kern w:val="0"/>
                      <w:sz w:val="21"/>
                      <w:szCs w:val="21"/>
                      <w:lang w:val="en-US" w:eastAsia="zh-CN" w:bidi="ar-SA"/>
                    </w:rPr>
                    <w:t>，受地形限制无法满足坡度要求的可设置集液器，集液器的凝结液应能密闭回收至低标号的汽油罐中。</w:t>
                  </w:r>
                </w:p>
              </w:tc>
              <w:tc>
                <w:tcPr>
                  <w:tcW w:w="1563" w:type="pct"/>
                  <w:vAlign w:val="center"/>
                </w:tcPr>
                <w:p>
                  <w:pPr>
                    <w:keepNext w:val="0"/>
                    <w:keepLines w:val="0"/>
                    <w:pageBreakBefore w:val="0"/>
                    <w:widowControl w:val="0"/>
                    <w:suppressLineNumbers w:val="0"/>
                    <w:tabs>
                      <w:tab w:val="left" w:pos="8590"/>
                    </w:tabs>
                    <w:kinsoku/>
                    <w:wordWrap/>
                    <w:overflowPunct/>
                    <w:topLinePunct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本项目油气回收管线坡向油罐，且坡度不小于1%。</w:t>
                  </w:r>
                </w:p>
              </w:tc>
              <w:tc>
                <w:tcPr>
                  <w:tcW w:w="492" w:type="pct"/>
                  <w:vAlign w:val="center"/>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5"/>
                      <w:sz w:val="21"/>
                      <w:szCs w:val="21"/>
                      <w:lang w:val="en-US" w:eastAsia="zh-CN" w:bidi="ar-SA"/>
                    </w:rPr>
                    <w:t>加油软管应配备拉断截止阀，加油时应</w:t>
                  </w:r>
                  <w:r>
                    <w:rPr>
                      <w:rFonts w:ascii="Times New Roman" w:cs="Times New Roman" w:hAnsi="Times New Roman"/>
                      <w:color w:val="000000"/>
                      <w:spacing w:val="0"/>
                      <w:sz w:val="21"/>
                      <w:szCs w:val="21"/>
                      <w:lang w:val="en-US" w:eastAsia="zh-CN" w:bidi="ar-SA"/>
                    </w:rPr>
                    <w:t>防止溢油和滴油。</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本项目加油软管配备拉断截止</w:t>
                  </w:r>
                  <w:r>
                    <w:rPr>
                      <w:rFonts w:ascii="Times New Roman" w:cs="Times New Roman" w:hAnsi="Times New Roman"/>
                      <w:color w:val="000000"/>
                      <w:spacing w:val="-7"/>
                      <w:sz w:val="21"/>
                      <w:szCs w:val="21"/>
                      <w:lang w:val="en-US" w:eastAsia="zh-CN" w:bidi="ar-SA"/>
                    </w:rPr>
                    <w:t>阀，加油时</w:t>
                  </w:r>
                  <w:r>
                    <w:rPr>
                      <w:rFonts w:cs="Times New Roman" w:hint="eastAsia"/>
                      <w:color w:val="000000"/>
                      <w:spacing w:val="-7"/>
                      <w:sz w:val="21"/>
                      <w:szCs w:val="21"/>
                      <w:lang w:val="en-US" w:eastAsia="zh-CN" w:bidi="ar-SA"/>
                    </w:rPr>
                    <w:t>可以</w:t>
                  </w:r>
                  <w:r>
                    <w:rPr>
                      <w:rFonts w:ascii="Times New Roman" w:cs="Times New Roman" w:hAnsi="Times New Roman"/>
                      <w:color w:val="000000"/>
                      <w:spacing w:val="-7"/>
                      <w:sz w:val="21"/>
                      <w:szCs w:val="21"/>
                      <w:lang w:val="en-US" w:eastAsia="zh-CN" w:bidi="ar-SA"/>
                    </w:rPr>
                    <w:t>防止溢油和</w:t>
                  </w:r>
                  <w:r>
                    <w:rPr>
                      <w:rFonts w:ascii="Times New Roman" w:cs="Times New Roman" w:hAnsi="Times New Roman"/>
                      <w:color w:val="000000"/>
                      <w:spacing w:val="0"/>
                      <w:sz w:val="21"/>
                      <w:szCs w:val="21"/>
                      <w:lang w:val="en-US" w:eastAsia="zh-CN" w:bidi="ar-SA"/>
                    </w:rPr>
                    <w:t>滴油。</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restart"/>
                  <w:vAlign w:val="center"/>
                </w:tcPr>
                <w:p>
                  <w:pPr>
                    <w:keepNext w:val="0"/>
                    <w:keepLines w:val="0"/>
                    <w:suppressLineNumbers w:val="0"/>
                    <w:tabs>
                      <w:tab w:val="left" w:pos="8590"/>
                    </w:tabs>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Times New Roman" w:eastAsia="宋体" w:cs="Times New Roman" w:hAnsi="Times New Roman"/>
                      <w:color w:val="000000"/>
                      <w:spacing w:val="-1"/>
                      <w:sz w:val="21"/>
                      <w:szCs w:val="21"/>
                      <w:lang w:val="en-US" w:eastAsia="zh-CN" w:bidi="ar-SA"/>
                    </w:rPr>
                    <w:t>油气处理装置</w:t>
                  </w: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highlight w:val="red"/>
                    </w:rPr>
                  </w:pPr>
                  <w:r>
                    <w:rPr>
                      <w:rFonts w:ascii="宋体" w:eastAsia="宋体" w:cs="宋体" w:hAnsi="宋体" w:hint="eastAsia"/>
                      <w:color w:val="000000"/>
                      <w:kern w:val="0"/>
                      <w:sz w:val="21"/>
                      <w:szCs w:val="21"/>
                      <w:lang w:val="en-US" w:eastAsia="zh-CN" w:bidi="ar-SA"/>
                    </w:rPr>
                    <w:t>油气处理装置启动运行的压力感应值宜设在</w:t>
                  </w:r>
                  <w:r>
                    <w:rPr>
                      <w:rFonts w:ascii="Calibri" w:eastAsia="宋体" w:cs="Calibri" w:hAnsi="Calibri"/>
                      <w:color w:val="000000"/>
                      <w:kern w:val="0"/>
                      <w:sz w:val="21"/>
                      <w:szCs w:val="21"/>
                      <w:lang w:val="en-US" w:eastAsia="zh-CN" w:bidi="ar-SA"/>
                    </w:rPr>
                    <w:t>+</w:t>
                  </w:r>
                  <w:r>
                    <w:rPr>
                      <w:rFonts w:ascii="Times New Roman" w:eastAsia="宋体" w:cs="Times New Roman" w:hAnsi="Times New Roman"/>
                      <w:color w:val="000000"/>
                      <w:kern w:val="0"/>
                      <w:sz w:val="21"/>
                      <w:szCs w:val="21"/>
                      <w:lang w:val="en-US" w:eastAsia="zh-CN" w:bidi="ar-SA"/>
                    </w:rPr>
                    <w:t>150Pa</w:t>
                  </w:r>
                  <w:r>
                    <w:rPr>
                      <w:rFonts w:ascii="宋体" w:eastAsia="宋体" w:cs="宋体" w:hAnsi="宋体" w:hint="eastAsia"/>
                      <w:color w:val="000000"/>
                      <w:kern w:val="0"/>
                      <w:sz w:val="21"/>
                      <w:szCs w:val="21"/>
                      <w:lang w:val="en-US" w:eastAsia="zh-CN" w:bidi="ar-SA"/>
                    </w:rPr>
                    <w:t>，停止运行的压力感应值宜设在</w:t>
                  </w:r>
                  <w:r>
                    <w:rPr>
                      <w:rFonts w:ascii="Times New Roman" w:eastAsia="宋体" w:cs="Times New Roman" w:hAnsi="Times New Roman"/>
                      <w:color w:val="000000"/>
                      <w:kern w:val="0"/>
                      <w:sz w:val="21"/>
                      <w:szCs w:val="21"/>
                      <w:lang w:val="en-US" w:eastAsia="zh-CN" w:bidi="ar-SA"/>
                    </w:rPr>
                    <w:t>0—50Pa</w:t>
                  </w:r>
                  <w:r>
                    <w:rPr>
                      <w:rFonts w:ascii="宋体" w:eastAsia="宋体" w:cs="宋体" w:hAnsi="宋体" w:hint="eastAsia"/>
                      <w:color w:val="000000"/>
                      <w:kern w:val="0"/>
                      <w:sz w:val="21"/>
                      <w:szCs w:val="21"/>
                      <w:lang w:val="en-US" w:eastAsia="zh-CN" w:bidi="ar-SA"/>
                    </w:rPr>
                    <w:t>，或根据加油站情况自行调整。</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val="0"/>
                      <w:bCs/>
                      <w:color w:val="000000"/>
                      <w:sz w:val="21"/>
                      <w:szCs w:val="21"/>
                      <w:vertAlign w:val="baseline"/>
                      <w:lang w:val="en-US" w:eastAsia="zh-CN"/>
                    </w:rPr>
                  </w:pPr>
                  <w:r>
                    <w:rPr>
                      <w:rFonts w:cs="Times New Roman" w:hint="eastAsia"/>
                      <w:color w:val="000000"/>
                      <w:spacing w:val="0"/>
                      <w:sz w:val="21"/>
                      <w:szCs w:val="21"/>
                      <w:lang w:val="en-US" w:eastAsia="zh-CN" w:bidi="ar-SA"/>
                    </w:rPr>
                    <w:t>本项目油气处理装置</w:t>
                  </w:r>
                  <w:r>
                    <w:rPr>
                      <w:rFonts w:ascii="宋体" w:eastAsia="宋体" w:cs="宋体" w:hAnsi="宋体" w:hint="eastAsia"/>
                      <w:color w:val="000000"/>
                      <w:kern w:val="0"/>
                      <w:sz w:val="21"/>
                      <w:szCs w:val="21"/>
                      <w:lang w:val="en-US" w:eastAsia="zh-CN" w:bidi="ar-SA"/>
                    </w:rPr>
                    <w:t>启动运行的压力感应值</w:t>
                  </w:r>
                  <w:r>
                    <w:rPr>
                      <w:rFonts w:cs="Times New Roman" w:hint="eastAsia"/>
                      <w:color w:val="000000"/>
                      <w:spacing w:val="0"/>
                      <w:sz w:val="21"/>
                      <w:szCs w:val="21"/>
                      <w:lang w:val="en-US" w:eastAsia="zh-CN" w:bidi="ar-SA"/>
                    </w:rPr>
                    <w:t>按要求设置。</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highlight w:val="red"/>
                    </w:rPr>
                  </w:pPr>
                  <w:r>
                    <w:rPr>
                      <w:rFonts w:ascii="宋体" w:eastAsia="宋体" w:cs="宋体" w:hAnsi="宋体" w:hint="eastAsia"/>
                      <w:color w:val="000000"/>
                      <w:kern w:val="0"/>
                      <w:sz w:val="21"/>
                      <w:szCs w:val="21"/>
                      <w:lang w:val="en-US" w:eastAsia="zh-CN" w:bidi="ar-SA"/>
                    </w:rPr>
                    <w:t>油气处理装置排气口距地平面高度不应小于</w:t>
                  </w:r>
                  <w:r>
                    <w:rPr>
                      <w:rFonts w:ascii="Times New Roman" w:eastAsia="宋体" w:cs="Times New Roman" w:hAnsi="Times New Roman"/>
                      <w:color w:val="000000"/>
                      <w:kern w:val="0"/>
                      <w:sz w:val="21"/>
                      <w:szCs w:val="21"/>
                      <w:lang w:val="en-US" w:eastAsia="zh-CN" w:bidi="ar-SA"/>
                    </w:rPr>
                    <w:t>4m</w:t>
                  </w:r>
                  <w:r>
                    <w:rPr>
                      <w:rFonts w:ascii="宋体" w:eastAsia="宋体" w:cs="宋体" w:hAnsi="宋体" w:hint="eastAsia"/>
                      <w:color w:val="000000"/>
                      <w:kern w:val="0"/>
                      <w:sz w:val="21"/>
                      <w:szCs w:val="21"/>
                      <w:lang w:val="en-US" w:eastAsia="zh-CN" w:bidi="ar-SA"/>
                    </w:rPr>
                    <w:t>，具体高度以及与周围建筑物的距离应根据环境影响评价文件确定，排气口应设阻火器。油气处理装置回油管横向地下油罐的坡度不应小于</w:t>
                  </w:r>
                  <w:r>
                    <w:rPr>
                      <w:rFonts w:ascii="Calibri" w:eastAsia="宋体" w:cs="Calibri" w:hAnsi="Calibri"/>
                      <w:color w:val="000000"/>
                      <w:kern w:val="0"/>
                      <w:sz w:val="21"/>
                      <w:szCs w:val="21"/>
                      <w:lang w:val="en-US" w:eastAsia="zh-CN" w:bidi="ar-SA"/>
                    </w:rPr>
                    <w:t>1%</w:t>
                  </w:r>
                  <w:r>
                    <w:rPr>
                      <w:rFonts w:ascii="宋体" w:eastAsia="宋体" w:cs="宋体" w:hAnsi="宋体" w:hint="eastAsia"/>
                      <w:color w:val="000000"/>
                      <w:kern w:val="0"/>
                      <w:sz w:val="21"/>
                      <w:szCs w:val="21"/>
                      <w:lang w:val="en-US" w:eastAsia="zh-CN" w:bidi="ar-SA"/>
                    </w:rPr>
                    <w:t>。</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val="0"/>
                      <w:bCs/>
                      <w:color w:val="000000"/>
                      <w:sz w:val="21"/>
                      <w:szCs w:val="21"/>
                      <w:vertAlign w:val="baseline"/>
                      <w:lang w:val="en-US" w:eastAsia="zh-CN"/>
                    </w:rPr>
                  </w:pPr>
                  <w:r>
                    <w:rPr>
                      <w:rFonts w:ascii="Times New Roman" w:cs="Times New Roman" w:hAnsi="Times New Roman"/>
                      <w:color w:val="000000"/>
                      <w:spacing w:val="0"/>
                      <w:sz w:val="21"/>
                      <w:szCs w:val="21"/>
                      <w:lang w:val="en-US" w:eastAsia="zh-CN" w:bidi="ar-SA"/>
                    </w:rPr>
                    <w:t>本项目</w:t>
                  </w:r>
                  <w:r>
                    <w:rPr>
                      <w:rFonts w:ascii="宋体" w:eastAsia="宋体" w:cs="宋体" w:hAnsi="宋体" w:hint="eastAsia"/>
                      <w:color w:val="000000"/>
                      <w:kern w:val="0"/>
                      <w:sz w:val="21"/>
                      <w:szCs w:val="21"/>
                      <w:lang w:val="en-US" w:eastAsia="zh-CN" w:bidi="ar-SA"/>
                    </w:rPr>
                    <w:t>油气处理装置排气口距地平面高度不小于</w:t>
                  </w:r>
                  <w:r>
                    <w:rPr>
                      <w:rFonts w:ascii="Times New Roman" w:eastAsia="宋体" w:cs="Times New Roman" w:hAnsi="Times New Roman"/>
                      <w:color w:val="000000"/>
                      <w:kern w:val="0"/>
                      <w:sz w:val="21"/>
                      <w:szCs w:val="21"/>
                      <w:lang w:val="en-US" w:eastAsia="zh-CN" w:bidi="ar-SA"/>
                    </w:rPr>
                    <w:t>4m</w:t>
                  </w:r>
                  <w:r>
                    <w:rPr>
                      <w:rFonts w:cs="Times New Roman" w:hint="eastAsia"/>
                      <w:color w:val="000000"/>
                      <w:kern w:val="0"/>
                      <w:sz w:val="21"/>
                      <w:szCs w:val="21"/>
                      <w:lang w:val="en-US" w:eastAsia="zh-CN" w:bidi="ar-SA"/>
                    </w:rPr>
                    <w:t>，</w:t>
                  </w:r>
                  <w:r>
                    <w:rPr>
                      <w:rFonts w:ascii="宋体" w:eastAsia="宋体" w:cs="宋体" w:hAnsi="宋体" w:hint="eastAsia"/>
                      <w:color w:val="000000"/>
                      <w:kern w:val="0"/>
                      <w:sz w:val="21"/>
                      <w:szCs w:val="21"/>
                      <w:lang w:val="en-US" w:eastAsia="zh-CN" w:bidi="ar-SA"/>
                    </w:rPr>
                    <w:t>排气口设</w:t>
                  </w:r>
                  <w:r>
                    <w:rPr>
                      <w:rFonts w:ascii="宋体" w:cs="宋体" w:hAnsi="宋体" w:hint="eastAsia"/>
                      <w:color w:val="000000"/>
                      <w:kern w:val="0"/>
                      <w:sz w:val="21"/>
                      <w:szCs w:val="21"/>
                      <w:lang w:val="en-US" w:eastAsia="zh-CN" w:bidi="ar-SA"/>
                    </w:rPr>
                    <w:t>有</w:t>
                  </w:r>
                  <w:r>
                    <w:rPr>
                      <w:rFonts w:ascii="宋体" w:eastAsia="宋体" w:cs="宋体" w:hAnsi="宋体" w:hint="eastAsia"/>
                      <w:color w:val="000000"/>
                      <w:kern w:val="0"/>
                      <w:sz w:val="21"/>
                      <w:szCs w:val="21"/>
                      <w:lang w:val="en-US" w:eastAsia="zh-CN" w:bidi="ar-SA"/>
                    </w:rPr>
                    <w:t>阻火器。油气处理装置回油管横向地下油罐的坡度不小于</w:t>
                  </w:r>
                  <w:r>
                    <w:rPr>
                      <w:rFonts w:ascii="Calibri" w:eastAsia="宋体" w:cs="Calibri" w:hAnsi="Calibri"/>
                      <w:color w:val="000000"/>
                      <w:kern w:val="0"/>
                      <w:sz w:val="21"/>
                      <w:szCs w:val="21"/>
                      <w:lang w:val="en-US" w:eastAsia="zh-CN" w:bidi="ar-SA"/>
                    </w:rPr>
                    <w:t>1%</w:t>
                  </w:r>
                  <w:r>
                    <w:rPr>
                      <w:rFonts w:ascii="Calibri" w:cs="Calibri" w:hAnsi="Calibri" w:hint="eastAsia"/>
                      <w:color w:val="000000"/>
                      <w:kern w:val="0"/>
                      <w:sz w:val="21"/>
                      <w:szCs w:val="21"/>
                      <w:lang w:val="en-US" w:eastAsia="zh-CN" w:bidi="ar-SA"/>
                    </w:rPr>
                    <w:t>。</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lang w:eastAsia="zh-CN"/>
                    </w:rPr>
                  </w:pPr>
                  <w:r>
                    <w:rPr>
                      <w:rFonts w:ascii="Times New Roman" w:cs="Times New Roman" w:hAnsi="Times New Roman"/>
                      <w:color w:val="000000"/>
                      <w:sz w:val="21"/>
                      <w:szCs w:val="21"/>
                      <w:lang w:val="en-US" w:eastAsia="zh-CN" w:bidi="ar-SA"/>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highlight w:val="red"/>
                    </w:rPr>
                  </w:pPr>
                  <w:r>
                    <w:rPr>
                      <w:rFonts w:ascii="宋体" w:eastAsia="宋体" w:cs="宋体" w:hAnsi="宋体" w:hint="eastAsia"/>
                      <w:color w:val="000000"/>
                      <w:kern w:val="0"/>
                      <w:sz w:val="21"/>
                      <w:szCs w:val="21"/>
                      <w:lang w:val="en-US" w:eastAsia="zh-CN" w:bidi="ar-SA"/>
                    </w:rPr>
                    <w:t>油气处理装置在卸油期间应保持正常运行状态。</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val="0"/>
                      <w:bCs/>
                      <w:color w:val="000000"/>
                      <w:sz w:val="21"/>
                      <w:szCs w:val="21"/>
                      <w:vertAlign w:val="baseline"/>
                      <w:lang w:val="en-US" w:eastAsia="zh-CN"/>
                    </w:rPr>
                  </w:pPr>
                  <w:r>
                    <w:rPr>
                      <w:rFonts w:cs="Times New Roman" w:hint="eastAsia"/>
                      <w:color w:val="000000"/>
                      <w:spacing w:val="0"/>
                      <w:sz w:val="21"/>
                      <w:szCs w:val="21"/>
                      <w:lang w:val="en-US" w:eastAsia="zh-CN" w:bidi="ar-SA"/>
                    </w:rPr>
                    <w:t>本项目油气处理装置</w:t>
                  </w:r>
                  <w:r>
                    <w:rPr>
                      <w:rFonts w:ascii="宋体" w:eastAsia="宋体" w:cs="宋体" w:hAnsi="宋体" w:hint="eastAsia"/>
                      <w:color w:val="000000"/>
                      <w:kern w:val="0"/>
                      <w:sz w:val="21"/>
                      <w:szCs w:val="21"/>
                      <w:lang w:val="en-US" w:eastAsia="zh-CN" w:bidi="ar-SA"/>
                    </w:rPr>
                    <w:t>在卸油期间保持正常运行状态。</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rPr>
                  </w:pPr>
                  <w:r>
                    <w:rPr>
                      <w:rFonts w:ascii="Times New Roman" w:cs="Times New Roman" w:hAnsi="Times New Roman"/>
                      <w:color w:val="000000"/>
                      <w:sz w:val="21"/>
                      <w:szCs w:val="21"/>
                      <w:lang w:val="en-US" w:eastAsia="zh-CN" w:bidi="ar-SA"/>
                    </w:rPr>
                    <w:t>相符</w:t>
                  </w:r>
                </w:p>
              </w:tc>
            </w:tr>
            <w:tr>
              <w:trPr>
                <w:trHeight w:val="397"/>
              </w:trPr>
              <w:tc>
                <w:tcPr>
                  <w:tcW w:w="299" w:type="pct"/>
                  <w:vMerge w:val="restart"/>
                  <w:vAlign w:val="center"/>
                </w:tcPr>
                <w:p>
                  <w:pPr>
                    <w:keepNext w:val="0"/>
                    <w:keepLines w:val="0"/>
                    <w:suppressLineNumbers w:val="0"/>
                    <w:tabs>
                      <w:tab w:val="left" w:pos="8590"/>
                    </w:tabs>
                    <w:spacing w:before="0" w:beforeAutospacing="0" w:after="0" w:afterAutospacing="0" w:line="240" w:lineRule="auto"/>
                    <w:ind w:left="0" w:right="0"/>
                    <w:jc w:val="center"/>
                    <w:rPr>
                      <w:rFonts w:ascii="Times New Roman" w:eastAsia="宋体" w:cs="Times New Roman" w:hAnsi="Times New Roman"/>
                      <w:b w:val="0"/>
                      <w:bCs/>
                      <w:color w:val="000000"/>
                      <w:sz w:val="21"/>
                      <w:szCs w:val="21"/>
                      <w:vertAlign w:val="baseline"/>
                      <w:lang w:val="en-US" w:eastAsia="zh-CN"/>
                    </w:rPr>
                  </w:pPr>
                  <w:r>
                    <w:rPr>
                      <w:rFonts w:ascii="Times New Roman" w:eastAsia="宋体" w:cs="Times New Roman" w:hAnsi="Times New Roman"/>
                      <w:color w:val="000000"/>
                      <w:spacing w:val="-1"/>
                      <w:sz w:val="21"/>
                      <w:szCs w:val="21"/>
                      <w:lang w:val="en-US" w:eastAsia="zh-CN" w:bidi="ar-SA"/>
                    </w:rPr>
                    <w:t>在线监测系统</w:t>
                  </w: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宋体" w:eastAsia="宋体" w:cs="宋体" w:hAnsi="宋体" w:hint="eastAsia"/>
                      <w:color w:val="000000"/>
                      <w:kern w:val="0"/>
                      <w:sz w:val="21"/>
                      <w:szCs w:val="21"/>
                      <w:lang w:val="en-US" w:eastAsia="zh-CN"/>
                      <w:highlight w:val="none"/>
                    </w:rPr>
                  </w:pPr>
                  <w:r>
                    <w:rPr>
                      <w:rFonts w:ascii="宋体" w:eastAsia="宋体" w:cs="宋体" w:hAnsi="宋体" w:hint="eastAsia"/>
                      <w:color w:val="000000"/>
                      <w:kern w:val="0"/>
                      <w:sz w:val="21"/>
                      <w:szCs w:val="21"/>
                      <w:lang w:val="en-US" w:eastAsia="zh-CN" w:bidi="ar-SA"/>
                      <w:highlight w:val="none"/>
                    </w:rPr>
                    <w:t>在线监测系统应能够监测每条加油枪气液比和油气回收系统压力，具备至少储存</w:t>
                  </w:r>
                  <w:r>
                    <w:rPr>
                      <w:rFonts w:ascii="Calibri" w:eastAsia="宋体" w:cs="Calibri" w:hAnsi="Calibri"/>
                      <w:color w:val="000000"/>
                      <w:kern w:val="0"/>
                      <w:sz w:val="21"/>
                      <w:szCs w:val="21"/>
                      <w:lang w:val="en-US" w:eastAsia="zh-CN" w:bidi="ar-SA"/>
                      <w:highlight w:val="none"/>
                    </w:rPr>
                    <w:t>1</w:t>
                  </w:r>
                  <w:r>
                    <w:rPr>
                      <w:rFonts w:ascii="宋体" w:eastAsia="宋体" w:cs="宋体" w:hAnsi="宋体" w:hint="eastAsia"/>
                      <w:color w:val="000000"/>
                      <w:kern w:val="0"/>
                      <w:sz w:val="21"/>
                      <w:szCs w:val="21"/>
                      <w:lang w:val="en-US" w:eastAsia="zh-CN" w:bidi="ar-SA"/>
                      <w:highlight w:val="none"/>
                    </w:rPr>
                    <w:t>年数据、远距离传输，具备预警、警告功能。在线监测系统监测功能、技术要求和预报警条件等见附录</w:t>
                  </w:r>
                  <w:r>
                    <w:rPr>
                      <w:rFonts w:ascii="Calibri" w:eastAsia="宋体" w:cs="Calibri" w:hAnsi="Calibri"/>
                      <w:color w:val="000000"/>
                      <w:kern w:val="0"/>
                      <w:sz w:val="21"/>
                      <w:szCs w:val="21"/>
                      <w:lang w:val="en-US" w:eastAsia="zh-CN" w:bidi="ar-SA"/>
                      <w:highlight w:val="none"/>
                    </w:rPr>
                    <w:t>E</w:t>
                  </w:r>
                  <w:r>
                    <w:rPr>
                      <w:rFonts w:ascii="宋体" w:eastAsia="宋体" w:cs="宋体" w:hAnsi="宋体" w:hint="eastAsia"/>
                      <w:color w:val="000000"/>
                      <w:kern w:val="0"/>
                      <w:sz w:val="21"/>
                      <w:szCs w:val="21"/>
                      <w:lang w:val="en-US" w:eastAsia="zh-CN" w:bidi="ar-SA"/>
                      <w:highlight w:val="none"/>
                    </w:rPr>
                    <w:t>。</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spacing w:val="0"/>
                      <w:sz w:val="21"/>
                      <w:szCs w:val="21"/>
                      <w:lang w:val="en-US" w:eastAsia="zh-CN"/>
                      <w:highlight w:val="none"/>
                    </w:rPr>
                  </w:pPr>
                  <w:r>
                    <w:rPr>
                      <w:rFonts w:cs="Times New Roman" w:hint="eastAsia"/>
                      <w:color w:val="000000"/>
                      <w:spacing w:val="0"/>
                      <w:sz w:val="21"/>
                      <w:szCs w:val="21"/>
                      <w:lang w:val="en-US" w:eastAsia="zh-CN" w:bidi="ar-SA"/>
                      <w:highlight w:val="none"/>
                    </w:rPr>
                    <w:t>本项目在线监测系统</w:t>
                  </w:r>
                  <w:r>
                    <w:rPr>
                      <w:rFonts w:ascii="宋体" w:cs="宋体" w:hAnsi="宋体" w:hint="eastAsia"/>
                      <w:color w:val="000000"/>
                      <w:kern w:val="0"/>
                      <w:sz w:val="21"/>
                      <w:szCs w:val="21"/>
                      <w:lang w:val="en-US" w:eastAsia="zh-CN" w:bidi="ar-SA"/>
                      <w:highlight w:val="none"/>
                    </w:rPr>
                    <w:t>按管理部门要求建设</w:t>
                  </w:r>
                  <w:r>
                    <w:rPr>
                      <w:rFonts w:cs="Times New Roman" w:hint="eastAsia"/>
                      <w:color w:val="000000"/>
                      <w:spacing w:val="0"/>
                      <w:sz w:val="21"/>
                      <w:szCs w:val="21"/>
                      <w:lang w:val="en-US" w:eastAsia="zh-CN" w:bidi="ar-SA"/>
                      <w:highlight w:val="none"/>
                    </w:rPr>
                    <w:t>。</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z w:val="21"/>
                      <w:szCs w:val="21"/>
                      <w:highlight w:val="none"/>
                    </w:rPr>
                  </w:pPr>
                  <w:r>
                    <w:rPr>
                      <w:rFonts w:ascii="Times New Roman" w:cs="Times New Roman" w:hAnsi="Times New Roman"/>
                      <w:color w:val="000000"/>
                      <w:sz w:val="21"/>
                      <w:szCs w:val="21"/>
                      <w:lang w:val="en-US" w:eastAsia="zh-CN" w:bidi="ar-SA"/>
                      <w:highlight w:val="none"/>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宋体" w:eastAsia="宋体" w:cs="宋体" w:hAnsi="宋体" w:hint="eastAsia"/>
                      <w:color w:val="000000"/>
                      <w:kern w:val="0"/>
                      <w:sz w:val="21"/>
                      <w:szCs w:val="21"/>
                      <w:lang w:val="en-US" w:eastAsia="zh-CN"/>
                      <w:highlight w:val="none"/>
                    </w:rPr>
                  </w:pPr>
                  <w:r>
                    <w:rPr>
                      <w:rFonts w:ascii="宋体" w:eastAsia="宋体" w:cs="宋体" w:hAnsi="宋体" w:hint="eastAsia"/>
                      <w:color w:val="000000"/>
                      <w:kern w:val="0"/>
                      <w:sz w:val="21"/>
                      <w:szCs w:val="21"/>
                      <w:lang w:val="en-US" w:eastAsia="zh-CN" w:bidi="ar-SA"/>
                      <w:highlight w:val="none"/>
                    </w:rPr>
                    <w:t>在线监控系统可在卸油口附近、加油机内</w:t>
                  </w:r>
                  <w:r>
                    <w:rPr>
                      <w:rFonts w:ascii="Calibri" w:eastAsia="宋体" w:cs="Calibri" w:hAnsi="Calibri"/>
                      <w:color w:val="000000"/>
                      <w:kern w:val="0"/>
                      <w:sz w:val="21"/>
                      <w:szCs w:val="21"/>
                      <w:lang w:val="en-US" w:eastAsia="zh-CN" w:bidi="ar-SA"/>
                      <w:highlight w:val="none"/>
                    </w:rPr>
                    <w:t>/</w:t>
                  </w:r>
                  <w:r>
                    <w:rPr>
                      <w:rFonts w:ascii="宋体" w:eastAsia="宋体" w:cs="宋体" w:hAnsi="宋体" w:hint="eastAsia"/>
                      <w:color w:val="000000"/>
                      <w:kern w:val="0"/>
                      <w:sz w:val="21"/>
                      <w:szCs w:val="21"/>
                      <w:lang w:val="en-US" w:eastAsia="zh-CN" w:bidi="ar-SA"/>
                      <w:highlight w:val="none"/>
                    </w:rPr>
                    <w:t>外（加油区）、人工量油井、油气处理装置排放口等处安装浓度传感器监测油气泄漏浓度。</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spacing w:val="0"/>
                      <w:kern w:val="2"/>
                      <w:sz w:val="21"/>
                      <w:szCs w:val="21"/>
                      <w:lang w:val="en-US" w:eastAsia="zh-CN" w:bidi="ar-SA"/>
                      <w:highlight w:val="none"/>
                    </w:rPr>
                  </w:pPr>
                  <w:r>
                    <w:rPr>
                      <w:rFonts w:cs="Times New Roman" w:hint="eastAsia"/>
                      <w:color w:val="000000"/>
                      <w:spacing w:val="0"/>
                      <w:sz w:val="21"/>
                      <w:szCs w:val="21"/>
                      <w:lang w:val="en-US" w:eastAsia="zh-CN" w:bidi="ar-SA"/>
                      <w:highlight w:val="none"/>
                    </w:rPr>
                    <w:t>本项目在线监测系统</w:t>
                  </w:r>
                  <w:r>
                    <w:rPr>
                      <w:rFonts w:ascii="宋体" w:cs="宋体" w:hAnsi="宋体" w:hint="eastAsia"/>
                      <w:color w:val="000000"/>
                      <w:kern w:val="0"/>
                      <w:sz w:val="21"/>
                      <w:szCs w:val="21"/>
                      <w:lang w:val="en-US" w:eastAsia="zh-CN" w:bidi="ar-SA"/>
                      <w:highlight w:val="none"/>
                    </w:rPr>
                    <w:t>按管理部门要求建设</w:t>
                  </w:r>
                  <w:r>
                    <w:rPr>
                      <w:rFonts w:cs="Times New Roman" w:hint="eastAsia"/>
                      <w:color w:val="000000"/>
                      <w:spacing w:val="0"/>
                      <w:sz w:val="21"/>
                      <w:szCs w:val="21"/>
                      <w:lang w:val="en-US" w:eastAsia="zh-CN" w:bidi="ar-SA"/>
                      <w:highlight w:val="none"/>
                    </w:rPr>
                    <w:t>。</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z w:val="21"/>
                      <w:szCs w:val="21"/>
                      <w:highlight w:val="none"/>
                    </w:rPr>
                  </w:pPr>
                  <w:r>
                    <w:rPr>
                      <w:rFonts w:ascii="Times New Roman" w:cs="Times New Roman" w:hAnsi="Times New Roman"/>
                      <w:color w:val="000000"/>
                      <w:sz w:val="21"/>
                      <w:szCs w:val="21"/>
                      <w:lang w:val="en-US" w:eastAsia="zh-CN" w:bidi="ar-SA"/>
                      <w:highlight w:val="none"/>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宋体" w:eastAsia="宋体" w:cs="宋体" w:hAnsi="宋体" w:hint="eastAsia"/>
                      <w:color w:val="000000"/>
                      <w:kern w:val="0"/>
                      <w:sz w:val="21"/>
                      <w:szCs w:val="21"/>
                      <w:lang w:val="en-US" w:eastAsia="zh-CN"/>
                      <w:highlight w:val="none"/>
                    </w:rPr>
                  </w:pPr>
                  <w:r>
                    <w:rPr>
                      <w:rFonts w:ascii="宋体" w:eastAsia="宋体" w:cs="宋体" w:hAnsi="宋体" w:hint="eastAsia"/>
                      <w:color w:val="000000"/>
                      <w:kern w:val="0"/>
                      <w:sz w:val="21"/>
                      <w:szCs w:val="21"/>
                      <w:lang w:val="en-US" w:eastAsia="zh-CN" w:bidi="ar-SA"/>
                      <w:highlight w:val="none"/>
                    </w:rPr>
                    <w:t>在线监测系统可在卸油区</w:t>
                  </w:r>
                  <w:r>
                    <w:rPr>
                      <w:rFonts w:ascii="宋体" w:cs="宋体" w:hAnsi="宋体" w:hint="eastAsia"/>
                      <w:color w:val="000000"/>
                      <w:kern w:val="0"/>
                      <w:sz w:val="21"/>
                      <w:szCs w:val="21"/>
                      <w:lang w:val="en-US" w:eastAsia="zh-CN" w:bidi="ar-SA"/>
                      <w:highlight w:val="none"/>
                    </w:rPr>
                    <w:t>附近</w:t>
                  </w:r>
                  <w:r>
                    <w:rPr>
                      <w:rFonts w:ascii="宋体" w:eastAsia="宋体" w:cs="宋体" w:hAnsi="宋体" w:hint="eastAsia"/>
                      <w:color w:val="000000"/>
                      <w:kern w:val="0"/>
                      <w:sz w:val="21"/>
                      <w:szCs w:val="21"/>
                      <w:lang w:val="en-US" w:eastAsia="zh-CN" w:bidi="ar-SA"/>
                      <w:highlight w:val="none"/>
                    </w:rPr>
                    <w:t>、人工量油井、加油区等重点区域安装视频监测用高清摄像头，连续对卸油操作、手工量油、加油操作等进行视频录像并存储。可整合利用加油站现有视频设备，视频资料应保持</w:t>
                  </w:r>
                  <w:r>
                    <w:rPr>
                      <w:rFonts w:ascii="Times New Roman" w:eastAsia="宋体" w:cs="Times New Roman" w:hAnsi="Times New Roman"/>
                      <w:color w:val="000000"/>
                      <w:kern w:val="0"/>
                      <w:sz w:val="21"/>
                      <w:szCs w:val="21"/>
                      <w:lang w:val="en-US" w:eastAsia="zh-CN" w:bidi="ar-SA"/>
                      <w:highlight w:val="none"/>
                    </w:rPr>
                    <w:t>3</w:t>
                  </w:r>
                  <w:r>
                    <w:rPr>
                      <w:rFonts w:ascii="宋体" w:eastAsia="宋体" w:cs="宋体" w:hAnsi="宋体" w:hint="eastAsia"/>
                      <w:color w:val="000000"/>
                      <w:kern w:val="0"/>
                      <w:sz w:val="21"/>
                      <w:szCs w:val="21"/>
                      <w:lang w:val="en-US" w:eastAsia="zh-CN" w:bidi="ar-SA"/>
                      <w:highlight w:val="none"/>
                    </w:rPr>
                    <w:t>个月以上以备生态环境部门监督检查，并预留接入到环保管理平台的条件。</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highlight w:val="none"/>
                    </w:rPr>
                  </w:pPr>
                  <w:r>
                    <w:rPr>
                      <w:rFonts w:cs="Times New Roman" w:hint="eastAsia"/>
                      <w:color w:val="000000"/>
                      <w:spacing w:val="0"/>
                      <w:sz w:val="21"/>
                      <w:szCs w:val="21"/>
                      <w:lang w:val="en-US" w:eastAsia="zh-CN" w:bidi="ar-SA"/>
                      <w:highlight w:val="none"/>
                    </w:rPr>
                    <w:t>本项目在线监测系统</w:t>
                  </w:r>
                  <w:r>
                    <w:rPr>
                      <w:rFonts w:ascii="宋体" w:cs="宋体" w:hAnsi="宋体" w:hint="eastAsia"/>
                      <w:color w:val="000000"/>
                      <w:kern w:val="0"/>
                      <w:sz w:val="21"/>
                      <w:szCs w:val="21"/>
                      <w:lang w:val="en-US" w:eastAsia="zh-CN" w:bidi="ar-SA"/>
                      <w:highlight w:val="none"/>
                    </w:rPr>
                    <w:t>按管理部门要求建设</w:t>
                  </w:r>
                  <w:r>
                    <w:rPr>
                      <w:rFonts w:cs="Times New Roman" w:hint="eastAsia"/>
                      <w:color w:val="000000"/>
                      <w:spacing w:val="0"/>
                      <w:sz w:val="21"/>
                      <w:szCs w:val="21"/>
                      <w:lang w:val="en-US" w:eastAsia="zh-CN" w:bidi="ar-SA"/>
                      <w:highlight w:val="none"/>
                    </w:rPr>
                    <w:t>。</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z w:val="21"/>
                      <w:szCs w:val="21"/>
                      <w:highlight w:val="none"/>
                    </w:rPr>
                  </w:pPr>
                  <w:r>
                    <w:rPr>
                      <w:rFonts w:ascii="Times New Roman" w:cs="Times New Roman" w:hAnsi="Times New Roman"/>
                      <w:color w:val="000000"/>
                      <w:sz w:val="21"/>
                      <w:szCs w:val="21"/>
                      <w:lang w:val="en-US" w:eastAsia="zh-CN" w:bidi="ar-SA"/>
                      <w:highlight w:val="none"/>
                    </w:rPr>
                    <w:t>相符</w:t>
                  </w:r>
                </w:p>
              </w:tc>
            </w:tr>
            <w:tr>
              <w:trPr>
                <w:trHeight w:val="397"/>
              </w:trPr>
              <w:tc>
                <w:tcPr>
                  <w:tcW w:w="299" w:type="pct"/>
                  <w:vMerge/>
                  <w:vAlign w:val="center"/>
                </w:tcPr>
                <w:p/>
              </w:tc>
              <w:tc>
                <w:tcPr>
                  <w:tcW w:w="2643" w:type="pct"/>
                  <w:vAlign w:val="center"/>
                </w:tcPr>
                <w:p>
                  <w:pPr>
                    <w:keepNext w:val="0"/>
                    <w:keepLines w:val="0"/>
                    <w:widowControl/>
                    <w:suppressLineNumbers w:val="0"/>
                    <w:spacing w:before="0" w:beforeAutospacing="0" w:after="0" w:afterAutospacing="0" w:line="240" w:lineRule="auto"/>
                    <w:ind w:left="0" w:right="0"/>
                    <w:jc w:val="center"/>
                    <w:rPr>
                      <w:rFonts w:ascii="宋体" w:eastAsia="宋体" w:cs="宋体" w:hAnsi="宋体" w:hint="eastAsia"/>
                      <w:color w:val="000000"/>
                      <w:kern w:val="0"/>
                      <w:sz w:val="21"/>
                      <w:szCs w:val="21"/>
                      <w:lang w:val="en-US" w:eastAsia="zh-CN"/>
                      <w:highlight w:val="none"/>
                    </w:rPr>
                  </w:pPr>
                  <w:r>
                    <w:rPr>
                      <w:rFonts w:ascii="宋体" w:eastAsia="宋体" w:cs="宋体" w:hAnsi="宋体" w:hint="eastAsia"/>
                      <w:color w:val="000000"/>
                      <w:kern w:val="0"/>
                      <w:sz w:val="21"/>
                      <w:szCs w:val="21"/>
                      <w:lang w:val="en-US" w:eastAsia="zh-CN" w:bidi="ar-SA"/>
                      <w:highlight w:val="none"/>
                    </w:rPr>
                    <w:t>在线监测系统应能监测油气处理装置进出口的压力、油气温度（冷凝法）、实时运行情况和运行时间等。</w:t>
                  </w:r>
                </w:p>
              </w:tc>
              <w:tc>
                <w:tcPr>
                  <w:tcW w:w="1563"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pacing w:val="0"/>
                      <w:sz w:val="21"/>
                      <w:szCs w:val="21"/>
                      <w:highlight w:val="none"/>
                    </w:rPr>
                  </w:pPr>
                  <w:r>
                    <w:rPr>
                      <w:rFonts w:cs="Times New Roman" w:hint="eastAsia"/>
                      <w:color w:val="000000"/>
                      <w:spacing w:val="0"/>
                      <w:sz w:val="21"/>
                      <w:szCs w:val="21"/>
                      <w:lang w:val="en-US" w:eastAsia="zh-CN" w:bidi="ar-SA"/>
                      <w:highlight w:val="none"/>
                    </w:rPr>
                    <w:t>本项目在线监测系统</w:t>
                  </w:r>
                  <w:r>
                    <w:rPr>
                      <w:rFonts w:ascii="宋体" w:cs="宋体" w:hAnsi="宋体" w:hint="eastAsia"/>
                      <w:color w:val="000000"/>
                      <w:kern w:val="0"/>
                      <w:sz w:val="21"/>
                      <w:szCs w:val="21"/>
                      <w:lang w:val="en-US" w:eastAsia="zh-CN" w:bidi="ar-SA"/>
                      <w:highlight w:val="none"/>
                    </w:rPr>
                    <w:t>按管理部门要求建设</w:t>
                  </w:r>
                  <w:r>
                    <w:rPr>
                      <w:rFonts w:cs="Times New Roman" w:hint="eastAsia"/>
                      <w:color w:val="000000"/>
                      <w:spacing w:val="0"/>
                      <w:sz w:val="21"/>
                      <w:szCs w:val="21"/>
                      <w:lang w:val="en-US" w:eastAsia="zh-CN" w:bidi="ar-SA"/>
                      <w:highlight w:val="none"/>
                    </w:rPr>
                    <w:t>。</w:t>
                  </w:r>
                </w:p>
              </w:tc>
              <w:tc>
                <w:tcPr>
                  <w:tcW w:w="492" w:type="pct"/>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cs="Times New Roman" w:hAnsi="Times New Roman"/>
                      <w:color w:val="000000"/>
                      <w:sz w:val="21"/>
                      <w:szCs w:val="21"/>
                      <w:highlight w:val="none"/>
                    </w:rPr>
                  </w:pPr>
                  <w:r>
                    <w:rPr>
                      <w:rFonts w:ascii="Times New Roman" w:cs="Times New Roman" w:hAnsi="Times New Roman"/>
                      <w:color w:val="000000"/>
                      <w:sz w:val="21"/>
                      <w:szCs w:val="21"/>
                      <w:lang w:val="en-US" w:eastAsia="zh-CN" w:bidi="ar-SA"/>
                      <w:highlight w:val="none"/>
                    </w:rPr>
                    <w:t>相符</w:t>
                  </w:r>
                </w:p>
              </w:tc>
            </w:tr>
          </w:tbl>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40" w:lineRule="exact"/>
              <w:ind w:left="0" w:right="0" w:firstLineChars="200" w:firstLine="476"/>
              <w:jc w:val="left"/>
              <w:textAlignment w:val="auto"/>
              <w:rPr>
                <w:rFonts w:ascii="Times New Roman" w:cs="Times New Roman" w:hAnsi="Times New Roman"/>
                <w:color w:val="000000"/>
                <w:spacing w:val="0"/>
                <w:sz w:val="24"/>
              </w:rPr>
            </w:pPr>
            <w:r>
              <w:rPr>
                <w:rFonts w:ascii="Times New Roman" w:cs="Times New Roman" w:hAnsi="Times New Roman"/>
                <w:color w:val="000000"/>
                <w:spacing w:val="-1"/>
                <w:sz w:val="24"/>
                <w:szCs w:val="20"/>
              </w:rPr>
              <w:t>根据上表可知，本项目建设内容与《加油站大气污染物排放标</w:t>
            </w:r>
            <w:r>
              <w:rPr>
                <w:rFonts w:ascii="Times New Roman" w:cs="Times New Roman" w:hAnsi="Times New Roman"/>
                <w:color w:val="000000"/>
                <w:spacing w:val="0"/>
                <w:sz w:val="24"/>
                <w:szCs w:val="20"/>
              </w:rPr>
              <w:t>准》（GB20952-2020）相符。</w:t>
            </w:r>
          </w:p>
          <w:p>
            <w:pPr>
              <w:keepNext w:val="0"/>
              <w:keepLines w:val="0"/>
              <w:suppressLineNumbers w:val="0"/>
              <w:autoSpaceDE w:val="0"/>
              <w:autoSpaceDN w:val="0"/>
              <w:adjustRightInd w:val="0"/>
              <w:snapToGrid w:val="0"/>
              <w:spacing w:before="0" w:beforeAutospacing="0" w:after="0" w:afterAutospacing="0" w:line="440" w:lineRule="exact"/>
              <w:ind w:left="0" w:right="0" w:firstLineChars="200" w:firstLine="480"/>
              <w:jc w:val="left"/>
              <w:rPr>
                <w:rFonts w:eastAsia="宋体" w:hint="eastAsia"/>
                <w:bCs/>
                <w:color w:val="000000"/>
                <w:kern w:val="0"/>
                <w:sz w:val="24"/>
                <w:lang w:eastAsia="zh-CN"/>
              </w:rPr>
            </w:pPr>
          </w:p>
        </w:tc>
      </w:tr>
    </w:tbl>
    <w:p>
      <w:pPr>
        <w:bidi w:val="0"/>
        <w:spacing w:line="360" w:lineRule="auto"/>
        <w:jc w:val="center"/>
        <w:outlineLvl w:val="0"/>
        <w:rPr>
          <w:rFonts w:ascii="黑体" w:eastAsia="黑体" w:cs="黑体" w:hAnsi="黑体" w:hint="eastAsia"/>
          <w:b w:val="0"/>
          <w:bCs w:val="0"/>
          <w:sz w:val="30"/>
          <w:szCs w:val="30"/>
        </w:rPr>
      </w:pPr>
      <w:r>
        <w:rPr>
          <w:rFonts w:ascii="黑体" w:eastAsia="黑体" w:cs="黑体" w:hAnsi="黑体" w:hint="eastAsia"/>
          <w:b w:val="0"/>
          <w:bCs w:val="0"/>
          <w:sz w:val="30"/>
          <w:szCs w:val="30"/>
        </w:rPr>
        <w:t>二、建设项目工程分析</w:t>
      </w:r>
    </w:p>
    <w:tbl>
      <w:tblPr>
        <w:jc w:val="center"/>
        <w:tblW w:w="97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31"/>
        <w:gridCol w:w="9021"/>
      </w:tblGrid>
      <w:tr>
        <w:trPr>
          <w:trHeight w:val="7103"/>
        </w:trPr>
        <w:tc>
          <w:tcPr>
            <w:tcW w:w="73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ascii="Times New Roman" w:hAnsi="Times New Roman"/>
                <w:szCs w:val="21"/>
                <w:lang w:val="en-US" w:eastAsia="zh-CN"/>
              </w:rPr>
            </w:pPr>
            <w:r>
              <w:rPr>
                <w:rFonts w:ascii="Times New Roman" w:cs="Times New Roman" w:hAnsi="Times New Roman"/>
                <w:sz w:val="24"/>
                <w:szCs w:val="20"/>
                <w:lang w:val="en-US" w:eastAsia="zh-CN"/>
              </w:rPr>
              <w:t>建设内容</w:t>
            </w:r>
          </w:p>
        </w:tc>
        <w:tc>
          <w:tcPr>
            <w:tcW w:w="9021" w:type="dxa"/>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ascii="宋体" w:hAnsi="宋体" w:hint="eastAsia"/>
                <w:color w:val="000000"/>
                <w:sz w:val="24"/>
                <w:lang w:val="en-US" w:eastAsia="zh-CN"/>
              </w:rPr>
            </w:pPr>
            <w:bookmarkStart w:id="1" w:name="_Toc262219100"/>
            <w:r>
              <w:rPr>
                <w:rFonts w:ascii="Times New Roman" w:cs="Times New Roman" w:hAnsi="Times New Roman" w:hint="eastAsia"/>
                <w:b/>
                <w:sz w:val="24"/>
                <w:szCs w:val="20"/>
              </w:rPr>
              <w:t>一、项目由来</w:t>
            </w:r>
            <w:bookmarkEnd w:id="1"/>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b/>
                <w:sz w:val="24"/>
                <w:lang w:val="en-US"/>
                <w:highlight w:val="red"/>
              </w:rPr>
            </w:pPr>
            <w:r>
              <w:rPr>
                <w:rFonts w:ascii="Times New Roman" w:cs="Times New Roman" w:hAnsi="Times New Roman" w:hint="eastAsia"/>
                <w:sz w:val="24"/>
                <w:szCs w:val="20"/>
                <w:lang w:eastAsia="zh-CN"/>
                <w:highlight w:val="none"/>
              </w:rPr>
              <w:t>延津县平延园区运营管理有限公司加油站建设项目</w:t>
            </w:r>
            <w:r>
              <w:rPr>
                <w:rFonts w:ascii="Times New Roman" w:cs="Times New Roman" w:hAnsi="Times New Roman"/>
                <w:color w:val="000000"/>
                <w:sz w:val="24"/>
                <w:szCs w:val="20"/>
                <w:lang w:val="en-US" w:eastAsia="zh-CN"/>
              </w:rPr>
              <w:t>位于</w:t>
            </w:r>
            <w:r>
              <w:rPr>
                <w:rFonts w:ascii="Times New Roman" w:cs="Times New Roman" w:hAnsi="Times New Roman" w:hint="eastAsia"/>
                <w:color w:val="000000"/>
                <w:sz w:val="24"/>
                <w:szCs w:val="20"/>
                <w:lang w:val="en-US" w:eastAsia="zh-CN"/>
              </w:rPr>
              <w:t>新乡市延津县化工园区纬一路与榆林排交叉口东南角</w:t>
            </w:r>
            <w:r>
              <w:rPr>
                <w:rFonts w:ascii="Times New Roman" w:cs="Times New Roman" w:hAnsi="Times New Roman"/>
                <w:color w:val="000000"/>
                <w:sz w:val="24"/>
                <w:szCs w:val="20"/>
                <w:lang w:val="en-US" w:eastAsia="zh-CN"/>
              </w:rPr>
              <w:t>，</w:t>
            </w:r>
            <w:r>
              <w:rPr>
                <w:rFonts w:ascii="Times New Roman" w:cs="Times New Roman" w:hAnsi="Times New Roman" w:hint="eastAsia"/>
                <w:color w:val="000000"/>
                <w:sz w:val="24"/>
                <w:szCs w:val="20"/>
                <w:lang w:val="en-US" w:eastAsia="zh-CN"/>
              </w:rPr>
              <w:t>利用</w:t>
            </w:r>
            <w:r>
              <w:rPr>
                <w:rFonts w:ascii="Times New Roman" w:cs="Times New Roman" w:hAnsi="Times New Roman" w:hint="eastAsia"/>
                <w:color w:val="000000"/>
                <w:sz w:val="24"/>
                <w:szCs w:val="20"/>
              </w:rPr>
              <w:t>闲</w:t>
            </w:r>
            <w:r>
              <w:rPr>
                <w:rFonts w:ascii="Times New Roman" w:cs="Times New Roman" w:hAnsi="Times New Roman" w:hint="eastAsia"/>
                <w:color w:val="000000"/>
                <w:sz w:val="24"/>
                <w:szCs w:val="20"/>
                <w:highlight w:val="none"/>
              </w:rPr>
              <w:t>置空地</w:t>
            </w:r>
            <w:r>
              <w:rPr>
                <w:rFonts w:ascii="Times New Roman" w:cs="Times New Roman" w:hAnsi="Times New Roman" w:hint="eastAsia"/>
                <w:color w:val="000000"/>
                <w:sz w:val="24"/>
                <w:szCs w:val="20"/>
                <w:lang w:val="en-US" w:eastAsia="zh-CN"/>
                <w:highlight w:val="none"/>
              </w:rPr>
              <w:t>建设</w:t>
            </w:r>
            <w:r>
              <w:rPr>
                <w:rFonts w:ascii="Times New Roman" w:cs="Times New Roman" w:hAnsi="宋体" w:hint="eastAsia"/>
                <w:color w:val="000000"/>
                <w:kern w:val="36"/>
                <w:sz w:val="24"/>
                <w:szCs w:val="20"/>
                <w:lang w:eastAsia="zh-CN"/>
                <w:highlight w:val="none"/>
              </w:rPr>
              <w:t>，</w:t>
            </w:r>
            <w:r>
              <w:rPr>
                <w:rFonts w:ascii="Times New Roman" w:cs="Times New Roman" w:hAnsi="Times New Roman" w:hint="eastAsia"/>
                <w:color w:val="000000"/>
                <w:sz w:val="24"/>
                <w:szCs w:val="20"/>
                <w:lang w:val="en-US" w:eastAsia="zh-CN"/>
                <w:highlight w:val="none"/>
              </w:rPr>
              <w:t>总</w:t>
            </w:r>
            <w:r>
              <w:rPr>
                <w:rFonts w:ascii="Times New Roman" w:cs="Times New Roman" w:hAnsi="Times New Roman"/>
                <w:color w:val="000000"/>
                <w:sz w:val="24"/>
                <w:szCs w:val="20"/>
                <w:lang w:val="en-US" w:eastAsia="zh-CN"/>
                <w:highlight w:val="none"/>
              </w:rPr>
              <w:t>占地面积</w:t>
            </w:r>
            <w:r>
              <w:rPr>
                <w:rFonts w:ascii="Times New Roman" w:cs="Times New Roman" w:hAnsi="Times New Roman" w:hint="eastAsia"/>
                <w:color w:val="000000"/>
                <w:sz w:val="24"/>
                <w:szCs w:val="20"/>
                <w:lang w:val="en-US" w:eastAsia="zh-CN"/>
                <w:highlight w:val="none"/>
              </w:rPr>
              <w:t>约2095.29m</w:t>
            </w:r>
            <w:r>
              <w:rPr>
                <w:rFonts w:ascii="Times New Roman" w:cs="Times New Roman" w:hAnsi="Times New Roman"/>
                <w:color w:val="000000"/>
                <w:sz w:val="24"/>
                <w:szCs w:val="20"/>
                <w:vertAlign w:val="superscript"/>
                <w:lang w:val="en-US" w:eastAsia="zh-CN"/>
                <w:highlight w:val="none"/>
              </w:rPr>
              <w:t>2</w:t>
            </w:r>
            <w:r>
              <w:rPr>
                <w:rFonts w:ascii="Times New Roman" w:cs="Times New Roman" w:hAnsi="Times New Roman" w:hint="eastAsia"/>
                <w:color w:val="000000"/>
                <w:sz w:val="24"/>
                <w:szCs w:val="20"/>
                <w:vertAlign w:val="baseline"/>
                <w:lang w:val="en-US" w:eastAsia="zh-CN"/>
                <w:highlight w:val="none"/>
              </w:rPr>
              <w:t>。</w:t>
            </w:r>
            <w:r>
              <w:rPr>
                <w:rFonts w:ascii="Times New Roman" w:cs="Times New Roman" w:hAnsi="Times New Roman" w:hint="eastAsia"/>
                <w:color w:val="auto"/>
                <w:sz w:val="24"/>
                <w:szCs w:val="20"/>
                <w:u w:val="single"/>
                <w:vertAlign w:val="baseline"/>
                <w:lang w:val="en-US" w:eastAsia="zh-CN"/>
                <w:highlight w:val="none"/>
              </w:rPr>
              <w:t>依据</w:t>
            </w:r>
            <w:r>
              <w:rPr>
                <w:rFonts w:ascii="Times New Roman" w:cs="Times New Roman" w:hAnsi="Times New Roman" w:hint="eastAsia"/>
                <w:color w:val="auto"/>
                <w:sz w:val="24"/>
                <w:szCs w:val="20"/>
                <w:u w:val="single"/>
                <w:lang w:val="en-US" w:eastAsia="zh-CN"/>
                <w:highlight w:val="none"/>
              </w:rPr>
              <w:t>市场需求，</w:t>
            </w:r>
            <w:r>
              <w:rPr>
                <w:rFonts w:ascii="Times New Roman" w:cs="Times New Roman" w:hAnsi="Times New Roman"/>
                <w:color w:val="auto"/>
                <w:sz w:val="24"/>
                <w:szCs w:val="20"/>
                <w:u w:val="single"/>
                <w:highlight w:val="none"/>
              </w:rPr>
              <w:t>企业计划投资</w:t>
            </w:r>
            <w:r>
              <w:rPr>
                <w:rFonts w:ascii="Times New Roman" w:cs="Times New Roman" w:hAnsi="Times New Roman" w:hint="eastAsia"/>
                <w:color w:val="auto"/>
                <w:sz w:val="24"/>
                <w:szCs w:val="20"/>
                <w:u w:val="single"/>
                <w:lang w:val="en-US" w:eastAsia="zh-CN"/>
                <w:highlight w:val="none"/>
              </w:rPr>
              <w:t>1000万元</w:t>
            </w:r>
            <w:r>
              <w:rPr>
                <w:rFonts w:ascii="Times New Roman" w:cs="Times New Roman" w:hAnsi="Times New Roman" w:hint="eastAsia"/>
                <w:color w:val="auto"/>
                <w:sz w:val="24"/>
                <w:szCs w:val="20"/>
                <w:u w:val="single"/>
                <w:lang w:eastAsia="zh-CN"/>
                <w:highlight w:val="none"/>
              </w:rPr>
              <w:t>，</w:t>
            </w:r>
            <w:r>
              <w:rPr>
                <w:rFonts w:ascii="Times New Roman" w:cs="Times New Roman" w:hAnsi="Times New Roman" w:hint="eastAsia"/>
                <w:color w:val="auto"/>
                <w:sz w:val="24"/>
                <w:szCs w:val="20"/>
                <w:u w:val="single"/>
                <w:lang w:val="en-US" w:eastAsia="zh-CN"/>
                <w:highlight w:val="none"/>
              </w:rPr>
              <w:t>为园区车辆提供加油服务</w:t>
            </w:r>
            <w:r>
              <w:rPr>
                <w:rFonts w:ascii="Times New Roman" w:cs="Times New Roman" w:hAnsi="Times New Roman" w:hint="eastAsia"/>
                <w:color w:val="auto"/>
                <w:sz w:val="24"/>
                <w:szCs w:val="20"/>
                <w:u w:val="single"/>
                <w:lang w:eastAsia="zh-CN"/>
                <w:highlight w:val="none"/>
              </w:rPr>
              <w:t>，</w:t>
            </w:r>
            <w:r>
              <w:rPr>
                <w:rFonts w:ascii="Times New Roman" w:cs="Times New Roman" w:hAnsi="Times New Roman"/>
                <w:sz w:val="24"/>
                <w:szCs w:val="20"/>
                <w:highlight w:val="none"/>
              </w:rPr>
              <w:t>建设</w:t>
            </w:r>
            <w:r>
              <w:rPr>
                <w:rFonts w:ascii="Times New Roman" w:cs="Times New Roman" w:hAnsi="Times New Roman" w:hint="eastAsia"/>
                <w:sz w:val="24"/>
                <w:szCs w:val="20"/>
                <w:lang w:eastAsia="zh-CN"/>
                <w:highlight w:val="none"/>
              </w:rPr>
              <w:t>延津县平延园区运营管理有限公司加油站建设项目</w:t>
            </w:r>
            <w:r>
              <w:rPr>
                <w:rFonts w:ascii="Times New Roman" w:cs="Times New Roman" w:hAnsi="Times New Roman" w:hint="eastAsia"/>
                <w:color w:val="auto"/>
                <w:sz w:val="24"/>
                <w:szCs w:val="20"/>
                <w:lang w:eastAsia="zh-CN"/>
                <w:highlight w:val="none"/>
              </w:rPr>
              <w:t>，</w:t>
            </w:r>
            <w:r>
              <w:rPr>
                <w:rFonts w:ascii="Times New Roman" w:cs="Times New Roman" w:hAnsi="Times New Roman" w:hint="eastAsia"/>
                <w:color w:val="auto"/>
                <w:sz w:val="24"/>
                <w:szCs w:val="20"/>
                <w:lang w:val="en-US" w:eastAsia="zh-CN"/>
                <w:highlight w:val="none"/>
              </w:rPr>
              <w:t>即为本项目</w:t>
            </w:r>
            <w:r>
              <w:rPr>
                <w:rFonts w:ascii="Times New Roman" w:cs="Times New Roman" w:hAnsi="Times New Roman"/>
                <w:color w:val="auto"/>
                <w:sz w:val="24"/>
                <w:szCs w:val="20"/>
                <w:highlight w:val="none"/>
              </w:rPr>
              <w:t>。</w:t>
            </w:r>
            <w:r>
              <w:rPr>
                <w:rFonts w:ascii="Times New Roman" w:cs="Times New Roman" w:hAnsi="Times New Roman" w:hint="eastAsia"/>
                <w:color w:val="auto"/>
                <w:sz w:val="24"/>
                <w:szCs w:val="20"/>
                <w:lang w:val="en-US" w:eastAsia="zh-CN"/>
                <w:highlight w:val="none"/>
              </w:rPr>
              <w:t>本</w:t>
            </w:r>
            <w:r>
              <w:rPr>
                <w:rFonts w:ascii="Times New Roman" w:cs="Times New Roman" w:hAnsi="Times New Roman"/>
                <w:sz w:val="24"/>
                <w:szCs w:val="20"/>
                <w:highlight w:val="none"/>
              </w:rPr>
              <w:t>项目已经</w:t>
            </w:r>
            <w:r>
              <w:rPr>
                <w:rFonts w:ascii="Times New Roman" w:cs="Times New Roman" w:hAnsi="Times New Roman" w:hint="eastAsia"/>
                <w:sz w:val="24"/>
                <w:szCs w:val="20"/>
                <w:lang w:eastAsia="zh-CN"/>
                <w:highlight w:val="none"/>
              </w:rPr>
              <w:t>在延津县先进制造业开发区管理委员会</w:t>
            </w:r>
            <w:r>
              <w:rPr>
                <w:rFonts w:ascii="Times New Roman" w:cs="Times New Roman" w:hAnsi="Times New Roman"/>
                <w:sz w:val="24"/>
                <w:szCs w:val="20"/>
                <w:highlight w:val="none"/>
              </w:rPr>
              <w:t>备案，</w:t>
            </w:r>
            <w:r>
              <w:rPr>
                <w:rFonts w:ascii="Times New Roman" w:cs="Times New Roman" w:hAnsi="Times New Roman" w:hint="eastAsia"/>
                <w:sz w:val="24"/>
                <w:szCs w:val="20"/>
                <w:u w:val="single"/>
                <w:lang w:val="en-US" w:eastAsia="zh-CN"/>
                <w:highlight w:val="none"/>
              </w:rPr>
              <w:t>备案名称于2026年6月22日由“延津县化工园区危化品智慧停车场-加油站建设项目”变更为“</w:t>
            </w:r>
            <w:r>
              <w:rPr>
                <w:rFonts w:ascii="Times New Roman" w:cs="Times New Roman" w:hAnsi="Times New Roman" w:hint="eastAsia"/>
                <w:sz w:val="24"/>
                <w:szCs w:val="20"/>
                <w:u w:val="single"/>
                <w:lang w:eastAsia="zh-CN"/>
                <w:highlight w:val="none"/>
              </w:rPr>
              <w:t>延津县平延园区运营管理有限公司加油站建设项目</w:t>
            </w:r>
            <w:r>
              <w:rPr>
                <w:rFonts w:ascii="Times New Roman" w:cs="Times New Roman" w:hAnsi="Times New Roman" w:hint="eastAsia"/>
                <w:sz w:val="24"/>
                <w:szCs w:val="20"/>
                <w:u w:val="single"/>
                <w:lang w:val="en-US" w:eastAsia="zh-CN"/>
                <w:highlight w:val="none"/>
              </w:rPr>
              <w:t>”，</w:t>
            </w:r>
            <w:r>
              <w:rPr>
                <w:rFonts w:ascii="Times New Roman" w:cs="Times New Roman" w:hAnsi="Times New Roman"/>
                <w:sz w:val="24"/>
                <w:szCs w:val="20"/>
                <w:u w:val="single"/>
                <w:highlight w:val="none"/>
              </w:rPr>
              <w:t>备案文号</w:t>
            </w:r>
            <w:r>
              <w:rPr>
                <w:rFonts w:ascii="Times New Roman" w:cs="Times New Roman" w:hAnsi="Times New Roman" w:hint="eastAsia"/>
                <w:sz w:val="24"/>
                <w:szCs w:val="20"/>
                <w:u w:val="single"/>
                <w:lang w:val="en-US" w:eastAsia="zh-CN"/>
                <w:highlight w:val="none"/>
              </w:rPr>
              <w:t>不变仍为</w:t>
            </w:r>
            <w:r>
              <w:rPr>
                <w:rFonts w:ascii="Times New Roman" w:cs="Times New Roman" w:hAnsi="Times New Roman"/>
                <w:sz w:val="24"/>
                <w:szCs w:val="20"/>
                <w:u w:val="single"/>
                <w:highlight w:val="none"/>
              </w:rPr>
              <w:t>：</w:t>
            </w:r>
            <w:r>
              <w:rPr>
                <w:rFonts w:ascii="Times New Roman" w:cs="Times New Roman" w:hAnsi="Times New Roman" w:hint="eastAsia"/>
                <w:sz w:val="24"/>
                <w:szCs w:val="20"/>
                <w:u w:val="single"/>
                <w:lang w:eastAsia="zh-CN"/>
                <w:highlight w:val="none"/>
              </w:rPr>
              <w:t>2504-410726-04-01</w:t>
            </w:r>
            <w:r>
              <w:rPr>
                <w:rFonts w:ascii="Times New Roman" w:cs="Times New Roman" w:hAnsi="Times New Roman" w:hint="eastAsia"/>
                <w:sz w:val="24"/>
                <w:szCs w:val="20"/>
                <w:u w:val="single"/>
                <w:lang w:val="en-US" w:eastAsia="zh-CN"/>
                <w:highlight w:val="none"/>
              </w:rPr>
              <w:t>-</w:t>
            </w:r>
            <w:r>
              <w:rPr>
                <w:rFonts w:ascii="Times New Roman" w:cs="Times New Roman" w:hAnsi="Times New Roman" w:hint="eastAsia"/>
                <w:sz w:val="24"/>
                <w:szCs w:val="20"/>
                <w:u w:val="single"/>
                <w:lang w:eastAsia="zh-CN"/>
                <w:highlight w:val="none"/>
              </w:rPr>
              <w:t>448598，</w:t>
            </w:r>
            <w:r>
              <w:rPr>
                <w:rFonts w:ascii="Times New Roman" w:cs="Times New Roman" w:hAnsi="Times New Roman" w:hint="eastAsia"/>
                <w:sz w:val="24"/>
                <w:szCs w:val="20"/>
                <w:u w:val="single"/>
                <w:lang w:val="en-US" w:eastAsia="zh-CN"/>
                <w:highlight w:val="none"/>
              </w:rPr>
              <w:t>本项目检测报告及专家意见均在项目名称变更之前已完成，即检测报告和专家意见均是针对本项目</w:t>
            </w:r>
            <w:r>
              <w:rPr>
                <w:rFonts w:ascii="Times New Roman" w:cs="Times New Roman" w:hAnsi="Times New Roman"/>
                <w:sz w:val="24"/>
                <w:szCs w:val="20"/>
                <w:u w:val="single"/>
                <w:highlight w:val="none"/>
              </w:rPr>
              <w:t>。</w:t>
            </w:r>
            <w:r>
              <w:rPr>
                <w:rFonts w:ascii="Times New Roman" w:cs="Times New Roman" w:hAnsi="Times New Roman"/>
                <w:sz w:val="24"/>
                <w:szCs w:val="20"/>
                <w:highlight w:val="none"/>
              </w:rPr>
              <w:t>经</w:t>
            </w:r>
            <w:r>
              <w:rPr>
                <w:rFonts w:ascii="Times New Roman" w:cs="Times New Roman" w:hAnsi="Times New Roman" w:hint="eastAsia"/>
                <w:sz w:val="24"/>
                <w:szCs w:val="20"/>
                <w:lang w:eastAsia="zh-CN"/>
                <w:highlight w:val="none"/>
              </w:rPr>
              <w:t>现场勘查</w:t>
            </w:r>
            <w:r>
              <w:rPr>
                <w:rFonts w:ascii="Times New Roman" w:cs="Times New Roman" w:hAnsi="Times New Roman"/>
                <w:sz w:val="24"/>
                <w:szCs w:val="20"/>
                <w:highlight w:val="none"/>
              </w:rPr>
              <w:t>，</w:t>
            </w:r>
            <w:r>
              <w:rPr>
                <w:rFonts w:ascii="Times New Roman" w:cs="Times New Roman" w:hAnsi="Times New Roman" w:hint="eastAsia"/>
                <w:color w:val="000000"/>
                <w:sz w:val="24"/>
                <w:szCs w:val="20"/>
              </w:rPr>
              <w:t>本项目尚未建设，设备尚未购进，不属于未批先建项目。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b/>
                <w:sz w:val="24"/>
                <w:highlight w:val="none"/>
              </w:rPr>
            </w:pPr>
            <w:r>
              <w:rPr>
                <w:rFonts w:ascii="Times New Roman" w:cs="Times New Roman" w:hAnsi="Times New Roman" w:hint="eastAsia"/>
                <w:b/>
                <w:sz w:val="24"/>
                <w:szCs w:val="20"/>
                <w:highlight w:val="none"/>
              </w:rPr>
              <w:t>二、工程内容及规模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sz w:val="24"/>
              </w:rPr>
            </w:pPr>
            <w:r>
              <w:rPr>
                <w:rFonts w:ascii="宋体" w:cs="Times New Roman" w:hAnsi="宋体"/>
                <w:b/>
                <w:sz w:val="24"/>
                <w:szCs w:val="20"/>
              </w:rPr>
              <w:t>1、项目概况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rFonts w:eastAsia="宋体" w:hint="eastAsia"/>
                <w:sz w:val="24"/>
                <w:lang w:eastAsia="zh-CN"/>
              </w:rPr>
            </w:pPr>
            <w:r>
              <w:rPr>
                <w:rFonts w:ascii="Times New Roman" w:cs="Times New Roman" w:hAnsi="Times New Roman"/>
                <w:sz w:val="24"/>
                <w:szCs w:val="20"/>
              </w:rPr>
              <w:t>项目的基本情</w:t>
            </w:r>
            <w:r>
              <w:rPr>
                <w:rFonts w:ascii="Times New Roman" w:cs="Times New Roman" w:hAnsi="Times New Roman"/>
                <w:color w:val="auto"/>
                <w:sz w:val="24"/>
                <w:szCs w:val="20"/>
              </w:rPr>
              <w:t>况见</w:t>
            </w:r>
            <w:r>
              <w:rPr>
                <w:rFonts w:ascii="Times New Roman" w:cs="Times New Roman" w:hAnsi="Times New Roman" w:hint="eastAsia"/>
                <w:color w:val="auto"/>
                <w:sz w:val="24"/>
                <w:szCs w:val="20"/>
                <w:lang w:val="en-US" w:eastAsia="zh-CN"/>
              </w:rPr>
              <w:t>下表</w:t>
            </w:r>
            <w:r>
              <w:rPr>
                <w:rFonts w:ascii="Times New Roman" w:cs="Times New Roman" w:hAnsi="Times New Roman" w:hint="eastAsia"/>
                <w:color w:val="auto"/>
                <w:sz w:val="24"/>
                <w:szCs w:val="20"/>
                <w:lang w:eastAsia="zh-CN"/>
              </w:rPr>
              <w:t>：</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hint="eastAsia"/>
                <w:sz w:val="24"/>
                <w:szCs w:val="20"/>
                <w:lang w:val="en-US" w:eastAsia="zh-CN"/>
              </w:rPr>
              <w:t xml:space="preserve">  </w:t>
            </w:r>
            <w:r>
              <w:rPr>
                <w:rFonts w:ascii="Times New Roman" w:cs="Times New Roman" w:hAnsi="Times New Roman" w:hint="eastAsia"/>
                <w:sz w:val="24"/>
                <w:szCs w:val="20"/>
              </w:rPr>
              <w:t>项目基本情况</w:t>
            </w:r>
          </w:p>
          <w:tbl>
            <w:tblPr>
              <w:jc w:val="center"/>
              <w:tblW w:w="5000" w:type="pct"/>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Look w:val="0600" w:firstRow="0" w:lastRow="0" w:firstColumn="0" w:lastColumn="0" w:noHBand="1" w:noVBand="1"/>
            </w:tblPr>
            <w:tblGrid>
              <w:gridCol w:w="651"/>
              <w:gridCol w:w="1917"/>
              <w:gridCol w:w="6237"/>
            </w:tblGrid>
            <w:tr>
              <w:trPr>
                <w:trHeight w:val="397"/>
              </w:trPr>
              <w:tc>
                <w:tcPr>
                  <w:tcW w:w="651" w:type="dxa"/>
                  <w:tcBorders>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b/>
                      <w:sz w:val="21"/>
                      <w:szCs w:val="21"/>
                    </w:rPr>
                  </w:pPr>
                  <w:r>
                    <w:rPr>
                      <w:rFonts w:ascii="Times New Roman" w:cs="Times New Roman" w:hAnsi="Times New Roman"/>
                      <w:b/>
                      <w:sz w:val="21"/>
                      <w:szCs w:val="21"/>
                    </w:rPr>
                    <w:t>序号</w:t>
                  </w:r>
                </w:p>
              </w:tc>
              <w:tc>
                <w:tcPr>
                  <w:tcW w:w="1917" w:type="dxa"/>
                  <w:tcBorders>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b/>
                      <w:sz w:val="21"/>
                      <w:szCs w:val="21"/>
                    </w:rPr>
                  </w:pPr>
                  <w:r>
                    <w:rPr>
                      <w:rFonts w:ascii="Times New Roman" w:cs="Times New Roman" w:hAnsi="Times New Roman"/>
                      <w:b/>
                      <w:sz w:val="21"/>
                      <w:szCs w:val="21"/>
                    </w:rPr>
                    <w:t>项目</w:t>
                  </w:r>
                </w:p>
              </w:tc>
              <w:tc>
                <w:tcPr>
                  <w:tcW w:w="6237" w:type="dxa"/>
                  <w:tcBorders>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b/>
                      <w:sz w:val="21"/>
                      <w:szCs w:val="21"/>
                    </w:rPr>
                  </w:pPr>
                  <w:r>
                    <w:rPr>
                      <w:rFonts w:ascii="Times New Roman" w:cs="Times New Roman" w:hAnsi="Times New Roman"/>
                      <w:b/>
                      <w:sz w:val="21"/>
                      <w:szCs w:val="21"/>
                    </w:rPr>
                    <w:t>内容</w:t>
                  </w:r>
                </w:p>
              </w:tc>
            </w:tr>
            <w:tr>
              <w:trPr>
                <w:trHeight w:val="397"/>
              </w:trPr>
              <w:tc>
                <w:tcPr>
                  <w:tcW w:w="651"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sz w:val="21"/>
                      <w:szCs w:val="21"/>
                    </w:rPr>
                  </w:pPr>
                  <w:r>
                    <w:rPr>
                      <w:rFonts w:ascii="Times New Roman" w:cs="Times New Roman" w:hAnsi="Times New Roman"/>
                      <w:sz w:val="21"/>
                      <w:szCs w:val="21"/>
                    </w:rPr>
                    <w:t>1</w:t>
                  </w:r>
                </w:p>
              </w:tc>
              <w:tc>
                <w:tcPr>
                  <w:tcW w:w="19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sz w:val="21"/>
                      <w:szCs w:val="21"/>
                    </w:rPr>
                  </w:pPr>
                  <w:r>
                    <w:rPr>
                      <w:rFonts w:ascii="Times New Roman" w:cs="Times New Roman" w:hAnsi="Times New Roman"/>
                      <w:sz w:val="21"/>
                      <w:szCs w:val="21"/>
                    </w:rPr>
                    <w:t>项目名称</w:t>
                  </w:r>
                </w:p>
              </w:tc>
              <w:tc>
                <w:tcPr>
                  <w:tcW w:w="6237"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color w:val="auto"/>
                      <w:sz w:val="21"/>
                      <w:szCs w:val="21"/>
                      <w:u w:val="none"/>
                      <w:lang w:val="en-US" w:eastAsia="zh-CN"/>
                    </w:rPr>
                  </w:pPr>
                  <w:r>
                    <w:rPr>
                      <w:rFonts w:ascii="Times New Roman" w:cs="Times New Roman" w:hAnsi="Times New Roman" w:hint="eastAsia"/>
                      <w:sz w:val="21"/>
                      <w:szCs w:val="21"/>
                      <w:lang w:eastAsia="zh-CN"/>
                    </w:rPr>
                    <w:t>延津县平延园区运营管理有限公司加油站建设项目</w:t>
                  </w:r>
                </w:p>
              </w:tc>
            </w:tr>
            <w:tr>
              <w:trPr>
                <w:trHeight w:val="397"/>
              </w:trPr>
              <w:tc>
                <w:tcPr>
                  <w:tcW w:w="651"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sz w:val="21"/>
                      <w:szCs w:val="21"/>
                      <w:lang w:val="en-US" w:eastAsia="zh-CN"/>
                    </w:rPr>
                  </w:pPr>
                  <w:r>
                    <w:rPr>
                      <w:rFonts w:ascii="Times New Roman" w:cs="Times New Roman" w:hAnsi="Times New Roman" w:hint="eastAsia"/>
                      <w:sz w:val="21"/>
                      <w:szCs w:val="21"/>
                      <w:lang w:val="en-US" w:eastAsia="zh-CN"/>
                    </w:rPr>
                    <w:t>2</w:t>
                  </w:r>
                </w:p>
              </w:tc>
              <w:tc>
                <w:tcPr>
                  <w:tcW w:w="19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sz w:val="21"/>
                      <w:szCs w:val="21"/>
                      <w:lang w:val="en-US" w:eastAsia="zh-CN"/>
                    </w:rPr>
                  </w:pPr>
                  <w:r>
                    <w:rPr>
                      <w:rFonts w:ascii="Times New Roman" w:cs="Times New Roman" w:hAnsi="Times New Roman" w:hint="eastAsia"/>
                      <w:sz w:val="21"/>
                      <w:szCs w:val="21"/>
                      <w:lang w:val="en-US" w:eastAsia="zh-CN"/>
                    </w:rPr>
                    <w:t>建设规模</w:t>
                  </w:r>
                </w:p>
              </w:tc>
              <w:tc>
                <w:tcPr>
                  <w:tcW w:w="6237"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hAnsi="宋体"/>
                      <w:color w:val="auto"/>
                      <w:sz w:val="21"/>
                      <w:szCs w:val="21"/>
                      <w:u w:val="none"/>
                      <w:lang w:val="en-US" w:eastAsia="zh-CN"/>
                    </w:rPr>
                  </w:pPr>
                  <w:r>
                    <w:rPr>
                      <w:rFonts w:ascii="Times New Roman" w:cs="Times New Roman" w:hAnsi="Times New Roman" w:hint="eastAsia"/>
                      <w:color w:val="auto"/>
                      <w:sz w:val="21"/>
                      <w:szCs w:val="21"/>
                      <w:lang w:val="en-US" w:eastAsia="zh-CN"/>
                      <w:highlight w:val="none"/>
                    </w:rPr>
                    <w:t>年销售92#乙醇汽油200t、95#乙醇汽油200t、0#柴油1350t</w:t>
                  </w:r>
                </w:p>
              </w:tc>
            </w:tr>
            <w:tr>
              <w:trPr>
                <w:trHeight w:val="397"/>
              </w:trPr>
              <w:tc>
                <w:tcPr>
                  <w:tcW w:w="651"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sz w:val="21"/>
                      <w:szCs w:val="21"/>
                      <w:lang w:val="en-US" w:eastAsia="zh-CN"/>
                    </w:rPr>
                  </w:pPr>
                  <w:r>
                    <w:rPr>
                      <w:rFonts w:ascii="Times New Roman" w:cs="Times New Roman" w:hAnsi="Times New Roman" w:hint="eastAsia"/>
                      <w:sz w:val="21"/>
                      <w:szCs w:val="21"/>
                      <w:lang w:val="en-US" w:eastAsia="zh-CN"/>
                    </w:rPr>
                    <w:t>3</w:t>
                  </w:r>
                </w:p>
              </w:tc>
              <w:tc>
                <w:tcPr>
                  <w:tcW w:w="19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sz w:val="21"/>
                      <w:szCs w:val="21"/>
                      <w:lang w:val="en-US" w:eastAsia="zh-CN"/>
                    </w:rPr>
                  </w:pPr>
                  <w:r>
                    <w:rPr>
                      <w:rFonts w:ascii="Times New Roman" w:cs="Times New Roman" w:hAnsi="Times New Roman" w:hint="eastAsia"/>
                      <w:sz w:val="21"/>
                      <w:szCs w:val="21"/>
                      <w:lang w:val="en-US" w:eastAsia="zh-CN"/>
                    </w:rPr>
                    <w:t>建设性质</w:t>
                  </w:r>
                </w:p>
              </w:tc>
              <w:tc>
                <w:tcPr>
                  <w:tcW w:w="6237"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hAnsi="宋体"/>
                      <w:color w:val="auto"/>
                      <w:sz w:val="21"/>
                      <w:szCs w:val="21"/>
                      <w:u w:val="none"/>
                      <w:lang w:val="en-US" w:eastAsia="zh-CN"/>
                    </w:rPr>
                  </w:pPr>
                  <w:r>
                    <w:rPr>
                      <w:rFonts w:ascii="宋体" w:cs="Times New Roman" w:hAnsi="宋体" w:hint="eastAsia"/>
                      <w:color w:val="auto"/>
                      <w:sz w:val="21"/>
                      <w:szCs w:val="21"/>
                      <w:u w:val="none"/>
                      <w:lang w:val="en-US" w:eastAsia="zh-CN"/>
                      <w:highlight w:val="none"/>
                    </w:rPr>
                    <w:t>新建</w:t>
                  </w:r>
                </w:p>
              </w:tc>
            </w:tr>
            <w:tr>
              <w:trPr>
                <w:trHeight w:val="397"/>
              </w:trPr>
              <w:tc>
                <w:tcPr>
                  <w:tcW w:w="651"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sz w:val="21"/>
                      <w:szCs w:val="21"/>
                      <w:lang w:eastAsia="zh-CN"/>
                    </w:rPr>
                  </w:pPr>
                  <w:r>
                    <w:rPr>
                      <w:rFonts w:ascii="Times New Roman" w:cs="Times New Roman" w:hAnsi="Times New Roman" w:hint="eastAsia"/>
                      <w:sz w:val="21"/>
                      <w:szCs w:val="21"/>
                      <w:lang w:val="en-US" w:eastAsia="zh-CN"/>
                    </w:rPr>
                    <w:t>4</w:t>
                  </w:r>
                </w:p>
              </w:tc>
              <w:tc>
                <w:tcPr>
                  <w:tcW w:w="19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sz w:val="21"/>
                      <w:szCs w:val="21"/>
                    </w:rPr>
                  </w:pPr>
                  <w:r>
                    <w:rPr>
                      <w:rFonts w:ascii="Times New Roman" w:cs="Times New Roman" w:hAnsi="Times New Roman" w:hint="eastAsia"/>
                      <w:sz w:val="21"/>
                      <w:szCs w:val="21"/>
                    </w:rPr>
                    <w:t>建设单位</w:t>
                  </w:r>
                </w:p>
              </w:tc>
              <w:tc>
                <w:tcPr>
                  <w:tcW w:w="6237"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color w:val="auto"/>
                      <w:sz w:val="21"/>
                      <w:szCs w:val="21"/>
                      <w:u w:val="none"/>
                      <w:lang w:val="en-US" w:eastAsia="zh-CN"/>
                    </w:rPr>
                  </w:pPr>
                  <w:r>
                    <w:rPr>
                      <w:rFonts w:ascii="Times New Roman" w:cs="Times New Roman" w:hAnsi="Times New Roman" w:hint="eastAsia"/>
                      <w:color w:val="auto"/>
                      <w:sz w:val="21"/>
                      <w:szCs w:val="21"/>
                      <w:lang w:eastAsia="zh-CN"/>
                    </w:rPr>
                    <w:t>延津县平延园区运营管理有限公司</w:t>
                  </w:r>
                </w:p>
              </w:tc>
            </w:tr>
            <w:tr>
              <w:trPr>
                <w:trHeight w:val="397"/>
              </w:trPr>
              <w:tc>
                <w:tcPr>
                  <w:tcW w:w="651"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sz w:val="21"/>
                      <w:szCs w:val="21"/>
                      <w:lang w:eastAsia="zh-CN"/>
                    </w:rPr>
                  </w:pPr>
                  <w:r>
                    <w:rPr>
                      <w:rFonts w:ascii="Times New Roman" w:cs="Times New Roman" w:hAnsi="Times New Roman" w:hint="eastAsia"/>
                      <w:sz w:val="21"/>
                      <w:szCs w:val="21"/>
                      <w:lang w:val="en-US" w:eastAsia="zh-CN"/>
                    </w:rPr>
                    <w:t>5</w:t>
                  </w:r>
                </w:p>
              </w:tc>
              <w:tc>
                <w:tcPr>
                  <w:tcW w:w="19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sz w:val="21"/>
                      <w:szCs w:val="21"/>
                    </w:rPr>
                  </w:pPr>
                  <w:r>
                    <w:rPr>
                      <w:rFonts w:ascii="Times New Roman" w:cs="Times New Roman" w:hAnsi="Times New Roman" w:hint="eastAsia"/>
                      <w:sz w:val="21"/>
                      <w:szCs w:val="21"/>
                    </w:rPr>
                    <w:t>项目选址</w:t>
                  </w:r>
                </w:p>
              </w:tc>
              <w:tc>
                <w:tcPr>
                  <w:tcW w:w="6237"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color w:val="auto"/>
                      <w:sz w:val="21"/>
                      <w:szCs w:val="21"/>
                      <w:u w:val="none"/>
                      <w:lang w:eastAsia="zh-CN"/>
                    </w:rPr>
                  </w:pPr>
                  <w:r>
                    <w:rPr>
                      <w:rFonts w:ascii="Times New Roman" w:cs="Times New Roman" w:hAnsi="Times New Roman" w:hint="eastAsia"/>
                      <w:color w:val="auto"/>
                      <w:sz w:val="21"/>
                      <w:szCs w:val="21"/>
                      <w:lang w:eastAsia="zh-CN"/>
                    </w:rPr>
                    <w:t>新乡市延津县化工园区纬一路与榆林排交叉口东南角</w:t>
                  </w:r>
                </w:p>
              </w:tc>
            </w:tr>
            <w:tr>
              <w:trPr>
                <w:trHeight w:val="397"/>
              </w:trPr>
              <w:tc>
                <w:tcPr>
                  <w:tcW w:w="651"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sz w:val="21"/>
                      <w:szCs w:val="21"/>
                      <w:lang w:val="en-US" w:eastAsia="zh-CN"/>
                    </w:rPr>
                  </w:pPr>
                  <w:r>
                    <w:rPr>
                      <w:rFonts w:ascii="Times New Roman" w:cs="Times New Roman" w:hAnsi="Times New Roman" w:hint="eastAsia"/>
                      <w:sz w:val="21"/>
                      <w:szCs w:val="21"/>
                      <w:lang w:val="en-US" w:eastAsia="zh-CN"/>
                    </w:rPr>
                    <w:t>6</w:t>
                  </w:r>
                </w:p>
              </w:tc>
              <w:tc>
                <w:tcPr>
                  <w:tcW w:w="19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rPr>
                  </w:pPr>
                  <w:r>
                    <w:rPr>
                      <w:rFonts w:ascii="Times New Roman" w:cs="Times New Roman" w:hAnsi="Times New Roman"/>
                      <w:sz w:val="21"/>
                      <w:szCs w:val="21"/>
                    </w:rPr>
                    <w:t>占地面积</w:t>
                  </w:r>
                </w:p>
              </w:tc>
              <w:tc>
                <w:tcPr>
                  <w:tcW w:w="6237"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eastAsia="宋体" w:hAnsi="宋体"/>
                      <w:color w:val="auto"/>
                      <w:sz w:val="21"/>
                      <w:szCs w:val="21"/>
                      <w:u w:val="none"/>
                      <w:lang w:val="en-US" w:eastAsia="zh-CN"/>
                      <w:highlight w:val="red"/>
                    </w:rPr>
                  </w:pPr>
                  <w:r>
                    <w:rPr>
                      <w:rFonts w:ascii="Times New Roman" w:cs="Times New Roman" w:hAnsi="Times New Roman" w:hint="eastAsia"/>
                      <w:color w:val="auto"/>
                      <w:sz w:val="21"/>
                      <w:szCs w:val="21"/>
                      <w:u w:val="none"/>
                      <w:lang w:val="en-US" w:eastAsia="zh-CN"/>
                      <w:highlight w:val="none"/>
                    </w:rPr>
                    <w:t>2095.29m</w:t>
                  </w:r>
                  <w:r>
                    <w:rPr>
                      <w:rFonts w:ascii="Times New Roman" w:cs="Times New Roman" w:hAnsi="Times New Roman" w:hint="eastAsia"/>
                      <w:color w:val="auto"/>
                      <w:sz w:val="21"/>
                      <w:szCs w:val="21"/>
                      <w:u w:val="none"/>
                      <w:vertAlign w:val="superscript"/>
                      <w:lang w:val="en-US" w:eastAsia="zh-CN"/>
                      <w:highlight w:val="none"/>
                    </w:rPr>
                    <w:t>2</w:t>
                  </w:r>
                </w:p>
              </w:tc>
            </w:tr>
            <w:tr>
              <w:trPr>
                <w:trHeight w:val="397"/>
              </w:trPr>
              <w:tc>
                <w:tcPr>
                  <w:tcW w:w="651" w:type="dxa"/>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sz w:val="21"/>
                      <w:szCs w:val="21"/>
                      <w:lang w:eastAsia="zh-CN"/>
                    </w:rPr>
                  </w:pPr>
                  <w:r>
                    <w:rPr>
                      <w:rFonts w:ascii="Times New Roman" w:cs="Times New Roman" w:hAnsi="Times New Roman" w:hint="eastAsia"/>
                      <w:sz w:val="21"/>
                      <w:szCs w:val="21"/>
                      <w:lang w:val="en-US" w:eastAsia="zh-CN"/>
                    </w:rPr>
                    <w:t>7</w:t>
                  </w:r>
                </w:p>
              </w:tc>
              <w:tc>
                <w:tcPr>
                  <w:tcW w:w="19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sz w:val="21"/>
                      <w:szCs w:val="21"/>
                    </w:rPr>
                  </w:pPr>
                  <w:r>
                    <w:rPr>
                      <w:rFonts w:ascii="Times New Roman" w:cs="Times New Roman" w:hAnsi="Times New Roman"/>
                      <w:sz w:val="21"/>
                      <w:szCs w:val="21"/>
                    </w:rPr>
                    <w:t>总投资</w:t>
                  </w:r>
                </w:p>
              </w:tc>
              <w:tc>
                <w:tcPr>
                  <w:tcW w:w="6237"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color w:val="auto"/>
                      <w:sz w:val="21"/>
                      <w:szCs w:val="21"/>
                      <w:u w:val="none"/>
                      <w:lang w:eastAsia="zh-CN"/>
                      <w:highlight w:val="none"/>
                    </w:rPr>
                  </w:pPr>
                  <w:r>
                    <w:rPr>
                      <w:rFonts w:ascii="Times New Roman" w:cs="Times New Roman" w:hAnsi="Times New Roman" w:hint="eastAsia"/>
                      <w:color w:val="auto"/>
                      <w:sz w:val="21"/>
                      <w:szCs w:val="21"/>
                      <w:u w:val="none"/>
                      <w:lang w:val="en-US" w:eastAsia="zh-CN"/>
                      <w:highlight w:val="none"/>
                    </w:rPr>
                    <w:t>1000万元</w:t>
                  </w:r>
                </w:p>
              </w:tc>
            </w:tr>
            <w:tr>
              <w:trPr>
                <w:trHeight w:val="397"/>
              </w:trPr>
              <w:tc>
                <w:tcPr>
                  <w:tcW w:w="651" w:type="dxa"/>
                  <w:tcBorders>
                    <w:top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sz w:val="21"/>
                      <w:szCs w:val="21"/>
                      <w:lang w:eastAsia="zh-CN"/>
                    </w:rPr>
                  </w:pPr>
                  <w:r>
                    <w:rPr>
                      <w:rFonts w:ascii="Times New Roman" w:cs="Times New Roman" w:hAnsi="Times New Roman" w:hint="eastAsia"/>
                      <w:sz w:val="21"/>
                      <w:szCs w:val="21"/>
                      <w:lang w:val="en-US" w:eastAsia="zh-CN"/>
                    </w:rPr>
                    <w:t>8</w:t>
                  </w:r>
                </w:p>
              </w:tc>
              <w:tc>
                <w:tcPr>
                  <w:tcW w:w="1917" w:type="dxa"/>
                  <w:tcBorders>
                    <w:top w:val="single" w:sz="4" w:space="0" w:color="auto"/>
                    <w:left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sz w:val="21"/>
                      <w:szCs w:val="21"/>
                    </w:rPr>
                  </w:pPr>
                  <w:r>
                    <w:rPr>
                      <w:rFonts w:ascii="Times New Roman" w:cs="Times New Roman" w:hAnsi="Times New Roman" w:hint="eastAsia"/>
                      <w:sz w:val="21"/>
                      <w:szCs w:val="21"/>
                    </w:rPr>
                    <w:t>劳动定员与制度</w:t>
                  </w:r>
                </w:p>
              </w:tc>
              <w:tc>
                <w:tcPr>
                  <w:tcW w:w="6237" w:type="dxa"/>
                  <w:tcBorders>
                    <w:top w:val="single" w:sz="4" w:space="0" w:color="auto"/>
                    <w:lef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color w:val="auto"/>
                      <w:sz w:val="21"/>
                      <w:szCs w:val="21"/>
                      <w:u w:val="none"/>
                      <w:lang w:val="en-US" w:eastAsia="zh-CN"/>
                      <w:highlight w:val="none"/>
                    </w:rPr>
                  </w:pPr>
                  <w:r>
                    <w:rPr>
                      <w:rFonts w:ascii="Times New Roman" w:cs="Times New Roman" w:hAnsi="Times New Roman" w:hint="eastAsia"/>
                      <w:color w:val="auto"/>
                      <w:sz w:val="21"/>
                      <w:szCs w:val="21"/>
                      <w:u w:val="none"/>
                      <w:highlight w:val="none"/>
                    </w:rPr>
                    <w:t>本项目</w:t>
                  </w:r>
                  <w:r>
                    <w:rPr>
                      <w:rFonts w:ascii="Times New Roman" w:cs="Times New Roman" w:hAnsi="Times New Roman" w:hint="eastAsia"/>
                      <w:color w:val="auto"/>
                      <w:sz w:val="21"/>
                      <w:szCs w:val="21"/>
                      <w:u w:val="none"/>
                      <w:lang w:val="en-US" w:eastAsia="zh-CN"/>
                      <w:highlight w:val="none"/>
                    </w:rPr>
                    <w:t>劳动定员8人</w:t>
                  </w:r>
                  <w:r>
                    <w:rPr>
                      <w:rFonts w:ascii="Times New Roman" w:cs="Times New Roman" w:hAnsi="Times New Roman" w:hint="eastAsia"/>
                      <w:color w:val="auto"/>
                      <w:sz w:val="21"/>
                      <w:szCs w:val="21"/>
                      <w:u w:val="none"/>
                      <w:highlight w:val="none"/>
                    </w:rPr>
                    <w:t>，</w:t>
                  </w:r>
                  <w:r>
                    <w:rPr>
                      <w:rFonts w:ascii="Times New Roman" w:cs="Times New Roman" w:hAnsi="Times New Roman" w:hint="eastAsia"/>
                      <w:color w:val="auto"/>
                      <w:sz w:val="21"/>
                      <w:szCs w:val="21"/>
                      <w:u w:val="none"/>
                      <w:lang w:val="en-US" w:eastAsia="zh-CN"/>
                      <w:highlight w:val="none"/>
                    </w:rPr>
                    <w:t>三班生产，每班8小时，年工作365天</w:t>
                  </w:r>
                </w:p>
              </w:tc>
            </w:tr>
          </w:tbl>
          <w:p>
            <w:pPr>
              <w:keepNext w:val="0"/>
              <w:keepLines w:val="0"/>
              <w:suppressLineNumbers w:val="0"/>
              <w:spacing w:before="0" w:beforeAutospacing="0" w:after="0" w:afterAutospacing="0" w:line="440" w:lineRule="exact"/>
              <w:ind w:left="0" w:right="0" w:firstLineChars="200" w:firstLine="480"/>
              <w:rPr>
                <w:rFonts w:eastAsia="宋体" w:hint="eastAsia"/>
                <w:b/>
                <w:sz w:val="24"/>
                <w:lang w:eastAsia="zh-CN"/>
              </w:rPr>
            </w:pPr>
            <w:r>
              <w:rPr>
                <w:rFonts w:ascii="Times New Roman" w:cs="Times New Roman" w:hAnsi="Times New Roman"/>
                <w:b/>
                <w:sz w:val="24"/>
                <w:szCs w:val="20"/>
              </w:rPr>
              <w:t>2</w:t>
            </w:r>
            <w:r>
              <w:rPr>
                <w:rFonts w:ascii="Times New Roman" w:cs="Times New Roman" w:hAnsi="Times New Roman" w:hint="eastAsia"/>
                <w:b/>
                <w:sz w:val="24"/>
                <w:szCs w:val="20"/>
              </w:rPr>
              <w:t>、项目建设</w:t>
            </w:r>
            <w:r>
              <w:rPr>
                <w:rFonts w:ascii="Times New Roman" w:cs="Times New Roman" w:hAnsi="Times New Roman" w:hint="eastAsia"/>
                <w:b/>
                <w:sz w:val="24"/>
                <w:szCs w:val="20"/>
                <w:lang w:val="en-US" w:eastAsia="zh-CN"/>
              </w:rPr>
              <w:t>内容</w:t>
            </w:r>
          </w:p>
          <w:p>
            <w:pPr>
              <w:keepNext w:val="0"/>
              <w:keepLines w:val="0"/>
              <w:suppressLineNumbers w:val="0"/>
              <w:spacing w:before="0" w:beforeAutospacing="0" w:after="0" w:afterAutospacing="0" w:line="440" w:lineRule="exact"/>
              <w:ind w:left="0" w:right="0" w:firstLineChars="200" w:firstLine="480"/>
              <w:rPr>
                <w:rFonts w:cs="Times New Roman" w:hAnsi="宋体"/>
                <w:b/>
                <w:bCs/>
                <w:color w:val="auto"/>
                <w:sz w:val="24"/>
                <w:szCs w:val="24"/>
              </w:rPr>
            </w:pPr>
            <w:r>
              <w:rPr>
                <w:rFonts w:ascii="Times New Roman" w:cs="Times New Roman" w:hAnsi="Times New Roman" w:hint="eastAsia"/>
                <w:sz w:val="24"/>
                <w:szCs w:val="20"/>
              </w:rPr>
              <w:t>本项目主要工程组成见</w:t>
            </w:r>
            <w:r>
              <w:rPr>
                <w:rFonts w:ascii="Times New Roman" w:cs="Times New Roman" w:hAnsi="Times New Roman" w:hint="eastAsia"/>
                <w:color w:val="auto"/>
                <w:sz w:val="24"/>
                <w:szCs w:val="20"/>
                <w:lang w:val="en-US" w:eastAsia="zh-CN"/>
              </w:rPr>
              <w:t>下表</w:t>
            </w:r>
            <w:r>
              <w:rPr>
                <w:rFonts w:ascii="Times New Roman" w:cs="Times New Roman" w:hAnsi="Times New Roman" w:hint="eastAsia"/>
                <w:color w:val="auto"/>
                <w:sz w:val="24"/>
                <w:szCs w:val="20"/>
                <w:lang w:eastAsia="zh-CN"/>
              </w:rPr>
              <w:t>：</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sz w:val="24"/>
                <w:szCs w:val="20"/>
                <w:lang w:val="en-US" w:eastAsia="zh-CN"/>
              </w:rPr>
              <w:t xml:space="preserve"> </w:t>
            </w:r>
            <w:r>
              <w:rPr>
                <w:rFonts w:ascii="Times New Roman" w:cs="Times New Roman" w:hAnsi="Times New Roman" w:hint="eastAsia"/>
                <w:sz w:val="24"/>
                <w:szCs w:val="20"/>
                <w:lang w:val="en-US" w:eastAsia="zh-CN"/>
              </w:rPr>
              <w:t xml:space="preserve"> </w:t>
            </w:r>
            <w:r>
              <w:rPr>
                <w:rFonts w:ascii="Times New Roman" w:cs="Times New Roman" w:hAnsi="Times New Roman"/>
                <w:sz w:val="24"/>
                <w:szCs w:val="20"/>
              </w:rPr>
              <w:t>本项目组成情况</w:t>
            </w:r>
          </w:p>
          <w:tbl>
            <w:tblPr>
              <w:jc w:val="cente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59"/>
              <w:gridCol w:w="1513"/>
              <w:gridCol w:w="4313"/>
              <w:gridCol w:w="1896"/>
            </w:tblGrid>
            <w:tr>
              <w:trPr>
                <w:trHeight w:val="397"/>
              </w:trPr>
              <w:tc>
                <w:tcPr>
                  <w:tcW w:w="1059"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b/>
                      <w:color w:val="auto"/>
                      <w:sz w:val="21"/>
                      <w:szCs w:val="21"/>
                      <w:highlight w:val="none"/>
                    </w:rPr>
                  </w:pPr>
                  <w:r>
                    <w:rPr>
                      <w:rFonts w:ascii="Times New Roman" w:cs="Times New Roman" w:hAnsi="Times New Roman"/>
                      <w:b/>
                      <w:color w:val="auto"/>
                      <w:sz w:val="21"/>
                      <w:szCs w:val="21"/>
                      <w:highlight w:val="none"/>
                    </w:rPr>
                    <w:t>项目</w:t>
                  </w:r>
                </w:p>
              </w:tc>
              <w:tc>
                <w:tcPr>
                  <w:tcW w:w="15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b/>
                      <w:color w:val="auto"/>
                      <w:sz w:val="21"/>
                      <w:szCs w:val="21"/>
                      <w:highlight w:val="none"/>
                    </w:rPr>
                  </w:pPr>
                  <w:r>
                    <w:rPr>
                      <w:rFonts w:ascii="Times New Roman" w:cs="Times New Roman" w:hAnsi="Times New Roman"/>
                      <w:b/>
                      <w:color w:val="auto"/>
                      <w:sz w:val="21"/>
                      <w:szCs w:val="21"/>
                      <w:highlight w:val="none"/>
                    </w:rPr>
                    <w:t>建设</w:t>
                  </w:r>
                  <w:r>
                    <w:rPr>
                      <w:rFonts w:ascii="Times New Roman" w:cs="Times New Roman" w:hAnsi="Times New Roman" w:hint="eastAsia"/>
                      <w:b/>
                      <w:color w:val="auto"/>
                      <w:sz w:val="21"/>
                      <w:szCs w:val="21"/>
                      <w:lang w:val="en-US" w:eastAsia="zh-CN"/>
                      <w:highlight w:val="none"/>
                    </w:rPr>
                    <w:t>名称</w:t>
                  </w:r>
                </w:p>
              </w:tc>
              <w:tc>
                <w:tcPr>
                  <w:tcW w:w="43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eastAsia="宋体" w:hint="eastAsia"/>
                      <w:b/>
                      <w:color w:val="auto"/>
                      <w:sz w:val="21"/>
                      <w:szCs w:val="21"/>
                      <w:lang w:eastAsia="zh-CN"/>
                      <w:highlight w:val="none"/>
                    </w:rPr>
                  </w:pPr>
                  <w:r>
                    <w:rPr>
                      <w:rFonts w:ascii="Times New Roman" w:cs="Times New Roman" w:hAnsi="Times New Roman" w:hint="eastAsia"/>
                      <w:b/>
                      <w:color w:val="auto"/>
                      <w:sz w:val="21"/>
                      <w:szCs w:val="21"/>
                      <w:lang w:val="en-US" w:eastAsia="zh-CN"/>
                      <w:highlight w:val="none"/>
                    </w:rPr>
                    <w:t>建设内容</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eastAsia="宋体" w:hint="eastAsia"/>
                      <w:b/>
                      <w:color w:val="auto"/>
                      <w:sz w:val="21"/>
                      <w:szCs w:val="21"/>
                      <w:lang w:val="en-US" w:eastAsia="zh-CN"/>
                      <w:highlight w:val="none"/>
                    </w:rPr>
                  </w:pPr>
                  <w:r>
                    <w:rPr>
                      <w:rFonts w:ascii="Times New Roman" w:cs="Times New Roman" w:hAnsi="Times New Roman" w:hint="eastAsia"/>
                      <w:b/>
                      <w:color w:val="auto"/>
                      <w:sz w:val="21"/>
                      <w:szCs w:val="21"/>
                      <w:lang w:val="en-US" w:eastAsia="zh-CN"/>
                      <w:highlight w:val="none"/>
                    </w:rPr>
                    <w:t>备注</w:t>
                  </w:r>
                </w:p>
              </w:tc>
            </w:tr>
            <w:tr>
              <w:trPr>
                <w:trHeight w:val="397"/>
              </w:trPr>
              <w:tc>
                <w:tcPr>
                  <w:tcW w:w="1059" w:type="dxa"/>
                  <w:vMerge w:val="restart"/>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Times New Roman"/>
                      <w:color w:val="auto"/>
                      <w:sz w:val="21"/>
                      <w:szCs w:val="21"/>
                      <w:highlight w:val="none"/>
                    </w:rPr>
                    <w:t>主体工程</w:t>
                  </w:r>
                </w:p>
              </w:tc>
              <w:tc>
                <w:tcPr>
                  <w:tcW w:w="15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int="eastAsia"/>
                      <w:color w:val="auto"/>
                      <w:sz w:val="21"/>
                      <w:szCs w:val="21"/>
                      <w:highlight w:val="none"/>
                    </w:rPr>
                  </w:pPr>
                  <w:r>
                    <w:rPr>
                      <w:rFonts w:ascii="Times New Roman" w:cs="Times New Roman" w:hAnsi="Times New Roman" w:hint="eastAsia"/>
                      <w:color w:val="auto"/>
                      <w:sz w:val="21"/>
                      <w:szCs w:val="21"/>
                      <w:lang w:val="en-US" w:eastAsia="zh-CN"/>
                      <w:highlight w:val="none"/>
                    </w:rPr>
                    <w:t>站房</w:t>
                  </w:r>
                </w:p>
              </w:tc>
              <w:tc>
                <w:tcPr>
                  <w:tcW w:w="43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firstLine="132"/>
                    <w:jc w:val="center"/>
                    <w:rPr>
                      <w:rFonts w:eastAsia="宋体" w:hint="eastAsia"/>
                      <w:color w:val="000000"/>
                      <w:sz w:val="21"/>
                      <w:szCs w:val="21"/>
                      <w14:textFill>
                        <w14:solidFill>
                          <w14:srgbClr w14:val="000000"/>
                        </w14:solidFill>
                      </w14:textFill>
                      <w:lang w:eastAsia="zh-CN"/>
                      <w:highlight w:val="none"/>
                    </w:rPr>
                  </w:pPr>
                  <w:r>
                    <w:rPr>
                      <w:rFonts w:ascii="Times New Roman" w:cs="Times New Roman" w:hAnsi="Times New Roman" w:hint="eastAsia"/>
                      <w:bCs/>
                      <w:color w:val="000000"/>
                      <w:sz w:val="21"/>
                      <w:szCs w:val="21"/>
                      <w14:textFill>
                        <w14:solidFill>
                          <w14:srgbClr w14:val="000000"/>
                        </w14:solidFill>
                      </w14:textFill>
                      <w:lang w:val="en-US" w:eastAsia="zh-CN"/>
                      <w:highlight w:val="none"/>
                    </w:rPr>
                    <w:t>钢</w:t>
                  </w:r>
                  <w:r>
                    <w:rPr>
                      <w:rFonts w:ascii="Times New Roman" w:cs="Times New Roman" w:hAnsi="Times New Roman"/>
                      <w:bCs/>
                      <w:color w:val="000000"/>
                      <w:sz w:val="21"/>
                      <w:szCs w:val="21"/>
                      <w14:textFill>
                        <w14:solidFill>
                          <w14:srgbClr w14:val="000000"/>
                        </w14:solidFill>
                      </w14:textFill>
                      <w:lang w:eastAsia="zh-CN"/>
                      <w:highlight w:val="none"/>
                    </w:rPr>
                    <w:t>混结构，</w:t>
                  </w:r>
                  <w:r>
                    <w:rPr>
                      <w:rFonts w:ascii="Times New Roman" w:cs="Times New Roman" w:hAnsi="Times New Roman"/>
                      <w:bCs/>
                      <w:color w:val="000000"/>
                      <w:sz w:val="21"/>
                      <w:szCs w:val="21"/>
                      <w14:textFill>
                        <w14:solidFill>
                          <w14:srgbClr w14:val="000000"/>
                        </w14:solidFill>
                      </w14:textFill>
                      <w:highlight w:val="none"/>
                    </w:rPr>
                    <w:t>一座</w:t>
                  </w:r>
                  <w:r>
                    <w:rPr>
                      <w:rFonts w:ascii="Times New Roman" w:cs="Times New Roman" w:hAnsi="Times New Roman" w:hint="eastAsia"/>
                      <w:bCs/>
                      <w:color w:val="000000"/>
                      <w:sz w:val="21"/>
                      <w:szCs w:val="21"/>
                      <w14:textFill>
                        <w14:solidFill>
                          <w14:srgbClr w14:val="000000"/>
                        </w14:solidFill>
                      </w14:textFill>
                      <w:lang w:val="en-US" w:eastAsia="zh-CN"/>
                      <w:highlight w:val="none"/>
                    </w:rPr>
                    <w:t>1层</w:t>
                  </w:r>
                  <w:r>
                    <w:rPr>
                      <w:rFonts w:ascii="Times New Roman" w:cs="Times New Roman" w:hAnsi="Times New Roman"/>
                      <w:bCs/>
                      <w:color w:val="000000"/>
                      <w:sz w:val="21"/>
                      <w:szCs w:val="21"/>
                      <w14:textFill>
                        <w14:solidFill>
                          <w14:srgbClr w14:val="000000"/>
                        </w14:solidFill>
                      </w14:textFill>
                      <w:highlight w:val="none"/>
                    </w:rPr>
                    <w:t>，</w:t>
                  </w:r>
                  <w:r>
                    <w:rPr>
                      <w:rFonts w:ascii="Times New Roman" w:cs="Times New Roman" w:hAnsi="Times New Roman" w:hint="eastAsia"/>
                      <w:bCs/>
                      <w:color w:val="000000"/>
                      <w:sz w:val="21"/>
                      <w:szCs w:val="21"/>
                      <w14:textFill>
                        <w14:solidFill>
                          <w14:srgbClr w14:val="000000"/>
                        </w14:solidFill>
                      </w14:textFill>
                      <w:lang w:val="en-US" w:eastAsia="zh-CN"/>
                      <w:highlight w:val="none"/>
                    </w:rPr>
                    <w:t>占地</w:t>
                  </w:r>
                  <w:r>
                    <w:rPr>
                      <w:rFonts w:ascii="Times New Roman" w:cs="Times New Roman" w:hAnsi="Times New Roman"/>
                      <w:bCs/>
                      <w:color w:val="000000"/>
                      <w:sz w:val="21"/>
                      <w:szCs w:val="21"/>
                      <w14:textFill>
                        <w14:solidFill>
                          <w14:srgbClr w14:val="000000"/>
                        </w14:solidFill>
                      </w14:textFill>
                      <w:highlight w:val="none"/>
                    </w:rPr>
                    <w:t>面积</w:t>
                  </w:r>
                  <w:r>
                    <w:rPr>
                      <w:rFonts w:ascii="Times New Roman" w:cs="Times New Roman" w:hAnsi="Times New Roman" w:hint="eastAsia"/>
                      <w:bCs/>
                      <w:color w:val="000000"/>
                      <w:sz w:val="21"/>
                      <w:szCs w:val="21"/>
                      <w14:textFill>
                        <w14:solidFill>
                          <w14:srgbClr w14:val="000000"/>
                        </w14:solidFill>
                      </w14:textFill>
                      <w:lang w:val="en-US" w:eastAsia="zh-CN"/>
                      <w:highlight w:val="none"/>
                    </w:rPr>
                    <w:t>123.66</w:t>
                  </w:r>
                  <w:r>
                    <w:rPr>
                      <w:rFonts w:ascii="Times New Roman" w:cs="Times New Roman" w:hAnsi="Times New Roman"/>
                      <w:bCs/>
                      <w:color w:val="000000"/>
                      <w:sz w:val="21"/>
                      <w:szCs w:val="21"/>
                      <w14:textFill>
                        <w14:solidFill>
                          <w14:srgbClr w14:val="000000"/>
                        </w14:solidFill>
                      </w14:textFill>
                      <w:highlight w:val="none"/>
                    </w:rPr>
                    <w:t>m</w:t>
                  </w:r>
                  <w:r>
                    <w:rPr>
                      <w:rFonts w:ascii="Times New Roman" w:cs="Times New Roman" w:hAnsi="Times New Roman"/>
                      <w:bCs/>
                      <w:color w:val="000000"/>
                      <w:sz w:val="21"/>
                      <w:szCs w:val="21"/>
                      <w:vertAlign w:val="superscript"/>
                      <w14:textFill>
                        <w14:solidFill>
                          <w14:srgbClr w14:val="000000"/>
                        </w14:solidFill>
                      </w14:textFill>
                      <w:highlight w:val="none"/>
                    </w:rPr>
                    <w:t>2</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eastAsia="宋体"/>
                      <w:color w:val="auto"/>
                      <w:sz w:val="21"/>
                      <w:szCs w:val="21"/>
                      <w:lang w:val="en-US" w:eastAsia="zh-CN"/>
                      <w:highlight w:val="none"/>
                    </w:rPr>
                  </w:pPr>
                  <w:r>
                    <w:rPr>
                      <w:rFonts w:ascii="Times New Roman" w:cs="Times New Roman" w:hAnsi="宋体" w:hint="eastAsia"/>
                      <w:color w:val="000000"/>
                      <w:sz w:val="21"/>
                      <w:szCs w:val="21"/>
                      <w:lang w:val="en-US" w:eastAsia="zh-CN"/>
                      <w:highlight w:val="none"/>
                    </w:rPr>
                    <w:t>新建</w:t>
                  </w:r>
                </w:p>
              </w:tc>
            </w:tr>
            <w:tr>
              <w:trPr>
                <w:trHeight w:val="397"/>
              </w:trPr>
              <w:tc>
                <w:tcPr>
                  <w:tcW w:w="1059" w:type="dxa"/>
                  <w:vMerge/>
                  <w:tcBorders>
                    <w:tl2br w:val="nil"/>
                    <w:tr2bl w:val="nil"/>
                  </w:tcBorders>
                  <w:vAlign w:val="center"/>
                </w:tcPr>
                <w:p/>
              </w:tc>
              <w:tc>
                <w:tcPr>
                  <w:tcW w:w="15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color w:val="000000"/>
                      <w:sz w:val="21"/>
                      <w:szCs w:val="21"/>
                      <w:lang w:val="en-US" w:eastAsia="zh-CN"/>
                      <w:highlight w:val="none"/>
                    </w:rPr>
                    <w:t>罩棚</w:t>
                  </w:r>
                </w:p>
              </w:tc>
              <w:tc>
                <w:tcPr>
                  <w:tcW w:w="43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000000"/>
                      <w:sz w:val="21"/>
                      <w:szCs w:val="21"/>
                      <w14:textFill>
                        <w14:solidFill>
                          <w14:srgbClr w14:val="000000"/>
                        </w14:solidFill>
                      </w14:textFill>
                      <w:highlight w:val="none"/>
                    </w:rPr>
                  </w:pPr>
                  <w:r>
                    <w:rPr>
                      <w:rFonts w:ascii="Times New Roman" w:cs="Times New Roman" w:hAnsi="Times New Roman"/>
                      <w:bCs/>
                      <w:color w:val="000000"/>
                      <w:sz w:val="21"/>
                      <w:szCs w:val="21"/>
                      <w14:textFill>
                        <w14:solidFill>
                          <w14:srgbClr w14:val="000000"/>
                        </w14:solidFill>
                      </w14:textFill>
                      <w:lang w:eastAsia="zh-CN"/>
                      <w:highlight w:val="none"/>
                    </w:rPr>
                    <w:t>钢结构，</w:t>
                  </w:r>
                  <w:r>
                    <w:rPr>
                      <w:rFonts w:ascii="Times New Roman" w:cs="Times New Roman" w:hAnsi="Times New Roman"/>
                      <w:bCs/>
                      <w:color w:val="000000"/>
                      <w:sz w:val="21"/>
                      <w:szCs w:val="21"/>
                      <w14:textFill>
                        <w14:solidFill>
                          <w14:srgbClr w14:val="000000"/>
                        </w14:solidFill>
                      </w14:textFill>
                      <w:highlight w:val="none"/>
                    </w:rPr>
                    <w:t>一座，</w:t>
                  </w:r>
                  <w:r>
                    <w:rPr>
                      <w:rFonts w:ascii="Times New Roman" w:cs="Times New Roman" w:hAnsi="Times New Roman" w:hint="eastAsia"/>
                      <w:bCs/>
                      <w:color w:val="000000"/>
                      <w:sz w:val="21"/>
                      <w:szCs w:val="21"/>
                      <w14:textFill>
                        <w14:solidFill>
                          <w14:srgbClr w14:val="000000"/>
                        </w14:solidFill>
                      </w14:textFill>
                      <w:lang w:val="en-US" w:eastAsia="zh-CN"/>
                      <w:highlight w:val="none"/>
                    </w:rPr>
                    <w:t>罩</w:t>
                  </w:r>
                  <w:r>
                    <w:rPr>
                      <w:rFonts w:ascii="Times New Roman" w:cs="Times New Roman" w:hAnsi="Times New Roman" w:hint="eastAsia"/>
                      <w:bCs/>
                      <w:color w:val="000000"/>
                      <w:sz w:val="21"/>
                      <w:szCs w:val="21"/>
                      <w14:textFill>
                        <w14:solidFill>
                          <w14:srgbClr w14:val="000000"/>
                        </w14:solidFill>
                      </w14:textFill>
                      <w:lang w:eastAsia="zh-CN"/>
                      <w:highlight w:val="none"/>
                    </w:rPr>
                    <w:t>棚</w:t>
                  </w:r>
                  <w:r>
                    <w:rPr>
                      <w:rFonts w:ascii="Times New Roman" w:cs="Times New Roman" w:hAnsi="Times New Roman"/>
                      <w:bCs/>
                      <w:color w:val="000000"/>
                      <w:sz w:val="21"/>
                      <w:szCs w:val="21"/>
                      <w14:textFill>
                        <w14:solidFill>
                          <w14:srgbClr w14:val="000000"/>
                        </w14:solidFill>
                      </w14:textFill>
                      <w:highlight w:val="none"/>
                    </w:rPr>
                    <w:t>面积</w:t>
                  </w:r>
                  <w:r>
                    <w:rPr>
                      <w:rFonts w:ascii="Times New Roman" w:cs="Times New Roman" w:hAnsi="Times New Roman" w:hint="eastAsia"/>
                      <w:bCs/>
                      <w:color w:val="000000"/>
                      <w:sz w:val="21"/>
                      <w:szCs w:val="21"/>
                      <w14:textFill>
                        <w14:solidFill>
                          <w14:srgbClr w14:val="000000"/>
                        </w14:solidFill>
                      </w14:textFill>
                      <w:lang w:val="en-US" w:eastAsia="zh-CN"/>
                      <w:highlight w:val="none"/>
                    </w:rPr>
                    <w:t>506</w:t>
                  </w:r>
                  <w:r>
                    <w:rPr>
                      <w:rFonts w:ascii="Times New Roman" w:cs="Times New Roman" w:hAnsi="Times New Roman"/>
                      <w:bCs/>
                      <w:color w:val="000000"/>
                      <w:sz w:val="21"/>
                      <w:szCs w:val="21"/>
                      <w14:textFill>
                        <w14:solidFill>
                          <w14:srgbClr w14:val="000000"/>
                        </w14:solidFill>
                      </w14:textFill>
                      <w:highlight w:val="none"/>
                    </w:rPr>
                    <w:t>m</w:t>
                  </w:r>
                  <w:r>
                    <w:rPr>
                      <w:rFonts w:ascii="Times New Roman" w:cs="Times New Roman" w:hAnsi="Times New Roman"/>
                      <w:bCs/>
                      <w:color w:val="000000"/>
                      <w:sz w:val="21"/>
                      <w:szCs w:val="21"/>
                      <w:vertAlign w:val="superscript"/>
                      <w14:textFill>
                        <w14:solidFill>
                          <w14:srgbClr w14:val="000000"/>
                        </w14:solidFill>
                      </w14:textFill>
                      <w:highlight w:val="none"/>
                    </w:rPr>
                    <w:t>2</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Ansi="宋体" w:hint="eastAsia"/>
                      <w:color w:val="000000"/>
                      <w:sz w:val="21"/>
                      <w:szCs w:val="21"/>
                    </w:rPr>
                  </w:pPr>
                  <w:r>
                    <w:rPr>
                      <w:rFonts w:ascii="Times New Roman" w:cs="Times New Roman" w:hAnsi="宋体" w:hint="eastAsia"/>
                      <w:color w:val="000000"/>
                      <w:sz w:val="21"/>
                      <w:szCs w:val="21"/>
                      <w:lang w:val="en-US" w:eastAsia="zh-CN"/>
                      <w:highlight w:val="none"/>
                    </w:rPr>
                    <w:t>新建</w:t>
                  </w:r>
                </w:p>
              </w:tc>
            </w:tr>
            <w:tr>
              <w:trPr>
                <w:trHeight w:val="397"/>
              </w:trPr>
              <w:tc>
                <w:tcPr>
                  <w:tcW w:w="1059" w:type="dxa"/>
                  <w:vMerge/>
                  <w:tcBorders>
                    <w:tl2br w:val="nil"/>
                    <w:tr2bl w:val="nil"/>
                  </w:tcBorders>
                  <w:vAlign w:val="center"/>
                </w:tcPr>
                <w:p/>
              </w:tc>
              <w:tc>
                <w:tcPr>
                  <w:tcW w:w="15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color w:val="000000"/>
                      <w:sz w:val="21"/>
                      <w:szCs w:val="21"/>
                      <w:lang w:eastAsia="zh-CN"/>
                      <w:highlight w:val="none"/>
                    </w:rPr>
                    <w:t>加油机</w:t>
                  </w:r>
                </w:p>
              </w:tc>
              <w:tc>
                <w:tcPr>
                  <w:tcW w:w="43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00B0F0"/>
                      <w:sz w:val="21"/>
                      <w:szCs w:val="21"/>
                      <w:lang w:val="en-US"/>
                      <w:highlight w:val="none"/>
                    </w:rPr>
                  </w:pPr>
                  <w:r>
                    <w:rPr>
                      <w:rFonts w:ascii="Times New Roman" w:cs="Times New Roman" w:hAnsi="Times New Roman" w:hint="eastAsia"/>
                      <w:bCs/>
                      <w:color w:val="auto"/>
                      <w:sz w:val="21"/>
                      <w:szCs w:val="21"/>
                      <w:lang w:val="en-US" w:eastAsia="zh-CN"/>
                      <w:highlight w:val="none"/>
                    </w:rPr>
                    <w:t>自吸式双枪加油机6台</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Ansi="宋体" w:hint="eastAsia"/>
                      <w:color w:val="000000"/>
                      <w:sz w:val="21"/>
                      <w:szCs w:val="21"/>
                    </w:rPr>
                  </w:pPr>
                  <w:r>
                    <w:rPr>
                      <w:rFonts w:ascii="Times New Roman" w:cs="Times New Roman" w:hAnsi="宋体" w:hint="eastAsia"/>
                      <w:color w:val="000000"/>
                      <w:sz w:val="21"/>
                      <w:szCs w:val="21"/>
                      <w:lang w:val="en-US" w:eastAsia="zh-CN"/>
                      <w:highlight w:val="none"/>
                    </w:rPr>
                    <w:t>新建</w:t>
                  </w:r>
                </w:p>
              </w:tc>
            </w:tr>
            <w:tr>
              <w:trPr>
                <w:trHeight w:val="397"/>
              </w:trPr>
              <w:tc>
                <w:tcPr>
                  <w:tcW w:w="1059" w:type="dxa"/>
                  <w:vMerge/>
                  <w:tcBorders>
                    <w:tl2br w:val="nil"/>
                    <w:tr2bl w:val="nil"/>
                  </w:tcBorders>
                  <w:vAlign w:val="center"/>
                </w:tcPr>
                <w:p/>
              </w:tc>
              <w:tc>
                <w:tcPr>
                  <w:tcW w:w="15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000000"/>
                      <w:sz w:val="21"/>
                      <w:szCs w:val="21"/>
                      <w:lang w:val="en-US" w:eastAsia="zh-CN"/>
                      <w:highlight w:val="none"/>
                    </w:rPr>
                  </w:pPr>
                  <w:r>
                    <w:rPr>
                      <w:rFonts w:ascii="Times New Roman" w:cs="Times New Roman" w:hAnsi="Times New Roman" w:hint="eastAsia"/>
                      <w:color w:val="000000"/>
                      <w:sz w:val="21"/>
                      <w:szCs w:val="21"/>
                      <w:lang w:val="en-US" w:eastAsia="zh-CN"/>
                      <w:highlight w:val="none"/>
                    </w:rPr>
                    <w:t>埋地储罐区</w:t>
                  </w:r>
                </w:p>
              </w:tc>
              <w:tc>
                <w:tcPr>
                  <w:tcW w:w="43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bCs/>
                      <w:color w:val="auto"/>
                      <w:sz w:val="21"/>
                      <w:szCs w:val="21"/>
                      <w:lang w:val="en-US" w:eastAsia="zh-CN"/>
                      <w:highlight w:val="none"/>
                    </w:rPr>
                  </w:pPr>
                  <w:r>
                    <w:rPr>
                      <w:rFonts w:ascii="Times New Roman" w:cs="Times New Roman" w:hAnsi="Times New Roman" w:hint="eastAsia"/>
                      <w:bCs/>
                      <w:color w:val="auto"/>
                      <w:sz w:val="21"/>
                      <w:szCs w:val="21"/>
                      <w:lang w:val="en-US" w:eastAsia="zh-CN"/>
                      <w:highlight w:val="none"/>
                    </w:rPr>
                    <w:t>钢筋混凝土，面积105.3</w:t>
                  </w:r>
                  <w:r>
                    <w:rPr>
                      <w:rFonts w:ascii="Times New Roman" w:cs="Times New Roman" w:hAnsi="Times New Roman"/>
                      <w:bCs/>
                      <w:color w:val="000000"/>
                      <w:sz w:val="21"/>
                      <w:szCs w:val="21"/>
                      <w14:textFill>
                        <w14:solidFill>
                          <w14:srgbClr w14:val="000000"/>
                        </w14:solidFill>
                      </w14:textFill>
                      <w:highlight w:val="none"/>
                    </w:rPr>
                    <w:t>m</w:t>
                  </w:r>
                  <w:r>
                    <w:rPr>
                      <w:rFonts w:ascii="Times New Roman" w:cs="Times New Roman" w:hAnsi="Times New Roman"/>
                      <w:bCs/>
                      <w:color w:val="000000"/>
                      <w:sz w:val="21"/>
                      <w:szCs w:val="21"/>
                      <w:vertAlign w:val="superscript"/>
                      <w14:textFill>
                        <w14:solidFill>
                          <w14:srgbClr w14:val="000000"/>
                        </w14:solidFill>
                      </w14:textFill>
                      <w:highlight w:val="none"/>
                    </w:rPr>
                    <w:t>2</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Ansi="宋体" w:hint="eastAsia"/>
                      <w:color w:val="000000"/>
                      <w:sz w:val="21"/>
                      <w:szCs w:val="21"/>
                      <w:lang w:val="en-US" w:eastAsia="zh-CN"/>
                      <w:highlight w:val="none"/>
                    </w:rPr>
                  </w:pPr>
                  <w:r>
                    <w:rPr>
                      <w:rFonts w:ascii="Times New Roman" w:cs="Times New Roman" w:hAnsi="宋体" w:hint="eastAsia"/>
                      <w:color w:val="000000"/>
                      <w:sz w:val="21"/>
                      <w:szCs w:val="21"/>
                      <w:lang w:val="en-US" w:eastAsia="zh-CN"/>
                      <w:highlight w:val="none"/>
                    </w:rPr>
                    <w:t>新建</w:t>
                  </w:r>
                </w:p>
              </w:tc>
            </w:tr>
            <w:tr>
              <w:trPr>
                <w:trHeight w:val="397"/>
              </w:trPr>
              <w:tc>
                <w:tcPr>
                  <w:tcW w:w="1059" w:type="dxa"/>
                  <w:vMerge/>
                  <w:tcBorders>
                    <w:tl2br w:val="nil"/>
                    <w:tr2bl w:val="nil"/>
                  </w:tcBorders>
                  <w:vAlign w:val="center"/>
                </w:tcPr>
                <w:p/>
              </w:tc>
              <w:tc>
                <w:tcPr>
                  <w:tcW w:w="15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highlight w:val="none"/>
                    </w:rPr>
                  </w:pPr>
                  <w:r>
                    <w:rPr>
                      <w:rFonts w:ascii="Times New Roman" w:cs="Times New Roman" w:hAnsi="Times New Roman" w:hint="eastAsia"/>
                      <w:color w:val="000000"/>
                      <w:sz w:val="21"/>
                      <w:szCs w:val="21"/>
                      <w:lang w:val="en-US" w:eastAsia="zh-CN"/>
                      <w:highlight w:val="none"/>
                    </w:rPr>
                    <w:t>充电区</w:t>
                  </w:r>
                </w:p>
              </w:tc>
              <w:tc>
                <w:tcPr>
                  <w:tcW w:w="43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hint="eastAsia"/>
                      <w:bCs/>
                      <w:color w:val="auto"/>
                      <w:sz w:val="21"/>
                      <w:szCs w:val="21"/>
                      <w:lang w:val="en-US" w:eastAsia="zh-CN"/>
                      <w:highlight w:val="none"/>
                    </w:rPr>
                  </w:pPr>
                  <w:r>
                    <w:rPr>
                      <w:rFonts w:ascii="Times New Roman" w:cs="Times New Roman" w:hAnsi="Times New Roman" w:hint="eastAsia"/>
                      <w:bCs/>
                      <w:color w:val="auto"/>
                      <w:sz w:val="21"/>
                      <w:szCs w:val="21"/>
                      <w:lang w:val="en-US" w:eastAsia="zh-CN"/>
                      <w:highlight w:val="none"/>
                    </w:rPr>
                    <w:t>充电区域面积40</w:t>
                  </w:r>
                  <w:r>
                    <w:rPr>
                      <w:rFonts w:ascii="Times New Roman" w:cs="Times New Roman" w:hAnsi="Times New Roman"/>
                      <w:bCs/>
                      <w:color w:val="000000"/>
                      <w:sz w:val="21"/>
                      <w:szCs w:val="21"/>
                      <w14:textFill>
                        <w14:solidFill>
                          <w14:srgbClr w14:val="000000"/>
                        </w14:solidFill>
                      </w14:textFill>
                      <w:highlight w:val="none"/>
                    </w:rPr>
                    <w:t>m</w:t>
                  </w:r>
                  <w:r>
                    <w:rPr>
                      <w:rFonts w:ascii="Times New Roman" w:cs="Times New Roman" w:hAnsi="Times New Roman"/>
                      <w:bCs/>
                      <w:color w:val="000000"/>
                      <w:sz w:val="21"/>
                      <w:szCs w:val="21"/>
                      <w:vertAlign w:val="superscript"/>
                      <w14:textFill>
                        <w14:solidFill>
                          <w14:srgbClr w14:val="000000"/>
                        </w14:solidFill>
                      </w14:textFill>
                      <w:highlight w:val="none"/>
                    </w:rPr>
                    <w:t>2</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Ansi="宋体"/>
                      <w:color w:val="000000"/>
                      <w:sz w:val="21"/>
                      <w:szCs w:val="21"/>
                      <w:lang w:val="en-US" w:eastAsia="zh-CN"/>
                      <w:highlight w:val="none"/>
                    </w:rPr>
                  </w:pPr>
                  <w:r>
                    <w:rPr>
                      <w:rFonts w:ascii="Times New Roman" w:cs="Times New Roman" w:hAnsi="宋体" w:hint="eastAsia"/>
                      <w:color w:val="000000"/>
                      <w:sz w:val="21"/>
                      <w:szCs w:val="21"/>
                      <w:lang w:val="en-US" w:eastAsia="zh-CN"/>
                      <w:highlight w:val="none"/>
                    </w:rPr>
                    <w:t>新建</w:t>
                  </w:r>
                </w:p>
              </w:tc>
            </w:tr>
            <w:tr>
              <w:trPr>
                <w:trHeight w:val="397"/>
              </w:trPr>
              <w:tc>
                <w:tcPr>
                  <w:tcW w:w="1059" w:type="dxa"/>
                  <w:vMerge w:val="restart"/>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eastAsia="宋体"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储运工程</w:t>
                  </w:r>
                </w:p>
              </w:tc>
              <w:tc>
                <w:tcPr>
                  <w:tcW w:w="1513" w:type="dxa"/>
                  <w:vMerge w:val="restar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000000"/>
                      <w:sz w:val="21"/>
                      <w:szCs w:val="21"/>
                      <w:lang w:eastAsia="zh-CN"/>
                      <w:highlight w:val="none"/>
                    </w:rPr>
                  </w:pPr>
                  <w:r>
                    <w:rPr>
                      <w:rFonts w:ascii="Times New Roman" w:cs="Times New Roman" w:hAnsi="Times New Roman"/>
                      <w:color w:val="000000"/>
                      <w:sz w:val="21"/>
                      <w:szCs w:val="21"/>
                      <w:lang w:eastAsia="zh-CN"/>
                      <w:highlight w:val="none"/>
                    </w:rPr>
                    <w:t>埋地</w:t>
                  </w:r>
                  <w:r>
                    <w:rPr>
                      <w:rFonts w:ascii="Times New Roman" w:cs="Times New Roman" w:hAnsi="Times New Roman" w:hint="eastAsia"/>
                      <w:color w:val="000000"/>
                      <w:sz w:val="21"/>
                      <w:szCs w:val="21"/>
                      <w:lang w:val="en-US" w:eastAsia="zh-CN"/>
                      <w:highlight w:val="none"/>
                    </w:rPr>
                    <w:t>卧式</w:t>
                  </w:r>
                  <w:r>
                    <w:rPr>
                      <w:rFonts w:ascii="Times New Roman" w:cs="Times New Roman" w:hAnsi="Times New Roman"/>
                      <w:color w:val="000000"/>
                      <w:sz w:val="21"/>
                      <w:szCs w:val="21"/>
                      <w:lang w:eastAsia="zh-CN"/>
                      <w:highlight w:val="none"/>
                    </w:rPr>
                    <w:t>油</w:t>
                  </w:r>
                  <w:r>
                    <w:rPr>
                      <w:rFonts w:ascii="Times New Roman" w:cs="Times New Roman" w:hAnsi="Times New Roman" w:hint="eastAsia"/>
                      <w:color w:val="000000"/>
                      <w:sz w:val="21"/>
                      <w:szCs w:val="21"/>
                      <w:lang w:val="en-US" w:eastAsia="zh-CN"/>
                      <w:highlight w:val="none"/>
                    </w:rPr>
                    <w:t>罐</w:t>
                  </w:r>
                </w:p>
              </w:tc>
              <w:tc>
                <w:tcPr>
                  <w:tcW w:w="43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hint="eastAsia"/>
                      <w:bCs/>
                      <w:color w:val="auto"/>
                      <w:sz w:val="21"/>
                      <w:szCs w:val="21"/>
                      <w:lang w:val="en-US" w:eastAsia="zh-CN"/>
                      <w:highlight w:val="none"/>
                    </w:rPr>
                  </w:pPr>
                  <w:r>
                    <w:rPr>
                      <w:rFonts w:ascii="Times New Roman" w:cs="Times New Roman" w:hAnsi="Times New Roman"/>
                      <w:bCs/>
                      <w:color w:val="auto"/>
                      <w:sz w:val="21"/>
                      <w:szCs w:val="21"/>
                      <w:lang w:val="en-US" w:eastAsia="zh-CN"/>
                      <w:highlight w:val="none"/>
                    </w:rPr>
                    <w:t>2</w:t>
                  </w:r>
                  <w:r>
                    <w:rPr>
                      <w:rFonts w:ascii="Times New Roman" w:cs="Times New Roman" w:hAnsi="Times New Roman" w:hint="eastAsia"/>
                      <w:bCs/>
                      <w:color w:val="auto"/>
                      <w:sz w:val="21"/>
                      <w:szCs w:val="21"/>
                      <w:lang w:val="en-US" w:eastAsia="zh-CN"/>
                      <w:highlight w:val="none"/>
                    </w:rPr>
                    <w:t>座</w:t>
                  </w:r>
                  <w:r>
                    <w:rPr>
                      <w:rFonts w:ascii="Times New Roman" w:cs="Times New Roman" w:hAnsi="Times New Roman"/>
                      <w:bCs/>
                      <w:color w:val="auto"/>
                      <w:sz w:val="21"/>
                      <w:szCs w:val="21"/>
                      <w:lang w:val="en-US" w:eastAsia="zh-CN"/>
                      <w:highlight w:val="none"/>
                    </w:rPr>
                    <w:t>30</w:t>
                  </w:r>
                  <w:r>
                    <w:rPr>
                      <w:rFonts w:ascii="Times New Roman" w:cs="Times New Roman" w:hAnsi="Times New Roman" w:hint="eastAsia"/>
                      <w:bCs/>
                      <w:color w:val="auto"/>
                      <w:sz w:val="21"/>
                      <w:szCs w:val="21"/>
                      <w:lang w:val="en-US" w:eastAsia="zh-CN"/>
                      <w:highlight w:val="none"/>
                    </w:rPr>
                    <w:t>m</w:t>
                  </w:r>
                  <w:r>
                    <w:rPr>
                      <w:rFonts w:ascii="Times New Roman" w:cs="Times New Roman" w:hAnsi="Times New Roman" w:hint="eastAsia"/>
                      <w:bCs/>
                      <w:color w:val="auto"/>
                      <w:sz w:val="21"/>
                      <w:szCs w:val="21"/>
                      <w:vertAlign w:val="superscript"/>
                      <w:lang w:val="en-US" w:eastAsia="zh-CN"/>
                      <w:highlight w:val="none"/>
                    </w:rPr>
                    <w:t>3</w:t>
                  </w:r>
                  <w:r>
                    <w:rPr>
                      <w:rFonts w:ascii="Times New Roman" w:cs="Times New Roman" w:hAnsi="Times New Roman"/>
                      <w:bCs/>
                      <w:color w:val="auto"/>
                      <w:sz w:val="21"/>
                      <w:szCs w:val="21"/>
                      <w:lang w:val="en-US" w:eastAsia="zh-CN"/>
                      <w:highlight w:val="none"/>
                    </w:rPr>
                    <w:t>汽油油罐</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Ansi="宋体"/>
                      <w:color w:val="000000"/>
                      <w:sz w:val="21"/>
                      <w:szCs w:val="21"/>
                      <w:lang w:val="en-US"/>
                    </w:rPr>
                  </w:pPr>
                  <w:r>
                    <w:rPr>
                      <w:rFonts w:ascii="Times New Roman" w:cs="Times New Roman" w:hAnsi="宋体" w:hint="eastAsia"/>
                      <w:color w:val="000000"/>
                      <w:sz w:val="21"/>
                      <w:szCs w:val="21"/>
                      <w:lang w:val="en-US" w:eastAsia="zh-CN"/>
                      <w:highlight w:val="none"/>
                    </w:rPr>
                    <w:t>新建；1座30m</w:t>
                  </w:r>
                  <w:r>
                    <w:rPr>
                      <w:rFonts w:ascii="Times New Roman" w:cs="Times New Roman" w:hAnsi="宋体" w:hint="eastAsia"/>
                      <w:color w:val="000000"/>
                      <w:sz w:val="21"/>
                      <w:szCs w:val="21"/>
                      <w:vertAlign w:val="superscript"/>
                      <w:lang w:val="en-US" w:eastAsia="zh-CN"/>
                      <w:highlight w:val="none"/>
                    </w:rPr>
                    <w:t>3</w:t>
                  </w:r>
                  <w:r>
                    <w:rPr>
                      <w:rFonts w:ascii="Times New Roman" w:cs="Times New Roman" w:hAnsi="宋体" w:hint="eastAsia"/>
                      <w:color w:val="000000"/>
                      <w:sz w:val="21"/>
                      <w:szCs w:val="21"/>
                      <w:lang w:val="en-US" w:eastAsia="zh-CN"/>
                      <w:highlight w:val="none"/>
                    </w:rPr>
                    <w:t>E92#汽油储罐、1座30m</w:t>
                  </w:r>
                  <w:r>
                    <w:rPr>
                      <w:rFonts w:ascii="Times New Roman" w:cs="Times New Roman" w:hAnsi="宋体" w:hint="eastAsia"/>
                      <w:color w:val="000000"/>
                      <w:sz w:val="21"/>
                      <w:szCs w:val="21"/>
                      <w:vertAlign w:val="superscript"/>
                      <w:lang w:val="en-US" w:eastAsia="zh-CN"/>
                      <w:highlight w:val="none"/>
                    </w:rPr>
                    <w:t>3</w:t>
                  </w:r>
                  <w:r>
                    <w:rPr>
                      <w:rFonts w:ascii="Times New Roman" w:cs="Times New Roman" w:hAnsi="宋体" w:hint="eastAsia"/>
                      <w:color w:val="000000"/>
                      <w:sz w:val="21"/>
                      <w:szCs w:val="21"/>
                      <w:lang w:val="en-US" w:eastAsia="zh-CN"/>
                      <w:highlight w:val="none"/>
                    </w:rPr>
                    <w:t>E95#汽油储罐</w:t>
                  </w:r>
                </w:p>
              </w:tc>
            </w:tr>
            <w:tr>
              <w:trPr>
                <w:trHeight w:val="397"/>
              </w:trPr>
              <w:tc>
                <w:tcPr>
                  <w:tcW w:w="1059" w:type="dxa"/>
                  <w:vMerge/>
                  <w:tcBorders>
                    <w:tl2br w:val="nil"/>
                    <w:tr2bl w:val="nil"/>
                  </w:tcBorders>
                  <w:vAlign w:val="center"/>
                </w:tcPr>
                <w:p/>
              </w:tc>
              <w:tc>
                <w:tcPr>
                  <w:tcW w:w="1513" w:type="dxa"/>
                  <w:vMerge/>
                  <w:tcBorders>
                    <w:tl2br w:val="nil"/>
                    <w:tr2bl w:val="nil"/>
                  </w:tcBorders>
                  <w:vAlign w:val="center"/>
                </w:tcPr>
                <w:p/>
              </w:tc>
              <w:tc>
                <w:tcPr>
                  <w:tcW w:w="43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hint="eastAsia"/>
                      <w:bCs/>
                      <w:color w:val="auto"/>
                      <w:sz w:val="21"/>
                      <w:szCs w:val="21"/>
                      <w:lang w:val="en-US" w:eastAsia="zh-CN"/>
                      <w:highlight w:val="none"/>
                    </w:rPr>
                  </w:pPr>
                  <w:r>
                    <w:rPr>
                      <w:rFonts w:ascii="Times New Roman" w:cs="Times New Roman" w:hAnsi="Times New Roman" w:hint="eastAsia"/>
                      <w:bCs/>
                      <w:color w:val="auto"/>
                      <w:sz w:val="21"/>
                      <w:szCs w:val="21"/>
                      <w:lang w:val="en-US" w:eastAsia="zh-CN"/>
                      <w:highlight w:val="none"/>
                    </w:rPr>
                    <w:t>2座30m</w:t>
                  </w:r>
                  <w:r>
                    <w:rPr>
                      <w:rFonts w:ascii="Times New Roman" w:cs="Times New Roman" w:hAnsi="Times New Roman" w:hint="eastAsia"/>
                      <w:bCs/>
                      <w:color w:val="auto"/>
                      <w:sz w:val="21"/>
                      <w:szCs w:val="21"/>
                      <w:vertAlign w:val="superscript"/>
                      <w:lang w:val="en-US" w:eastAsia="zh-CN"/>
                      <w:highlight w:val="none"/>
                    </w:rPr>
                    <w:t>3</w:t>
                  </w:r>
                  <w:r>
                    <w:rPr>
                      <w:rFonts w:ascii="Times New Roman" w:cs="Times New Roman" w:hAnsi="Times New Roman" w:hint="eastAsia"/>
                      <w:bCs/>
                      <w:color w:val="auto"/>
                      <w:sz w:val="21"/>
                      <w:szCs w:val="21"/>
                      <w:lang w:val="en-US" w:eastAsia="zh-CN"/>
                      <w:highlight w:val="none"/>
                    </w:rPr>
                    <w:t>柴油</w:t>
                  </w:r>
                  <w:r>
                    <w:rPr>
                      <w:rFonts w:ascii="Times New Roman" w:cs="Times New Roman" w:hAnsi="Times New Roman"/>
                      <w:bCs/>
                      <w:color w:val="auto"/>
                      <w:sz w:val="21"/>
                      <w:szCs w:val="21"/>
                      <w:lang w:val="en-US" w:eastAsia="zh-CN"/>
                      <w:highlight w:val="none"/>
                    </w:rPr>
                    <w:t>油罐</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Ansi="宋体" w:hint="eastAsia"/>
                      <w:color w:val="000000"/>
                      <w:sz w:val="21"/>
                      <w:szCs w:val="21"/>
                    </w:rPr>
                  </w:pPr>
                  <w:r>
                    <w:rPr>
                      <w:rFonts w:ascii="Times New Roman" w:cs="Times New Roman" w:hAnsi="宋体" w:hint="eastAsia"/>
                      <w:color w:val="000000"/>
                      <w:sz w:val="21"/>
                      <w:szCs w:val="21"/>
                      <w:lang w:val="en-US" w:eastAsia="zh-CN"/>
                      <w:highlight w:val="none"/>
                    </w:rPr>
                    <w:t>新建</w:t>
                  </w:r>
                </w:p>
              </w:tc>
            </w:tr>
            <w:tr>
              <w:trPr>
                <w:trHeight w:val="397"/>
              </w:trPr>
              <w:tc>
                <w:tcPr>
                  <w:tcW w:w="1059" w:type="dxa"/>
                  <w:vMerge w:val="restart"/>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eastAsia="宋体"/>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公用工程</w:t>
                  </w:r>
                </w:p>
              </w:tc>
              <w:tc>
                <w:tcPr>
                  <w:tcW w:w="15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Times New Roman"/>
                      <w:color w:val="000000"/>
                      <w:sz w:val="21"/>
                      <w:szCs w:val="21"/>
                    </w:rPr>
                    <w:t>给水</w:t>
                  </w:r>
                </w:p>
              </w:tc>
              <w:tc>
                <w:tcPr>
                  <w:tcW w:w="43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color w:val="auto"/>
                      <w:sz w:val="21"/>
                      <w:szCs w:val="21"/>
                      <w:lang w:val="en-US" w:eastAsia="zh-CN"/>
                      <w:highlight w:val="none"/>
                    </w:rPr>
                  </w:pPr>
                  <w:r>
                    <w:rPr>
                      <w:rFonts w:ascii="Times New Roman" w:cs="Times New Roman" w:hAnsi="Times New Roman" w:hint="eastAsia"/>
                      <w:color w:val="auto"/>
                      <w:sz w:val="21"/>
                      <w:szCs w:val="21"/>
                      <w:lang w:eastAsia="zh-CN"/>
                      <w:highlight w:val="none"/>
                    </w:rPr>
                    <w:t>当地</w:t>
                  </w:r>
                  <w:r>
                    <w:rPr>
                      <w:rFonts w:ascii="Times New Roman" w:cs="Times New Roman" w:hAnsi="Times New Roman" w:hint="eastAsia"/>
                      <w:color w:val="auto"/>
                      <w:sz w:val="21"/>
                      <w:szCs w:val="21"/>
                      <w:lang w:val="en-US" w:eastAsia="zh-CN"/>
                      <w:highlight w:val="none"/>
                    </w:rPr>
                    <w:t>市政</w:t>
                  </w:r>
                  <w:r>
                    <w:rPr>
                      <w:rFonts w:ascii="Times New Roman" w:cs="Times New Roman" w:hAnsi="Times New Roman" w:hint="eastAsia"/>
                      <w:color w:val="auto"/>
                      <w:sz w:val="21"/>
                      <w:szCs w:val="21"/>
                      <w:lang w:eastAsia="zh-CN"/>
                      <w:highlight w:val="none"/>
                    </w:rPr>
                    <w:t>供水系统供给</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eastAsia="宋体"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w:t>
                  </w:r>
                </w:p>
              </w:tc>
            </w:tr>
            <w:tr>
              <w:trPr>
                <w:trHeight w:val="397"/>
              </w:trPr>
              <w:tc>
                <w:tcPr>
                  <w:tcW w:w="1059" w:type="dxa"/>
                  <w:vMerge/>
                  <w:tcBorders>
                    <w:tl2br w:val="nil"/>
                    <w:tr2bl w:val="nil"/>
                  </w:tcBorders>
                  <w:vAlign w:val="center"/>
                </w:tcPr>
                <w:p/>
              </w:tc>
              <w:tc>
                <w:tcPr>
                  <w:tcW w:w="15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Times New Roman"/>
                      <w:color w:val="000000"/>
                      <w:sz w:val="21"/>
                      <w:szCs w:val="21"/>
                    </w:rPr>
                    <w:t>排水</w:t>
                  </w:r>
                </w:p>
              </w:tc>
              <w:tc>
                <w:tcPr>
                  <w:tcW w:w="4313"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eastAsia="宋体"/>
                      <w:b w:val="0"/>
                      <w:bCs/>
                      <w:color w:val="auto"/>
                      <w:sz w:val="21"/>
                      <w:szCs w:val="21"/>
                      <w:u w:val="none"/>
                      <w:lang w:val="en-US" w:eastAsia="zh-CN"/>
                      <w:highlight w:val="none"/>
                    </w:rPr>
                  </w:pPr>
                  <w:r>
                    <w:rPr>
                      <w:rFonts w:ascii="Times New Roman" w:eastAsia="宋体" w:cs="Times New Roman" w:hAnsi="Times New Roman"/>
                      <w:color w:val="auto"/>
                      <w:sz w:val="21"/>
                      <w:szCs w:val="21"/>
                      <w:highlight w:val="none"/>
                    </w:rPr>
                    <w:t>生活污水</w:t>
                  </w:r>
                  <w:r>
                    <w:rPr>
                      <w:rFonts w:ascii="Times New Roman" w:cs="Times New Roman" w:hAnsi="Times New Roman" w:hint="eastAsia"/>
                      <w:color w:val="auto"/>
                      <w:sz w:val="21"/>
                      <w:szCs w:val="21"/>
                      <w:lang w:val="en-US" w:eastAsia="zh-CN"/>
                      <w:highlight w:val="none"/>
                    </w:rPr>
                    <w:t>经</w:t>
                  </w:r>
                  <w:r>
                    <w:rPr>
                      <w:rFonts w:ascii="Times New Roman" w:eastAsia="宋体" w:cs="Times New Roman" w:hAnsi="Times New Roman"/>
                      <w:color w:val="auto"/>
                      <w:sz w:val="21"/>
                      <w:szCs w:val="21"/>
                      <w:lang w:val="en-US" w:eastAsia="zh-CN"/>
                      <w:highlight w:val="none"/>
                    </w:rPr>
                    <w:t>化粪池处理后</w:t>
                  </w:r>
                  <w:r>
                    <w:rPr>
                      <w:rFonts w:ascii="Times New Roman" w:cs="Times New Roman" w:hAnsi="Times New Roman" w:hint="eastAsia"/>
                      <w:bCs/>
                      <w:color w:val="auto"/>
                      <w:kern w:val="0"/>
                      <w:sz w:val="21"/>
                      <w:szCs w:val="21"/>
                      <w:highlight w:val="none"/>
                    </w:rPr>
                    <w:t>由管网</w:t>
                  </w:r>
                  <w:r>
                    <w:rPr>
                      <w:rFonts w:ascii="Times New Roman" w:cs="Times New Roman" w:hAnsi="Times New Roman"/>
                      <w:color w:val="auto"/>
                      <w:kern w:val="0"/>
                      <w:sz w:val="21"/>
                      <w:szCs w:val="21"/>
                      <w:highlight w:val="none"/>
                    </w:rPr>
                    <w:t>排入延津县第二污水处理厂进行处理</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宋体" w:hint="eastAsia"/>
                      <w:color w:val="000000"/>
                      <w:sz w:val="21"/>
                      <w:szCs w:val="21"/>
                      <w:lang w:val="en-US" w:eastAsia="zh-CN"/>
                      <w:highlight w:val="none"/>
                    </w:rPr>
                    <w:t>新建</w:t>
                  </w:r>
                </w:p>
              </w:tc>
            </w:tr>
            <w:tr>
              <w:trPr>
                <w:trHeight w:val="397"/>
              </w:trPr>
              <w:tc>
                <w:tcPr>
                  <w:tcW w:w="1059" w:type="dxa"/>
                  <w:vMerge/>
                  <w:tcBorders>
                    <w:tl2br w:val="nil"/>
                    <w:tr2bl w:val="nil"/>
                  </w:tcBorders>
                  <w:vAlign w:val="center"/>
                </w:tcPr>
                <w:p/>
              </w:tc>
              <w:tc>
                <w:tcPr>
                  <w:tcW w:w="15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Times New Roman"/>
                      <w:color w:val="000000"/>
                      <w:sz w:val="21"/>
                      <w:szCs w:val="21"/>
                    </w:rPr>
                    <w:t>供电</w:t>
                  </w:r>
                </w:p>
              </w:tc>
              <w:tc>
                <w:tcPr>
                  <w:tcW w:w="431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Times New Roman"/>
                      <w:color w:val="auto"/>
                      <w:sz w:val="21"/>
                      <w:szCs w:val="21"/>
                      <w:lang w:eastAsia="zh-CN"/>
                      <w:highlight w:val="none"/>
                    </w:rPr>
                    <w:t>当地供电系统供给</w:t>
                  </w:r>
                </w:p>
              </w:tc>
              <w:tc>
                <w:tcPr>
                  <w:tcW w:w="1896"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w:t>
                  </w:r>
                </w:p>
              </w:tc>
            </w:tr>
            <w:tr>
              <w:trPr>
                <w:trHeight w:val="90"/>
              </w:trPr>
              <w:tc>
                <w:tcPr>
                  <w:tcW w:w="1059" w:type="dxa"/>
                  <w:vMerge w:val="restar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环保工程</w:t>
                  </w:r>
                </w:p>
              </w:tc>
              <w:tc>
                <w:tcPr>
                  <w:tcW w:w="15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int="eastAsia"/>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废气</w:t>
                  </w:r>
                </w:p>
              </w:tc>
              <w:tc>
                <w:tcPr>
                  <w:tcW w:w="43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left"/>
                    <w:rPr>
                      <w:rFonts w:eastAsia="宋体" w:cs="Times New Roman" w:hint="eastAsia"/>
                      <w:color w:val="0000FF"/>
                      <w:sz w:val="21"/>
                      <w:szCs w:val="21"/>
                      <w:lang w:val="en-US" w:eastAsia="zh-CN"/>
                      <w:highlight w:val="none"/>
                    </w:rPr>
                  </w:pPr>
                  <w:r>
                    <w:rPr>
                      <w:rFonts w:ascii="宋体" w:eastAsia="宋体" w:cs="宋体" w:hAnsi="宋体" w:hint="eastAsia"/>
                      <w:color w:val="000000"/>
                      <w:kern w:val="0"/>
                      <w:sz w:val="21"/>
                      <w:szCs w:val="21"/>
                      <w:lang w:val="en-US" w:eastAsia="zh-CN"/>
                    </w:rPr>
                    <w:t>卸油油气回收系统（一次油气回收）、加油油气回收系统（二次油气回收）和油气排放处置装置（三次油气回收）</w:t>
                  </w:r>
                </w:p>
              </w:tc>
              <w:tc>
                <w:tcPr>
                  <w:tcW w:w="1896"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宋体" w:hint="eastAsia"/>
                      <w:color w:val="000000"/>
                      <w:sz w:val="21"/>
                      <w:szCs w:val="21"/>
                      <w:lang w:val="en-US" w:eastAsia="zh-CN"/>
                      <w:highlight w:val="none"/>
                    </w:rPr>
                    <w:t>新建</w:t>
                  </w:r>
                </w:p>
              </w:tc>
            </w:tr>
            <w:tr>
              <w:trPr>
                <w:trHeight w:val="397"/>
              </w:trPr>
              <w:tc>
                <w:tcPr>
                  <w:tcW w:w="1059" w:type="dxa"/>
                  <w:vMerge/>
                  <w:tcBorders>
                    <w:tl2br w:val="nil"/>
                    <w:tr2bl w:val="nil"/>
                  </w:tcBorders>
                  <w:vAlign w:val="center"/>
                </w:tcPr>
                <w:p/>
              </w:tc>
              <w:tc>
                <w:tcPr>
                  <w:tcW w:w="15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rFonts w:hint="eastAsia"/>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废水</w:t>
                  </w:r>
                </w:p>
              </w:tc>
              <w:tc>
                <w:tcPr>
                  <w:tcW w:w="43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left"/>
                    <w:rPr>
                      <w:rFonts w:eastAsia="宋体" w:cs="Times New Roman"/>
                      <w:color w:val="auto"/>
                      <w:sz w:val="21"/>
                      <w:szCs w:val="21"/>
                      <w:lang w:val="en-US" w:eastAsia="zh-CN"/>
                      <w:highlight w:val="none"/>
                    </w:rPr>
                  </w:pPr>
                  <w:r>
                    <w:rPr>
                      <w:rFonts w:ascii="Times New Roman" w:eastAsia="宋体" w:cs="Times New Roman" w:hAnsi="Times New Roman"/>
                      <w:color w:val="auto"/>
                      <w:sz w:val="21"/>
                      <w:szCs w:val="21"/>
                      <w:highlight w:val="none"/>
                    </w:rPr>
                    <w:t>生活污水</w:t>
                  </w:r>
                  <w:r>
                    <w:rPr>
                      <w:rFonts w:ascii="Times New Roman" w:eastAsia="宋体" w:cs="Times New Roman" w:hAnsi="Times New Roman"/>
                      <w:color w:val="auto"/>
                      <w:sz w:val="21"/>
                      <w:szCs w:val="21"/>
                      <w:lang w:eastAsia="zh-CN"/>
                      <w:highlight w:val="none"/>
                    </w:rPr>
                    <w:t>经</w:t>
                  </w:r>
                  <w:r>
                    <w:rPr>
                      <w:rFonts w:ascii="Times New Roman" w:eastAsia="宋体" w:cs="Times New Roman" w:hAnsi="Times New Roman"/>
                      <w:color w:val="auto"/>
                      <w:sz w:val="21"/>
                      <w:szCs w:val="21"/>
                      <w:highlight w:val="none"/>
                    </w:rPr>
                    <w:t>化粪池进行处</w:t>
                  </w:r>
                  <w:r>
                    <w:rPr>
                      <w:rFonts w:ascii="Times New Roman" w:cs="Times New Roman" w:hAnsi="Times New Roman"/>
                      <w:color w:val="auto"/>
                      <w:sz w:val="21"/>
                      <w:szCs w:val="21"/>
                      <w:highlight w:val="none"/>
                    </w:rPr>
                    <w:t>理</w:t>
                  </w:r>
                  <w:r>
                    <w:rPr>
                      <w:rFonts w:ascii="Times New Roman" w:cs="Times New Roman" w:hAnsi="Times New Roman"/>
                      <w:color w:val="auto"/>
                      <w:sz w:val="21"/>
                      <w:szCs w:val="21"/>
                      <w:lang w:eastAsia="zh-CN"/>
                      <w:highlight w:val="none"/>
                    </w:rPr>
                    <w:t>后</w:t>
                  </w:r>
                  <w:r>
                    <w:rPr>
                      <w:rFonts w:ascii="Times New Roman" w:cs="Times New Roman" w:hAnsi="Times New Roman" w:hint="eastAsia"/>
                      <w:bCs/>
                      <w:color w:val="auto"/>
                      <w:kern w:val="0"/>
                      <w:sz w:val="21"/>
                      <w:szCs w:val="21"/>
                      <w:highlight w:val="none"/>
                    </w:rPr>
                    <w:t>由管网</w:t>
                  </w:r>
                  <w:r>
                    <w:rPr>
                      <w:rFonts w:ascii="Times New Roman" w:cs="Times New Roman" w:hAnsi="Times New Roman"/>
                      <w:color w:val="auto"/>
                      <w:kern w:val="0"/>
                      <w:sz w:val="21"/>
                      <w:szCs w:val="21"/>
                      <w:highlight w:val="none"/>
                    </w:rPr>
                    <w:t>排入延津县第二污水处理厂进行处理</w:t>
                  </w:r>
                </w:p>
              </w:tc>
              <w:tc>
                <w:tcPr>
                  <w:tcW w:w="1896"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hAnsi="宋体"/>
                      <w:color w:val="000000"/>
                      <w:sz w:val="21"/>
                      <w:szCs w:val="21"/>
                      <w:lang w:val="en-US" w:eastAsia="zh-CN"/>
                      <w:highlight w:val="none"/>
                    </w:rPr>
                  </w:pPr>
                  <w:r>
                    <w:rPr>
                      <w:rFonts w:ascii="Times New Roman" w:cs="Times New Roman" w:hAnsi="宋体" w:hint="eastAsia"/>
                      <w:color w:val="000000"/>
                      <w:sz w:val="21"/>
                      <w:szCs w:val="21"/>
                      <w:lang w:val="en-US" w:eastAsia="zh-CN"/>
                      <w:highlight w:val="none"/>
                    </w:rPr>
                    <w:t>新建</w:t>
                  </w:r>
                </w:p>
              </w:tc>
            </w:tr>
            <w:tr>
              <w:trPr>
                <w:trHeight w:val="397"/>
              </w:trPr>
              <w:tc>
                <w:tcPr>
                  <w:tcW w:w="1059" w:type="dxa"/>
                  <w:vMerge/>
                  <w:tcBorders>
                    <w:tl2br w:val="nil"/>
                    <w:tr2bl w:val="nil"/>
                  </w:tcBorders>
                  <w:vAlign w:val="center"/>
                </w:tcPr>
                <w:p/>
              </w:tc>
              <w:tc>
                <w:tcPr>
                  <w:tcW w:w="15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噪声</w:t>
                  </w:r>
                </w:p>
              </w:tc>
              <w:tc>
                <w:tcPr>
                  <w:tcW w:w="4313" w:type="dxa"/>
                  <w:tcBorders>
                    <w:tl2br w:val="nil"/>
                    <w:tr2bl w:val="nil"/>
                  </w:tcBorders>
                  <w:vAlign w:val="center"/>
                </w:tcPr>
                <w:p>
                  <w:pPr>
                    <w:keepNext w:val="0"/>
                    <w:keepLines w:val="0"/>
                    <w:suppressLineNumbers w:val="0"/>
                    <w:snapToGrid w:val="0"/>
                    <w:spacing w:before="0" w:beforeAutospacing="0" w:after="0" w:afterAutospacing="0" w:line="240" w:lineRule="auto"/>
                    <w:ind w:left="0" w:right="0"/>
                    <w:jc w:val="left"/>
                    <w:rPr>
                      <w:rFonts w:eastAsia="宋体"/>
                      <w:color w:val="auto"/>
                      <w:sz w:val="21"/>
                      <w:szCs w:val="21"/>
                      <w:lang w:val="en-US" w:eastAsia="zh-CN"/>
                      <w:highlight w:val="none"/>
                    </w:rPr>
                  </w:pPr>
                  <w:r>
                    <w:rPr>
                      <w:rFonts w:ascii="Times New Roman" w:cs="Times New Roman" w:hAnsi="Times New Roman"/>
                      <w:color w:val="auto"/>
                      <w:sz w:val="21"/>
                      <w:szCs w:val="21"/>
                      <w:highlight w:val="none"/>
                    </w:rPr>
                    <w:t>基础减震，车辆进、出站速度要放缓，且禁止鸣笛等措施</w:t>
                  </w:r>
                </w:p>
              </w:tc>
              <w:tc>
                <w:tcPr>
                  <w:tcW w:w="1896"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宋体" w:hint="eastAsia"/>
                      <w:color w:val="000000"/>
                      <w:sz w:val="21"/>
                      <w:szCs w:val="21"/>
                      <w14:textFill>
                        <w14:solidFill>
                          <w14:srgbClr w14:val="000000"/>
                        </w14:solidFill>
                      </w14:textFill>
                      <w:lang w:val="en-US" w:eastAsia="zh-CN"/>
                      <w:highlight w:val="none"/>
                    </w:rPr>
                    <w:t>/</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b/>
                <w:sz w:val="24"/>
                <w:lang w:val="en-US"/>
              </w:rPr>
            </w:pPr>
            <w:r>
              <w:rPr>
                <w:rFonts w:ascii="Times New Roman" w:cs="Times New Roman" w:hAnsi="Times New Roman" w:hint="eastAsia"/>
                <w:b/>
                <w:sz w:val="24"/>
                <w:szCs w:val="20"/>
              </w:rPr>
              <w:t>3、</w:t>
            </w:r>
            <w:r>
              <w:rPr>
                <w:rFonts w:ascii="Times New Roman" w:cs="Times New Roman" w:hAnsi="Times New Roman" w:hint="eastAsia"/>
                <w:b/>
                <w:bCs/>
                <w:color w:val="000000"/>
                <w:sz w:val="24"/>
                <w:szCs w:val="24"/>
                <w:lang w:val="en-US" w:eastAsia="zh-CN"/>
              </w:rPr>
              <w:t>本项目产品方案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cs="Times New Roman"/>
                <w:color w:val="000000"/>
                <w:sz w:val="24"/>
                <w14:textFill>
                  <w14:solidFill>
                    <w14:srgbClr w14:val="000000"/>
                  </w14:solidFill>
                </w14:textFill>
                <w:lang w:val="en-US" w:eastAsia="zh-CN"/>
                <w:highlight w:val="none"/>
              </w:rPr>
            </w:pPr>
            <w:r>
              <w:rPr>
                <w:rFonts w:ascii="Times New Roman" w:cs="Times New Roman" w:hAnsi="Times New Roman" w:hint="eastAsia"/>
                <w:color w:val="000000"/>
                <w:sz w:val="24"/>
                <w:szCs w:val="20"/>
                <w14:textFill>
                  <w14:solidFill>
                    <w14:srgbClr w14:val="000000"/>
                  </w14:solidFill>
                </w14:textFill>
                <w:lang w:val="en-US" w:eastAsia="zh-CN"/>
                <w:highlight w:val="none"/>
              </w:rPr>
              <w:t>企业具体产品方案见</w:t>
            </w:r>
            <w:r>
              <w:rPr>
                <w:rFonts w:ascii="Times New Roman" w:cs="Times New Roman" w:hAnsi="Times New Roman" w:hint="eastAsia"/>
                <w:color w:val="auto"/>
                <w:sz w:val="24"/>
                <w:szCs w:val="20"/>
                <w:lang w:val="en-US" w:eastAsia="zh-CN"/>
              </w:rPr>
              <w:t>下表</w:t>
            </w:r>
            <w:r>
              <w:rPr>
                <w:rFonts w:ascii="Times New Roman" w:cs="Times New Roman" w:hAnsi="Times New Roman" w:hint="eastAsia"/>
                <w:color w:val="auto"/>
                <w:sz w:val="24"/>
                <w:szCs w:val="20"/>
                <w:lang w:eastAsia="zh-CN"/>
              </w:rPr>
              <w:t>：</w:t>
            </w:r>
          </w:p>
          <w:p>
            <w:pPr>
              <w:pStyle w:val="5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sz w:val="24"/>
              </w:rPr>
            </w:pPr>
            <w:r>
              <w:rPr>
                <w:rFonts w:ascii="Times New Roman" w:cs="Times New Roman" w:hAnsi="Times New Roman" w:hint="eastAsia"/>
                <w:b/>
                <w:bCs/>
                <w:color w:val="auto"/>
                <w:sz w:val="24"/>
                <w:szCs w:val="24"/>
                <w:lang w:val="en-US" w:eastAsia="zh-CN"/>
              </w:rPr>
              <w:t>表12</w:t>
            </w:r>
            <w:r>
              <w:rPr>
                <w:rFonts w:ascii="Times New Roman" w:cs="Times New Roman" w:hAnsi="宋体" w:hint="eastAsia"/>
                <w:b/>
                <w:bCs/>
                <w:color w:val="auto"/>
                <w:sz w:val="24"/>
                <w:szCs w:val="24"/>
                <w:lang w:val="en-US" w:eastAsia="zh-CN"/>
              </w:rPr>
              <w:t xml:space="preserve"> </w:t>
            </w:r>
            <w:r>
              <w:rPr>
                <w:rFonts w:ascii="Times New Roman" w:cs="Times New Roman" w:hAnsi="宋体" w:hint="eastAsia"/>
                <w:b/>
                <w:bCs/>
                <w:color w:val="000000"/>
                <w:sz w:val="24"/>
                <w:szCs w:val="24"/>
                <w:lang w:val="en-US" w:eastAsia="zh-CN"/>
              </w:rPr>
              <w:t xml:space="preserve"> 企业产品</w:t>
            </w:r>
            <w:r>
              <w:rPr>
                <w:rFonts w:ascii="Times New Roman" w:cs="Times New Roman" w:hAnsi="宋体"/>
                <w:b/>
                <w:bCs/>
                <w:color w:val="000000"/>
                <w:sz w:val="24"/>
                <w:szCs w:val="24"/>
              </w:rPr>
              <w:t>方案</w:t>
            </w:r>
            <w:r>
              <w:rPr>
                <w:rFonts w:ascii="Times New Roman" w:cs="Times New Roman" w:hAnsi="宋体" w:hint="eastAsia"/>
                <w:b/>
                <w:bCs/>
                <w:color w:val="000000"/>
                <w:sz w:val="24"/>
                <w:szCs w:val="24"/>
                <w:lang w:val="en-US" w:eastAsia="zh-CN"/>
              </w:rPr>
              <w:t>一览表</w:t>
            </w:r>
          </w:p>
          <w:tbl>
            <w:tblPr>
              <w:jc w:val="center"/>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41"/>
              <w:gridCol w:w="1950"/>
              <w:gridCol w:w="2883"/>
              <w:gridCol w:w="3242"/>
            </w:tblGrid>
            <w:tr>
              <w:trPr>
                <w:trHeight w:val="373"/>
              </w:trPr>
              <w:tc>
                <w:tcPr>
                  <w:tcW w:w="741"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b/>
                      <w:sz w:val="21"/>
                      <w:szCs w:val="21"/>
                      <w:lang w:eastAsia="zh-CN"/>
                    </w:rPr>
                  </w:pPr>
                  <w:r>
                    <w:rPr>
                      <w:rFonts w:ascii="Times New Roman" w:cs="Times New Roman" w:hAnsi="Times New Roman" w:hint="eastAsia"/>
                      <w:b/>
                      <w:sz w:val="21"/>
                      <w:szCs w:val="21"/>
                      <w:lang w:val="en-US" w:eastAsia="zh-CN"/>
                    </w:rPr>
                    <w:t>序号</w:t>
                  </w:r>
                </w:p>
              </w:tc>
              <w:tc>
                <w:tcPr>
                  <w:tcW w:w="1950" w:type="dxa"/>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rFonts w:eastAsia="宋体"/>
                      <w:b/>
                      <w:sz w:val="21"/>
                      <w:szCs w:val="21"/>
                      <w:lang w:val="en-US" w:eastAsia="zh-CN"/>
                    </w:rPr>
                  </w:pPr>
                  <w:r>
                    <w:rPr>
                      <w:rFonts w:ascii="Times New Roman" w:cs="Times New Roman" w:hAnsi="Times New Roman" w:hint="eastAsia"/>
                      <w:b/>
                      <w:sz w:val="21"/>
                      <w:szCs w:val="21"/>
                      <w:lang w:val="en-US" w:eastAsia="zh-CN"/>
                    </w:rPr>
                    <w:t>名称</w:t>
                  </w:r>
                </w:p>
              </w:tc>
              <w:tc>
                <w:tcPr>
                  <w:tcW w:w="2883" w:type="dxa"/>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b/>
                      <w:sz w:val="21"/>
                      <w:szCs w:val="21"/>
                      <w:lang w:val="en-US" w:eastAsia="zh-CN"/>
                    </w:rPr>
                  </w:pPr>
                  <w:r>
                    <w:rPr>
                      <w:rFonts w:ascii="Times New Roman" w:cs="Times New Roman" w:hAnsi="Times New Roman" w:hint="eastAsia"/>
                      <w:b/>
                      <w:sz w:val="21"/>
                      <w:szCs w:val="21"/>
                      <w:lang w:val="en-US" w:eastAsia="zh-CN"/>
                    </w:rPr>
                    <w:t>年销售量</w:t>
                  </w:r>
                </w:p>
              </w:tc>
              <w:tc>
                <w:tcPr>
                  <w:tcW w:w="3242" w:type="dxa"/>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b/>
                      <w:sz w:val="21"/>
                      <w:szCs w:val="21"/>
                      <w:lang w:val="en-US" w:eastAsia="zh-CN"/>
                    </w:rPr>
                  </w:pPr>
                  <w:r>
                    <w:rPr>
                      <w:rFonts w:ascii="Times New Roman" w:cs="Times New Roman" w:hAnsi="Times New Roman" w:hint="eastAsia"/>
                      <w:b/>
                      <w:sz w:val="21"/>
                      <w:szCs w:val="21"/>
                      <w:lang w:val="en-US" w:eastAsia="zh-CN"/>
                    </w:rPr>
                    <w:t>备注</w:t>
                  </w:r>
                </w:p>
              </w:tc>
            </w:tr>
            <w:tr>
              <w:trPr>
                <w:trHeight w:val="397"/>
              </w:trPr>
              <w:tc>
                <w:tcPr>
                  <w:tcW w:w="741"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rPr>
                  </w:pPr>
                  <w:r>
                    <w:rPr>
                      <w:rFonts w:ascii="Times New Roman" w:cs="Times New Roman" w:hAnsi="Times New Roman" w:hint="eastAsia"/>
                      <w:color w:val="auto"/>
                      <w:sz w:val="21"/>
                      <w:szCs w:val="21"/>
                      <w:lang w:val="en-US" w:eastAsia="zh-CN"/>
                    </w:rPr>
                    <w:t>1</w:t>
                  </w:r>
                </w:p>
              </w:tc>
              <w:tc>
                <w:tcPr>
                  <w:tcW w:w="1950"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highlight w:val="none"/>
                    </w:rPr>
                  </w:pPr>
                  <w:r>
                    <w:rPr>
                      <w:rFonts w:ascii="宋体" w:cs="Times New Roman" w:hAnsi="宋体" w:hint="eastAsia"/>
                      <w:bCs/>
                      <w:sz w:val="21"/>
                      <w:szCs w:val="21"/>
                      <w:lang w:val="en-US" w:eastAsia="zh-CN"/>
                      <w:highlight w:val="none"/>
                    </w:rPr>
                    <w:t>汽油</w:t>
                  </w:r>
                </w:p>
              </w:tc>
              <w:tc>
                <w:tcPr>
                  <w:tcW w:w="2883"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400</w:t>
                  </w:r>
                  <w:r>
                    <w:rPr>
                      <w:rFonts w:ascii="Times New Roman" w:eastAsia="宋体" w:cs="Times New Roman" w:hAnsi="Times New Roman"/>
                      <w:color w:val="auto"/>
                      <w:sz w:val="21"/>
                      <w:szCs w:val="21"/>
                      <w:lang w:val="en-US" w:eastAsia="zh-CN"/>
                      <w:highlight w:val="none"/>
                    </w:rPr>
                    <w:t>t/a</w:t>
                  </w:r>
                </w:p>
              </w:tc>
              <w:tc>
                <w:tcPr>
                  <w:tcW w:w="324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rPr>
                  </w:pPr>
                  <w:r>
                    <w:rPr>
                      <w:rFonts w:ascii="Times New Roman" w:cs="Times New Roman" w:hAnsi="Times New Roman" w:hint="eastAsia"/>
                      <w:color w:val="auto"/>
                      <w:sz w:val="21"/>
                      <w:szCs w:val="21"/>
                      <w:lang w:val="en-US" w:eastAsia="zh-CN"/>
                    </w:rPr>
                    <w:t>95#乙醇汽油200t，92#乙醇汽油200t</w:t>
                  </w:r>
                </w:p>
              </w:tc>
            </w:tr>
            <w:tr>
              <w:trPr>
                <w:trHeight w:val="397"/>
              </w:trPr>
              <w:tc>
                <w:tcPr>
                  <w:tcW w:w="741"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rPr>
                  </w:pPr>
                  <w:r>
                    <w:rPr>
                      <w:rFonts w:ascii="Times New Roman" w:cs="Times New Roman" w:hAnsi="Times New Roman" w:hint="eastAsia"/>
                      <w:color w:val="auto"/>
                      <w:sz w:val="21"/>
                      <w:szCs w:val="21"/>
                      <w:lang w:val="en-US" w:eastAsia="zh-CN"/>
                    </w:rPr>
                    <w:t>2</w:t>
                  </w:r>
                </w:p>
              </w:tc>
              <w:tc>
                <w:tcPr>
                  <w:tcW w:w="1950"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hAnsi="宋体"/>
                      <w:bCs/>
                      <w:sz w:val="21"/>
                      <w:szCs w:val="21"/>
                      <w:lang w:val="en-US" w:eastAsia="zh-CN"/>
                      <w:highlight w:val="none"/>
                    </w:rPr>
                  </w:pPr>
                  <w:r>
                    <w:rPr>
                      <w:rFonts w:ascii="宋体" w:cs="Times New Roman" w:hAnsi="宋体" w:hint="eastAsia"/>
                      <w:bCs/>
                      <w:sz w:val="21"/>
                      <w:szCs w:val="21"/>
                      <w:lang w:val="en-US" w:eastAsia="zh-CN"/>
                      <w:highlight w:val="none"/>
                    </w:rPr>
                    <w:t>柴油</w:t>
                  </w:r>
                </w:p>
              </w:tc>
              <w:tc>
                <w:tcPr>
                  <w:tcW w:w="2883"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1350</w:t>
                  </w:r>
                  <w:r>
                    <w:rPr>
                      <w:rFonts w:ascii="Times New Roman" w:eastAsia="宋体" w:cs="Times New Roman" w:hAnsi="Times New Roman"/>
                      <w:color w:val="auto"/>
                      <w:sz w:val="21"/>
                      <w:szCs w:val="21"/>
                      <w:lang w:val="en-US" w:eastAsia="zh-CN"/>
                      <w:highlight w:val="none"/>
                    </w:rPr>
                    <w:t>/a</w:t>
                  </w:r>
                </w:p>
              </w:tc>
              <w:tc>
                <w:tcPr>
                  <w:tcW w:w="324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rPr>
                  </w:pPr>
                  <w:r>
                    <w:rPr>
                      <w:rFonts w:ascii="Times New Roman" w:cs="Times New Roman" w:hAnsi="Times New Roman" w:hint="eastAsia"/>
                      <w:color w:val="auto"/>
                      <w:sz w:val="21"/>
                      <w:szCs w:val="21"/>
                      <w:lang w:val="en-US" w:eastAsia="zh-CN"/>
                    </w:rPr>
                    <w:t>0#柴油</w:t>
                  </w:r>
                </w:p>
              </w:tc>
            </w:tr>
            <w:tr>
              <w:trPr>
                <w:trHeight w:val="397"/>
              </w:trPr>
              <w:tc>
                <w:tcPr>
                  <w:tcW w:w="741"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rPr>
                  </w:pPr>
                  <w:r>
                    <w:rPr>
                      <w:rFonts w:ascii="Times New Roman" w:cs="Times New Roman" w:hAnsi="Times New Roman" w:hint="eastAsia"/>
                      <w:color w:val="auto"/>
                      <w:sz w:val="21"/>
                      <w:szCs w:val="21"/>
                      <w:lang w:val="en-US" w:eastAsia="zh-CN"/>
                    </w:rPr>
                    <w:t>3</w:t>
                  </w:r>
                </w:p>
              </w:tc>
              <w:tc>
                <w:tcPr>
                  <w:tcW w:w="1950"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宋体" w:hAnsi="宋体"/>
                      <w:bCs/>
                      <w:sz w:val="21"/>
                      <w:szCs w:val="21"/>
                      <w:lang w:val="en-US" w:eastAsia="zh-CN"/>
                      <w:highlight w:val="none"/>
                    </w:rPr>
                  </w:pPr>
                  <w:r>
                    <w:rPr>
                      <w:rFonts w:ascii="宋体" w:cs="Times New Roman" w:hAnsi="宋体" w:hint="eastAsia"/>
                      <w:bCs/>
                      <w:sz w:val="21"/>
                      <w:szCs w:val="21"/>
                      <w:lang w:val="en-US" w:eastAsia="zh-CN"/>
                      <w:highlight w:val="none"/>
                    </w:rPr>
                    <w:t>电</w:t>
                  </w:r>
                </w:p>
              </w:tc>
              <w:tc>
                <w:tcPr>
                  <w:tcW w:w="2883"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280万</w:t>
                  </w:r>
                  <w:r>
                    <w:rPr>
                      <w:rFonts w:ascii="Times New Roman" w:cs="Times New Roman" w:hAnsi="Times New Roman" w:hint="eastAsia"/>
                      <w:color w:val="auto"/>
                      <w:sz w:val="21"/>
                      <w:szCs w:val="21"/>
                      <w:lang w:val="en-US" w:eastAsia="zh-CN"/>
                    </w:rPr>
                    <w:t>k</w:t>
                  </w:r>
                  <w:r>
                    <w:rPr>
                      <w:rFonts w:ascii="Times New Roman" w:cs="Times New Roman" w:hAnsi="Times New Roman"/>
                      <w:color w:val="auto"/>
                      <w:sz w:val="21"/>
                      <w:szCs w:val="21"/>
                    </w:rPr>
                    <w:t>wh</w:t>
                  </w:r>
                  <w:r>
                    <w:rPr>
                      <w:rFonts w:ascii="Times New Roman" w:cs="Times New Roman" w:hAnsi="Times New Roman" w:hint="eastAsia"/>
                      <w:color w:val="auto"/>
                      <w:sz w:val="21"/>
                      <w:szCs w:val="21"/>
                      <w:lang w:val="en-US" w:eastAsia="zh-CN"/>
                    </w:rPr>
                    <w:t>/a</w:t>
                  </w:r>
                </w:p>
              </w:tc>
              <w:tc>
                <w:tcPr>
                  <w:tcW w:w="324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rPr>
                  </w:pPr>
                  <w:r>
                    <w:rPr>
                      <w:rFonts w:ascii="Times New Roman" w:cs="Times New Roman" w:hAnsi="Times New Roman" w:hint="eastAsia"/>
                      <w:color w:val="auto"/>
                      <w:sz w:val="21"/>
                      <w:szCs w:val="21"/>
                      <w:lang w:val="en-US" w:eastAsia="zh-CN"/>
                    </w:rPr>
                    <w:t>/</w:t>
                  </w:r>
                </w:p>
              </w:tc>
            </w:tr>
          </w:tbl>
          <w:p>
            <w:pPr>
              <w:keepNext w:val="0"/>
              <w:keepLines w:val="0"/>
              <w:suppressLineNumbers w:val="0"/>
              <w:snapToGrid w:val="0"/>
              <w:spacing w:before="0" w:beforeAutospacing="0" w:after="0" w:afterAutospacing="0" w:line="440" w:lineRule="exact"/>
              <w:ind w:left="0" w:right="0" w:firstLineChars="200" w:firstLine="480"/>
              <w:rPr>
                <w:b/>
                <w:sz w:val="24"/>
              </w:rPr>
            </w:pPr>
            <w:r>
              <w:rPr>
                <w:rFonts w:ascii="Times New Roman" w:cs="Times New Roman" w:hAnsi="Times New Roman" w:hint="eastAsia"/>
                <w:b/>
                <w:sz w:val="24"/>
                <w:szCs w:val="20"/>
                <w:lang w:val="en-US" w:eastAsia="zh-CN"/>
              </w:rPr>
              <w:t>4、</w:t>
            </w:r>
            <w:r>
              <w:rPr>
                <w:rFonts w:ascii="Times New Roman" w:cs="Times New Roman" w:hAnsi="Times New Roman" w:hint="eastAsia"/>
                <w:b/>
                <w:sz w:val="24"/>
                <w:szCs w:val="20"/>
              </w:rPr>
              <w:t>项目主要生产设备</w:t>
            </w:r>
          </w:p>
          <w:p>
            <w:pPr>
              <w:keepNext w:val="0"/>
              <w:keepLines w:val="0"/>
              <w:suppressLineNumbers w:val="0"/>
              <w:adjustRightInd w:val="0"/>
              <w:snapToGrid w:val="0"/>
              <w:spacing w:before="0" w:beforeAutospacing="0" w:after="0" w:afterAutospacing="0" w:line="440" w:lineRule="exact"/>
              <w:ind w:left="0" w:right="0" w:firstLineChars="211" w:firstLine="509"/>
              <w:textAlignment w:val="baseline"/>
              <w:rPr>
                <w:rFonts w:cs="Times New Roman"/>
                <w:b/>
                <w:sz w:val="24"/>
                <w:lang w:val="en-US" w:eastAsia="zh-CN"/>
              </w:rPr>
            </w:pPr>
            <w:r>
              <w:rPr>
                <w:rFonts w:ascii="Times New Roman" w:cs="Times New Roman" w:hAnsi="Times New Roman" w:hint="eastAsia"/>
                <w:sz w:val="24"/>
                <w:szCs w:val="20"/>
              </w:rPr>
              <w:t>本</w:t>
            </w:r>
            <w:r>
              <w:rPr>
                <w:rFonts w:ascii="Times New Roman" w:cs="Times New Roman" w:hAnsi="Times New Roman"/>
                <w:sz w:val="24"/>
                <w:szCs w:val="20"/>
              </w:rPr>
              <w:t>项目</w:t>
            </w:r>
            <w:r>
              <w:rPr>
                <w:rFonts w:ascii="Times New Roman" w:cs="Times New Roman" w:hAnsi="Times New Roman" w:hint="eastAsia"/>
                <w:sz w:val="24"/>
                <w:szCs w:val="20"/>
              </w:rPr>
              <w:t>主要生产设备</w:t>
            </w:r>
            <w:r>
              <w:rPr>
                <w:rFonts w:ascii="Times New Roman" w:cs="Times New Roman" w:hAnsi="Times New Roman"/>
                <w:sz w:val="24"/>
                <w:szCs w:val="20"/>
              </w:rPr>
              <w:t>见</w:t>
            </w:r>
            <w:r>
              <w:rPr>
                <w:rFonts w:ascii="Times New Roman" w:cs="Times New Roman" w:hAnsi="Times New Roman" w:hint="eastAsia"/>
                <w:color w:val="auto"/>
                <w:sz w:val="24"/>
                <w:szCs w:val="20"/>
                <w:lang w:val="en-US" w:eastAsia="zh-CN"/>
              </w:rPr>
              <w:t>下表</w:t>
            </w:r>
            <w:r>
              <w:rPr>
                <w:rFonts w:ascii="Times New Roman" w:cs="Times New Roman" w:hAnsi="Times New Roman" w:hint="eastAsia"/>
                <w:color w:val="auto"/>
                <w:sz w:val="24"/>
                <w:szCs w:val="20"/>
                <w:lang w:eastAsia="zh-CN"/>
              </w:rPr>
              <w:t>：</w:t>
            </w:r>
          </w:p>
          <w:p>
            <w:pPr>
              <w:pStyle w:val="75"/>
              <w:keepNext/>
              <w:keepLines w:val="0"/>
              <w:suppressLineNumbers w:val="0"/>
              <w:bidi w:val="0"/>
              <w:spacing w:before="0" w:beforeAutospacing="0" w:after="0" w:afterAutospacing="0"/>
              <w:ind w:left="0" w:right="0" w:firstLine="420"/>
              <w:rPr>
                <w:lang w:val="en-US"/>
              </w:rPr>
            </w:pPr>
            <w:r>
              <w:rPr>
                <w:rFonts w:ascii="Times New Roman" w:cs="Times New Roman" w:hAnsi="Times New Roman" w:hint="eastAsia"/>
                <w:sz w:val="24"/>
                <w:szCs w:val="20"/>
                <w:lang w:val="en-US" w:eastAsia="zh-CN"/>
              </w:rPr>
              <w:t xml:space="preserve">  本项目主要生产设备一览表</w:t>
            </w:r>
          </w:p>
          <w:tbl>
            <w:tblPr>
              <w:jc w:val="center"/>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71"/>
              <w:gridCol w:w="2184"/>
              <w:gridCol w:w="3200"/>
              <w:gridCol w:w="1125"/>
              <w:gridCol w:w="1642"/>
            </w:tblGrid>
            <w:tr>
              <w:trPr>
                <w:trHeight w:val="397"/>
              </w:trPr>
              <w:tc>
                <w:tcPr>
                  <w:tcW w:w="671" w:type="dxa"/>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b/>
                      <w:sz w:val="21"/>
                      <w:szCs w:val="21"/>
                      <w:lang w:eastAsia="zh-CN"/>
                    </w:rPr>
                  </w:pPr>
                  <w:r>
                    <w:rPr>
                      <w:rFonts w:ascii="Times New Roman" w:cs="Times New Roman" w:hAnsi="Times New Roman"/>
                      <w:b/>
                      <w:sz w:val="21"/>
                      <w:szCs w:val="21"/>
                      <w:lang w:val="en-US" w:eastAsia="zh-CN"/>
                    </w:rPr>
                    <w:t>序号</w:t>
                  </w:r>
                </w:p>
              </w:tc>
              <w:tc>
                <w:tcPr>
                  <w:tcW w:w="2184" w:type="dxa"/>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rFonts w:ascii="Times New Roman" w:cs="Times New Roman" w:hAnsi="Times New Roman"/>
                      <w:b/>
                      <w:sz w:val="21"/>
                      <w:szCs w:val="21"/>
                      <w:lang w:val="en-US" w:eastAsia="zh-CN"/>
                    </w:rPr>
                  </w:pPr>
                  <w:r>
                    <w:rPr>
                      <w:rFonts w:ascii="Times New Roman" w:cs="Times New Roman" w:hAnsi="Times New Roman"/>
                      <w:b/>
                      <w:sz w:val="21"/>
                      <w:szCs w:val="21"/>
                      <w:lang w:val="en-US" w:eastAsia="zh-CN"/>
                    </w:rPr>
                    <w:t>名称</w:t>
                  </w:r>
                </w:p>
              </w:tc>
              <w:tc>
                <w:tcPr>
                  <w:tcW w:w="3200" w:type="dxa"/>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rFonts w:ascii="Times New Roman" w:cs="Times New Roman" w:hAnsi="Times New Roman"/>
                      <w:b/>
                      <w:sz w:val="21"/>
                      <w:szCs w:val="21"/>
                      <w:lang w:val="en-US" w:eastAsia="zh-CN"/>
                    </w:rPr>
                  </w:pPr>
                  <w:r>
                    <w:rPr>
                      <w:rFonts w:ascii="Times New Roman" w:cs="Times New Roman" w:hAnsi="Times New Roman"/>
                      <w:b/>
                      <w:sz w:val="21"/>
                      <w:szCs w:val="21"/>
                      <w:lang w:val="en-US" w:eastAsia="zh-CN"/>
                    </w:rPr>
                    <w:t>规格/型号</w:t>
                  </w:r>
                </w:p>
              </w:tc>
              <w:tc>
                <w:tcPr>
                  <w:tcW w:w="1125" w:type="dxa"/>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b/>
                      <w:sz w:val="21"/>
                      <w:szCs w:val="21"/>
                      <w:lang w:val="en-US" w:eastAsia="zh-CN"/>
                    </w:rPr>
                  </w:pPr>
                  <w:r>
                    <w:rPr>
                      <w:rFonts w:ascii="Times New Roman" w:eastAsia="宋体" w:cs="Times New Roman" w:hAnsi="Times New Roman"/>
                      <w:b/>
                      <w:sz w:val="21"/>
                      <w:szCs w:val="21"/>
                      <w:lang w:val="en-US" w:eastAsia="zh-CN"/>
                    </w:rPr>
                    <w:t>数量</w:t>
                  </w:r>
                </w:p>
              </w:tc>
              <w:tc>
                <w:tcPr>
                  <w:tcW w:w="1642" w:type="dxa"/>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b/>
                      <w:sz w:val="21"/>
                      <w:szCs w:val="21"/>
                      <w:lang w:val="en-US" w:eastAsia="zh-CN"/>
                    </w:rPr>
                  </w:pPr>
                  <w:r>
                    <w:rPr>
                      <w:rFonts w:ascii="Times New Roman" w:cs="Times New Roman" w:hAnsi="Times New Roman"/>
                      <w:b/>
                      <w:sz w:val="21"/>
                      <w:szCs w:val="21"/>
                      <w:lang w:val="en-US" w:eastAsia="zh-CN"/>
                    </w:rPr>
                    <w:t>备注</w:t>
                  </w:r>
                </w:p>
              </w:tc>
            </w:tr>
            <w:tr>
              <w:trPr>
                <w:trHeight w:val="397"/>
              </w:trPr>
              <w:tc>
                <w:tcPr>
                  <w:tcW w:w="671"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auto"/>
                      <w:sz w:val="21"/>
                      <w:szCs w:val="21"/>
                      <w:lang w:val="en-US" w:eastAsia="zh-CN"/>
                    </w:rPr>
                  </w:pPr>
                  <w:r>
                    <w:rPr>
                      <w:rFonts w:ascii="Times New Roman" w:cs="Times New Roman" w:hAnsi="Times New Roman"/>
                      <w:color w:val="auto"/>
                      <w:sz w:val="21"/>
                      <w:szCs w:val="21"/>
                      <w:lang w:val="en-US" w:eastAsia="zh-CN"/>
                    </w:rPr>
                    <w:t>1</w:t>
                  </w:r>
                </w:p>
              </w:tc>
              <w:tc>
                <w:tcPr>
                  <w:tcW w:w="2184"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highlight w:val="none"/>
                    </w:rPr>
                  </w:pPr>
                  <w:r>
                    <w:rPr>
                      <w:rFonts w:ascii="Times New Roman" w:eastAsia="宋体" w:cs="Times New Roman" w:hAnsi="Times New Roman"/>
                      <w:color w:val="000000"/>
                      <w:sz w:val="21"/>
                      <w:szCs w:val="21"/>
                      <w:lang w:val="en-US" w:eastAsia="zh-CN"/>
                      <w:highlight w:val="none"/>
                    </w:rPr>
                    <w:t>E92#、E95#汽油罐</w:t>
                  </w:r>
                </w:p>
              </w:tc>
              <w:tc>
                <w:tcPr>
                  <w:tcW w:w="3200"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color w:val="auto"/>
                      <w:kern w:val="2"/>
                      <w:sz w:val="21"/>
                      <w:szCs w:val="21"/>
                      <w:lang w:val="en-US" w:eastAsia="zh-CN" w:bidi="ar-SA"/>
                    </w:rPr>
                    <w:t>卧式SF双层、30m</w:t>
                  </w:r>
                  <w:r>
                    <w:rPr>
                      <w:rFonts w:ascii="Times New Roman" w:eastAsia="宋体" w:cs="Times New Roman" w:hAnsi="Times New Roman"/>
                      <w:color w:val="auto"/>
                      <w:kern w:val="2"/>
                      <w:sz w:val="21"/>
                      <w:szCs w:val="21"/>
                      <w:vertAlign w:val="superscript"/>
                      <w:lang w:val="en-US" w:eastAsia="zh-CN" w:bidi="ar-SA"/>
                    </w:rPr>
                    <w:t>3</w:t>
                  </w:r>
                  <w:r>
                    <w:rPr>
                      <w:rFonts w:ascii="Times New Roman" w:eastAsia="宋体" w:cs="Times New Roman" w:hAnsi="Times New Roman"/>
                      <w:color w:val="auto"/>
                      <w:kern w:val="2"/>
                      <w:sz w:val="21"/>
                      <w:szCs w:val="21"/>
                      <w:lang w:val="en-US" w:eastAsia="zh-CN" w:bidi="ar-SA"/>
                    </w:rPr>
                    <w:t>.Φ2600×6200</w:t>
                  </w:r>
                </w:p>
              </w:tc>
              <w:tc>
                <w:tcPr>
                  <w:tcW w:w="1125"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Cs/>
                      <w:kern w:val="2"/>
                      <w:sz w:val="21"/>
                      <w:szCs w:val="21"/>
                      <w:lang w:val="en-US" w:eastAsia="zh-CN" w:bidi="ar-SA"/>
                    </w:rPr>
                  </w:pPr>
                  <w:r>
                    <w:rPr>
                      <w:rFonts w:ascii="Times New Roman" w:cs="Times New Roman" w:hAnsi="Times New Roman"/>
                      <w:bCs/>
                      <w:sz w:val="21"/>
                      <w:szCs w:val="21"/>
                      <w:lang w:val="en-US" w:eastAsia="zh-CN"/>
                    </w:rPr>
                    <w:t>2个</w:t>
                  </w:r>
                </w:p>
              </w:tc>
              <w:tc>
                <w:tcPr>
                  <w:tcW w:w="1642"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bCs/>
                      <w:sz w:val="21"/>
                      <w:szCs w:val="21"/>
                      <w:lang w:val="en-US" w:eastAsia="zh-CN"/>
                      <w:highlight w:val="red"/>
                    </w:rPr>
                  </w:pPr>
                  <w:r>
                    <w:rPr>
                      <w:rFonts w:ascii="Times New Roman" w:cs="Times New Roman" w:hAnsi="Times New Roman"/>
                      <w:color w:val="000000"/>
                      <w:sz w:val="21"/>
                      <w:szCs w:val="21"/>
                      <w:lang w:val="en-US" w:eastAsia="zh-CN"/>
                      <w:highlight w:val="none"/>
                    </w:rPr>
                    <w:t>新建</w:t>
                  </w:r>
                </w:p>
              </w:tc>
            </w:tr>
            <w:tr>
              <w:trPr>
                <w:trHeight w:val="397"/>
              </w:trPr>
              <w:tc>
                <w:tcPr>
                  <w:tcW w:w="671" w:type="dxa"/>
                  <w:tcBorders>
                    <w:tl2br w:val="nil"/>
                    <w:tr2bl w:val="nil"/>
                  </w:tcBorders>
                  <w:shd w:val="clear" w:color="auto" w:fill="auto"/>
                  <w:vAlign w:val="center"/>
                </w:tcPr>
                <w:p>
                  <w:pPr>
                    <w:pStyle w:val="15"/>
                    <w:keepNext w:val="0"/>
                    <w:keepLines w:val="0"/>
                    <w:suppressLineNumbers w:val="0"/>
                    <w:adjustRightInd w:val="0"/>
                    <w:snapToGrid w:val="0"/>
                    <w:spacing w:before="0" w:beforeAutospacing="0" w:after="0" w:afterAutospacing="0"/>
                    <w:ind w:left="0" w:right="0"/>
                    <w:jc w:val="center"/>
                    <w:rPr>
                      <w:rFonts w:ascii="Times New Roman" w:cs="Times New Roman" w:hAnsi="Times New Roman"/>
                      <w:color w:val="auto"/>
                      <w:sz w:val="21"/>
                      <w:szCs w:val="21"/>
                      <w:lang w:val="en-US" w:eastAsia="zh-CN"/>
                    </w:rPr>
                  </w:pPr>
                  <w:r>
                    <w:rPr>
                      <w:rFonts w:ascii="Times New Roman" w:cs="Times New Roman" w:hAnsi="Times New Roman"/>
                      <w:color w:val="000000"/>
                      <w:sz w:val="21"/>
                      <w:szCs w:val="21"/>
                      <w:lang w:val="en-US" w:eastAsia="zh-CN"/>
                    </w:rPr>
                    <w:t>2</w:t>
                  </w:r>
                </w:p>
              </w:tc>
              <w:tc>
                <w:tcPr>
                  <w:tcW w:w="2184"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highlight w:val="none"/>
                    </w:rPr>
                  </w:pPr>
                  <w:r>
                    <w:rPr>
                      <w:rFonts w:ascii="Times New Roman" w:cs="Times New Roman" w:hAnsi="Times New Roman" w:hint="eastAsia"/>
                      <w:color w:val="000000"/>
                      <w:sz w:val="21"/>
                      <w:szCs w:val="21"/>
                      <w:lang w:val="en-US" w:eastAsia="zh-CN"/>
                      <w:highlight w:val="none"/>
                    </w:rPr>
                    <w:t>柴</w:t>
                  </w:r>
                  <w:r>
                    <w:rPr>
                      <w:rFonts w:ascii="Times New Roman" w:eastAsia="宋体" w:cs="Times New Roman" w:hAnsi="Times New Roman" w:hint="eastAsia"/>
                      <w:color w:val="000000"/>
                      <w:sz w:val="21"/>
                      <w:szCs w:val="21"/>
                      <w:lang w:val="en-US" w:eastAsia="zh-CN"/>
                      <w:highlight w:val="none"/>
                    </w:rPr>
                    <w:t>油罐</w:t>
                  </w:r>
                </w:p>
              </w:tc>
              <w:tc>
                <w:tcPr>
                  <w:tcW w:w="3200"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color w:val="auto"/>
                      <w:kern w:val="2"/>
                      <w:sz w:val="21"/>
                      <w:szCs w:val="21"/>
                      <w:lang w:val="en-US" w:eastAsia="zh-CN" w:bidi="ar-SA"/>
                    </w:rPr>
                    <w:t>卧式SF双层、30m</w:t>
                  </w:r>
                  <w:r>
                    <w:rPr>
                      <w:rFonts w:ascii="Times New Roman" w:eastAsia="宋体" w:cs="Times New Roman" w:hAnsi="Times New Roman"/>
                      <w:color w:val="auto"/>
                      <w:kern w:val="2"/>
                      <w:sz w:val="21"/>
                      <w:szCs w:val="21"/>
                      <w:vertAlign w:val="superscript"/>
                      <w:lang w:val="en-US" w:eastAsia="zh-CN" w:bidi="ar-SA"/>
                    </w:rPr>
                    <w:t>3</w:t>
                  </w:r>
                  <w:r>
                    <w:rPr>
                      <w:rFonts w:ascii="Times New Roman" w:cs="Times New Roman" w:hAnsi="Times New Roman" w:hint="eastAsia"/>
                      <w:color w:val="auto"/>
                      <w:kern w:val="2"/>
                      <w:sz w:val="21"/>
                      <w:szCs w:val="21"/>
                      <w:vertAlign w:val="baseline"/>
                      <w:lang w:val="en-US" w:eastAsia="zh-CN" w:bidi="ar-SA"/>
                    </w:rPr>
                    <w:t xml:space="preserve"> </w:t>
                  </w:r>
                  <w:r>
                    <w:rPr>
                      <w:rFonts w:ascii="Times New Roman" w:eastAsia="宋体" w:cs="Times New Roman" w:hAnsi="Times New Roman"/>
                      <w:color w:val="auto"/>
                      <w:kern w:val="2"/>
                      <w:sz w:val="21"/>
                      <w:szCs w:val="21"/>
                      <w:lang w:val="en-US" w:eastAsia="zh-CN" w:bidi="ar-SA"/>
                    </w:rPr>
                    <w:t>Φ2600×6200</w:t>
                  </w:r>
                </w:p>
              </w:tc>
              <w:tc>
                <w:tcPr>
                  <w:tcW w:w="1125"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auto"/>
                      <w:kern w:val="2"/>
                      <w:sz w:val="21"/>
                      <w:szCs w:val="21"/>
                      <w:lang w:val="en-US" w:eastAsia="zh-CN" w:bidi="ar-SA"/>
                    </w:rPr>
                  </w:pPr>
                  <w:r>
                    <w:rPr>
                      <w:rFonts w:ascii="Times New Roman" w:cs="Times New Roman" w:hAnsi="Times New Roman"/>
                      <w:bCs/>
                      <w:sz w:val="21"/>
                      <w:szCs w:val="21"/>
                      <w:lang w:val="en-US" w:eastAsia="zh-CN"/>
                    </w:rPr>
                    <w:t>2个</w:t>
                  </w:r>
                </w:p>
              </w:tc>
              <w:tc>
                <w:tcPr>
                  <w:tcW w:w="1642"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Cs/>
                      <w:kern w:val="2"/>
                      <w:sz w:val="21"/>
                      <w:szCs w:val="21"/>
                      <w:lang w:val="en-US" w:eastAsia="zh-CN" w:bidi="ar-SA"/>
                      <w:highlight w:val="red"/>
                    </w:rPr>
                  </w:pPr>
                  <w:r>
                    <w:rPr>
                      <w:rFonts w:ascii="Times New Roman" w:cs="Times New Roman" w:hAnsi="Times New Roman"/>
                      <w:color w:val="000000"/>
                      <w:sz w:val="21"/>
                      <w:szCs w:val="21"/>
                      <w:lang w:val="en-US" w:eastAsia="zh-CN"/>
                      <w:highlight w:val="none"/>
                    </w:rPr>
                    <w:t>新建</w:t>
                  </w:r>
                </w:p>
              </w:tc>
            </w:tr>
            <w:tr>
              <w:trPr>
                <w:trHeight w:val="397"/>
              </w:trPr>
              <w:tc>
                <w:tcPr>
                  <w:tcW w:w="671" w:type="dxa"/>
                  <w:tcBorders>
                    <w:tl2br w:val="nil"/>
                    <w:tr2bl w:val="nil"/>
                  </w:tcBorders>
                  <w:shd w:val="clear" w:color="auto" w:fill="auto"/>
                  <w:vAlign w:val="center"/>
                </w:tcPr>
                <w:p>
                  <w:pPr>
                    <w:pStyle w:val="15"/>
                    <w:keepNext w:val="0"/>
                    <w:keepLines w:val="0"/>
                    <w:suppressLineNumbers w:val="0"/>
                    <w:adjustRightInd w:val="0"/>
                    <w:snapToGrid w:val="0"/>
                    <w:spacing w:before="0" w:beforeAutospacing="0" w:after="0" w:afterAutospacing="0"/>
                    <w:ind w:left="0" w:right="0"/>
                    <w:jc w:val="center"/>
                    <w:rPr>
                      <w:rFonts w:ascii="Times New Roman" w:cs="Times New Roman" w:hAnsi="Times New Roman"/>
                      <w:color w:val="auto"/>
                      <w:sz w:val="21"/>
                      <w:szCs w:val="21"/>
                      <w:lang w:val="en-US" w:eastAsia="zh-CN"/>
                    </w:rPr>
                  </w:pPr>
                  <w:r>
                    <w:rPr>
                      <w:rFonts w:ascii="Times New Roman" w:cs="Times New Roman" w:hAnsi="Times New Roman"/>
                      <w:color w:val="000000"/>
                      <w:sz w:val="21"/>
                      <w:szCs w:val="21"/>
                      <w:lang w:val="en-US" w:eastAsia="zh-CN"/>
                    </w:rPr>
                    <w:t>3</w:t>
                  </w:r>
                </w:p>
              </w:tc>
              <w:tc>
                <w:tcPr>
                  <w:tcW w:w="2184"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color w:val="000000"/>
                      <w:sz w:val="21"/>
                      <w:szCs w:val="21"/>
                      <w:lang w:val="en-US" w:eastAsia="zh-CN"/>
                      <w:highlight w:val="none"/>
                    </w:rPr>
                    <w:t>加油机</w:t>
                  </w:r>
                </w:p>
              </w:tc>
              <w:tc>
                <w:tcPr>
                  <w:tcW w:w="3200"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hint="eastAsia"/>
                      <w:color w:val="000000"/>
                      <w:sz w:val="21"/>
                      <w:szCs w:val="21"/>
                      <w:lang w:val="en-US" w:eastAsia="zh-CN"/>
                      <w:highlight w:val="none"/>
                    </w:rPr>
                    <w:t>双枪自吸式</w:t>
                  </w:r>
                </w:p>
              </w:tc>
              <w:tc>
                <w:tcPr>
                  <w:tcW w:w="1125"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hint="eastAsia"/>
                      <w:bCs/>
                      <w:sz w:val="21"/>
                      <w:szCs w:val="21"/>
                      <w:lang w:val="en-US" w:eastAsia="zh-CN"/>
                      <w:highlight w:val="none"/>
                    </w:rPr>
                    <w:t>6</w:t>
                  </w:r>
                  <w:r>
                    <w:rPr>
                      <w:rFonts w:ascii="Times New Roman" w:cs="Times New Roman" w:hAnsi="Times New Roman"/>
                      <w:bCs/>
                      <w:sz w:val="21"/>
                      <w:szCs w:val="21"/>
                      <w:lang w:val="en-US" w:eastAsia="zh-CN"/>
                      <w:highlight w:val="none"/>
                    </w:rPr>
                    <w:t>台</w:t>
                  </w:r>
                </w:p>
              </w:tc>
              <w:tc>
                <w:tcPr>
                  <w:tcW w:w="164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color w:val="000000"/>
                      <w:sz w:val="21"/>
                      <w:szCs w:val="21"/>
                      <w:lang w:val="en-US" w:eastAsia="zh-CN"/>
                      <w:highlight w:val="none"/>
                    </w:rPr>
                    <w:t>新建</w:t>
                  </w:r>
                  <w:r>
                    <w:rPr>
                      <w:rFonts w:ascii="Times New Roman" w:cs="Times New Roman" w:hAnsi="Times New Roman" w:hint="eastAsia"/>
                      <w:color w:val="000000"/>
                      <w:sz w:val="21"/>
                      <w:szCs w:val="21"/>
                      <w:lang w:val="en-US" w:eastAsia="zh-CN"/>
                      <w:highlight w:val="none"/>
                    </w:rPr>
                    <w:t>（汽油2台，柴油4台）</w:t>
                  </w:r>
                </w:p>
              </w:tc>
            </w:tr>
            <w:tr>
              <w:trPr>
                <w:trHeight w:val="397"/>
              </w:trPr>
              <w:tc>
                <w:tcPr>
                  <w:tcW w:w="671" w:type="dxa"/>
                  <w:tcBorders>
                    <w:tl2br w:val="nil"/>
                    <w:tr2bl w:val="nil"/>
                  </w:tcBorders>
                  <w:shd w:val="clear" w:color="auto" w:fill="auto"/>
                  <w:vAlign w:val="center"/>
                </w:tcPr>
                <w:p>
                  <w:pPr>
                    <w:pStyle w:val="15"/>
                    <w:keepNext w:val="0"/>
                    <w:keepLines w:val="0"/>
                    <w:suppressLineNumbers w:val="0"/>
                    <w:adjustRightInd w:val="0"/>
                    <w:snapToGrid w:val="0"/>
                    <w:spacing w:before="0" w:beforeAutospacing="0" w:after="0" w:afterAutospacing="0"/>
                    <w:ind w:left="0" w:right="0"/>
                    <w:jc w:val="center"/>
                    <w:rPr>
                      <w:rFonts w:ascii="Times New Roman" w:cs="Times New Roman" w:hAnsi="Times New Roman"/>
                      <w:color w:val="000000"/>
                      <w:sz w:val="21"/>
                      <w:szCs w:val="21"/>
                      <w:lang w:val="en-US" w:eastAsia="zh-CN"/>
                    </w:rPr>
                  </w:pPr>
                  <w:r>
                    <w:rPr>
                      <w:rFonts w:ascii="Times New Roman" w:cs="Times New Roman" w:hAnsi="Times New Roman"/>
                      <w:color w:val="000000"/>
                      <w:sz w:val="21"/>
                      <w:szCs w:val="21"/>
                      <w:lang w:val="en-US" w:eastAsia="zh-CN"/>
                    </w:rPr>
                    <w:t>4</w:t>
                  </w:r>
                </w:p>
              </w:tc>
              <w:tc>
                <w:tcPr>
                  <w:tcW w:w="2184"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jc w:val="center"/>
                    <w:rPr>
                      <w:rFonts w:ascii="Times New Roman" w:cs="Times New Roman" w:hAnsi="Times New Roman"/>
                      <w:color w:val="000000"/>
                      <w:sz w:val="21"/>
                      <w:szCs w:val="21"/>
                      <w:lang w:val="en-US" w:eastAsia="zh-CN"/>
                      <w:highlight w:val="none"/>
                    </w:rPr>
                  </w:pPr>
                  <w:r>
                    <w:rPr>
                      <w:rFonts w:ascii="Times New Roman" w:cs="Times New Roman" w:hAnsi="Times New Roman"/>
                      <w:color w:val="000000"/>
                      <w:sz w:val="21"/>
                      <w:szCs w:val="21"/>
                      <w:lang w:val="en-US" w:eastAsia="zh-CN"/>
                      <w:highlight w:val="none"/>
                    </w:rPr>
                    <w:t>一次油气回收管道</w:t>
                  </w:r>
                </w:p>
              </w:tc>
              <w:tc>
                <w:tcPr>
                  <w:tcW w:w="3200"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color w:val="000000"/>
                      <w:sz w:val="21"/>
                      <w:szCs w:val="21"/>
                      <w:lang w:val="en-US" w:eastAsia="zh-CN"/>
                      <w:highlight w:val="none"/>
                    </w:rPr>
                  </w:pPr>
                  <w:r>
                    <w:rPr>
                      <w:rFonts w:ascii="Times New Roman" w:cs="Times New Roman" w:hAnsi="Times New Roman"/>
                      <w:color w:val="000000"/>
                      <w:sz w:val="21"/>
                      <w:szCs w:val="21"/>
                      <w:lang w:val="en-US" w:eastAsia="zh-CN"/>
                      <w:highlight w:val="none"/>
                    </w:rPr>
                    <w:t>DN100地面下复合管</w:t>
                  </w:r>
                </w:p>
              </w:tc>
              <w:tc>
                <w:tcPr>
                  <w:tcW w:w="1125"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bCs/>
                      <w:sz w:val="21"/>
                      <w:szCs w:val="21"/>
                      <w:lang w:val="en-US" w:eastAsia="zh-CN"/>
                      <w:highlight w:val="none"/>
                    </w:rPr>
                  </w:pPr>
                  <w:r>
                    <w:rPr>
                      <w:rFonts w:ascii="Times New Roman" w:cs="Times New Roman" w:hAnsi="Times New Roman" w:hint="eastAsia"/>
                      <w:bCs/>
                      <w:sz w:val="21"/>
                      <w:szCs w:val="21"/>
                      <w:lang w:val="en-US" w:eastAsia="zh-CN"/>
                      <w:highlight w:val="none"/>
                    </w:rPr>
                    <w:t>1套</w:t>
                  </w:r>
                </w:p>
              </w:tc>
              <w:tc>
                <w:tcPr>
                  <w:tcW w:w="164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000000"/>
                      <w:sz w:val="21"/>
                      <w:szCs w:val="21"/>
                      <w:lang w:val="en-US" w:eastAsia="zh-CN"/>
                      <w:highlight w:val="none"/>
                    </w:rPr>
                  </w:pPr>
                  <w:r>
                    <w:rPr>
                      <w:rFonts w:ascii="Times New Roman" w:cs="Times New Roman" w:hAnsi="Times New Roman"/>
                      <w:color w:val="000000"/>
                      <w:sz w:val="21"/>
                      <w:szCs w:val="21"/>
                      <w:lang w:val="en-US" w:eastAsia="zh-CN"/>
                      <w:highlight w:val="none"/>
                    </w:rPr>
                    <w:t>新建</w:t>
                  </w:r>
                </w:p>
              </w:tc>
            </w:tr>
            <w:tr>
              <w:trPr>
                <w:trHeight w:val="397"/>
              </w:trPr>
              <w:tc>
                <w:tcPr>
                  <w:tcW w:w="671"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auto"/>
                      <w:sz w:val="21"/>
                      <w:szCs w:val="21"/>
                      <w:lang w:val="en-US" w:eastAsia="zh-CN"/>
                    </w:rPr>
                  </w:pPr>
                  <w:r>
                    <w:rPr>
                      <w:rFonts w:ascii="Times New Roman" w:cs="Times New Roman" w:hAnsi="Times New Roman"/>
                      <w:color w:val="auto"/>
                      <w:sz w:val="21"/>
                      <w:szCs w:val="21"/>
                      <w:lang w:val="en-US" w:eastAsia="zh-CN"/>
                    </w:rPr>
                    <w:t>5</w:t>
                  </w:r>
                </w:p>
              </w:tc>
              <w:tc>
                <w:tcPr>
                  <w:tcW w:w="2184"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auto"/>
                      <w:kern w:val="2"/>
                      <w:sz w:val="21"/>
                      <w:szCs w:val="21"/>
                      <w:lang w:val="en-US" w:eastAsia="zh-CN" w:bidi="ar-SA"/>
                    </w:rPr>
                  </w:pPr>
                  <w:r>
                    <w:rPr>
                      <w:rFonts w:ascii="Times New Roman" w:cs="Times New Roman" w:hAnsi="Times New Roman"/>
                      <w:color w:val="000000"/>
                      <w:sz w:val="21"/>
                      <w:szCs w:val="21"/>
                      <w:lang w:val="en-US" w:eastAsia="zh-CN"/>
                      <w:highlight w:val="none"/>
                    </w:rPr>
                    <w:t>二次油气回收管道</w:t>
                  </w:r>
                </w:p>
              </w:tc>
              <w:tc>
                <w:tcPr>
                  <w:tcW w:w="3200"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auto"/>
                      <w:kern w:val="2"/>
                      <w:sz w:val="21"/>
                      <w:szCs w:val="21"/>
                      <w:lang w:val="en-US" w:eastAsia="zh-CN" w:bidi="ar-SA"/>
                    </w:rPr>
                  </w:pPr>
                  <w:r>
                    <w:rPr>
                      <w:rFonts w:ascii="Times New Roman" w:cs="Times New Roman" w:hAnsi="Times New Roman"/>
                      <w:color w:val="000000"/>
                      <w:sz w:val="21"/>
                      <w:szCs w:val="21"/>
                      <w:lang w:val="en-US" w:eastAsia="zh-CN"/>
                      <w:highlight w:val="none"/>
                    </w:rPr>
                    <w:t>DN100地面下复合管</w:t>
                  </w:r>
                </w:p>
              </w:tc>
              <w:tc>
                <w:tcPr>
                  <w:tcW w:w="1125"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auto"/>
                      <w:kern w:val="2"/>
                      <w:sz w:val="21"/>
                      <w:szCs w:val="21"/>
                      <w:lang w:val="en-US" w:eastAsia="zh-CN" w:bidi="ar-SA"/>
                    </w:rPr>
                  </w:pPr>
                  <w:r>
                    <w:rPr>
                      <w:rFonts w:ascii="Times New Roman" w:cs="Times New Roman" w:hAnsi="Times New Roman" w:hint="eastAsia"/>
                      <w:color w:val="auto"/>
                      <w:kern w:val="2"/>
                      <w:sz w:val="21"/>
                      <w:szCs w:val="21"/>
                      <w:lang w:val="en-US" w:eastAsia="zh-CN" w:bidi="ar-SA"/>
                    </w:rPr>
                    <w:t>1套</w:t>
                  </w:r>
                </w:p>
              </w:tc>
              <w:tc>
                <w:tcPr>
                  <w:tcW w:w="164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auto"/>
                      <w:kern w:val="2"/>
                      <w:sz w:val="21"/>
                      <w:szCs w:val="21"/>
                      <w:lang w:val="en-US" w:eastAsia="zh-CN" w:bidi="ar-SA"/>
                      <w:highlight w:val="red"/>
                    </w:rPr>
                  </w:pPr>
                  <w:r>
                    <w:rPr>
                      <w:rFonts w:ascii="Times New Roman" w:cs="Times New Roman" w:hAnsi="Times New Roman"/>
                      <w:color w:val="000000"/>
                      <w:sz w:val="21"/>
                      <w:szCs w:val="21"/>
                      <w:lang w:val="en-US" w:eastAsia="zh-CN"/>
                      <w:highlight w:val="none"/>
                    </w:rPr>
                    <w:t>新建</w:t>
                  </w:r>
                </w:p>
              </w:tc>
            </w:tr>
            <w:tr>
              <w:trPr>
                <w:trHeight w:val="397"/>
              </w:trPr>
              <w:tc>
                <w:tcPr>
                  <w:tcW w:w="671"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auto"/>
                      <w:sz w:val="21"/>
                      <w:szCs w:val="21"/>
                      <w:lang w:val="en-US" w:eastAsia="zh-CN"/>
                    </w:rPr>
                  </w:pPr>
                  <w:r>
                    <w:rPr>
                      <w:rFonts w:ascii="Times New Roman" w:cs="Times New Roman" w:hAnsi="Times New Roman" w:hint="eastAsia"/>
                      <w:color w:val="auto"/>
                      <w:sz w:val="21"/>
                      <w:szCs w:val="21"/>
                      <w:lang w:val="en-US" w:eastAsia="zh-CN"/>
                    </w:rPr>
                    <w:t>6</w:t>
                  </w:r>
                </w:p>
              </w:tc>
              <w:tc>
                <w:tcPr>
                  <w:tcW w:w="2184"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jc w:val="center"/>
                    <w:rPr>
                      <w:rFonts w:ascii="Times New Roman" w:cs="Times New Roman" w:hAnsi="Times New Roman"/>
                      <w:color w:val="000000"/>
                      <w:sz w:val="21"/>
                      <w:szCs w:val="21"/>
                      <w:lang w:val="en-US" w:eastAsia="zh-CN"/>
                      <w:highlight w:val="none"/>
                    </w:rPr>
                  </w:pPr>
                  <w:r>
                    <w:rPr>
                      <w:rFonts w:ascii="Times New Roman" w:cs="Times New Roman" w:hAnsi="Times New Roman" w:hint="eastAsia"/>
                      <w:color w:val="000000"/>
                      <w:sz w:val="21"/>
                      <w:szCs w:val="21"/>
                      <w:lang w:val="en-US" w:eastAsia="zh-CN"/>
                      <w:highlight w:val="none"/>
                    </w:rPr>
                    <w:t>油气回收装置</w:t>
                  </w:r>
                </w:p>
              </w:tc>
              <w:tc>
                <w:tcPr>
                  <w:tcW w:w="3200"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color w:val="000000"/>
                      <w:sz w:val="21"/>
                      <w:szCs w:val="21"/>
                      <w:lang w:val="en-US" w:eastAsia="zh-CN"/>
                      <w:highlight w:val="none"/>
                    </w:rPr>
                  </w:pPr>
                  <w:r>
                    <w:rPr>
                      <w:rFonts w:ascii="Times New Roman" w:cs="Times New Roman" w:hAnsi="Times New Roman" w:hint="eastAsia"/>
                      <w:color w:val="000000"/>
                      <w:sz w:val="21"/>
                      <w:szCs w:val="21"/>
                      <w:u w:val="single"/>
                      <w:lang w:val="en-US" w:eastAsia="zh-CN"/>
                      <w:highlight w:val="none"/>
                    </w:rPr>
                    <w:t>冷凝</w:t>
                  </w:r>
                </w:p>
              </w:tc>
              <w:tc>
                <w:tcPr>
                  <w:tcW w:w="1125"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cs="Times New Roman"/>
                      <w:color w:val="auto"/>
                      <w:kern w:val="2"/>
                      <w:sz w:val="21"/>
                      <w:szCs w:val="21"/>
                      <w:lang w:val="en-US" w:eastAsia="zh-CN" w:bidi="ar-SA"/>
                    </w:rPr>
                  </w:pPr>
                  <w:r>
                    <w:rPr>
                      <w:rFonts w:ascii="Times New Roman" w:cs="Times New Roman" w:hAnsi="Times New Roman" w:hint="eastAsia"/>
                      <w:color w:val="auto"/>
                      <w:kern w:val="2"/>
                      <w:sz w:val="21"/>
                      <w:szCs w:val="21"/>
                      <w:lang w:val="en-US" w:eastAsia="zh-CN" w:bidi="ar-SA"/>
                    </w:rPr>
                    <w:t>1套</w:t>
                  </w:r>
                </w:p>
              </w:tc>
              <w:tc>
                <w:tcPr>
                  <w:tcW w:w="164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000000"/>
                      <w:sz w:val="21"/>
                      <w:szCs w:val="21"/>
                      <w:lang w:val="en-US" w:eastAsia="zh-CN"/>
                      <w:highlight w:val="none"/>
                    </w:rPr>
                  </w:pPr>
                  <w:r>
                    <w:rPr>
                      <w:rFonts w:ascii="Times New Roman" w:cs="Times New Roman" w:hAnsi="Times New Roman" w:hint="eastAsia"/>
                      <w:color w:val="000000"/>
                      <w:sz w:val="21"/>
                      <w:szCs w:val="21"/>
                      <w:lang w:val="en-US" w:eastAsia="zh-CN"/>
                      <w:highlight w:val="none"/>
                    </w:rPr>
                    <w:t>新建</w:t>
                  </w:r>
                </w:p>
              </w:tc>
            </w:tr>
            <w:tr>
              <w:trPr>
                <w:trHeight w:val="397"/>
              </w:trPr>
              <w:tc>
                <w:tcPr>
                  <w:tcW w:w="671"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auto"/>
                      <w:sz w:val="21"/>
                      <w:szCs w:val="21"/>
                      <w:lang w:val="en-US" w:eastAsia="zh-CN"/>
                    </w:rPr>
                  </w:pPr>
                  <w:r>
                    <w:rPr>
                      <w:rFonts w:ascii="Times New Roman" w:cs="Times New Roman" w:hAnsi="Times New Roman" w:hint="eastAsia"/>
                      <w:color w:val="auto"/>
                      <w:sz w:val="21"/>
                      <w:szCs w:val="21"/>
                      <w:lang w:val="en-US" w:eastAsia="zh-CN"/>
                    </w:rPr>
                    <w:t>7</w:t>
                  </w:r>
                </w:p>
              </w:tc>
              <w:tc>
                <w:tcPr>
                  <w:tcW w:w="2184" w:type="dxa"/>
                  <w:tcBorders>
                    <w:tl2br w:val="nil"/>
                    <w:tr2bl w:val="nil"/>
                  </w:tcBorders>
                  <w:shd w:val="clear" w:color="auto" w:fill="auto"/>
                  <w:vAlign w:val="center"/>
                </w:tcPr>
                <w:p>
                  <w:pPr>
                    <w:keepNext w:val="0"/>
                    <w:keepLines w:val="0"/>
                    <w:suppressLineNumbers w:val="0"/>
                    <w:spacing w:before="0" w:beforeAutospacing="0" w:after="0" w:afterAutospacing="0" w:line="240" w:lineRule="auto"/>
                    <w:ind w:left="0" w:right="0"/>
                    <w:jc w:val="center"/>
                    <w:rPr>
                      <w:rFonts w:cs="Times New Roman"/>
                      <w:color w:val="000000"/>
                      <w:sz w:val="21"/>
                      <w:szCs w:val="21"/>
                      <w:lang w:val="en-US" w:eastAsia="zh-CN"/>
                      <w:highlight w:val="none"/>
                    </w:rPr>
                  </w:pPr>
                  <w:r>
                    <w:rPr>
                      <w:rFonts w:ascii="Times New Roman" w:cs="Times New Roman" w:hAnsi="Times New Roman" w:hint="eastAsia"/>
                      <w:color w:val="000000"/>
                      <w:sz w:val="21"/>
                      <w:szCs w:val="21"/>
                      <w:lang w:val="en-US" w:eastAsia="zh-CN"/>
                      <w:highlight w:val="none"/>
                    </w:rPr>
                    <w:t>充电设备</w:t>
                  </w:r>
                </w:p>
              </w:tc>
              <w:tc>
                <w:tcPr>
                  <w:tcW w:w="3200"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cs="Times New Roman"/>
                      <w:color w:val="000000"/>
                      <w:sz w:val="21"/>
                      <w:szCs w:val="21"/>
                      <w:lang w:val="en-US" w:eastAsia="zh-CN"/>
                      <w:highlight w:val="none"/>
                    </w:rPr>
                  </w:pPr>
                  <w:r>
                    <w:rPr>
                      <w:rFonts w:ascii="Times New Roman" w:cs="Times New Roman" w:hAnsi="Times New Roman" w:hint="eastAsia"/>
                      <w:color w:val="000000"/>
                      <w:sz w:val="21"/>
                      <w:szCs w:val="21"/>
                      <w:lang w:val="en-US" w:eastAsia="zh-CN"/>
                      <w:highlight w:val="none"/>
                    </w:rPr>
                    <w:t>双枪</w:t>
                  </w:r>
                </w:p>
              </w:tc>
              <w:tc>
                <w:tcPr>
                  <w:tcW w:w="1125" w:type="dxa"/>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cs="Times New Roman"/>
                      <w:color w:val="auto"/>
                      <w:kern w:val="2"/>
                      <w:sz w:val="21"/>
                      <w:szCs w:val="21"/>
                      <w:lang w:val="en-US" w:eastAsia="zh-CN" w:bidi="ar-SA"/>
                    </w:rPr>
                  </w:pPr>
                  <w:r>
                    <w:rPr>
                      <w:rFonts w:ascii="Times New Roman" w:cs="Times New Roman" w:hAnsi="Times New Roman" w:hint="eastAsia"/>
                      <w:color w:val="auto"/>
                      <w:kern w:val="2"/>
                      <w:sz w:val="21"/>
                      <w:szCs w:val="21"/>
                      <w:lang w:val="en-US" w:eastAsia="zh-CN" w:bidi="ar-SA"/>
                    </w:rPr>
                    <w:t>2台</w:t>
                  </w:r>
                </w:p>
              </w:tc>
              <w:tc>
                <w:tcPr>
                  <w:tcW w:w="164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highlight w:val="none"/>
                    </w:rPr>
                  </w:pPr>
                  <w:r>
                    <w:rPr>
                      <w:rFonts w:ascii="Times New Roman" w:cs="Times New Roman" w:hAnsi="Times New Roman" w:hint="eastAsia"/>
                      <w:color w:val="000000"/>
                      <w:sz w:val="21"/>
                      <w:szCs w:val="21"/>
                      <w:lang w:val="en-US" w:eastAsia="zh-CN"/>
                      <w:highlight w:val="none"/>
                    </w:rPr>
                    <w:t>新建</w:t>
                  </w:r>
                </w:p>
              </w:tc>
            </w:tr>
            <w:tr>
              <w:trPr>
                <w:trHeight w:val="397"/>
              </w:trPr>
              <w:tc>
                <w:tcPr>
                  <w:tcW w:w="8822" w:type="dxa"/>
                  <w:gridSpan w:val="5"/>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highlight w:val="none"/>
                    </w:rPr>
                  </w:pPr>
                  <w:r>
                    <w:rPr>
                      <w:rFonts w:ascii="Times New Roman" w:cs="Times New Roman" w:hAnsi="Times New Roman" w:hint="eastAsia"/>
                      <w:color w:val="000000"/>
                      <w:sz w:val="21"/>
                      <w:szCs w:val="21"/>
                      <w:u w:val="single"/>
                      <w:lang w:val="en-US" w:eastAsia="zh-CN"/>
                      <w:highlight w:val="none"/>
                    </w:rPr>
                    <w:t>注：埋地油罐设置远传记录和高、低液位报警功能的液位计并设置防渗漏检测仪，其渗漏检测分辨率不大于 0.8L/h。</w:t>
                  </w:r>
                </w:p>
              </w:tc>
            </w:tr>
          </w:tbl>
          <w:p>
            <w:pPr>
              <w:keepNext w:val="0"/>
              <w:keepLines w:val="0"/>
              <w:suppressLineNumbers w:val="0"/>
              <w:adjustRightInd w:val="0"/>
              <w:snapToGrid w:val="0"/>
              <w:spacing w:before="0" w:beforeAutospacing="0" w:after="0" w:afterAutospacing="0" w:line="440" w:lineRule="exact"/>
              <w:ind w:left="0" w:right="0" w:firstLineChars="211" w:firstLine="509"/>
              <w:textAlignment w:val="baseline"/>
              <w:rPr>
                <w:rFonts w:ascii="宋体" w:hAnsi="宋体"/>
                <w:b/>
                <w:sz w:val="24"/>
              </w:rPr>
            </w:pPr>
            <w:r>
              <w:rPr>
                <w:rFonts w:ascii="Times New Roman" w:cs="Times New Roman" w:hAnsi="Times New Roman" w:hint="eastAsia"/>
                <w:b/>
                <w:sz w:val="24"/>
                <w:szCs w:val="20"/>
                <w:lang w:val="en-US" w:eastAsia="zh-CN"/>
              </w:rPr>
              <w:t>5</w:t>
            </w:r>
            <w:r>
              <w:rPr>
                <w:rFonts w:ascii="宋体" w:cs="Times New Roman" w:hAnsi="宋体"/>
                <w:b/>
                <w:sz w:val="24"/>
                <w:szCs w:val="20"/>
              </w:rPr>
              <w:t>、</w:t>
            </w:r>
            <w:r>
              <w:rPr>
                <w:rFonts w:ascii="宋体" w:cs="Times New Roman" w:hAnsi="宋体" w:hint="eastAsia"/>
                <w:b/>
                <w:sz w:val="24"/>
                <w:szCs w:val="20"/>
              </w:rPr>
              <w:t>本项目主要原辅材料消耗量</w:t>
            </w:r>
          </w:p>
          <w:p>
            <w:pPr>
              <w:pStyle w:val="51"/>
              <w:keepNext w:val="0"/>
              <w:keepLines w:val="0"/>
              <w:suppressLineNumbers w:val="0"/>
              <w:spacing w:before="0" w:beforeAutospacing="0" w:after="0" w:afterAutospacing="0" w:line="440" w:lineRule="exact"/>
              <w:ind w:left="0" w:right="0" w:firstLineChars="200" w:firstLine="480"/>
              <w:rPr>
                <w:rFonts w:ascii="Times New Roman" w:cs="Times New Roman" w:hAnsi="Times New Roman" w:hint="eastAsia"/>
                <w:b/>
                <w:bCs/>
                <w:color w:val="auto"/>
                <w:sz w:val="24"/>
                <w:szCs w:val="24"/>
                <w:lang w:val="en-US" w:eastAsia="zh-CN"/>
              </w:rPr>
            </w:pPr>
            <w:r>
              <w:rPr>
                <w:rFonts w:ascii="Times New Roman" w:cs="Times New Roman" w:hAnsi="Times New Roman" w:hint="eastAsia"/>
                <w:color w:val="auto"/>
                <w:sz w:val="24"/>
                <w:szCs w:val="24"/>
                <w:lang w:val="en-US" w:eastAsia="zh-CN"/>
                <w:highlight w:val="none"/>
              </w:rPr>
              <w:t>本项目原辅材料消耗见</w:t>
            </w:r>
            <w:r>
              <w:rPr>
                <w:rFonts w:ascii="Times New Roman" w:cs="Times New Roman" w:hAnsi="Times New Roman" w:hint="eastAsia"/>
                <w:color w:val="auto"/>
                <w:sz w:val="24"/>
                <w:szCs w:val="20"/>
                <w:lang w:val="en-US" w:eastAsia="zh-CN"/>
              </w:rPr>
              <w:t>下表</w:t>
            </w:r>
            <w:r>
              <w:rPr>
                <w:rFonts w:ascii="Times New Roman" w:cs="Times New Roman" w:hAnsi="Times New Roman" w:hint="eastAsia"/>
                <w:color w:val="auto"/>
                <w:sz w:val="24"/>
                <w:szCs w:val="20"/>
                <w:lang w:eastAsia="zh-CN"/>
              </w:rPr>
              <w:t>：</w:t>
            </w:r>
          </w:p>
          <w:p>
            <w:pPr>
              <w:pStyle w:val="75"/>
              <w:keepNext/>
              <w:keepLines w:val="0"/>
              <w:suppressLineNumbers w:val="0"/>
              <w:bidi w:val="0"/>
              <w:spacing w:before="0" w:beforeAutospacing="0" w:after="0" w:afterAutospacing="0"/>
              <w:ind w:left="0" w:right="0" w:firstLine="420"/>
              <w:rPr>
                <w:rFonts w:hint="eastAsia"/>
              </w:rPr>
            </w:pPr>
            <w:r>
              <w:rPr>
                <w:rFonts w:ascii="Times New Roman" w:cs="Times New Roman" w:hAnsi="Times New Roman" w:hint="eastAsia"/>
                <w:sz w:val="24"/>
                <w:szCs w:val="20"/>
                <w:lang w:val="en-US" w:eastAsia="zh-CN"/>
              </w:rPr>
              <w:t xml:space="preserve">  本项目原辅料消耗一览表</w:t>
            </w:r>
          </w:p>
          <w:tbl>
            <w:tblPr>
              <w:jc w:val="center"/>
              <w:tblW w:w="882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CellMar>
                <w:top w:w="0" w:type="dxa"/>
                <w:left w:w="108" w:type="dxa"/>
                <w:bottom w:w="0" w:type="dxa"/>
                <w:right w:w="108" w:type="dxa"/>
              </w:tblCellMar>
              <w:tblLook w:val="0600" w:firstRow="0" w:lastRow="0" w:firstColumn="0" w:lastColumn="0" w:noHBand="1" w:noVBand="1"/>
            </w:tblPr>
            <w:tblGrid>
              <w:gridCol w:w="1602"/>
              <w:gridCol w:w="1924"/>
              <w:gridCol w:w="825"/>
              <w:gridCol w:w="1721"/>
              <w:gridCol w:w="2753"/>
            </w:tblGrid>
            <w:tr>
              <w:trPr>
                <w:trHeight w:val="397"/>
              </w:trPr>
              <w:tc>
                <w:tcPr>
                  <w:tcW w:w="1602" w:type="dxa"/>
                  <w:tcBorders>
                    <w:bottom w:val="single" w:sz="4" w:space="0" w:color="auto"/>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color w:val="auto"/>
                      <w:sz w:val="21"/>
                      <w:szCs w:val="21"/>
                      <w:lang w:val="en-US" w:eastAsia="zh-CN"/>
                      <w:highlight w:val="none"/>
                    </w:rPr>
                  </w:pPr>
                  <w:r>
                    <w:rPr>
                      <w:rFonts w:ascii="Times New Roman" w:cs="Times New Roman" w:hAnsi="Times New Roman" w:hint="eastAsia"/>
                      <w:b/>
                      <w:bCs/>
                      <w:color w:val="auto"/>
                      <w:sz w:val="21"/>
                      <w:szCs w:val="21"/>
                      <w:lang w:val="en-US" w:eastAsia="zh-CN"/>
                      <w:highlight w:val="none"/>
                    </w:rPr>
                    <w:t>序号</w:t>
                  </w:r>
                </w:p>
              </w:tc>
              <w:tc>
                <w:tcPr>
                  <w:tcW w:w="1924" w:type="dxa"/>
                  <w:tcBorders>
                    <w:left w:val="single" w:sz="4" w:space="0" w:color="000000"/>
                    <w:bottom w:val="single" w:sz="4" w:space="0" w:color="auto"/>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b/>
                      <w:bCs/>
                      <w:color w:val="auto"/>
                      <w:sz w:val="21"/>
                      <w:szCs w:val="21"/>
                      <w:highlight w:val="none"/>
                    </w:rPr>
                    <w:t>名称</w:t>
                  </w:r>
                </w:p>
              </w:tc>
              <w:tc>
                <w:tcPr>
                  <w:tcW w:w="825" w:type="dxa"/>
                  <w:tcBorders>
                    <w:left w:val="single" w:sz="4" w:space="0" w:color="000000"/>
                    <w:bottom w:val="single" w:sz="4" w:space="0" w:color="auto"/>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b/>
                      <w:bCs/>
                      <w:color w:val="auto"/>
                      <w:kern w:val="2"/>
                      <w:sz w:val="21"/>
                      <w:szCs w:val="21"/>
                      <w:lang w:val="en-US" w:eastAsia="zh-CN" w:bidi="ar-SA"/>
                      <w:highlight w:val="none"/>
                    </w:rPr>
                    <w:t>单位</w:t>
                  </w:r>
                </w:p>
              </w:tc>
              <w:tc>
                <w:tcPr>
                  <w:tcW w:w="1721" w:type="dxa"/>
                  <w:tcBorders>
                    <w:left w:val="single" w:sz="4" w:space="0" w:color="000000"/>
                    <w:bottom w:val="single" w:sz="4" w:space="0" w:color="auto"/>
                    <w:right w:val="single" w:sz="4" w:space="0" w:color="000000"/>
                  </w:tcBorders>
                  <w:vAlign w:val="center"/>
                </w:tcPr>
                <w:p>
                  <w:pPr>
                    <w:keepNext w:val="0"/>
                    <w:keepLines w:val="0"/>
                    <w:suppressLineNumbers w:val="0"/>
                    <w:adjustRightInd w:val="0"/>
                    <w:snapToGrid w:val="0"/>
                    <w:spacing w:before="0" w:beforeAutospacing="0" w:after="0" w:afterAutospacing="0"/>
                    <w:ind w:left="0" w:right="0"/>
                    <w:jc w:val="center"/>
                    <w:rPr>
                      <w:color w:val="auto"/>
                      <w:sz w:val="21"/>
                      <w:szCs w:val="21"/>
                      <w:lang w:val="en-US" w:eastAsia="zh-CN"/>
                      <w:highlight w:val="none"/>
                    </w:rPr>
                  </w:pPr>
                  <w:r>
                    <w:rPr>
                      <w:rFonts w:ascii="Times New Roman" w:cs="Times New Roman" w:hAnsi="Times New Roman" w:hint="eastAsia"/>
                      <w:b/>
                      <w:bCs/>
                      <w:color w:val="auto"/>
                      <w:sz w:val="21"/>
                      <w:szCs w:val="21"/>
                      <w:highlight w:val="none"/>
                    </w:rPr>
                    <w:t>年</w:t>
                  </w:r>
                  <w:r>
                    <w:rPr>
                      <w:rFonts w:ascii="Times New Roman" w:cs="Times New Roman" w:hAnsi="Times New Roman" w:hint="eastAsia"/>
                      <w:b/>
                      <w:bCs/>
                      <w:color w:val="auto"/>
                      <w:sz w:val="21"/>
                      <w:szCs w:val="21"/>
                      <w:lang w:val="en-US" w:eastAsia="zh-CN"/>
                      <w:highlight w:val="none"/>
                    </w:rPr>
                    <w:t>消耗量</w:t>
                  </w:r>
                </w:p>
              </w:tc>
              <w:tc>
                <w:tcPr>
                  <w:tcW w:w="2753" w:type="dxa"/>
                  <w:tcBorders>
                    <w:left w:val="single" w:sz="4" w:space="0" w:color="000000"/>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000000"/>
                      <w:kern w:val="36"/>
                      <w:sz w:val="21"/>
                      <w:szCs w:val="21"/>
                      <w14:textFill>
                        <w14:solidFill>
                          <w14:srgbClr w14:val="000000"/>
                        </w14:solidFill>
                      </w14:textFill>
                      <w:highlight w:val="none"/>
                    </w:rPr>
                  </w:pPr>
                  <w:r>
                    <w:rPr>
                      <w:rFonts w:ascii="Times New Roman" w:cs="Times New Roman" w:hAnsi="Times New Roman" w:hint="eastAsia"/>
                      <w:b/>
                      <w:bCs/>
                      <w:color w:val="auto"/>
                      <w:sz w:val="21"/>
                      <w:szCs w:val="21"/>
                      <w:highlight w:val="none"/>
                    </w:rPr>
                    <w:t>备注</w:t>
                  </w:r>
                </w:p>
              </w:tc>
            </w:tr>
            <w:tr>
              <w:trPr>
                <w:trHeight w:val="397"/>
              </w:trPr>
              <w:tc>
                <w:tcPr>
                  <w:tcW w:w="1602" w:type="dxa"/>
                  <w:vMerge w:val="restart"/>
                  <w:tcBorders>
                    <w:top w:val="single" w:sz="4" w:space="0" w:color="auto"/>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1</w:t>
                  </w:r>
                </w:p>
              </w:tc>
              <w:tc>
                <w:tcPr>
                  <w:tcW w:w="1924" w:type="dxa"/>
                  <w:vMerge w:val="restart"/>
                  <w:tcBorders>
                    <w:top w:val="single" w:sz="4" w:space="0" w:color="auto"/>
                    <w:left w:val="single" w:sz="4" w:space="0" w:color="000000"/>
                    <w:right w:val="single" w:sz="4" w:space="0" w:color="000000"/>
                  </w:tcBorders>
                  <w:vAlign w:val="center"/>
                </w:tcPr>
                <w:p>
                  <w:pPr>
                    <w:keepNext w:val="0"/>
                    <w:keepLines w:val="0"/>
                    <w:suppressLineNumbers w:val="0"/>
                    <w:spacing w:before="0" w:beforeAutospacing="0" w:after="0" w:afterAutospacing="0" w:line="240" w:lineRule="auto"/>
                    <w:ind w:left="0" w:right="0"/>
                    <w:jc w:val="center"/>
                    <w:rPr>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汽油</w:t>
                  </w:r>
                </w:p>
              </w:tc>
              <w:tc>
                <w:tcPr>
                  <w:tcW w:w="825" w:type="dxa"/>
                  <w:tcBorders>
                    <w:top w:val="single" w:sz="4" w:space="0" w:color="auto"/>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t</w:t>
                  </w:r>
                </w:p>
              </w:tc>
              <w:tc>
                <w:tcPr>
                  <w:tcW w:w="1721" w:type="dxa"/>
                  <w:tcBorders>
                    <w:top w:val="single" w:sz="4" w:space="0" w:color="auto"/>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jc w:val="center"/>
                    <w:rPr>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200</w:t>
                  </w:r>
                </w:p>
              </w:tc>
              <w:tc>
                <w:tcPr>
                  <w:tcW w:w="2753" w:type="dxa"/>
                  <w:tcBorders>
                    <w:top w:val="single" w:sz="4" w:space="0" w:color="auto"/>
                    <w:left w:val="single" w:sz="4" w:space="0" w:color="000000"/>
                    <w:bottom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hint="eastAsia"/>
                      <w:color w:val="000000"/>
                      <w:kern w:val="36"/>
                      <w:sz w:val="21"/>
                      <w:szCs w:val="21"/>
                      <w:lang w:val="en-US" w:eastAsia="zh-CN"/>
                      <w:highlight w:val="none"/>
                    </w:rPr>
                  </w:pPr>
                  <w:r>
                    <w:rPr>
                      <w:rFonts w:ascii="Times New Roman" w:cs="Times New Roman" w:hAnsi="Times New Roman" w:hint="eastAsia"/>
                      <w:color w:val="auto"/>
                      <w:sz w:val="21"/>
                      <w:szCs w:val="21"/>
                      <w:lang w:val="en-US" w:eastAsia="zh-CN"/>
                    </w:rPr>
                    <w:t>95#乙醇汽油</w:t>
                  </w:r>
                </w:p>
              </w:tc>
            </w:tr>
            <w:tr>
              <w:trPr>
                <w:trHeight w:val="397"/>
              </w:trPr>
              <w:tc>
                <w:tcPr>
                  <w:tcW w:w="1602" w:type="dxa"/>
                  <w:vMerge/>
                  <w:tcBorders>
                    <w:bottom w:val="single" w:sz="4" w:space="0" w:color="000000"/>
                    <w:right w:val="single" w:sz="4" w:space="0" w:color="000000"/>
                  </w:tcBorders>
                  <w:vAlign w:val="center"/>
                </w:tcPr>
                <w:p/>
              </w:tc>
              <w:tc>
                <w:tcPr>
                  <w:tcW w:w="1924" w:type="dxa"/>
                  <w:vMerge/>
                  <w:tcBorders>
                    <w:left w:val="single" w:sz="4" w:space="0" w:color="000000"/>
                    <w:bottom w:val="single" w:sz="4" w:space="0" w:color="000000"/>
                    <w:right w:val="single" w:sz="4" w:space="0" w:color="000000"/>
                  </w:tcBorders>
                  <w:vAlign w:val="center"/>
                </w:tcPr>
                <w:p/>
              </w:tc>
              <w:tc>
                <w:tcPr>
                  <w:tcW w:w="825" w:type="dxa"/>
                  <w:tcBorders>
                    <w:top w:val="single" w:sz="4" w:space="0" w:color="auto"/>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t</w:t>
                  </w:r>
                </w:p>
              </w:tc>
              <w:tc>
                <w:tcPr>
                  <w:tcW w:w="1721" w:type="dxa"/>
                  <w:tcBorders>
                    <w:top w:val="single" w:sz="4" w:space="0" w:color="auto"/>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jc w:val="center"/>
                    <w:rPr>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200</w:t>
                  </w:r>
                </w:p>
              </w:tc>
              <w:tc>
                <w:tcPr>
                  <w:tcW w:w="2753" w:type="dxa"/>
                  <w:tcBorders>
                    <w:top w:val="single" w:sz="4" w:space="0" w:color="auto"/>
                    <w:left w:val="single" w:sz="4" w:space="0" w:color="000000"/>
                    <w:bottom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rPr>
                  </w:pPr>
                  <w:r>
                    <w:rPr>
                      <w:rFonts w:ascii="Times New Roman" w:cs="Times New Roman" w:hAnsi="Times New Roman" w:hint="eastAsia"/>
                      <w:color w:val="auto"/>
                      <w:sz w:val="21"/>
                      <w:szCs w:val="21"/>
                      <w:lang w:val="en-US" w:eastAsia="zh-CN"/>
                    </w:rPr>
                    <w:t>92#乙醇汽油</w:t>
                  </w:r>
                </w:p>
              </w:tc>
            </w:tr>
            <w:tr>
              <w:trPr>
                <w:trHeight w:val="397"/>
              </w:trPr>
              <w:tc>
                <w:tcPr>
                  <w:tcW w:w="1602" w:type="dxa"/>
                  <w:tcBorders>
                    <w:top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2</w:t>
                  </w:r>
                </w:p>
              </w:tc>
              <w:tc>
                <w:tcPr>
                  <w:tcW w:w="1924"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line="240" w:lineRule="auto"/>
                    <w:ind w:left="0" w:right="0"/>
                    <w:jc w:val="center"/>
                    <w:rPr>
                      <w:color w:val="auto"/>
                      <w:sz w:val="21"/>
                      <w:szCs w:val="21"/>
                      <w:lang w:val="en-US" w:eastAsia="zh-CN"/>
                      <w:highlight w:val="none"/>
                    </w:rPr>
                  </w:pPr>
                  <w:r>
                    <w:rPr>
                      <w:rFonts w:ascii="Times New Roman" w:eastAsia="宋体" w:cs="Times New Roman" w:hAnsi="Times New Roman"/>
                      <w:color w:val="000000"/>
                      <w:sz w:val="21"/>
                      <w:szCs w:val="21"/>
                      <w:lang w:val="en-US" w:eastAsia="zh-CN"/>
                      <w:highlight w:val="none"/>
                    </w:rPr>
                    <w:t>柴油</w:t>
                  </w:r>
                </w:p>
              </w:tc>
              <w:tc>
                <w:tcPr>
                  <w:tcW w:w="825"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t</w:t>
                  </w:r>
                </w:p>
              </w:tc>
              <w:tc>
                <w:tcPr>
                  <w:tcW w:w="1721"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jc w:val="center"/>
                    <w:rPr>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1350</w:t>
                  </w:r>
                </w:p>
              </w:tc>
              <w:tc>
                <w:tcPr>
                  <w:tcW w:w="2753" w:type="dxa"/>
                  <w:tcBorders>
                    <w:top w:val="single" w:sz="4" w:space="0" w:color="000000"/>
                    <w:left w:val="single" w:sz="4" w:space="0" w:color="000000"/>
                    <w:bottom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color w:val="000000"/>
                      <w:kern w:val="36"/>
                      <w:sz w:val="21"/>
                      <w:szCs w:val="21"/>
                      <w:lang w:val="en-US" w:eastAsia="zh-CN"/>
                      <w:highlight w:val="none"/>
                    </w:rPr>
                  </w:pPr>
                  <w:r>
                    <w:rPr>
                      <w:rFonts w:ascii="Times New Roman" w:cs="Times New Roman" w:hAnsi="Times New Roman" w:hint="eastAsia"/>
                      <w:color w:val="auto"/>
                      <w:sz w:val="21"/>
                      <w:szCs w:val="21"/>
                      <w:lang w:val="en-US" w:eastAsia="zh-CN"/>
                    </w:rPr>
                    <w:t>/</w:t>
                  </w:r>
                </w:p>
              </w:tc>
            </w:tr>
            <w:tr>
              <w:trPr>
                <w:trHeight w:val="397"/>
              </w:trPr>
              <w:tc>
                <w:tcPr>
                  <w:tcW w:w="1602" w:type="dxa"/>
                  <w:tcBorders>
                    <w:top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3</w:t>
                  </w:r>
                </w:p>
              </w:tc>
              <w:tc>
                <w:tcPr>
                  <w:tcW w:w="1924"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jc w:val="center"/>
                    <w:rPr>
                      <w:color w:val="auto"/>
                      <w:sz w:val="21"/>
                      <w:szCs w:val="21"/>
                      <w:lang w:val="en-US" w:eastAsia="zh-CN"/>
                      <w:highlight w:val="none"/>
                    </w:rPr>
                  </w:pPr>
                  <w:r>
                    <w:rPr>
                      <w:rFonts w:ascii="宋体" w:cs="Times New Roman" w:hAnsi="宋体" w:hint="eastAsia"/>
                      <w:bCs/>
                      <w:sz w:val="21"/>
                      <w:szCs w:val="21"/>
                      <w:lang w:val="en-US" w:eastAsia="zh-CN"/>
                    </w:rPr>
                    <w:t>水</w:t>
                  </w:r>
                </w:p>
              </w:tc>
              <w:tc>
                <w:tcPr>
                  <w:tcW w:w="825"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t</w:t>
                  </w:r>
                </w:p>
              </w:tc>
              <w:tc>
                <w:tcPr>
                  <w:tcW w:w="1721" w:type="dxa"/>
                  <w:tcBorders>
                    <w:top w:val="single" w:sz="4" w:space="0" w:color="000000"/>
                    <w:left w:val="single" w:sz="4" w:space="0" w:color="000000"/>
                    <w:bottom w:val="single" w:sz="4" w:space="0" w:color="000000"/>
                    <w:right w:val="single" w:sz="4" w:space="0" w:color="000000"/>
                  </w:tcBorders>
                  <w:vAlign w:val="center"/>
                </w:tcPr>
                <w:p>
                  <w:pPr>
                    <w:keepNext w:val="0"/>
                    <w:keepLines w:val="0"/>
                    <w:suppressLineNumbers w:val="0"/>
                    <w:spacing w:before="0" w:beforeAutospacing="0" w:after="0" w:afterAutospacing="0"/>
                    <w:ind w:left="0" w:right="0"/>
                    <w:jc w:val="center"/>
                    <w:rPr>
                      <w:rFonts w:eastAsia="宋体"/>
                      <w:color w:val="auto"/>
                      <w:sz w:val="21"/>
                      <w:szCs w:val="21"/>
                      <w:lang w:val="en-US" w:eastAsia="zh-CN"/>
                      <w:highlight w:val="red"/>
                    </w:rPr>
                  </w:pPr>
                  <w:r>
                    <w:rPr>
                      <w:rFonts w:ascii="Times New Roman" w:cs="Times New Roman" w:hAnsi="Times New Roman" w:hint="eastAsia"/>
                      <w:sz w:val="21"/>
                      <w:szCs w:val="21"/>
                      <w:lang w:val="en-US" w:eastAsia="zh-CN"/>
                    </w:rPr>
                    <w:t>124.1</w:t>
                  </w:r>
                </w:p>
              </w:tc>
              <w:tc>
                <w:tcPr>
                  <w:tcW w:w="2753" w:type="dxa"/>
                  <w:tcBorders>
                    <w:top w:val="single" w:sz="4" w:space="0" w:color="000000"/>
                    <w:left w:val="single" w:sz="4" w:space="0" w:color="000000"/>
                    <w:bottom w:val="single" w:sz="4" w:space="0" w:color="000000"/>
                  </w:tcBorders>
                  <w:vAlign w:val="center"/>
                </w:tcPr>
                <w:p>
                  <w:pPr>
                    <w:keepNext w:val="0"/>
                    <w:keepLines w:val="0"/>
                    <w:suppressLineNumbers w:val="0"/>
                    <w:spacing w:before="0" w:beforeAutospacing="0" w:after="0" w:afterAutospacing="0"/>
                    <w:ind w:left="0" w:right="0"/>
                    <w:jc w:val="center"/>
                    <w:rPr>
                      <w:color w:val="000000"/>
                      <w:kern w:val="36"/>
                      <w:sz w:val="21"/>
                      <w:szCs w:val="21"/>
                      <w:lang w:val="en-US" w:eastAsia="zh-CN"/>
                      <w:highlight w:val="none"/>
                    </w:rPr>
                  </w:pPr>
                  <w:r>
                    <w:rPr>
                      <w:rFonts w:ascii="Times New Roman" w:cs="Times New Roman" w:hAnsi="Times New Roman" w:hint="eastAsia"/>
                      <w:color w:val="000000"/>
                      <w:kern w:val="36"/>
                      <w:sz w:val="21"/>
                      <w:szCs w:val="21"/>
                      <w:lang w:val="en-US" w:eastAsia="zh-CN"/>
                      <w:highlight w:val="none"/>
                    </w:rPr>
                    <w:t>/</w:t>
                  </w:r>
                </w:p>
              </w:tc>
            </w:tr>
            <w:tr>
              <w:trPr>
                <w:trHeight w:val="397"/>
              </w:trPr>
              <w:tc>
                <w:tcPr>
                  <w:tcW w:w="1602" w:type="dxa"/>
                  <w:tcBorders>
                    <w:top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4</w:t>
                  </w:r>
                </w:p>
              </w:tc>
              <w:tc>
                <w:tcPr>
                  <w:tcW w:w="1924" w:type="dxa"/>
                  <w:tcBorders>
                    <w:top w:val="single" w:sz="4" w:space="0" w:color="000000"/>
                    <w:left w:val="single" w:sz="4" w:space="0" w:color="000000"/>
                    <w:right w:val="single" w:sz="4" w:space="0" w:color="000000"/>
                  </w:tcBorders>
                  <w:vAlign w:val="center"/>
                </w:tcPr>
                <w:p>
                  <w:pPr>
                    <w:keepNext w:val="0"/>
                    <w:keepLines w:val="0"/>
                    <w:suppressLineNumbers w:val="0"/>
                    <w:spacing w:before="0" w:beforeAutospacing="0" w:after="0" w:afterAutospacing="0"/>
                    <w:ind w:left="0" w:right="0"/>
                    <w:jc w:val="center"/>
                    <w:rPr>
                      <w:rFonts w:ascii="宋体" w:hAnsi="宋体"/>
                      <w:bCs/>
                      <w:sz w:val="21"/>
                      <w:szCs w:val="21"/>
                      <w:lang w:val="en-US" w:eastAsia="zh-CN"/>
                    </w:rPr>
                  </w:pPr>
                  <w:r>
                    <w:rPr>
                      <w:rFonts w:ascii="宋体" w:cs="Times New Roman" w:hAnsi="宋体" w:hint="eastAsia"/>
                      <w:bCs/>
                      <w:sz w:val="21"/>
                      <w:szCs w:val="21"/>
                      <w:lang w:val="en-US" w:eastAsia="zh-CN"/>
                    </w:rPr>
                    <w:t>电</w:t>
                  </w:r>
                </w:p>
              </w:tc>
              <w:tc>
                <w:tcPr>
                  <w:tcW w:w="825" w:type="dxa"/>
                  <w:tcBorders>
                    <w:top w:val="single" w:sz="4" w:space="0" w:color="000000"/>
                    <w:left w:val="single" w:sz="4" w:space="0" w:color="000000"/>
                    <w:right w:val="single" w:sz="4" w:space="0" w:color="00000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eastAsia="宋体"/>
                      <w:color w:val="auto"/>
                      <w:sz w:val="21"/>
                      <w:szCs w:val="21"/>
                      <w:lang w:val="en-US" w:eastAsia="zh-CN"/>
                      <w:highlight w:val="none"/>
                    </w:rPr>
                  </w:pPr>
                  <w:r>
                    <w:rPr>
                      <w:rFonts w:ascii="Times New Roman" w:cs="Times New Roman" w:hAnsi="Times New Roman" w:hint="eastAsia"/>
                      <w:color w:val="auto"/>
                      <w:sz w:val="21"/>
                      <w:szCs w:val="21"/>
                      <w:lang w:val="en-US" w:eastAsia="zh-CN"/>
                    </w:rPr>
                    <w:t>k</w:t>
                  </w:r>
                  <w:r>
                    <w:rPr>
                      <w:rFonts w:ascii="Times New Roman" w:cs="Times New Roman" w:hAnsi="Times New Roman"/>
                      <w:color w:val="auto"/>
                      <w:sz w:val="21"/>
                      <w:szCs w:val="21"/>
                    </w:rPr>
                    <w:t>wh</w:t>
                  </w:r>
                  <w:r>
                    <w:rPr>
                      <w:rFonts w:ascii="Times New Roman" w:cs="Times New Roman" w:hAnsi="Times New Roman" w:hint="eastAsia"/>
                      <w:color w:val="auto"/>
                      <w:sz w:val="21"/>
                      <w:szCs w:val="21"/>
                      <w:lang w:val="en-US" w:eastAsia="zh-CN"/>
                    </w:rPr>
                    <w:t>/a</w:t>
                  </w:r>
                </w:p>
              </w:tc>
              <w:tc>
                <w:tcPr>
                  <w:tcW w:w="1721" w:type="dxa"/>
                  <w:tcBorders>
                    <w:top w:val="single" w:sz="4" w:space="0" w:color="000000"/>
                    <w:left w:val="single" w:sz="4" w:space="0" w:color="000000"/>
                    <w:right w:val="single" w:sz="4" w:space="0" w:color="000000"/>
                  </w:tcBorders>
                  <w:vAlign w:val="center"/>
                </w:tcPr>
                <w:p>
                  <w:pPr>
                    <w:keepNext w:val="0"/>
                    <w:keepLines w:val="0"/>
                    <w:suppressLineNumbers w:val="0"/>
                    <w:spacing w:before="0" w:beforeAutospacing="0" w:after="0" w:afterAutospacing="0"/>
                    <w:ind w:left="0" w:right="0"/>
                    <w:jc w:val="center"/>
                    <w:rPr>
                      <w:rFonts w:eastAsia="宋体"/>
                      <w:color w:val="auto"/>
                      <w:lang w:val="en-US" w:eastAsia="zh-CN"/>
                    </w:rPr>
                  </w:pPr>
                  <w:r>
                    <w:rPr>
                      <w:rFonts w:ascii="Times New Roman" w:cs="Times New Roman" w:hAnsi="Times New Roman" w:hint="eastAsia"/>
                      <w:color w:val="auto"/>
                      <w:sz w:val="21"/>
                      <w:szCs w:val="21"/>
                      <w:lang w:val="en-US" w:eastAsia="zh-CN"/>
                    </w:rPr>
                    <w:t>280</w:t>
                  </w:r>
                  <w:r>
                    <w:rPr>
                      <w:rFonts w:ascii="Times New Roman" w:cs="Times New Roman" w:hAnsi="Times New Roman"/>
                      <w:color w:val="auto"/>
                      <w:sz w:val="21"/>
                      <w:szCs w:val="21"/>
                    </w:rPr>
                    <w:t>万kwh</w:t>
                  </w:r>
                  <w:r>
                    <w:rPr>
                      <w:rFonts w:ascii="Times New Roman" w:cs="Times New Roman" w:hAnsi="Times New Roman" w:hint="eastAsia"/>
                      <w:color w:val="auto"/>
                      <w:sz w:val="21"/>
                      <w:szCs w:val="21"/>
                      <w:lang w:val="en-US" w:eastAsia="zh-CN"/>
                    </w:rPr>
                    <w:t>/a</w:t>
                  </w:r>
                </w:p>
              </w:tc>
              <w:tc>
                <w:tcPr>
                  <w:tcW w:w="2753" w:type="dxa"/>
                  <w:tcBorders>
                    <w:top w:val="single" w:sz="4" w:space="0" w:color="000000"/>
                    <w:left w:val="single" w:sz="4" w:space="0" w:color="000000"/>
                  </w:tcBorders>
                  <w:vAlign w:val="center"/>
                </w:tcPr>
                <w:p>
                  <w:pPr>
                    <w:keepNext w:val="0"/>
                    <w:keepLines w:val="0"/>
                    <w:suppressLineNumbers w:val="0"/>
                    <w:spacing w:before="0" w:beforeAutospacing="0" w:after="0" w:afterAutospacing="0"/>
                    <w:ind w:left="0" w:right="0"/>
                    <w:jc w:val="center"/>
                    <w:rPr>
                      <w:color w:val="000000"/>
                      <w:kern w:val="36"/>
                      <w:sz w:val="21"/>
                      <w:szCs w:val="21"/>
                      <w:lang w:val="en-US" w:eastAsia="zh-CN"/>
                      <w:highlight w:val="none"/>
                    </w:rPr>
                  </w:pPr>
                  <w:r>
                    <w:rPr>
                      <w:rFonts w:ascii="Times New Roman" w:cs="Times New Roman" w:hAnsi="Times New Roman" w:hint="eastAsia"/>
                      <w:color w:val="000000"/>
                      <w:kern w:val="36"/>
                      <w:sz w:val="21"/>
                      <w:szCs w:val="21"/>
                      <w:lang w:val="en-US" w:eastAsia="zh-CN"/>
                      <w:highlight w:val="none"/>
                    </w:rPr>
                    <w:t>/</w:t>
                  </w:r>
                </w:p>
              </w:tc>
            </w:tr>
          </w:tbl>
          <w:p>
            <w:pPr>
              <w:keepNext w:val="0"/>
              <w:keepLines w:val="0"/>
              <w:suppressLineNumbers w:val="0"/>
              <w:spacing w:before="0" w:beforeAutospacing="0" w:after="0" w:afterAutospacing="0" w:line="440" w:lineRule="exact"/>
              <w:ind w:left="0" w:right="0" w:firstLineChars="200" w:firstLine="480"/>
              <w:rPr>
                <w:rFonts w:ascii="Times New Roman" w:eastAsia="宋体" w:cs="Times New Roman" w:hAnsi="Times New Roman" w:hint="eastAsia"/>
                <w:b/>
                <w:bCs w:val="0"/>
                <w:color w:val="000000"/>
                <w:sz w:val="24"/>
                <w:lang w:val="en-US" w:eastAsia="zh-CN"/>
              </w:rPr>
            </w:pPr>
            <w:r>
              <w:rPr>
                <w:rFonts w:ascii="Times New Roman" w:eastAsia="宋体" w:cs="Times New Roman" w:hAnsi="Times New Roman" w:hint="eastAsia"/>
                <w:b/>
                <w:bCs w:val="0"/>
                <w:color w:val="000000"/>
                <w:sz w:val="24"/>
                <w:szCs w:val="20"/>
                <w:lang w:val="en-US" w:eastAsia="zh-CN"/>
              </w:rPr>
              <w:t>主要原辅材料理化性质：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ascii="Times New Roman" w:eastAsia="宋体" w:cs="Times New Roman" w:hAnsi="Times New Roman"/>
                <w:color w:val="auto"/>
                <w:sz w:val="24"/>
                <w:lang w:val="en-US" w:eastAsia="zh-CN"/>
              </w:rPr>
            </w:pPr>
            <w:r>
              <w:rPr>
                <w:rFonts w:ascii="Times New Roman" w:eastAsia="宋体" w:cs="Times New Roman" w:hAnsi="Times New Roman"/>
                <w:b/>
                <w:bCs/>
                <w:color w:val="auto"/>
                <w:sz w:val="24"/>
                <w:szCs w:val="20"/>
              </w:rPr>
              <w:t>汽油：</w:t>
            </w:r>
            <w:r>
              <w:rPr>
                <w:rFonts w:ascii="Times New Roman" w:eastAsia="宋体" w:cs="Times New Roman" w:hAnsi="Times New Roman"/>
                <w:color w:val="auto"/>
                <w:sz w:val="24"/>
                <w:szCs w:val="20"/>
              </w:rPr>
              <w:t>汽油为油品的一大类，</w:t>
            </w:r>
            <w:r>
              <w:rPr>
                <w:rFonts w:ascii="Times New Roman" w:eastAsia="宋体" w:cs="Times New Roman" w:hAnsi="Times New Roman" w:hint="eastAsia"/>
                <w:color w:val="auto"/>
                <w:sz w:val="24"/>
                <w:szCs w:val="20"/>
                <w:lang w:val="en-US" w:eastAsia="zh-CN"/>
              </w:rPr>
              <w:t>密度约为</w:t>
            </w:r>
            <w:r>
              <w:rPr>
                <w:rFonts w:ascii="Times New Roman" w:eastAsia="宋体" w:cs="Times New Roman" w:hAnsi="Times New Roman" w:hint="eastAsia"/>
                <w:color w:val="auto"/>
                <w:sz w:val="24"/>
                <w:szCs w:val="20"/>
              </w:rPr>
              <w:t>0.7</w:t>
            </w:r>
            <w:r>
              <w:rPr>
                <w:rFonts w:ascii="Times New Roman" w:cs="Times New Roman" w:hAnsi="Times New Roman" w:hint="eastAsia"/>
                <w:color w:val="auto"/>
                <w:sz w:val="24"/>
                <w:szCs w:val="20"/>
                <w:lang w:val="en-US" w:eastAsia="zh-CN"/>
              </w:rPr>
              <w:t>5kg/L。</w:t>
            </w:r>
            <w:r>
              <w:rPr>
                <w:rFonts w:ascii="Times New Roman" w:eastAsia="宋体" w:cs="Times New Roman" w:hAnsi="Times New Roman"/>
                <w:color w:val="auto"/>
                <w:sz w:val="24"/>
                <w:szCs w:val="20"/>
              </w:rPr>
              <w:t>是四碳至十二碳复杂烃类的混合物，其为无色至淡黄色的易流动液体，易燃，馏程为30℃至205℃，空气中含量为74</w:t>
            </w:r>
            <w:r>
              <w:rPr>
                <w:rFonts w:ascii="Times New Roman" w:cs="Times New Roman" w:hAnsi="Times New Roman" w:hint="eastAsia"/>
                <w:color w:val="auto"/>
                <w:sz w:val="24"/>
                <w:szCs w:val="20"/>
                <w:lang w:eastAsia="zh-CN"/>
              </w:rPr>
              <w:t>～</w:t>
            </w:r>
            <w:r>
              <w:rPr>
                <w:rFonts w:ascii="Times New Roman" w:eastAsia="宋体" w:cs="Times New Roman" w:hAnsi="Times New Roman"/>
                <w:color w:val="auto"/>
                <w:sz w:val="24"/>
                <w:szCs w:val="20"/>
              </w:rPr>
              <w:t>123g/m</w:t>
            </w:r>
            <w:r>
              <w:rPr>
                <w:rFonts w:ascii="Times New Roman" w:eastAsia="宋体" w:cs="Times New Roman" w:hAnsi="Times New Roman"/>
                <w:color w:val="auto"/>
                <w:sz w:val="24"/>
                <w:szCs w:val="20"/>
                <w:vertAlign w:val="superscript"/>
              </w:rPr>
              <w:t>3</w:t>
            </w:r>
            <w:r>
              <w:rPr>
                <w:rFonts w:ascii="Times New Roman" w:eastAsia="宋体" w:cs="Times New Roman" w:hAnsi="Times New Roman"/>
                <w:color w:val="auto"/>
                <w:sz w:val="24"/>
                <w:szCs w:val="20"/>
              </w:rPr>
              <w:t>时遇火爆炸。汽油的热值约为44000kJ/kg。按研究法辛烷值分为98号、95号、92号三个牌，标准执行汽油产品目前执行的标准GB17930-2013《车用汽油》标准。</w:t>
            </w:r>
            <w:r>
              <w:rPr>
                <w:rFonts w:ascii="Times New Roman" w:cs="Times New Roman" w:hAnsi="Times New Roman" w:hint="eastAsia"/>
                <w:color w:val="auto"/>
                <w:sz w:val="24"/>
                <w:szCs w:val="20"/>
                <w:lang w:val="en-US" w:eastAsia="zh-CN"/>
              </w:rPr>
              <w:t>本项目销售的汽油为92#乙醇汽油、95#乙醇汽油。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eastAsia="宋体"/>
                <w:b/>
                <w:color w:val="FF0000"/>
                <w:sz w:val="24"/>
                <w:lang w:val="en-US" w:eastAsia="zh-CN"/>
              </w:rPr>
            </w:pPr>
            <w:r>
              <w:rPr>
                <w:rFonts w:ascii="Times New Roman" w:eastAsia="宋体" w:cs="Times New Roman" w:hAnsi="Times New Roman"/>
                <w:b/>
                <w:bCs/>
                <w:color w:val="auto"/>
                <w:sz w:val="24"/>
                <w:szCs w:val="20"/>
                <w:highlight w:val="none"/>
              </w:rPr>
              <w:t>柴油</w:t>
            </w:r>
            <w:r>
              <w:rPr>
                <w:rFonts w:ascii="Times New Roman" w:eastAsia="宋体" w:cs="Times New Roman" w:hAnsi="Times New Roman"/>
                <w:b/>
                <w:bCs/>
                <w:color w:val="auto"/>
                <w:sz w:val="24"/>
                <w:szCs w:val="20"/>
              </w:rPr>
              <w:t>：</w:t>
            </w:r>
            <w:r>
              <w:rPr>
                <w:rFonts w:ascii="Times New Roman" w:eastAsia="宋体" w:cs="Times New Roman" w:hAnsi="Times New Roman"/>
                <w:color w:val="auto"/>
                <w:sz w:val="24"/>
                <w:szCs w:val="20"/>
              </w:rPr>
              <w:t>柴油沸点范围和黏度介于煤油与润滑油之间的液态石油馏分，是组分复杂的混合物，</w:t>
            </w:r>
            <w:r>
              <w:rPr>
                <w:rFonts w:ascii="Times New Roman" w:eastAsia="宋体" w:cs="Times New Roman" w:hAnsi="Times New Roman" w:hint="eastAsia"/>
                <w:color w:val="auto"/>
                <w:sz w:val="24"/>
                <w:szCs w:val="20"/>
                <w:lang w:val="en-US" w:eastAsia="zh-CN"/>
              </w:rPr>
              <w:t>密度约为</w:t>
            </w:r>
            <w:r>
              <w:rPr>
                <w:rFonts w:ascii="Times New Roman" w:eastAsia="宋体" w:cs="Times New Roman" w:hAnsi="Times New Roman" w:hint="eastAsia"/>
                <w:color w:val="auto"/>
                <w:sz w:val="24"/>
                <w:szCs w:val="20"/>
              </w:rPr>
              <w:t>0.</w:t>
            </w:r>
            <w:r>
              <w:rPr>
                <w:rFonts w:ascii="Times New Roman" w:cs="Times New Roman" w:hAnsi="Times New Roman" w:hint="eastAsia"/>
                <w:color w:val="auto"/>
                <w:sz w:val="24"/>
                <w:szCs w:val="20"/>
                <w:lang w:val="en-US" w:eastAsia="zh-CN"/>
              </w:rPr>
              <w:t>88kg/L。</w:t>
            </w:r>
            <w:r>
              <w:rPr>
                <w:rFonts w:ascii="Times New Roman" w:eastAsia="宋体" w:cs="Times New Roman" w:hAnsi="Times New Roman"/>
                <w:color w:val="auto"/>
                <w:sz w:val="24"/>
                <w:szCs w:val="20"/>
              </w:rPr>
              <w:t>沸点范围十六烷值有180℃~370℃和350℃~410℃两类。商品柴油按凝固点分级，如10、-20等，表示低使用温度，柴油广泛用于大型车辆、船舰、发电机等，标准执行GB252-2011《普通柴油》。</w:t>
            </w:r>
            <w:r>
              <w:rPr>
                <w:rFonts w:ascii="Times New Roman" w:cs="Times New Roman" w:hAnsi="Times New Roman" w:hint="eastAsia"/>
                <w:color w:val="auto"/>
                <w:sz w:val="24"/>
                <w:szCs w:val="20"/>
                <w:lang w:val="en-US" w:eastAsia="zh-CN"/>
              </w:rPr>
              <w:t>本项目销售的柴油为0#柴油。</w:t>
            </w:r>
          </w:p>
          <w:p>
            <w:pPr>
              <w:keepNext w:val="0"/>
              <w:keepLines w:val="0"/>
              <w:suppressLineNumbers w:val="0"/>
              <w:spacing w:before="0" w:beforeAutospacing="0" w:after="0" w:afterAutospacing="0" w:line="440" w:lineRule="exact"/>
              <w:ind w:left="0" w:right="0" w:firstLineChars="200" w:firstLine="480"/>
              <w:rPr>
                <w:rFonts w:eastAsia="宋体"/>
                <w:b/>
                <w:color w:val="auto"/>
                <w:sz w:val="24"/>
                <w:lang w:val="en-US" w:eastAsia="zh-CN"/>
              </w:rPr>
            </w:pPr>
            <w:r>
              <w:rPr>
                <w:rFonts w:ascii="Times New Roman" w:cs="Times New Roman" w:hAnsi="Times New Roman" w:hint="eastAsia"/>
                <w:b/>
                <w:color w:val="auto"/>
                <w:sz w:val="24"/>
                <w:szCs w:val="20"/>
                <w:lang w:val="en-US" w:eastAsia="zh-CN"/>
              </w:rPr>
              <w:t>6</w:t>
            </w:r>
            <w:r>
              <w:rPr>
                <w:rFonts w:ascii="Times New Roman" w:cs="Times New Roman" w:hAnsi="Times New Roman"/>
                <w:b/>
                <w:color w:val="auto"/>
                <w:sz w:val="24"/>
                <w:szCs w:val="20"/>
              </w:rPr>
              <w:t>、</w:t>
            </w:r>
            <w:r>
              <w:rPr>
                <w:rFonts w:ascii="Times New Roman" w:cs="Times New Roman" w:hAnsi="Times New Roman" w:hint="eastAsia"/>
                <w:b/>
                <w:color w:val="auto"/>
                <w:sz w:val="24"/>
                <w:szCs w:val="20"/>
                <w:lang w:val="en-US" w:eastAsia="zh-CN"/>
              </w:rPr>
              <w:t>项目水平衡分析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pPr>
            <w:r>
              <w:rPr>
                <w:rFonts w:ascii="Times New Roman" w:eastAsia="宋体" w:cs="Times New Roman" w:hAnsi="Times New Roman" w:hint="eastAsia"/>
                <w:sz w:val="24"/>
                <w:szCs w:val="20"/>
                <w:lang w:val="en-US" w:eastAsia="zh-CN"/>
                <w:highlight w:val="none"/>
              </w:rPr>
              <w:t>本项目</w:t>
            </w:r>
            <w:r>
              <w:rPr>
                <w:rFonts w:ascii="Times New Roman" w:eastAsia="宋体" w:cs="Times New Roman" w:hAnsi="Times New Roman"/>
                <w:sz w:val="24"/>
                <w:szCs w:val="20"/>
                <w:lang w:val="en-US" w:eastAsia="zh-CN"/>
                <w:highlight w:val="none"/>
              </w:rPr>
              <w:t>无生产废水</w:t>
            </w:r>
            <w:r>
              <w:rPr>
                <w:rFonts w:ascii="Times New Roman" w:cs="Times New Roman" w:hAnsi="Times New Roman" w:hint="eastAsia"/>
                <w:sz w:val="24"/>
                <w:szCs w:val="20"/>
                <w:lang w:val="en-US" w:eastAsia="zh-CN"/>
                <w:highlight w:val="none"/>
              </w:rPr>
              <w:t>排放，</w:t>
            </w:r>
            <w:r>
              <w:rPr>
                <w:rFonts w:ascii="Times New Roman" w:cs="Times New Roman" w:hAnsi="Times New Roman"/>
                <w:sz w:val="24"/>
                <w:szCs w:val="20"/>
              </w:rPr>
              <w:t>主要为</w:t>
            </w:r>
            <w:r>
              <w:rPr>
                <w:rFonts w:ascii="Times New Roman" w:cs="Times New Roman" w:hAnsi="Times New Roman" w:hint="eastAsia"/>
                <w:sz w:val="24"/>
                <w:szCs w:val="20"/>
                <w:lang w:val="en-US" w:eastAsia="zh-CN"/>
              </w:rPr>
              <w:t>加油站职工和顾客的</w:t>
            </w:r>
            <w:r>
              <w:rPr>
                <w:rFonts w:ascii="Times New Roman" w:cs="Times New Roman" w:hAnsi="Times New Roman" w:hint="eastAsia"/>
                <w:sz w:val="24"/>
                <w:szCs w:val="20"/>
                <w:lang w:eastAsia="zh-CN"/>
              </w:rPr>
              <w:t>生活污水</w:t>
            </w:r>
            <w:r>
              <w:rPr>
                <w:rFonts w:ascii="Times New Roman" w:cs="Times New Roman" w:hAnsi="Times New Roman"/>
                <w:sz w:val="24"/>
                <w:szCs w:val="20"/>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left"/>
              <w:textAlignment w:val="baseline"/>
              <w:rPr>
                <w:rFonts w:ascii="Times New Roman" w:cs="Times New Roman" w:hAnsi="Times New Roman"/>
                <w:color w:val="auto"/>
                <w:sz w:val="24"/>
                <w:szCs w:val="24"/>
              </w:rPr>
            </w:pPr>
            <w:r>
              <w:rPr>
                <w:rFonts w:ascii="Times New Roman" w:cs="Times New Roman" w:hAnsi="Times New Roman" w:hint="eastAsia"/>
                <w:sz w:val="24"/>
                <w:szCs w:val="20"/>
              </w:rPr>
              <w:t>根</w:t>
            </w:r>
            <w:r>
              <w:rPr>
                <w:rFonts w:ascii="Times New Roman" w:cs="Times New Roman" w:hAnsi="Times New Roman"/>
                <w:sz w:val="24"/>
                <w:szCs w:val="24"/>
              </w:rPr>
              <w:t>据建设单位提供资料，</w:t>
            </w:r>
            <w:r>
              <w:rPr>
                <w:rFonts w:ascii="Times New Roman" w:cs="Times New Roman" w:hAnsi="Times New Roman" w:hint="eastAsia"/>
                <w:sz w:val="24"/>
                <w:szCs w:val="24"/>
                <w:lang w:val="en-US" w:eastAsia="zh-CN"/>
              </w:rPr>
              <w:t>本项目年工作365天，</w:t>
            </w:r>
            <w:r>
              <w:rPr>
                <w:rFonts w:ascii="Times New Roman" w:cs="Times New Roman" w:hAnsi="Times New Roman"/>
                <w:sz w:val="24"/>
                <w:szCs w:val="24"/>
              </w:rPr>
              <w:t>本项目</w:t>
            </w:r>
            <w:r>
              <w:rPr>
                <w:rFonts w:ascii="Times New Roman" w:cs="Times New Roman" w:hAnsi="Times New Roman" w:hint="eastAsia"/>
                <w:sz w:val="24"/>
                <w:szCs w:val="24"/>
                <w:lang w:val="en-US" w:eastAsia="zh-CN"/>
              </w:rPr>
              <w:t>劳动定员</w:t>
            </w:r>
            <w:r>
              <w:rPr>
                <w:rFonts w:ascii="Times New Roman" w:cs="Times New Roman" w:hAnsi="Times New Roman"/>
                <w:sz w:val="24"/>
                <w:szCs w:val="24"/>
              </w:rPr>
              <w:t>员工</w:t>
            </w:r>
            <w:r>
              <w:rPr>
                <w:rFonts w:ascii="Times New Roman" w:cs="Times New Roman" w:hAnsi="Times New Roman" w:hint="eastAsia"/>
                <w:sz w:val="24"/>
                <w:szCs w:val="24"/>
                <w:lang w:val="en-US" w:eastAsia="zh-CN"/>
              </w:rPr>
              <w:t>8人</w:t>
            </w:r>
            <w:r>
              <w:rPr>
                <w:rFonts w:ascii="Times New Roman" w:cs="Times New Roman" w:hAnsi="Times New Roman"/>
                <w:sz w:val="24"/>
                <w:szCs w:val="24"/>
              </w:rPr>
              <w:t>，均不提供食宿，用</w:t>
            </w:r>
            <w:r>
              <w:rPr>
                <w:rFonts w:ascii="Times New Roman" w:cs="Times New Roman" w:hAnsi="Times New Roman"/>
                <w:color w:val="auto"/>
                <w:sz w:val="24"/>
                <w:szCs w:val="24"/>
              </w:rPr>
              <w:t>水量以30L/人每天计算，则本项目建成后，员工生活用水约为0.</w:t>
            </w:r>
            <w:r>
              <w:rPr>
                <w:rFonts w:ascii="Times New Roman" w:cs="Times New Roman" w:hAnsi="Times New Roman" w:hint="eastAsia"/>
                <w:color w:val="auto"/>
                <w:sz w:val="24"/>
                <w:szCs w:val="24"/>
                <w:lang w:val="en-US" w:eastAsia="zh-CN"/>
              </w:rPr>
              <w:t>24</w:t>
            </w:r>
            <w:r>
              <w:rPr>
                <w:rFonts w:ascii="Times New Roman" w:cs="Times New Roman" w:hAnsi="Times New Roman"/>
                <w:color w:val="auto"/>
                <w:sz w:val="24"/>
                <w:szCs w:val="24"/>
              </w:rPr>
              <w:t>t/d（</w:t>
            </w:r>
            <w:r>
              <w:rPr>
                <w:rFonts w:ascii="Times New Roman" w:cs="Times New Roman" w:hAnsi="Times New Roman" w:hint="eastAsia"/>
                <w:color w:val="auto"/>
                <w:sz w:val="24"/>
                <w:szCs w:val="24"/>
                <w:lang w:val="en-US" w:eastAsia="zh-CN"/>
              </w:rPr>
              <w:t>87.6</w:t>
            </w:r>
            <w:r>
              <w:rPr>
                <w:rFonts w:ascii="Times New Roman" w:cs="Times New Roman" w:hAnsi="Times New Roman"/>
                <w:color w:val="auto"/>
                <w:sz w:val="24"/>
                <w:szCs w:val="24"/>
              </w:rPr>
              <w:t>t/a），产污系数以0.8计，则项目员工生活用水</w:t>
            </w:r>
            <w:r>
              <w:rPr>
                <w:rFonts w:ascii="Times New Roman" w:cs="Times New Roman" w:hAnsi="Times New Roman"/>
                <w:color w:val="auto"/>
                <w:sz w:val="24"/>
                <w:szCs w:val="24"/>
                <w:lang w:val="en-US" w:eastAsia="zh-CN"/>
              </w:rPr>
              <w:t>排放</w:t>
            </w:r>
            <w:r>
              <w:rPr>
                <w:rFonts w:ascii="Times New Roman" w:cs="Times New Roman" w:hAnsi="Times New Roman"/>
                <w:color w:val="auto"/>
                <w:sz w:val="24"/>
                <w:szCs w:val="24"/>
              </w:rPr>
              <w:t>量为</w:t>
            </w:r>
            <w:r>
              <w:rPr>
                <w:rFonts w:ascii="Times New Roman" w:cs="Times New Roman" w:hAnsi="Times New Roman"/>
                <w:color w:val="auto"/>
                <w:sz w:val="24"/>
                <w:szCs w:val="24"/>
                <w:lang w:val="en-US" w:eastAsia="zh-CN"/>
              </w:rPr>
              <w:t>0.</w:t>
            </w:r>
            <w:r>
              <w:rPr>
                <w:rFonts w:ascii="Times New Roman" w:cs="Times New Roman" w:hAnsi="Times New Roman" w:hint="eastAsia"/>
                <w:color w:val="auto"/>
                <w:sz w:val="24"/>
                <w:szCs w:val="24"/>
                <w:lang w:val="en-US" w:eastAsia="zh-CN"/>
              </w:rPr>
              <w:t>192</w:t>
            </w:r>
            <w:r>
              <w:rPr>
                <w:rFonts w:ascii="Times New Roman" w:cs="Times New Roman" w:hAnsi="Times New Roman"/>
                <w:color w:val="auto"/>
                <w:sz w:val="24"/>
                <w:szCs w:val="24"/>
              </w:rPr>
              <w:t>t/d（</w:t>
            </w:r>
            <w:r>
              <w:rPr>
                <w:rFonts w:ascii="Times New Roman" w:cs="Times New Roman" w:hAnsi="Times New Roman" w:hint="eastAsia"/>
                <w:color w:val="auto"/>
                <w:sz w:val="24"/>
                <w:szCs w:val="24"/>
                <w:lang w:val="en-US" w:eastAsia="zh-CN"/>
              </w:rPr>
              <w:t>70.08</w:t>
            </w:r>
            <w:r>
              <w:rPr>
                <w:rFonts w:ascii="Times New Roman" w:cs="Times New Roman" w:hAnsi="Times New Roman"/>
                <w:color w:val="auto"/>
                <w:sz w:val="24"/>
                <w:szCs w:val="24"/>
              </w:rPr>
              <w:t>t/a）。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baseline"/>
              <w:rPr>
                <w:rFonts w:ascii="Times New Roman" w:eastAsia="宋体" w:cs="Times New Roman" w:hAnsi="Times New Roman"/>
                <w:bCs/>
                <w:color w:val="000000"/>
                <w:sz w:val="24"/>
                <w:lang w:val="en-US" w:eastAsia="zh-CN"/>
              </w:rPr>
            </w:pPr>
            <w:r>
              <w:rPr>
                <w:rFonts w:ascii="Times New Roman" w:cs="Times New Roman" w:hAnsi="Times New Roman" w:hint="eastAsia"/>
                <w:bCs/>
                <w:color w:val="auto"/>
                <w:sz w:val="24"/>
                <w:szCs w:val="20"/>
                <w:lang w:val="en-US" w:eastAsia="zh-CN"/>
              </w:rPr>
              <w:t>顾客生活污水</w:t>
            </w:r>
            <w:r>
              <w:rPr>
                <w:rFonts w:ascii="Times New Roman" w:eastAsia="宋体" w:cs="Times New Roman" w:hAnsi="Times New Roman"/>
                <w:bCs/>
                <w:color w:val="auto"/>
                <w:sz w:val="24"/>
                <w:szCs w:val="20"/>
                <w:lang w:val="en-US" w:eastAsia="zh-CN"/>
              </w:rPr>
              <w:t>：外来司机按最大</w:t>
            </w:r>
            <w:r>
              <w:rPr>
                <w:rFonts w:ascii="Times New Roman" w:cs="Times New Roman" w:hAnsi="Times New Roman" w:hint="eastAsia"/>
                <w:bCs/>
                <w:color w:val="auto"/>
                <w:sz w:val="24"/>
                <w:szCs w:val="20"/>
                <w:lang w:val="en-US" w:eastAsia="zh-CN"/>
              </w:rPr>
              <w:t>5</w:t>
            </w:r>
            <w:r>
              <w:rPr>
                <w:rFonts w:ascii="Times New Roman" w:eastAsia="宋体" w:cs="Times New Roman" w:hAnsi="Times New Roman"/>
                <w:bCs/>
                <w:color w:val="auto"/>
                <w:sz w:val="24"/>
                <w:szCs w:val="20"/>
                <w:lang w:val="en-US" w:eastAsia="zh-CN"/>
              </w:rPr>
              <w:t>0人次/d计，在</w:t>
            </w:r>
            <w:r>
              <w:rPr>
                <w:rFonts w:ascii="Times New Roman" w:eastAsia="宋体" w:cs="Times New Roman" w:hAnsi="Times New Roman"/>
                <w:bCs/>
                <w:color w:val="000000"/>
                <w:sz w:val="24"/>
                <w:szCs w:val="20"/>
                <w:lang w:val="en-US" w:eastAsia="zh-CN"/>
              </w:rPr>
              <w:t>站内活动</w:t>
            </w:r>
            <w:r>
              <w:rPr>
                <w:rFonts w:ascii="Times New Roman" w:cs="Times New Roman" w:hAnsi="Times New Roman" w:hint="eastAsia"/>
                <w:bCs/>
                <w:color w:val="000000"/>
                <w:sz w:val="24"/>
                <w:szCs w:val="20"/>
                <w:lang w:val="en-US" w:eastAsia="zh-CN"/>
              </w:rPr>
              <w:t>概率</w:t>
            </w:r>
            <w:r>
              <w:rPr>
                <w:rFonts w:ascii="Times New Roman" w:eastAsia="宋体" w:cs="Times New Roman" w:hAnsi="Times New Roman"/>
                <w:bCs/>
                <w:color w:val="000000"/>
                <w:sz w:val="24"/>
                <w:szCs w:val="20"/>
                <w:lang w:val="en-US" w:eastAsia="zh-CN"/>
              </w:rPr>
              <w:t>按照</w:t>
            </w:r>
            <w:r>
              <w:rPr>
                <w:rFonts w:ascii="Times New Roman" w:cs="Times New Roman" w:hAnsi="Times New Roman" w:hint="eastAsia"/>
                <w:bCs/>
                <w:color w:val="000000"/>
                <w:sz w:val="24"/>
                <w:szCs w:val="20"/>
                <w:lang w:val="en-US" w:eastAsia="zh-CN"/>
              </w:rPr>
              <w:t>5</w:t>
            </w:r>
            <w:r>
              <w:rPr>
                <w:rFonts w:ascii="Times New Roman" w:eastAsia="宋体" w:cs="Times New Roman" w:hAnsi="Times New Roman"/>
                <w:bCs/>
                <w:color w:val="000000"/>
                <w:sz w:val="24"/>
                <w:szCs w:val="20"/>
                <w:lang w:val="en-US" w:eastAsia="zh-CN"/>
              </w:rPr>
              <w:t>0%计，在站内活动时会产生盥洗水及厕所冲洗水等，人均用水量按</w:t>
            </w:r>
            <w:r>
              <w:rPr>
                <w:rFonts w:ascii="Times New Roman" w:eastAsia="宋体" w:cs="Times New Roman" w:hAnsi="Times New Roman" w:hint="eastAsia"/>
                <w:bCs/>
                <w:color w:val="000000"/>
                <w:sz w:val="24"/>
                <w:szCs w:val="20"/>
                <w:lang w:val="en-US" w:eastAsia="zh-CN"/>
              </w:rPr>
              <w:t>4</w:t>
            </w:r>
            <w:r>
              <w:rPr>
                <w:rFonts w:ascii="Times New Roman" w:eastAsia="宋体" w:cs="Times New Roman" w:hAnsi="Times New Roman"/>
                <w:bCs/>
                <w:color w:val="000000"/>
                <w:sz w:val="24"/>
                <w:szCs w:val="20"/>
                <w:lang w:val="en-US" w:eastAsia="zh-CN"/>
              </w:rPr>
              <w:t>L/人</w:t>
            </w:r>
            <w:r>
              <w:rPr>
                <w:rFonts w:ascii="Times New Roman" w:cs="Times New Roman" w:hAnsi="Times New Roman" w:hint="eastAsia"/>
                <w:bCs/>
                <w:color w:val="000000"/>
                <w:sz w:val="24"/>
                <w:szCs w:val="20"/>
                <w:lang w:val="en-US" w:eastAsia="zh-CN"/>
              </w:rPr>
              <w:t>次</w:t>
            </w:r>
            <w:r>
              <w:rPr>
                <w:rFonts w:ascii="Times New Roman" w:eastAsia="宋体" w:cs="Times New Roman" w:hAnsi="Times New Roman"/>
                <w:bCs/>
                <w:color w:val="000000"/>
                <w:sz w:val="24"/>
                <w:szCs w:val="20"/>
                <w:lang w:val="en-US" w:eastAsia="zh-CN"/>
              </w:rPr>
              <w:t>计算</w:t>
            </w:r>
            <w:r>
              <w:rPr>
                <w:rFonts w:ascii="Times New Roman" w:eastAsia="宋体" w:cs="Times New Roman" w:hAnsi="Times New Roman" w:hint="eastAsia"/>
                <w:bCs/>
                <w:color w:val="000000"/>
                <w:sz w:val="24"/>
                <w:szCs w:val="20"/>
                <w:lang w:val="en-US" w:eastAsia="zh-CN"/>
              </w:rPr>
              <w:t>，</w:t>
            </w:r>
            <w:r>
              <w:rPr>
                <w:rFonts w:ascii="Times New Roman" w:eastAsia="宋体" w:cs="Times New Roman" w:hAnsi="Times New Roman"/>
                <w:bCs/>
                <w:color w:val="000000"/>
                <w:sz w:val="24"/>
                <w:szCs w:val="20"/>
                <w:lang w:val="en-US" w:eastAsia="zh-CN"/>
              </w:rPr>
              <w:t>则</w:t>
            </w:r>
            <w:r>
              <w:rPr>
                <w:rFonts w:ascii="Times New Roman" w:eastAsia="宋体" w:cs="Times New Roman" w:hAnsi="Times New Roman" w:hint="eastAsia"/>
                <w:bCs/>
                <w:color w:val="000000"/>
                <w:sz w:val="24"/>
                <w:szCs w:val="20"/>
                <w:lang w:val="en-US" w:eastAsia="zh-CN"/>
              </w:rPr>
              <w:t>总的生活</w:t>
            </w:r>
            <w:r>
              <w:rPr>
                <w:rFonts w:ascii="Times New Roman" w:eastAsia="宋体" w:cs="Times New Roman" w:hAnsi="Times New Roman"/>
                <w:bCs/>
                <w:color w:val="000000"/>
                <w:sz w:val="24"/>
                <w:szCs w:val="20"/>
                <w:lang w:val="en-US" w:eastAsia="zh-CN"/>
              </w:rPr>
              <w:t>用水量为0.</w:t>
            </w:r>
            <w:r>
              <w:rPr>
                <w:rFonts w:ascii="Times New Roman" w:eastAsia="宋体" w:cs="Times New Roman" w:hAnsi="Times New Roman" w:hint="eastAsia"/>
                <w:bCs/>
                <w:color w:val="000000"/>
                <w:sz w:val="24"/>
                <w:szCs w:val="20"/>
                <w:lang w:val="en-US" w:eastAsia="zh-CN"/>
              </w:rPr>
              <w:t>1</w:t>
            </w:r>
            <w:r>
              <w:rPr>
                <w:rFonts w:ascii="Times New Roman" w:eastAsia="宋体" w:cs="Times New Roman" w:hAnsi="Times New Roman"/>
                <w:bCs/>
                <w:color w:val="000000"/>
                <w:sz w:val="24"/>
                <w:szCs w:val="20"/>
                <w:lang w:val="en-US" w:eastAsia="zh-CN"/>
              </w:rPr>
              <w:t>t/d</w:t>
            </w:r>
            <w:r>
              <w:rPr>
                <w:rFonts w:ascii="Times New Roman" w:cs="Times New Roman" w:hAnsi="Times New Roman"/>
                <w:sz w:val="24"/>
                <w:szCs w:val="24"/>
              </w:rPr>
              <w:t>（</w:t>
            </w:r>
            <w:r>
              <w:rPr>
                <w:rFonts w:ascii="Times New Roman" w:cs="Times New Roman" w:hAnsi="Times New Roman" w:hint="eastAsia"/>
                <w:sz w:val="24"/>
                <w:szCs w:val="24"/>
                <w:lang w:val="en-US" w:eastAsia="zh-CN"/>
              </w:rPr>
              <w:t>36.5</w:t>
            </w:r>
            <w:r>
              <w:rPr>
                <w:rFonts w:ascii="Times New Roman" w:cs="Times New Roman" w:hAnsi="Times New Roman"/>
                <w:sz w:val="24"/>
                <w:szCs w:val="24"/>
              </w:rPr>
              <w:t>t/a）</w:t>
            </w:r>
            <w:r>
              <w:rPr>
                <w:rFonts w:ascii="Times New Roman" w:eastAsia="宋体" w:cs="Times New Roman" w:hAnsi="Times New Roman"/>
                <w:bCs/>
                <w:color w:val="000000"/>
                <w:sz w:val="24"/>
                <w:szCs w:val="20"/>
                <w:lang w:val="en-US" w:eastAsia="zh-CN"/>
              </w:rPr>
              <w:t>，排放系数以0.8计，则</w:t>
            </w:r>
            <w:r>
              <w:rPr>
                <w:rFonts w:ascii="Times New Roman" w:cs="Times New Roman" w:hAnsi="Times New Roman" w:hint="eastAsia"/>
                <w:bCs/>
                <w:color w:val="000000"/>
                <w:sz w:val="24"/>
                <w:szCs w:val="20"/>
                <w:lang w:val="en-US" w:eastAsia="zh-CN"/>
              </w:rPr>
              <w:t>顾客生活污水</w:t>
            </w:r>
            <w:r>
              <w:rPr>
                <w:rFonts w:ascii="Times New Roman" w:eastAsia="宋体" w:cs="Times New Roman" w:hAnsi="Times New Roman"/>
                <w:bCs/>
                <w:color w:val="000000"/>
                <w:sz w:val="24"/>
                <w:szCs w:val="20"/>
                <w:lang w:val="en-US" w:eastAsia="zh-CN"/>
              </w:rPr>
              <w:t>排放量为0.</w:t>
            </w:r>
            <w:r>
              <w:rPr>
                <w:rFonts w:ascii="Times New Roman" w:eastAsia="宋体" w:cs="Times New Roman" w:hAnsi="Times New Roman" w:hint="eastAsia"/>
                <w:bCs/>
                <w:color w:val="000000"/>
                <w:sz w:val="24"/>
                <w:szCs w:val="20"/>
                <w:lang w:val="en-US" w:eastAsia="zh-CN"/>
              </w:rPr>
              <w:t>0</w:t>
            </w:r>
            <w:r>
              <w:rPr>
                <w:rFonts w:ascii="Times New Roman" w:cs="Times New Roman" w:hAnsi="Times New Roman" w:hint="eastAsia"/>
                <w:bCs/>
                <w:color w:val="000000"/>
                <w:sz w:val="24"/>
                <w:szCs w:val="20"/>
                <w:lang w:val="en-US" w:eastAsia="zh-CN"/>
              </w:rPr>
              <w:t>8</w:t>
            </w:r>
            <w:r>
              <w:rPr>
                <w:rFonts w:ascii="Times New Roman" w:eastAsia="宋体" w:cs="Times New Roman" w:hAnsi="Times New Roman"/>
                <w:bCs/>
                <w:color w:val="000000"/>
                <w:sz w:val="24"/>
                <w:szCs w:val="20"/>
                <w:lang w:val="en-US" w:eastAsia="zh-CN"/>
              </w:rPr>
              <w:t>t/d（</w:t>
            </w:r>
            <w:r>
              <w:rPr>
                <w:rFonts w:ascii="Times New Roman" w:cs="Times New Roman" w:hAnsi="Times New Roman" w:hint="eastAsia"/>
                <w:bCs/>
                <w:color w:val="000000"/>
                <w:sz w:val="24"/>
                <w:szCs w:val="20"/>
                <w:lang w:val="en-US" w:eastAsia="zh-CN"/>
              </w:rPr>
              <w:t>29.2</w:t>
            </w:r>
            <w:r>
              <w:rPr>
                <w:rFonts w:ascii="Times New Roman" w:eastAsia="宋体" w:cs="Times New Roman" w:hAnsi="Times New Roman"/>
                <w:bCs/>
                <w:color w:val="000000"/>
                <w:sz w:val="24"/>
                <w:szCs w:val="20"/>
                <w:lang w:val="en-US" w:eastAsia="zh-CN"/>
              </w:rPr>
              <w:t>t/a）。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baseline"/>
              <w:rPr>
                <w:rFonts w:ascii="Times New Roman" w:cs="Times New Roman" w:hAnsi="Times New Roman"/>
                <w:sz w:val="24"/>
                <w:szCs w:val="24"/>
              </w:rPr>
            </w:pPr>
            <w:r>
              <w:rPr>
                <w:rFonts w:ascii="Times New Roman" w:cs="Times New Roman" w:hAnsi="Times New Roman" w:hint="eastAsia"/>
                <w:bCs/>
                <w:color w:val="000000"/>
                <w:sz w:val="24"/>
                <w:szCs w:val="20"/>
                <w:lang w:val="en-US" w:eastAsia="zh-CN"/>
              </w:rPr>
              <w:t>综上所述，本项目生活污水排放量为0.272t/d（99.28t/a），</w:t>
            </w:r>
            <w:r>
              <w:rPr>
                <w:rFonts w:ascii="Times New Roman" w:cs="Times New Roman" w:hAnsi="Times New Roman"/>
                <w:sz w:val="24"/>
                <w:szCs w:val="24"/>
              </w:rPr>
              <w:t>生活污水经厂区化粪池处理后</w:t>
            </w:r>
            <w:r>
              <w:rPr>
                <w:rFonts w:ascii="Times New Roman" w:cs="Times New Roman" w:hAnsi="Times New Roman" w:hint="eastAsia"/>
                <w:bCs/>
                <w:color w:val="auto"/>
                <w:kern w:val="0"/>
                <w:sz w:val="24"/>
                <w:szCs w:val="20"/>
                <w:highlight w:val="none"/>
              </w:rPr>
              <w:t>由集聚区污水管网</w:t>
            </w:r>
            <w:r>
              <w:rPr>
                <w:rFonts w:ascii="Times New Roman" w:cs="Times New Roman" w:hAnsi="Times New Roman"/>
                <w:color w:val="auto"/>
                <w:kern w:val="0"/>
                <w:sz w:val="24"/>
                <w:szCs w:val="20"/>
                <w:highlight w:val="none"/>
              </w:rPr>
              <w:t>排入延津县第二污水处理厂进行处理</w:t>
            </w:r>
            <w:r>
              <w:rPr>
                <w:rFonts w:ascii="Times New Roman" w:cs="Times New Roman" w:hAnsi="Times New Roman"/>
                <w:sz w:val="24"/>
                <w:szCs w:val="24"/>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baseline"/>
              <w:rPr>
                <w:rFonts w:cs="Times New Roman"/>
                <w:bCs/>
                <w:color w:val="000000"/>
                <w:sz w:val="24"/>
                <w:lang w:val="en-US" w:eastAsia="zh-CN"/>
              </w:rPr>
            </w:pPr>
            <w:r>
              <w:rPr>
                <w:rFonts w:ascii="Times New Roman" w:cs="Times New Roman" w:hAnsi="Times New Roman" w:hint="eastAsia"/>
                <w:b/>
                <w:bCs/>
                <w:color w:val="auto"/>
                <w:sz w:val="24"/>
                <w:szCs w:val="20"/>
                <w:u w:val="single"/>
                <w:lang w:val="en-US" w:eastAsia="zh-CN"/>
              </w:rPr>
              <w:t>本项目水平衡见下图</w:t>
            </w:r>
            <w:r>
              <w:rPr>
                <w:rFonts w:ascii="Times New Roman" w:cs="Times New Roman" w:hAnsi="Times New Roman" w:hint="eastAsia"/>
                <w:b/>
                <w:bCs/>
                <w:color w:val="auto"/>
                <w:sz w:val="24"/>
                <w:szCs w:val="20"/>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r>
              <w:rPr>
                <w:rFonts w:ascii="Times New Roman" w:cs="Times New Roman" w:hAnsi="Times New Roman" w:hint="eastAsia"/>
                <w:bCs/>
                <w:color w:val="000000"/>
                <w:sz w:val="24"/>
                <w:szCs w:val="20"/>
                <w:lang w:val="en-US" w:eastAsia="zh-C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filled="f" stroked="f" style="position:absolute;margin-left:37.1pt;margin-top:-1.0pt;width:370.39996pt;height:152.8pt;z-index:147;mso-position-horizontal:absolute;mso-position-vertical:absolute;" o:ole="">
                  <v:stroke color="#000000"/>
                  <v:imagedata r:id="rId8" o:title="image3"/>
                  <o:lock aspectratio="t"/>
                  <w10:wrap type="square"/>
                </v:shape>
                <o:OLEObject Type="Embed" ProgID="Visio.Drawing.15" ShapeID="_x0000_i1025" DrawAspect="Content" ObjectID="_1393063351" r:id="rId9"/>
              </w:objec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ascii="Times New Roman" w:cs="Times New Roman" w:hAnsi="Times New Roman"/>
                <w:b/>
                <w:color w:val="000000"/>
                <w:sz w:val="24"/>
                <w:szCs w:val="24"/>
                <w:u w:val="none"/>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0"/>
              <w:jc w:val="center"/>
              <w:textAlignment w:val="baseline"/>
              <w:rPr>
                <w:rFonts w:cs="Times New Roman" w:hint="eastAsia"/>
                <w:bCs/>
                <w:color w:val="000000"/>
                <w:sz w:val="24"/>
                <w:lang w:val="en-US" w:eastAsia="zh-CN"/>
              </w:rPr>
            </w:pPr>
            <w:r>
              <w:rPr>
                <w:rFonts w:ascii="Times New Roman" w:cs="Times New Roman" w:hAnsi="Times New Roman"/>
                <w:b/>
                <w:color w:val="000000"/>
                <w:sz w:val="24"/>
                <w:szCs w:val="24"/>
                <w:u w:val="none"/>
              </w:rPr>
              <w:t>图</w:t>
            </w:r>
            <w:r>
              <w:rPr>
                <w:rFonts w:ascii="Times New Roman" w:cs="Times New Roman" w:hAnsi="Times New Roman" w:hint="eastAsia"/>
                <w:b/>
                <w:color w:val="000000"/>
                <w:sz w:val="24"/>
                <w:szCs w:val="24"/>
                <w:u w:val="none"/>
                <w:lang w:val="en-US" w:eastAsia="zh-CN"/>
              </w:rPr>
              <w:t>3</w:t>
            </w:r>
            <w:r>
              <w:rPr>
                <w:rFonts w:ascii="Times New Roman" w:cs="Times New Roman" w:hAnsi="Times New Roman"/>
                <w:b/>
                <w:color w:val="000000"/>
                <w:sz w:val="24"/>
                <w:szCs w:val="24"/>
                <w:u w:val="none"/>
              </w:rPr>
              <w:t xml:space="preserve">  本项目水平衡图（</w:t>
            </w:r>
            <w:r>
              <w:rPr>
                <w:rFonts w:ascii="Times New Roman" w:cs="Times New Roman" w:hAnsi="Times New Roman" w:hint="eastAsia"/>
                <w:b/>
                <w:bCs/>
                <w:color w:val="000000"/>
                <w:sz w:val="24"/>
                <w:szCs w:val="24"/>
                <w:u w:val="none"/>
                <w:lang w:val="en-US" w:eastAsia="zh-CN"/>
              </w:rPr>
              <w:t>t</w:t>
            </w:r>
            <w:r>
              <w:rPr>
                <w:rFonts w:ascii="Times New Roman" w:cs="Times New Roman" w:hAnsi="Times New Roman"/>
                <w:b/>
                <w:bCs/>
                <w:color w:val="000000"/>
                <w:sz w:val="24"/>
                <w:szCs w:val="24"/>
                <w:u w:val="none"/>
              </w:rPr>
              <w:t>/d</w:t>
            </w:r>
            <w:r>
              <w:rPr>
                <w:rFonts w:ascii="Times New Roman" w:cs="Times New Roman" w:hAnsi="Times New Roman"/>
                <w:b/>
                <w:color w:val="000000"/>
                <w:sz w:val="24"/>
                <w:szCs w:val="24"/>
                <w:u w:val="none"/>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baseline"/>
              <w:rPr>
                <w:rFonts w:cs="Times New Roman"/>
                <w:b/>
                <w:bCs w:val="0"/>
                <w:color w:val="000000"/>
                <w:sz w:val="24"/>
                <w:lang w:val="en-US" w:eastAsia="zh-CN"/>
              </w:rPr>
            </w:pPr>
            <w:r>
              <w:rPr>
                <w:rFonts w:ascii="Times New Roman" w:cs="Times New Roman" w:hAnsi="Times New Roman" w:hint="eastAsia"/>
                <w:b/>
                <w:bCs w:val="0"/>
                <w:color w:val="000000"/>
                <w:sz w:val="24"/>
                <w:szCs w:val="20"/>
                <w:lang w:val="en-US" w:eastAsia="zh-CN"/>
              </w:rPr>
              <w:t>7、</w:t>
            </w:r>
            <w:r>
              <w:rPr>
                <w:rFonts w:ascii="Times New Roman" w:cs="Times New Roman" w:hAnsi="Times New Roman"/>
                <w:b/>
                <w:bCs w:val="0"/>
                <w:color w:val="000000"/>
                <w:sz w:val="24"/>
                <w:szCs w:val="20"/>
                <w:lang w:val="en-US" w:eastAsia="zh-CN"/>
              </w:rPr>
              <w:t>加油站等级、规模</w:t>
            </w:r>
          </w:p>
          <w:p>
            <w:pPr>
              <w:pStyle w:val="19"/>
              <w:keepNext w:val="0"/>
              <w:keepLines w:val="0"/>
              <w:pageBreakBefore w:val="0"/>
              <w:widowControl w:val="0"/>
              <w:suppressLineNumbers w:val="0"/>
              <w:tabs>
                <w:tab w:val="left" w:pos="210"/>
              </w:tabs>
              <w:kinsoku/>
              <w:wordWrap/>
              <w:overflowPunct/>
              <w:topLinePunct w:val="0"/>
              <w:autoSpaceDE w:val="0"/>
              <w:autoSpaceDN w:val="0"/>
              <w:bidi w:val="0"/>
              <w:adjustRightInd/>
              <w:snapToGrid/>
              <w:spacing w:before="0" w:beforeAutospacing="0" w:after="0" w:afterAutospacing="0" w:line="440" w:lineRule="exact"/>
              <w:ind w:left="0" w:right="0" w:firstLineChars="200" w:firstLine="480"/>
              <w:textAlignment w:val="auto"/>
              <w:outlineLvl w:val="9"/>
              <w:rPr>
                <w:rFonts w:hint="eastAsia"/>
                <w:sz w:val="24"/>
                <w:szCs w:val="24"/>
                <w:lang w:val="en-US" w:eastAsia="zh-CN"/>
              </w:rPr>
            </w:pPr>
            <w:r>
              <w:rPr>
                <w:rFonts w:ascii="Times New Roman" w:cs="Times New Roman" w:hAnsi="Times New Roman" w:hint="eastAsia"/>
                <w:sz w:val="24"/>
                <w:szCs w:val="24"/>
                <w:lang w:val="en-US" w:eastAsia="zh-CN"/>
              </w:rPr>
              <w:t>根据《汽车加油加气加氢站技术标准》（GB50156-2021），本项目加油站等级划分见下表。</w:t>
            </w:r>
          </w:p>
          <w:p>
            <w:pPr>
              <w:pStyle w:val="75"/>
              <w:keepNext/>
              <w:keepLines w:val="0"/>
              <w:pageBreakBefore w:val="0"/>
              <w:widowControl w:val="0"/>
              <w:suppressLineNumbers w:val="0"/>
              <w:kinsoku/>
              <w:wordWrap/>
              <w:topLinePunct w:val="0"/>
              <w:bidi w:val="0"/>
              <w:adjustRightInd/>
              <w:spacing w:before="0" w:beforeAutospacing="0" w:after="0" w:afterAutospacing="0" w:line="240" w:lineRule="auto"/>
              <w:ind w:left="0" w:right="0" w:firstLine="420"/>
              <w:outlineLvl w:val="9"/>
              <w:rPr>
                <w:lang w:val="en-US" w:eastAsia="zh-CN"/>
              </w:rPr>
            </w:pPr>
            <w:r>
              <w:rPr>
                <w:rFonts w:ascii="Times New Roman" w:cs="Times New Roman" w:hAnsi="Times New Roman" w:hint="eastAsia"/>
                <w:sz w:val="24"/>
                <w:szCs w:val="20"/>
                <w:lang w:val="en-US" w:eastAsia="zh-CN"/>
              </w:rPr>
              <w:t xml:space="preserve">  加油站等级划分</w:t>
            </w:r>
          </w:p>
          <w:tbl>
            <w:tblPr>
              <w:jc w:val="cente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540"/>
              <w:gridCol w:w="3817"/>
              <w:gridCol w:w="3413"/>
            </w:tblGrid>
            <w:tr>
              <w:trPr>
                <w:trHeight w:val="397"/>
              </w:trPr>
              <w:tc>
                <w:tcPr>
                  <w:tcW w:w="878" w:type="pct"/>
                  <w:vMerge w:val="restart"/>
                  <w:tcBorders>
                    <w:tl2br w:val="nil"/>
                    <w:tr2bl w:val="nil"/>
                  </w:tcBorders>
                  <w:tcMar>
                    <w:top w:w="85" w:type="dxa"/>
                    <w:bottom w:w="85" w:type="dxa"/>
                  </w:tcMar>
                  <w:vAlign w:val="center"/>
                </w:tcPr>
                <w:p>
                  <w:pPr>
                    <w:pStyle w:val="55"/>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b/>
                      <w:snapToGrid w:val="0"/>
                      <w:sz w:val="21"/>
                      <w:szCs w:val="21"/>
                      <w:lang w:eastAsia="zh-CN"/>
                    </w:rPr>
                  </w:pPr>
                  <w:r>
                    <w:rPr>
                      <w:rFonts w:ascii="Times New Roman" w:eastAsia="宋体" w:cs="Times New Roman" w:hAnsi="Times New Roman"/>
                      <w:b/>
                      <w:sz w:val="21"/>
                      <w:szCs w:val="21"/>
                      <w:lang w:eastAsia="zh-CN"/>
                    </w:rPr>
                    <w:t>序号</w:t>
                  </w:r>
                </w:p>
              </w:tc>
              <w:tc>
                <w:tcPr>
                  <w:tcW w:w="4121" w:type="pct"/>
                  <w:gridSpan w:val="2"/>
                  <w:tcBorders>
                    <w:tl2br w:val="nil"/>
                    <w:tr2bl w:val="nil"/>
                  </w:tcBorders>
                  <w:vAlign w:val="center"/>
                </w:tcPr>
                <w:p>
                  <w:pPr>
                    <w:pStyle w:val="55"/>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b/>
                      <w:bCs/>
                      <w:snapToGrid w:val="0"/>
                      <w:sz w:val="21"/>
                      <w:szCs w:val="21"/>
                      <w:lang w:eastAsia="zh-CN"/>
                    </w:rPr>
                  </w:pPr>
                  <w:r>
                    <w:rPr>
                      <w:rFonts w:ascii="Times New Roman" w:eastAsia="宋体" w:cs="Times New Roman" w:hAnsi="Times New Roman"/>
                      <w:b/>
                      <w:bCs/>
                      <w:snapToGrid w:val="0"/>
                      <w:sz w:val="21"/>
                      <w:szCs w:val="21"/>
                      <w:lang w:eastAsia="zh-CN"/>
                    </w:rPr>
                    <w:t>油罐容积（m</w:t>
                  </w:r>
                  <w:r>
                    <w:rPr>
                      <w:rFonts w:ascii="Times New Roman" w:eastAsia="宋体" w:cs="Times New Roman" w:hAnsi="Times New Roman"/>
                      <w:b/>
                      <w:bCs/>
                      <w:snapToGrid w:val="0"/>
                      <w:sz w:val="21"/>
                      <w:szCs w:val="21"/>
                      <w:vertAlign w:val="superscript"/>
                      <w:lang w:eastAsia="zh-CN"/>
                    </w:rPr>
                    <w:t>3</w:t>
                  </w:r>
                  <w:r>
                    <w:rPr>
                      <w:rFonts w:ascii="Times New Roman" w:eastAsia="宋体" w:cs="Times New Roman" w:hAnsi="Times New Roman"/>
                      <w:b/>
                      <w:bCs/>
                      <w:snapToGrid w:val="0"/>
                      <w:sz w:val="21"/>
                      <w:szCs w:val="21"/>
                      <w:lang w:eastAsia="zh-CN"/>
                    </w:rPr>
                    <w:t>）</w:t>
                  </w:r>
                </w:p>
              </w:tc>
            </w:tr>
            <w:tr>
              <w:trPr>
                <w:trHeight w:val="397"/>
              </w:trPr>
              <w:tc>
                <w:tcPr>
                  <w:tcW w:w="878" w:type="pct"/>
                  <w:vMerge/>
                  <w:tcBorders>
                    <w:tl2br w:val="nil"/>
                    <w:tr2bl w:val="nil"/>
                  </w:tcBorders>
                  <w:vAlign w:val="center"/>
                </w:tcPr>
                <w:p/>
              </w:tc>
              <w:tc>
                <w:tcPr>
                  <w:tcW w:w="2176"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b/>
                      <w:sz w:val="21"/>
                      <w:szCs w:val="21"/>
                    </w:rPr>
                  </w:pPr>
                  <w:r>
                    <w:rPr>
                      <w:rFonts w:ascii="Times New Roman" w:eastAsia="宋体" w:cs="Times New Roman" w:hAnsi="Times New Roman"/>
                      <w:b/>
                      <w:kern w:val="0"/>
                      <w:sz w:val="21"/>
                      <w:szCs w:val="21"/>
                    </w:rPr>
                    <w:t>总容积</w:t>
                  </w:r>
                </w:p>
              </w:tc>
              <w:tc>
                <w:tcPr>
                  <w:tcW w:w="1944"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b/>
                      <w:snapToGrid w:val="0"/>
                      <w:kern w:val="0"/>
                      <w:sz w:val="21"/>
                      <w:szCs w:val="21"/>
                      <w:lang w:val="zh-CN"/>
                    </w:rPr>
                  </w:pPr>
                  <w:r>
                    <w:rPr>
                      <w:rFonts w:ascii="Times New Roman" w:eastAsia="宋体" w:cs="Times New Roman" w:hAnsi="Times New Roman"/>
                      <w:b/>
                      <w:kern w:val="0"/>
                      <w:sz w:val="21"/>
                      <w:szCs w:val="21"/>
                    </w:rPr>
                    <w:t>单罐容积</w:t>
                  </w:r>
                </w:p>
              </w:tc>
            </w:tr>
            <w:tr>
              <w:trPr>
                <w:trHeight w:val="397"/>
              </w:trPr>
              <w:tc>
                <w:tcPr>
                  <w:tcW w:w="878" w:type="pct"/>
                  <w:tcBorders>
                    <w:tl2br w:val="nil"/>
                    <w:tr2bl w:val="nil"/>
                  </w:tcBorders>
                  <w:tcMar>
                    <w:top w:w="85" w:type="dxa"/>
                    <w:bottom w:w="85" w:type="dxa"/>
                  </w:tcMar>
                  <w:vAlign w:val="center"/>
                </w:tcPr>
                <w:p>
                  <w:pPr>
                    <w:pStyle w:val="55"/>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kern w:val="2"/>
                      <w:sz w:val="21"/>
                      <w:szCs w:val="21"/>
                      <w:lang w:eastAsia="zh-CN"/>
                    </w:rPr>
                  </w:pPr>
                  <w:r>
                    <w:rPr>
                      <w:rFonts w:ascii="Times New Roman" w:eastAsia="宋体" w:cs="Times New Roman" w:hAnsi="Times New Roman"/>
                      <w:sz w:val="21"/>
                      <w:szCs w:val="21"/>
                      <w:lang w:eastAsia="zh-CN"/>
                    </w:rPr>
                    <w:t>一级</w:t>
                  </w:r>
                </w:p>
              </w:tc>
              <w:tc>
                <w:tcPr>
                  <w:tcW w:w="2176"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kern w:val="0"/>
                      <w:sz w:val="21"/>
                      <w:szCs w:val="21"/>
                    </w:rPr>
                    <w:t>150＜V≤210</w:t>
                  </w:r>
                </w:p>
              </w:tc>
              <w:tc>
                <w:tcPr>
                  <w:tcW w:w="1944"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snapToGrid w:val="0"/>
                      <w:kern w:val="0"/>
                      <w:sz w:val="21"/>
                      <w:szCs w:val="21"/>
                    </w:rPr>
                  </w:pPr>
                  <w:r>
                    <w:rPr>
                      <w:rFonts w:ascii="Times New Roman" w:eastAsia="宋体" w:cs="Times New Roman" w:hAnsi="Times New Roman"/>
                      <w:kern w:val="0"/>
                      <w:sz w:val="21"/>
                      <w:szCs w:val="21"/>
                    </w:rPr>
                    <w:t>≤50</w:t>
                  </w:r>
                </w:p>
              </w:tc>
            </w:tr>
            <w:tr>
              <w:trPr>
                <w:trHeight w:val="397"/>
              </w:trPr>
              <w:tc>
                <w:tcPr>
                  <w:tcW w:w="878" w:type="pct"/>
                  <w:tcBorders>
                    <w:tl2br w:val="nil"/>
                    <w:tr2bl w:val="nil"/>
                  </w:tcBorders>
                  <w:tcMar>
                    <w:top w:w="85" w:type="dxa"/>
                    <w:bottom w:w="85" w:type="dxa"/>
                  </w:tcMar>
                  <w:vAlign w:val="center"/>
                </w:tcPr>
                <w:p>
                  <w:pPr>
                    <w:pStyle w:val="55"/>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kern w:val="2"/>
                      <w:sz w:val="21"/>
                      <w:szCs w:val="21"/>
                      <w:lang w:eastAsia="zh-CN"/>
                    </w:rPr>
                  </w:pPr>
                  <w:r>
                    <w:rPr>
                      <w:rFonts w:ascii="Times New Roman" w:eastAsia="宋体" w:cs="Times New Roman" w:hAnsi="Times New Roman"/>
                      <w:sz w:val="21"/>
                      <w:szCs w:val="21"/>
                      <w:lang w:eastAsia="zh-CN"/>
                    </w:rPr>
                    <w:t>二级</w:t>
                  </w:r>
                </w:p>
              </w:tc>
              <w:tc>
                <w:tcPr>
                  <w:tcW w:w="2176"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kern w:val="0"/>
                      <w:sz w:val="21"/>
                      <w:szCs w:val="21"/>
                    </w:rPr>
                    <w:t>90＜V≤150</w:t>
                  </w:r>
                </w:p>
              </w:tc>
              <w:tc>
                <w:tcPr>
                  <w:tcW w:w="1944"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snapToGrid w:val="0"/>
                      <w:kern w:val="0"/>
                      <w:sz w:val="21"/>
                      <w:szCs w:val="21"/>
                    </w:rPr>
                  </w:pPr>
                  <w:r>
                    <w:rPr>
                      <w:rFonts w:ascii="Times New Roman" w:eastAsia="宋体" w:cs="Times New Roman" w:hAnsi="Times New Roman"/>
                      <w:kern w:val="0"/>
                      <w:sz w:val="21"/>
                      <w:szCs w:val="21"/>
                    </w:rPr>
                    <w:t>≤50</w:t>
                  </w:r>
                </w:p>
              </w:tc>
            </w:tr>
            <w:tr>
              <w:trPr>
                <w:trHeight w:val="397"/>
              </w:trPr>
              <w:tc>
                <w:tcPr>
                  <w:tcW w:w="878" w:type="pct"/>
                  <w:tcBorders>
                    <w:tl2br w:val="nil"/>
                    <w:tr2bl w:val="nil"/>
                  </w:tcBorders>
                  <w:tcMar>
                    <w:top w:w="85" w:type="dxa"/>
                    <w:bottom w:w="85" w:type="dxa"/>
                  </w:tcMar>
                  <w:vAlign w:val="center"/>
                </w:tcPr>
                <w:p>
                  <w:pPr>
                    <w:pStyle w:val="55"/>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kern w:val="2"/>
                      <w:sz w:val="21"/>
                      <w:szCs w:val="21"/>
                      <w:lang w:eastAsia="zh-CN"/>
                    </w:rPr>
                  </w:pPr>
                  <w:r>
                    <w:rPr>
                      <w:rFonts w:ascii="Times New Roman" w:eastAsia="宋体" w:cs="Times New Roman" w:hAnsi="Times New Roman"/>
                      <w:sz w:val="21"/>
                      <w:szCs w:val="21"/>
                      <w:lang w:eastAsia="zh-CN"/>
                    </w:rPr>
                    <w:t>三级</w:t>
                  </w:r>
                </w:p>
              </w:tc>
              <w:tc>
                <w:tcPr>
                  <w:tcW w:w="2176"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kern w:val="0"/>
                      <w:sz w:val="21"/>
                      <w:szCs w:val="21"/>
                    </w:rPr>
                    <w:t>V≤90</w:t>
                  </w:r>
                </w:p>
              </w:tc>
              <w:tc>
                <w:tcPr>
                  <w:tcW w:w="1944" w:type="pct"/>
                  <w:tcBorders>
                    <w:tl2br w:val="nil"/>
                    <w:tr2bl w:val="nil"/>
                  </w:tcBorders>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snapToGrid w:val="0"/>
                      <w:kern w:val="0"/>
                      <w:sz w:val="21"/>
                      <w:szCs w:val="21"/>
                    </w:rPr>
                  </w:pPr>
                  <w:r>
                    <w:rPr>
                      <w:rFonts w:ascii="Times New Roman" w:eastAsia="宋体" w:cs="Times New Roman" w:hAnsi="Times New Roman"/>
                      <w:kern w:val="0"/>
                      <w:sz w:val="21"/>
                      <w:szCs w:val="21"/>
                    </w:rPr>
                    <w:t>汽油罐≤30，柴油罐≤50</w:t>
                  </w:r>
                </w:p>
              </w:tc>
            </w:tr>
            <w:tr>
              <w:trPr>
                <w:trHeight w:val="431"/>
              </w:trPr>
              <w:tc>
                <w:tcPr>
                  <w:tcW w:w="5000" w:type="pct"/>
                  <w:gridSpan w:val="3"/>
                  <w:tcBorders>
                    <w:tl2br w:val="nil"/>
                    <w:tr2bl w:val="nil"/>
                  </w:tcBorders>
                  <w:tcMar>
                    <w:top w:w="85" w:type="dxa"/>
                    <w:bottom w:w="85" w:type="dxa"/>
                  </w:tcMar>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Chars="200" w:firstLine="420"/>
                    <w:jc w:val="left"/>
                    <w:textAlignment w:val="auto"/>
                    <w:rPr>
                      <w:rFonts w:ascii="Times New Roman" w:eastAsia="宋体" w:cs="Times New Roman" w:hAnsi="Times New Roman"/>
                      <w:sz w:val="21"/>
                      <w:szCs w:val="21"/>
                    </w:rPr>
                  </w:pPr>
                  <w:r>
                    <w:rPr>
                      <w:rFonts w:ascii="Times New Roman" w:eastAsia="宋体" w:cs="Times New Roman" w:hAnsi="Times New Roman"/>
                      <w:b/>
                      <w:bCs/>
                      <w:kern w:val="0"/>
                      <w:sz w:val="21"/>
                      <w:szCs w:val="21"/>
                      <w:u w:val="single"/>
                    </w:rPr>
                    <w:t>注：V为油罐总容积；柴油罐容积可折半计入油罐总容积</w:t>
                  </w:r>
                </w:p>
              </w:tc>
            </w:tr>
          </w:tbl>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Chars="211" w:firstLine="509"/>
              <w:textAlignment w:val="baseline"/>
              <w:rPr>
                <w:rFonts w:ascii="宋体" w:hAnsi="宋体" w:hint="eastAsia"/>
                <w:b/>
                <w:color w:val="auto"/>
                <w:sz w:val="24"/>
                <w:highlight w:val="none"/>
              </w:rPr>
            </w:pPr>
            <w:r>
              <w:rPr>
                <w:rFonts w:ascii="Times New Roman" w:cs="Times New Roman" w:hAnsi="Times New Roman"/>
                <w:sz w:val="24"/>
                <w:szCs w:val="20"/>
                <w:u w:val="single"/>
              </w:rPr>
              <w:t>本项目储油能力：设置</w:t>
            </w:r>
            <w:r>
              <w:rPr>
                <w:rFonts w:ascii="Times New Roman" w:cs="Times New Roman" w:hAnsi="Times New Roman" w:hint="eastAsia"/>
                <w:sz w:val="24"/>
                <w:szCs w:val="20"/>
                <w:u w:val="single"/>
                <w:lang w:val="en-US" w:eastAsia="zh-CN"/>
              </w:rPr>
              <w:t>2</w:t>
            </w:r>
            <w:r>
              <w:rPr>
                <w:rFonts w:ascii="Times New Roman" w:cs="Times New Roman" w:hAnsi="Times New Roman"/>
                <w:sz w:val="24"/>
                <w:szCs w:val="20"/>
                <w:u w:val="single"/>
              </w:rPr>
              <w:t>个</w:t>
            </w:r>
            <w:r>
              <w:rPr>
                <w:rFonts w:ascii="Times New Roman" w:cs="Times New Roman" w:hAnsi="Times New Roman" w:hint="eastAsia"/>
                <w:sz w:val="24"/>
                <w:szCs w:val="20"/>
                <w:u w:val="single"/>
                <w:lang w:val="en-US" w:eastAsia="zh-CN"/>
              </w:rPr>
              <w:t>3</w:t>
            </w:r>
            <w:r>
              <w:rPr>
                <w:rFonts w:ascii="Times New Roman" w:cs="Times New Roman" w:hAnsi="Times New Roman"/>
                <w:sz w:val="24"/>
                <w:szCs w:val="20"/>
                <w:u w:val="single"/>
              </w:rPr>
              <w:t>0m</w:t>
            </w:r>
            <w:r>
              <w:rPr>
                <w:rFonts w:ascii="Times New Roman" w:cs="Times New Roman" w:hAnsi="Times New Roman"/>
                <w:sz w:val="24"/>
                <w:szCs w:val="20"/>
                <w:u w:val="single"/>
                <w:vertAlign w:val="superscript"/>
              </w:rPr>
              <w:t>3</w:t>
            </w:r>
            <w:r>
              <w:rPr>
                <w:rFonts w:ascii="Times New Roman" w:cs="Times New Roman" w:hAnsi="Times New Roman"/>
                <w:sz w:val="24"/>
                <w:szCs w:val="20"/>
                <w:u w:val="single"/>
              </w:rPr>
              <w:t>汽油储罐，</w:t>
            </w:r>
            <w:r>
              <w:rPr>
                <w:rFonts w:ascii="Times New Roman" w:cs="Times New Roman" w:hAnsi="Times New Roman" w:hint="eastAsia"/>
                <w:sz w:val="24"/>
                <w:szCs w:val="20"/>
                <w:u w:val="single"/>
                <w:lang w:val="en-US" w:eastAsia="zh-CN"/>
              </w:rPr>
              <w:t>2</w:t>
            </w:r>
            <w:r>
              <w:rPr>
                <w:rFonts w:ascii="Times New Roman" w:cs="Times New Roman" w:hAnsi="Times New Roman"/>
                <w:sz w:val="24"/>
                <w:szCs w:val="20"/>
                <w:u w:val="single"/>
              </w:rPr>
              <w:t>个</w:t>
            </w:r>
            <w:r>
              <w:rPr>
                <w:rFonts w:ascii="Times New Roman" w:cs="Times New Roman" w:hAnsi="Times New Roman" w:hint="eastAsia"/>
                <w:sz w:val="24"/>
                <w:szCs w:val="20"/>
                <w:u w:val="single"/>
                <w:lang w:val="en-US" w:eastAsia="zh-CN"/>
              </w:rPr>
              <w:t>3</w:t>
            </w:r>
            <w:r>
              <w:rPr>
                <w:rFonts w:ascii="Times New Roman" w:cs="Times New Roman" w:hAnsi="Times New Roman"/>
                <w:sz w:val="24"/>
                <w:szCs w:val="20"/>
                <w:u w:val="single"/>
              </w:rPr>
              <w:t>0m</w:t>
            </w:r>
            <w:r>
              <w:rPr>
                <w:rFonts w:ascii="Times New Roman" w:cs="Times New Roman" w:hAnsi="Times New Roman"/>
                <w:sz w:val="24"/>
                <w:szCs w:val="20"/>
                <w:u w:val="single"/>
                <w:vertAlign w:val="superscript"/>
              </w:rPr>
              <w:t>3</w:t>
            </w:r>
            <w:r>
              <w:rPr>
                <w:rFonts w:ascii="Times New Roman" w:cs="Times New Roman" w:hAnsi="Times New Roman" w:hint="eastAsia"/>
                <w:sz w:val="24"/>
                <w:szCs w:val="20"/>
                <w:u w:val="single"/>
                <w:lang w:eastAsia="zh-CN"/>
              </w:rPr>
              <w:t>柴油</w:t>
            </w:r>
            <w:r>
              <w:rPr>
                <w:rFonts w:ascii="Times New Roman" w:cs="Times New Roman" w:hAnsi="Times New Roman"/>
                <w:sz w:val="24"/>
                <w:szCs w:val="20"/>
                <w:u w:val="single"/>
              </w:rPr>
              <w:t>储罐</w:t>
            </w:r>
            <w:r>
              <w:rPr>
                <w:rFonts w:ascii="Times New Roman" w:cs="Times New Roman" w:hAnsi="Times New Roman" w:hint="eastAsia"/>
                <w:sz w:val="24"/>
                <w:szCs w:val="20"/>
                <w:u w:val="single"/>
                <w:lang w:eastAsia="zh-CN"/>
              </w:rPr>
              <w:t>，</w:t>
            </w:r>
            <w:r>
              <w:rPr>
                <w:rFonts w:ascii="Times New Roman" w:cs="Times New Roman" w:hAnsi="Times New Roman"/>
                <w:sz w:val="24"/>
                <w:szCs w:val="20"/>
                <w:u w:val="single"/>
              </w:rPr>
              <w:t>油罐均为地埋式，则储油罐总容积</w:t>
            </w:r>
            <w:r>
              <w:rPr>
                <w:rFonts w:ascii="Times New Roman" w:cs="Times New Roman" w:hAnsi="Times New Roman" w:hint="eastAsia"/>
                <w:sz w:val="24"/>
                <w:szCs w:val="20"/>
                <w:u w:val="single"/>
                <w:lang w:val="en-US" w:eastAsia="zh-CN"/>
              </w:rPr>
              <w:t>90</w:t>
            </w:r>
            <w:r>
              <w:rPr>
                <w:rFonts w:ascii="Times New Roman" w:cs="Times New Roman" w:hAnsi="Times New Roman"/>
                <w:sz w:val="24"/>
                <w:szCs w:val="20"/>
                <w:u w:val="single"/>
              </w:rPr>
              <w:t>m</w:t>
            </w:r>
            <w:r>
              <w:rPr>
                <w:rFonts w:ascii="Times New Roman" w:cs="Times New Roman" w:hAnsi="Times New Roman"/>
                <w:sz w:val="24"/>
                <w:szCs w:val="20"/>
                <w:u w:val="single"/>
                <w:vertAlign w:val="superscript"/>
              </w:rPr>
              <w:t>3</w:t>
            </w:r>
            <w:r>
              <w:rPr>
                <w:rFonts w:ascii="Times New Roman" w:cs="Times New Roman" w:hAnsi="Times New Roman" w:hint="eastAsia"/>
                <w:sz w:val="24"/>
                <w:szCs w:val="20"/>
                <w:u w:val="single"/>
                <w:vertAlign w:val="baseline"/>
                <w:lang w:eastAsia="zh-CN"/>
              </w:rPr>
              <w:t>（</w:t>
            </w:r>
            <w:r>
              <w:rPr>
                <w:rFonts w:ascii="Times New Roman" w:cs="Times New Roman" w:hAnsi="Times New Roman" w:hint="eastAsia"/>
                <w:sz w:val="24"/>
                <w:szCs w:val="20"/>
                <w:u w:val="single"/>
                <w:vertAlign w:val="baseline"/>
                <w:lang w:val="en-US" w:eastAsia="zh-CN"/>
              </w:rPr>
              <w:t>V</w:t>
            </w:r>
            <w:r>
              <w:rPr>
                <w:rFonts w:ascii="Times New Roman" w:cs="Times New Roman" w:hAnsi="Times New Roman" w:hint="eastAsia"/>
                <w:sz w:val="24"/>
                <w:szCs w:val="20"/>
                <w:u w:val="single"/>
                <w:vertAlign w:val="subscript"/>
                <w:lang w:val="en-US" w:eastAsia="zh-CN"/>
              </w:rPr>
              <w:t>汽</w:t>
            </w:r>
            <w:r>
              <w:rPr>
                <w:rFonts w:ascii="Times New Roman" w:cs="Times New Roman" w:hAnsi="Times New Roman" w:hint="eastAsia"/>
                <w:sz w:val="24"/>
                <w:szCs w:val="20"/>
                <w:u w:val="single"/>
                <w:vertAlign w:val="baseline"/>
                <w:lang w:val="en-US" w:eastAsia="zh-CN"/>
              </w:rPr>
              <w:t>+1/2V</w:t>
            </w:r>
            <w:r>
              <w:rPr>
                <w:rFonts w:ascii="Times New Roman" w:cs="Times New Roman" w:hAnsi="Times New Roman" w:hint="eastAsia"/>
                <w:sz w:val="24"/>
                <w:szCs w:val="20"/>
                <w:u w:val="single"/>
                <w:vertAlign w:val="subscript"/>
                <w:lang w:val="en-US" w:eastAsia="zh-CN"/>
              </w:rPr>
              <w:t>柴</w:t>
            </w:r>
            <w:r>
              <w:rPr>
                <w:rFonts w:ascii="Times New Roman" w:cs="Times New Roman" w:hAnsi="Times New Roman" w:hint="eastAsia"/>
                <w:sz w:val="24"/>
                <w:szCs w:val="20"/>
                <w:u w:val="single"/>
                <w:vertAlign w:val="baseline"/>
                <w:lang w:val="en-US" w:eastAsia="zh-CN"/>
              </w:rPr>
              <w:t>=60+1/2×60=90</w:t>
            </w:r>
            <w:r>
              <w:rPr>
                <w:rFonts w:ascii="Times New Roman" w:cs="Times New Roman" w:hAnsi="Times New Roman" w:hint="eastAsia"/>
                <w:sz w:val="24"/>
                <w:szCs w:val="20"/>
                <w:u w:val="single"/>
                <w:vertAlign w:val="baseline"/>
                <w:lang w:eastAsia="zh-CN"/>
              </w:rPr>
              <w:t>）</w:t>
            </w:r>
            <w:r>
              <w:rPr>
                <w:rFonts w:ascii="Times New Roman" w:cs="Times New Roman" w:hAnsi="Times New Roman"/>
                <w:sz w:val="24"/>
                <w:szCs w:val="20"/>
                <w:u w:val="single"/>
              </w:rPr>
              <w:t>，因此本加油站级别为</w:t>
            </w:r>
            <w:r>
              <w:rPr>
                <w:rFonts w:ascii="Times New Roman" w:cs="Times New Roman" w:hAnsi="Times New Roman" w:hint="eastAsia"/>
                <w:sz w:val="24"/>
                <w:szCs w:val="20"/>
                <w:u w:val="single"/>
                <w:lang w:val="en-US" w:eastAsia="zh-CN"/>
              </w:rPr>
              <w:t>三</w:t>
            </w:r>
            <w:r>
              <w:rPr>
                <w:rFonts w:ascii="Times New Roman" w:cs="Times New Roman" w:hAnsi="Times New Roman"/>
                <w:sz w:val="24"/>
                <w:szCs w:val="20"/>
                <w:u w:val="single"/>
              </w:rPr>
              <w:t>级站。</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Chars="211" w:firstLine="509"/>
              <w:textAlignment w:val="baseline"/>
              <w:rPr>
                <w:rFonts w:ascii="宋体" w:eastAsia="宋体" w:hAnsi="宋体"/>
                <w:b/>
                <w:color w:val="auto"/>
                <w:sz w:val="24"/>
                <w:lang w:val="en-US" w:eastAsia="zh-CN"/>
                <w:highlight w:val="none"/>
              </w:rPr>
            </w:pPr>
            <w:r>
              <w:rPr>
                <w:rFonts w:ascii="Times New Roman" w:cs="Times New Roman" w:hAnsi="Times New Roman" w:hint="eastAsia"/>
                <w:b/>
                <w:color w:val="auto"/>
                <w:sz w:val="24"/>
                <w:szCs w:val="20"/>
                <w:lang w:val="en-US" w:eastAsia="zh-CN"/>
                <w:highlight w:val="none"/>
              </w:rPr>
              <w:t>8、</w:t>
            </w:r>
            <w:r>
              <w:rPr>
                <w:rFonts w:ascii="宋体" w:cs="Times New Roman" w:hAnsi="宋体" w:hint="eastAsia"/>
                <w:b/>
                <w:color w:val="auto"/>
                <w:sz w:val="24"/>
                <w:szCs w:val="20"/>
                <w:lang w:val="en-US" w:eastAsia="zh-CN"/>
                <w:highlight w:val="none"/>
              </w:rPr>
              <w:t>项目选址与厂区平面布置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color w:val="auto"/>
                <w:sz w:val="24"/>
                <w:szCs w:val="24"/>
                <w:lang w:val="en-US" w:eastAsia="zh-CN"/>
                <w:highlight w:val="none"/>
              </w:rPr>
            </w:pPr>
            <w:r>
              <w:rPr>
                <w:rFonts w:ascii="Times New Roman" w:cs="Times New Roman" w:hAnsi="Times New Roman"/>
                <w:color w:val="auto"/>
                <w:sz w:val="24"/>
                <w:szCs w:val="20"/>
                <w:lang w:val="en-US" w:eastAsia="zh-CN"/>
                <w:highlight w:val="none"/>
              </w:rPr>
              <w:t>本项目位于</w:t>
            </w:r>
            <w:r>
              <w:rPr>
                <w:rFonts w:ascii="Times New Roman" w:cs="Times New Roman" w:hAnsi="Times New Roman" w:hint="eastAsia"/>
                <w:color w:val="auto"/>
                <w:sz w:val="24"/>
                <w:szCs w:val="24"/>
                <w:lang w:val="en-US" w:eastAsia="zh-CN"/>
                <w:highlight w:val="none"/>
              </w:rPr>
              <w:t>新乡市延津县化工园区纬一路与榆林排交叉口东南角</w:t>
            </w:r>
            <w:r>
              <w:rPr>
                <w:rFonts w:ascii="Times New Roman" w:cs="Times New Roman" w:hAnsi="Times New Roman"/>
                <w:color w:val="auto"/>
                <w:sz w:val="24"/>
                <w:szCs w:val="24"/>
                <w:lang w:val="en-US" w:eastAsia="zh-CN"/>
                <w:highlight w:val="none"/>
              </w:rPr>
              <w:t>，</w:t>
            </w:r>
            <w:r>
              <w:rPr>
                <w:rFonts w:ascii="Times New Roman" w:eastAsia="宋体" w:cs="Times New Roman" w:hAnsi="Times New Roman"/>
                <w:color w:val="auto"/>
                <w:sz w:val="24"/>
                <w:szCs w:val="20"/>
                <w:highlight w:val="none"/>
              </w:rPr>
              <w:t>所在地四周环境为：</w:t>
            </w:r>
            <w:r>
              <w:rPr>
                <w:rFonts w:ascii="Times New Roman" w:eastAsia="宋体" w:cs="Times New Roman" w:hAnsi="Times New Roman"/>
                <w:color w:val="auto"/>
                <w:sz w:val="24"/>
                <w:szCs w:val="20"/>
                <w:u w:val="single"/>
                <w:lang w:val="en-US" w:eastAsia="zh-CN"/>
                <w:highlight w:val="none"/>
              </w:rPr>
              <w:t>本站西侧为规划路，东侧为延津县化工园区危化品智慧停车场（最近设施为：甲类空载区），站南侧为延津县化工园区危化品智慧停车场（最近设施为：丙类（戊类）重载区），站北侧为延津县化工园区危化品智慧停车场（最近设施为：戊类空载区）和纬一路</w:t>
            </w:r>
            <w:r>
              <w:rPr>
                <w:rFonts w:ascii="Times New Roman" w:cs="Times New Roman" w:hAnsi="Times New Roman"/>
                <w:color w:val="auto"/>
                <w:sz w:val="24"/>
                <w:szCs w:val="20"/>
                <w:u w:val="single"/>
                <w:lang w:val="en-US" w:eastAsia="zh-CN"/>
                <w:highlight w:val="none"/>
              </w:rPr>
              <w:t>。</w:t>
            </w:r>
            <w:r>
              <w:rPr>
                <w:rFonts w:ascii="Times New Roman" w:cs="Times New Roman" w:hAnsi="Times New Roman"/>
                <w:color w:val="auto"/>
                <w:sz w:val="24"/>
                <w:szCs w:val="24"/>
                <w:u w:val="single"/>
                <w:lang w:val="en-US" w:eastAsia="zh-CN"/>
                <w:highlight w:val="none"/>
              </w:rPr>
              <w:t>本项目最近的敏感点为</w:t>
            </w:r>
            <w:r>
              <w:rPr>
                <w:rFonts w:ascii="Times New Roman" w:cs="Times New Roman" w:hAnsi="Times New Roman" w:hint="eastAsia"/>
                <w:color w:val="auto"/>
                <w:sz w:val="24"/>
                <w:szCs w:val="24"/>
                <w:u w:val="single"/>
                <w:lang w:val="en-US" w:eastAsia="zh-CN"/>
                <w:highlight w:val="none"/>
              </w:rPr>
              <w:t>南</w:t>
            </w:r>
            <w:r>
              <w:rPr>
                <w:rFonts w:ascii="Times New Roman" w:cs="Times New Roman" w:hAnsi="Times New Roman"/>
                <w:color w:val="auto"/>
                <w:sz w:val="24"/>
                <w:szCs w:val="24"/>
                <w:u w:val="single"/>
                <w:lang w:val="en-US" w:eastAsia="zh-CN"/>
                <w:highlight w:val="none"/>
              </w:rPr>
              <w:t>侧</w:t>
            </w:r>
            <w:r>
              <w:rPr>
                <w:rFonts w:ascii="Times New Roman" w:cs="Times New Roman" w:hAnsi="Times New Roman" w:hint="eastAsia"/>
                <w:color w:val="auto"/>
                <w:sz w:val="24"/>
                <w:szCs w:val="24"/>
                <w:u w:val="single"/>
                <w:lang w:val="en-US" w:eastAsia="zh-CN"/>
                <w:highlight w:val="none"/>
              </w:rPr>
              <w:t>308</w:t>
            </w:r>
            <w:r>
              <w:rPr>
                <w:rFonts w:ascii="Times New Roman" w:cs="Times New Roman" w:hAnsi="Times New Roman"/>
                <w:color w:val="auto"/>
                <w:sz w:val="24"/>
                <w:szCs w:val="24"/>
                <w:u w:val="single"/>
                <w:lang w:val="en-US" w:eastAsia="zh-CN"/>
                <w:highlight w:val="none"/>
              </w:rPr>
              <w:t>米处的</w:t>
            </w:r>
            <w:r>
              <w:rPr>
                <w:rFonts w:ascii="Times New Roman" w:cs="Times New Roman" w:hAnsi="Times New Roman" w:hint="eastAsia"/>
                <w:color w:val="auto"/>
                <w:sz w:val="24"/>
                <w:szCs w:val="24"/>
                <w:u w:val="single"/>
                <w:lang w:val="en-US" w:eastAsia="zh-CN"/>
                <w:highlight w:val="none"/>
              </w:rPr>
              <w:t>小杨庄</w:t>
            </w:r>
            <w:r>
              <w:rPr>
                <w:rFonts w:ascii="Times New Roman" w:cs="Times New Roman" w:hAnsi="Times New Roman"/>
                <w:color w:val="auto"/>
                <w:sz w:val="24"/>
                <w:szCs w:val="24"/>
                <w:u w:val="single"/>
                <w:lang w:val="en-US" w:eastAsia="zh-CN"/>
                <w:highlight w:val="none"/>
              </w:rPr>
              <w:t>。</w:t>
            </w:r>
            <w:r>
              <w:rPr>
                <w:rFonts w:ascii="Times New Roman" w:cs="Times New Roman" w:hAnsi="Times New Roman"/>
                <w:color w:val="auto"/>
                <w:sz w:val="24"/>
                <w:szCs w:val="20"/>
                <w:lang w:val="en-US" w:eastAsia="zh-CN"/>
                <w:highlight w:val="none"/>
              </w:rPr>
              <w:t>本项目选址较为合理，不会对周</w:t>
            </w:r>
            <w:r>
              <w:rPr>
                <w:rFonts w:ascii="Times New Roman" w:eastAsia="宋体" w:cs="Times New Roman" w:hAnsi="Times New Roman"/>
                <w:color w:val="auto"/>
                <w:sz w:val="24"/>
                <w:szCs w:val="20"/>
                <w:lang w:val="en-US" w:eastAsia="zh-CN"/>
                <w:highlight w:val="none"/>
              </w:rPr>
              <w:t>边环境造成不利影响。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color w:val="000000"/>
                <w:kern w:val="0"/>
                <w:sz w:val="24"/>
                <w:szCs w:val="24"/>
                <w:lang w:val="en-US" w:eastAsia="zh-CN"/>
              </w:rPr>
            </w:pPr>
            <w:r>
              <w:rPr>
                <w:rFonts w:ascii="Times New Roman" w:eastAsia="宋体" w:cs="Times New Roman" w:hAnsi="Times New Roman"/>
                <w:color w:val="auto"/>
                <w:sz w:val="24"/>
                <w:szCs w:val="20"/>
                <w:lang w:val="en-US" w:eastAsia="zh-CN"/>
                <w:highlight w:val="none"/>
              </w:rPr>
              <w:t>本项目的平面布置较为合</w:t>
            </w:r>
            <w:r>
              <w:rPr>
                <w:rFonts w:ascii="Times New Roman" w:cs="Times New Roman" w:hAnsi="Times New Roman"/>
                <w:color w:val="auto"/>
                <w:sz w:val="24"/>
                <w:szCs w:val="20"/>
              </w:rPr>
              <w:t>理：</w:t>
            </w:r>
            <w:r>
              <w:rPr>
                <w:rFonts w:ascii="Times New Roman" w:cs="Times New Roman" w:hAnsi="Times New Roman"/>
                <w:bCs/>
                <w:color w:val="auto"/>
                <w:sz w:val="24"/>
                <w:szCs w:val="20"/>
                <w:lang w:eastAsia="zh-CN"/>
              </w:rPr>
              <w:t>站内分区明确，</w:t>
            </w:r>
            <w:r>
              <w:rPr>
                <w:rFonts w:ascii="Times New Roman" w:cs="Times New Roman" w:hAnsi="Times New Roman"/>
                <w:bCs/>
                <w:color w:val="auto"/>
                <w:sz w:val="24"/>
                <w:szCs w:val="20"/>
              </w:rPr>
              <w:t>有利于</w:t>
            </w:r>
            <w:r>
              <w:rPr>
                <w:rFonts w:ascii="Times New Roman" w:cs="Times New Roman" w:hAnsi="Times New Roman"/>
                <w:bCs/>
                <w:color w:val="auto"/>
                <w:sz w:val="24"/>
                <w:szCs w:val="20"/>
                <w:lang w:eastAsia="zh-CN"/>
              </w:rPr>
              <w:t>车</w:t>
            </w:r>
            <w:r>
              <w:rPr>
                <w:rFonts w:ascii="Times New Roman" w:cs="Times New Roman" w:hAnsi="Times New Roman"/>
                <w:bCs/>
                <w:color w:val="auto"/>
                <w:sz w:val="24"/>
                <w:szCs w:val="20"/>
              </w:rPr>
              <w:t>流和人流的管理。</w:t>
            </w:r>
            <w:r>
              <w:rPr>
                <w:rFonts w:ascii="Times New Roman" w:cs="Times New Roman" w:hAnsi="Times New Roman"/>
                <w:color w:val="auto"/>
                <w:sz w:val="24"/>
                <w:szCs w:val="20"/>
              </w:rPr>
              <w:t>本项目</w:t>
            </w:r>
            <w:r>
              <w:rPr>
                <w:rFonts w:ascii="Times New Roman" w:cs="Times New Roman" w:hAnsi="Times New Roman"/>
                <w:color w:val="auto"/>
                <w:sz w:val="24"/>
                <w:szCs w:val="20"/>
                <w:lang w:eastAsia="zh-CN"/>
              </w:rPr>
              <w:t>站</w:t>
            </w:r>
            <w:r>
              <w:rPr>
                <w:rFonts w:ascii="Times New Roman" w:cs="Times New Roman" w:hAnsi="Times New Roman"/>
                <w:color w:val="auto"/>
                <w:sz w:val="24"/>
                <w:szCs w:val="20"/>
              </w:rPr>
              <w:t>区</w:t>
            </w:r>
            <w:r>
              <w:rPr>
                <w:rFonts w:ascii="Times New Roman" w:eastAsia="宋体" w:cs="Times New Roman" w:hAnsi="Times New Roman"/>
                <w:color w:val="auto"/>
                <w:kern w:val="0"/>
                <w:sz w:val="24"/>
                <w:szCs w:val="24"/>
                <w:lang w:val="en-US" w:eastAsia="zh-CN"/>
                <w:highlight w:val="none"/>
              </w:rPr>
              <w:t>布置图见</w:t>
            </w:r>
            <w:r>
              <w:rPr>
                <w:rFonts w:ascii="Times New Roman" w:cs="Times New Roman" w:hAnsi="Times New Roman"/>
                <w:color w:val="auto"/>
                <w:kern w:val="0"/>
                <w:sz w:val="24"/>
                <w:szCs w:val="24"/>
                <w:lang w:val="en-US" w:eastAsia="zh-CN"/>
                <w:highlight w:val="none"/>
              </w:rPr>
              <w:t>附</w:t>
            </w:r>
            <w:r>
              <w:rPr>
                <w:rFonts w:ascii="Times New Roman" w:eastAsia="宋体" w:cs="Times New Roman" w:hAnsi="Times New Roman"/>
                <w:color w:val="auto"/>
                <w:kern w:val="0"/>
                <w:sz w:val="24"/>
                <w:szCs w:val="24"/>
                <w:lang w:val="en-US" w:eastAsia="zh-CN"/>
                <w:highlight w:val="none"/>
              </w:rPr>
              <w:t>图</w:t>
            </w:r>
            <w:r>
              <w:rPr>
                <w:rFonts w:ascii="Times New Roman" w:eastAsia="宋体" w:cs="Times New Roman" w:hAnsi="Times New Roman"/>
                <w:color w:val="auto"/>
                <w:kern w:val="0"/>
                <w:sz w:val="24"/>
                <w:szCs w:val="24"/>
                <w:lang w:val="en-US" w:eastAsia="zh-CN"/>
              </w:rPr>
              <w:t>。</w:t>
            </w:r>
          </w:p>
          <w:p>
            <w:pPr>
              <w:pStyle w:val="75"/>
              <w:keepNext/>
              <w:keepLines w:val="0"/>
              <w:suppressLineNumbers w:val="0"/>
              <w:bidi w:val="0"/>
              <w:spacing w:before="0" w:beforeAutospacing="0" w:after="0" w:afterAutospacing="0"/>
              <w:ind w:left="0" w:right="0" w:firstLine="420"/>
              <w:rPr>
                <w:lang w:val="en-US" w:eastAsia="zh-CN"/>
              </w:rPr>
            </w:pPr>
            <w:r>
              <w:rPr>
                <w:rFonts w:ascii="Times New Roman" w:cs="Times New Roman" w:hAnsi="Times New Roman" w:hint="eastAsia"/>
                <w:sz w:val="24"/>
                <w:szCs w:val="20"/>
                <w:lang w:val="en-US" w:eastAsia="zh-CN"/>
              </w:rPr>
              <w:t xml:space="preserve"> </w:t>
            </w:r>
            <w:r>
              <w:rPr>
                <w:rFonts w:ascii="Times New Roman" w:cs="Times New Roman" w:hAnsi="Times New Roman" w:hint="eastAsia"/>
                <w:color w:val="0000FF"/>
                <w:sz w:val="24"/>
                <w:szCs w:val="20"/>
                <w:lang w:val="en-US" w:eastAsia="zh-CN"/>
              </w:rPr>
              <w:t xml:space="preserve"> </w:t>
            </w:r>
            <w:r>
              <w:rPr>
                <w:rFonts w:ascii="Times New Roman" w:cs="Times New Roman" w:hAnsi="Times New Roman" w:hint="eastAsia"/>
                <w:color w:val="auto"/>
                <w:sz w:val="24"/>
                <w:szCs w:val="20"/>
                <w:u w:val="single"/>
                <w:lang w:val="en-US" w:eastAsia="zh-CN"/>
              </w:rPr>
              <w:t>项目周边情况表</w:t>
            </w:r>
          </w:p>
          <w:tbl>
            <w:tblPr>
              <w:jc w:val="left"/>
              <w:tblInd w:w="0" w:type="dxa"/>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97"/>
              <w:gridCol w:w="1899"/>
              <w:gridCol w:w="1772"/>
              <w:gridCol w:w="1027"/>
              <w:gridCol w:w="1644"/>
              <w:gridCol w:w="1552"/>
            </w:tblGrid>
            <w:tr>
              <w:tc>
                <w:tcPr>
                  <w:tcW w:w="51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
                      <w:bCs/>
                      <w:sz w:val="21"/>
                      <w:szCs w:val="21"/>
                      <w:vertAlign w:val="baseline"/>
                      <w:lang w:val="en-US" w:eastAsia="zh-CN"/>
                    </w:rPr>
                  </w:pPr>
                  <w:r>
                    <w:rPr>
                      <w:rFonts w:ascii="Times New Roman" w:eastAsia="宋体" w:cs="Times New Roman" w:hAnsi="Times New Roman"/>
                      <w:b/>
                      <w:bCs/>
                      <w:sz w:val="21"/>
                      <w:szCs w:val="21"/>
                      <w:vertAlign w:val="baseline"/>
                      <w:lang w:val="en-US" w:eastAsia="zh-CN" w:bidi="ar-SA"/>
                    </w:rPr>
                    <w:t>序号</w:t>
                  </w:r>
                </w:p>
              </w:tc>
              <w:tc>
                <w:tcPr>
                  <w:tcW w:w="108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
                      <w:bCs/>
                      <w:sz w:val="21"/>
                      <w:szCs w:val="21"/>
                      <w:vertAlign w:val="baseline"/>
                      <w:lang w:val="en-US" w:eastAsia="zh-CN"/>
                    </w:rPr>
                  </w:pPr>
                  <w:r>
                    <w:rPr>
                      <w:rFonts w:ascii="Times New Roman" w:eastAsia="宋体" w:cs="Times New Roman" w:hAnsi="Times New Roman"/>
                      <w:b/>
                      <w:bCs/>
                      <w:sz w:val="21"/>
                      <w:szCs w:val="21"/>
                      <w:vertAlign w:val="baseline"/>
                      <w:lang w:val="en-US" w:eastAsia="zh-CN" w:bidi="ar-SA"/>
                    </w:rPr>
                    <w:t>周边企业或地域</w:t>
                  </w:r>
                </w:p>
              </w:tc>
              <w:tc>
                <w:tcPr>
                  <w:tcW w:w="1008"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
                      <w:bCs/>
                      <w:sz w:val="21"/>
                      <w:szCs w:val="21"/>
                      <w:vertAlign w:val="baseline"/>
                      <w:lang w:val="en-US" w:eastAsia="zh-CN"/>
                    </w:rPr>
                  </w:pPr>
                  <w:r>
                    <w:rPr>
                      <w:rFonts w:ascii="Times New Roman" w:eastAsia="宋体" w:cs="Times New Roman" w:hAnsi="Times New Roman"/>
                      <w:b/>
                      <w:bCs/>
                      <w:sz w:val="21"/>
                      <w:szCs w:val="21"/>
                      <w:vertAlign w:val="baseline"/>
                      <w:lang w:val="en-US" w:eastAsia="zh-CN" w:bidi="ar-SA"/>
                    </w:rPr>
                    <w:t>现阶段人员数量（人）</w:t>
                  </w:r>
                </w:p>
              </w:tc>
              <w:tc>
                <w:tcPr>
                  <w:tcW w:w="58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
                      <w:bCs/>
                      <w:sz w:val="21"/>
                      <w:szCs w:val="21"/>
                      <w:vertAlign w:val="baseline"/>
                      <w:lang w:val="en-US" w:eastAsia="zh-CN"/>
                    </w:rPr>
                  </w:pPr>
                  <w:r>
                    <w:rPr>
                      <w:rFonts w:ascii="Times New Roman" w:eastAsia="宋体" w:cs="Times New Roman" w:hAnsi="Times New Roman"/>
                      <w:b/>
                      <w:bCs/>
                      <w:sz w:val="21"/>
                      <w:szCs w:val="21"/>
                      <w:vertAlign w:val="baseline"/>
                      <w:lang w:val="en-US" w:eastAsia="zh-CN" w:bidi="ar-SA"/>
                    </w:rPr>
                    <w:t>方位</w:t>
                  </w:r>
                </w:p>
              </w:tc>
              <w:tc>
                <w:tcPr>
                  <w:tcW w:w="935"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
                      <w:bCs/>
                      <w:sz w:val="21"/>
                      <w:szCs w:val="21"/>
                      <w:vertAlign w:val="baseline"/>
                      <w:lang w:val="en-US" w:eastAsia="zh-CN"/>
                    </w:rPr>
                  </w:pPr>
                  <w:r>
                    <w:rPr>
                      <w:rFonts w:ascii="Times New Roman" w:eastAsia="宋体" w:cs="Times New Roman" w:hAnsi="Times New Roman"/>
                      <w:b/>
                      <w:bCs/>
                      <w:sz w:val="21"/>
                      <w:szCs w:val="21"/>
                      <w:vertAlign w:val="baseline"/>
                      <w:lang w:val="en-US" w:eastAsia="zh-CN" w:bidi="ar-SA"/>
                    </w:rPr>
                    <w:t>相对距离（m）</w:t>
                  </w:r>
                </w:p>
              </w:tc>
              <w:tc>
                <w:tcPr>
                  <w:tcW w:w="88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
                      <w:bCs/>
                      <w:sz w:val="21"/>
                      <w:szCs w:val="21"/>
                      <w:vertAlign w:val="baseline"/>
                      <w:lang w:val="en-US" w:eastAsia="zh-CN"/>
                    </w:rPr>
                  </w:pPr>
                  <w:r>
                    <w:rPr>
                      <w:rFonts w:ascii="Times New Roman" w:eastAsia="宋体" w:cs="Times New Roman" w:hAnsi="Times New Roman"/>
                      <w:b/>
                      <w:bCs/>
                      <w:sz w:val="21"/>
                      <w:szCs w:val="21"/>
                      <w:vertAlign w:val="baseline"/>
                      <w:lang w:val="en-US" w:eastAsia="zh-CN" w:bidi="ar-SA"/>
                    </w:rPr>
                    <w:t>规范要求距离（m）</w:t>
                  </w:r>
                </w:p>
              </w:tc>
            </w:tr>
            <w:tr>
              <w:tc>
                <w:tcPr>
                  <w:tcW w:w="51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1</w:t>
                  </w:r>
                </w:p>
              </w:tc>
              <w:tc>
                <w:tcPr>
                  <w:tcW w:w="1080" w:type="pct"/>
                  <w:vAlign w:val="center"/>
                </w:tcPr>
                <w:p>
                  <w:pPr>
                    <w:keepNext w:val="0"/>
                    <w:keepLines w:val="0"/>
                    <w:widowControl/>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宋体" w:eastAsia="宋体" w:cs="宋体" w:hAnsi="宋体" w:hint="eastAsia"/>
                      <w:color w:val="000000"/>
                      <w:kern w:val="0"/>
                      <w:sz w:val="21"/>
                      <w:szCs w:val="21"/>
                      <w:lang w:val="en-US" w:eastAsia="zh-CN" w:bidi="ar-SA"/>
                    </w:rPr>
                    <w:t>规划路</w:t>
                  </w:r>
                </w:p>
              </w:tc>
              <w:tc>
                <w:tcPr>
                  <w:tcW w:w="1008"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w:t>
                  </w:r>
                </w:p>
              </w:tc>
              <w:tc>
                <w:tcPr>
                  <w:tcW w:w="58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西侧</w:t>
                  </w:r>
                </w:p>
              </w:tc>
              <w:tc>
                <w:tcPr>
                  <w:tcW w:w="935"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7.9（通气管）</w:t>
                  </w:r>
                </w:p>
              </w:tc>
              <w:tc>
                <w:tcPr>
                  <w:tcW w:w="88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5</w:t>
                  </w:r>
                </w:p>
              </w:tc>
            </w:tr>
            <w:tr>
              <w:tc>
                <w:tcPr>
                  <w:tcW w:w="51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2</w:t>
                  </w:r>
                </w:p>
              </w:tc>
              <w:tc>
                <w:tcPr>
                  <w:tcW w:w="108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color w:val="auto"/>
                      <w:sz w:val="21"/>
                      <w:szCs w:val="21"/>
                      <w:lang w:val="en-US" w:eastAsia="zh-CN" w:bidi="ar-SA"/>
                      <w:highlight w:val="none"/>
                    </w:rPr>
                    <w:t>延津县化工园区危化品智慧停车场（最近设施为：甲类空载区）</w:t>
                  </w:r>
                </w:p>
              </w:tc>
              <w:tc>
                <w:tcPr>
                  <w:tcW w:w="1008"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w:t>
                  </w:r>
                </w:p>
              </w:tc>
              <w:tc>
                <w:tcPr>
                  <w:tcW w:w="58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东侧</w:t>
                  </w:r>
                </w:p>
              </w:tc>
              <w:tc>
                <w:tcPr>
                  <w:tcW w:w="935"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35.9（加油机）</w:t>
                  </w:r>
                </w:p>
              </w:tc>
              <w:tc>
                <w:tcPr>
                  <w:tcW w:w="88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9</w:t>
                  </w:r>
                </w:p>
              </w:tc>
            </w:tr>
            <w:tr>
              <w:tc>
                <w:tcPr>
                  <w:tcW w:w="51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3</w:t>
                  </w:r>
                </w:p>
              </w:tc>
              <w:tc>
                <w:tcPr>
                  <w:tcW w:w="108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color w:val="auto"/>
                      <w:sz w:val="21"/>
                      <w:szCs w:val="21"/>
                      <w:lang w:val="en-US" w:eastAsia="zh-CN" w:bidi="ar-SA"/>
                      <w:highlight w:val="none"/>
                    </w:rPr>
                    <w:t>延津县化工园区危化品智慧停车场（最近设施为：丙类（戊类）重载区）</w:t>
                  </w:r>
                </w:p>
              </w:tc>
              <w:tc>
                <w:tcPr>
                  <w:tcW w:w="1008"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w:t>
                  </w:r>
                </w:p>
              </w:tc>
              <w:tc>
                <w:tcPr>
                  <w:tcW w:w="58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南侧</w:t>
                  </w:r>
                </w:p>
              </w:tc>
              <w:tc>
                <w:tcPr>
                  <w:tcW w:w="935"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54.7（柴油罐）</w:t>
                  </w:r>
                </w:p>
              </w:tc>
              <w:tc>
                <w:tcPr>
                  <w:tcW w:w="88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9</w:t>
                  </w:r>
                </w:p>
              </w:tc>
            </w:tr>
            <w:tr>
              <w:tc>
                <w:tcPr>
                  <w:tcW w:w="51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4</w:t>
                  </w:r>
                </w:p>
              </w:tc>
              <w:tc>
                <w:tcPr>
                  <w:tcW w:w="108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color w:val="auto"/>
                      <w:sz w:val="21"/>
                      <w:szCs w:val="21"/>
                      <w:lang w:val="en-US" w:eastAsia="zh-CN" w:bidi="ar-SA"/>
                      <w:highlight w:val="none"/>
                    </w:rPr>
                    <w:t>延津县化工园区危化品智慧停车场（最近设施为：戊类空载区）</w:t>
                  </w:r>
                </w:p>
              </w:tc>
              <w:tc>
                <w:tcPr>
                  <w:tcW w:w="1008"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w:t>
                  </w:r>
                </w:p>
              </w:tc>
              <w:tc>
                <w:tcPr>
                  <w:tcW w:w="58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北侧</w:t>
                  </w:r>
                </w:p>
              </w:tc>
              <w:tc>
                <w:tcPr>
                  <w:tcW w:w="935"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25.2（加油机）</w:t>
                  </w:r>
                </w:p>
              </w:tc>
              <w:tc>
                <w:tcPr>
                  <w:tcW w:w="880"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10.5</w:t>
                  </w:r>
                </w:p>
              </w:tc>
            </w:tr>
            <w:tr>
              <w:tc>
                <w:tcPr>
                  <w:tcW w:w="5000" w:type="pct"/>
                  <w:gridSpan w:val="6"/>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hint="eastAsia"/>
                      <w:sz w:val="21"/>
                      <w:szCs w:val="21"/>
                      <w:vertAlign w:val="baseline"/>
                      <w:lang w:val="en-US" w:eastAsia="zh-CN"/>
                    </w:rPr>
                  </w:pPr>
                  <w:r>
                    <w:rPr>
                      <w:rFonts w:ascii="Times New Roman" w:eastAsia="宋体" w:cs="Times New Roman" w:hAnsi="Times New Roman" w:hint="eastAsia"/>
                      <w:sz w:val="21"/>
                      <w:szCs w:val="21"/>
                      <w:vertAlign w:val="baseline"/>
                      <w:lang w:val="en-US" w:eastAsia="zh-CN" w:bidi="ar-SA"/>
                    </w:rPr>
                    <w:t>注：该表中以站内距离外部建（构）筑物最近处列表。</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ascii="Times New Roman" w:cs="Times New Roman" w:hAnsi="Times New Roman"/>
                <w:bCs/>
                <w:color w:val="auto"/>
                <w:sz w:val="24"/>
                <w:szCs w:val="24"/>
                <w:lang w:eastAsia="zh-CN"/>
                <w:highlight w:val="red"/>
              </w:rPr>
            </w:pPr>
            <w:r>
              <w:rPr>
                <w:rFonts w:ascii="Times New Roman" w:cs="Times New Roman" w:hAnsi="Times New Roman"/>
                <w:bCs/>
                <w:color w:val="auto"/>
                <w:sz w:val="24"/>
                <w:szCs w:val="24"/>
              </w:rPr>
              <w:t>站内</w:t>
            </w:r>
            <w:r>
              <w:rPr>
                <w:rFonts w:ascii="Times New Roman" w:cs="Times New Roman" w:hAnsi="Times New Roman"/>
                <w:bCs/>
                <w:color w:val="auto"/>
                <w:sz w:val="24"/>
                <w:szCs w:val="24"/>
                <w:lang w:val="en-US" w:eastAsia="zh-CN"/>
              </w:rPr>
              <w:t>各设施间</w:t>
            </w:r>
            <w:r>
              <w:rPr>
                <w:rFonts w:ascii="Times New Roman" w:cs="Times New Roman" w:hAnsi="Times New Roman"/>
                <w:bCs/>
                <w:color w:val="auto"/>
                <w:sz w:val="24"/>
                <w:szCs w:val="24"/>
              </w:rPr>
              <w:t>的距离</w:t>
            </w:r>
            <w:r>
              <w:rPr>
                <w:rFonts w:ascii="Times New Roman" w:cs="Times New Roman" w:hAnsi="Times New Roman"/>
                <w:bCs/>
                <w:color w:val="auto"/>
                <w:sz w:val="24"/>
                <w:szCs w:val="24"/>
                <w:lang w:val="en-US" w:eastAsia="zh-CN"/>
              </w:rPr>
              <w:t>和加油站设施与站外建（构）筑物的安全间距</w:t>
            </w:r>
            <w:r>
              <w:rPr>
                <w:rFonts w:ascii="Times New Roman" w:cs="Times New Roman" w:hAnsi="Times New Roman"/>
                <w:bCs/>
                <w:color w:val="auto"/>
                <w:sz w:val="24"/>
                <w:szCs w:val="24"/>
              </w:rPr>
              <w:t>均满足</w:t>
            </w:r>
            <w:r>
              <w:rPr>
                <w:rFonts w:ascii="Times New Roman" w:cs="Times New Roman" w:hAnsi="Times New Roman"/>
                <w:b w:val="0"/>
                <w:bCs w:val="0"/>
                <w:color w:val="auto"/>
                <w:sz w:val="24"/>
                <w:szCs w:val="24"/>
              </w:rPr>
              <w:t>《汽车加油加气</w:t>
            </w:r>
            <w:r>
              <w:rPr>
                <w:rFonts w:ascii="Times New Roman" w:cs="Times New Roman" w:hAnsi="Times New Roman"/>
                <w:b w:val="0"/>
                <w:bCs w:val="0"/>
                <w:color w:val="auto"/>
                <w:sz w:val="24"/>
                <w:szCs w:val="24"/>
                <w:lang w:val="en-US" w:eastAsia="zh-CN"/>
              </w:rPr>
              <w:t>加氢站技术标准</w:t>
            </w:r>
            <w:r>
              <w:rPr>
                <w:rFonts w:ascii="Times New Roman" w:cs="Times New Roman" w:hAnsi="Times New Roman"/>
                <w:b w:val="0"/>
                <w:bCs w:val="0"/>
                <w:color w:val="auto"/>
                <w:sz w:val="24"/>
                <w:szCs w:val="24"/>
              </w:rPr>
              <w:t>》（GB50156-20</w:t>
            </w:r>
            <w:r>
              <w:rPr>
                <w:rFonts w:ascii="Times New Roman" w:cs="Times New Roman" w:hAnsi="Times New Roman"/>
                <w:b w:val="0"/>
                <w:bCs w:val="0"/>
                <w:color w:val="auto"/>
                <w:sz w:val="24"/>
                <w:szCs w:val="24"/>
                <w:lang w:val="en-US" w:eastAsia="zh-CN"/>
              </w:rPr>
              <w:t>21</w:t>
            </w:r>
            <w:r>
              <w:rPr>
                <w:rFonts w:ascii="Times New Roman" w:cs="Times New Roman" w:hAnsi="Times New Roman"/>
                <w:b w:val="0"/>
                <w:bCs w:val="0"/>
                <w:color w:val="auto"/>
                <w:sz w:val="24"/>
                <w:szCs w:val="24"/>
              </w:rPr>
              <w:t>）</w:t>
            </w:r>
            <w:r>
              <w:rPr>
                <w:rFonts w:ascii="Times New Roman" w:cs="Times New Roman" w:hAnsi="Times New Roman"/>
                <w:bCs/>
                <w:color w:val="auto"/>
                <w:sz w:val="24"/>
                <w:szCs w:val="24"/>
              </w:rPr>
              <w:t>中关于</w:t>
            </w:r>
            <w:r>
              <w:rPr>
                <w:rFonts w:ascii="Times New Roman" w:cs="Times New Roman" w:hAnsi="Times New Roman"/>
                <w:bCs/>
                <w:color w:val="auto"/>
                <w:sz w:val="24"/>
                <w:szCs w:val="24"/>
                <w:lang w:val="en-US" w:eastAsia="zh-CN"/>
              </w:rPr>
              <w:t>三</w:t>
            </w:r>
            <w:r>
              <w:rPr>
                <w:rFonts w:ascii="Times New Roman" w:cs="Times New Roman" w:hAnsi="Times New Roman"/>
                <w:bCs/>
                <w:color w:val="auto"/>
                <w:sz w:val="24"/>
                <w:szCs w:val="24"/>
              </w:rPr>
              <w:t>级站中</w:t>
            </w:r>
            <w:r>
              <w:rPr>
                <w:rFonts w:ascii="Times New Roman" w:cs="Times New Roman" w:hAnsi="Times New Roman"/>
                <w:bCs/>
                <w:color w:val="auto"/>
                <w:sz w:val="24"/>
                <w:szCs w:val="24"/>
                <w:lang w:val="en-US" w:eastAsia="zh-CN"/>
              </w:rPr>
              <w:t>防火</w:t>
            </w:r>
            <w:r>
              <w:rPr>
                <w:rFonts w:ascii="Times New Roman" w:cs="Times New Roman" w:hAnsi="Times New Roman"/>
                <w:bCs/>
                <w:color w:val="auto"/>
                <w:sz w:val="24"/>
                <w:szCs w:val="24"/>
              </w:rPr>
              <w:t>距离要求</w:t>
            </w:r>
            <w:r>
              <w:rPr>
                <w:rFonts w:ascii="Times New Roman" w:cs="Times New Roman" w:hAnsi="Times New Roman"/>
                <w:bCs/>
                <w:color w:val="auto"/>
                <w:sz w:val="24"/>
                <w:szCs w:val="24"/>
                <w:lang w:val="en-US" w:eastAsia="zh-CN"/>
              </w:rPr>
              <w:t>且平面布置合理</w:t>
            </w:r>
            <w:r>
              <w:rPr>
                <w:rFonts w:ascii="Times New Roman" w:cs="Times New Roman" w:hAnsi="Times New Roman"/>
                <w:bCs/>
                <w:color w:val="auto"/>
                <w:sz w:val="24"/>
                <w:szCs w:val="24"/>
                <w:lang w:eastAsia="zh-CN"/>
              </w:rPr>
              <w:t>，</w:t>
            </w:r>
            <w:r>
              <w:rPr>
                <w:rFonts w:ascii="Times New Roman" w:cs="Times New Roman" w:hAnsi="Times New Roman"/>
                <w:bCs/>
                <w:color w:val="auto"/>
                <w:sz w:val="24"/>
                <w:szCs w:val="24"/>
                <w:lang w:val="en-US" w:eastAsia="zh-CN"/>
              </w:rPr>
              <w:t>加油站</w:t>
            </w:r>
            <w:r>
              <w:rPr>
                <w:rFonts w:ascii="Times New Roman" w:cs="Times New Roman" w:hAnsi="Times New Roman"/>
                <w:bCs/>
                <w:color w:val="auto"/>
                <w:sz w:val="24"/>
                <w:szCs w:val="24"/>
              </w:rPr>
              <w:t>站内</w:t>
            </w:r>
            <w:r>
              <w:rPr>
                <w:rFonts w:ascii="Times New Roman" w:cs="Times New Roman" w:hAnsi="Times New Roman"/>
                <w:bCs/>
                <w:color w:val="auto"/>
                <w:sz w:val="24"/>
                <w:szCs w:val="24"/>
                <w:lang w:val="en-US" w:eastAsia="zh-CN"/>
              </w:rPr>
              <w:t>设施</w:t>
            </w:r>
            <w:r>
              <w:rPr>
                <w:rFonts w:ascii="Times New Roman" w:cs="Times New Roman" w:hAnsi="Times New Roman"/>
                <w:bCs/>
                <w:color w:val="auto"/>
                <w:sz w:val="24"/>
                <w:szCs w:val="24"/>
              </w:rPr>
              <w:t>之间的</w:t>
            </w:r>
            <w:r>
              <w:rPr>
                <w:rFonts w:ascii="Times New Roman" w:cs="Times New Roman" w:hAnsi="Times New Roman"/>
                <w:bCs/>
                <w:color w:val="auto"/>
                <w:sz w:val="24"/>
                <w:szCs w:val="24"/>
                <w:lang w:val="en-US" w:eastAsia="zh-CN"/>
              </w:rPr>
              <w:t>防火</w:t>
            </w:r>
            <w:r>
              <w:rPr>
                <w:rFonts w:ascii="Times New Roman" w:cs="Times New Roman" w:hAnsi="Times New Roman"/>
                <w:bCs/>
                <w:color w:val="auto"/>
                <w:sz w:val="24"/>
                <w:szCs w:val="24"/>
              </w:rPr>
              <w:t>距离</w:t>
            </w:r>
            <w:r>
              <w:rPr>
                <w:rFonts w:ascii="Times New Roman" w:cs="Times New Roman" w:hAnsi="Times New Roman"/>
                <w:bCs/>
                <w:color w:val="auto"/>
                <w:sz w:val="24"/>
                <w:szCs w:val="24"/>
                <w:lang w:val="en-US" w:eastAsia="zh-CN"/>
              </w:rPr>
              <w:t>见下</w:t>
            </w:r>
            <w:r>
              <w:rPr>
                <w:rFonts w:ascii="Times New Roman" w:cs="Times New Roman" w:hAnsi="Times New Roman"/>
                <w:bCs/>
                <w:color w:val="auto"/>
                <w:sz w:val="24"/>
                <w:szCs w:val="24"/>
                <w:highlight w:val="none"/>
              </w:rPr>
              <w:t>表</w:t>
            </w:r>
            <w:r>
              <w:rPr>
                <w:rFonts w:ascii="Times New Roman" w:cs="Times New Roman" w:hAnsi="Times New Roman"/>
                <w:bCs/>
                <w:color w:val="auto"/>
                <w:sz w:val="24"/>
                <w:szCs w:val="24"/>
                <w:lang w:eastAsia="zh-CN"/>
                <w:highlight w:val="none"/>
              </w:rPr>
              <w:t>。</w:t>
            </w:r>
          </w:p>
          <w:p>
            <w:pPr>
              <w:pStyle w:val="75"/>
              <w:keepNext/>
              <w:keepLines w:val="0"/>
              <w:suppressLineNumbers w:val="0"/>
              <w:bidi w:val="0"/>
              <w:spacing w:before="0" w:beforeAutospacing="0" w:after="0" w:afterAutospacing="0"/>
              <w:ind w:left="0" w:right="0" w:firstLine="420"/>
              <w:rPr>
                <w:rFonts w:hint="eastAsia"/>
              </w:rPr>
            </w:pPr>
            <w:r>
              <w:rPr>
                <w:rFonts w:ascii="Times New Roman" w:cs="Times New Roman" w:hAnsi="Times New Roman" w:hint="eastAsia"/>
                <w:sz w:val="24"/>
                <w:szCs w:val="20"/>
                <w:lang w:val="en-US" w:eastAsia="zh-CN"/>
              </w:rPr>
              <w:t xml:space="preserve">  </w:t>
            </w:r>
            <w:r>
              <w:rPr>
                <w:rFonts w:ascii="Times New Roman" w:cs="Times New Roman" w:hAnsi="Times New Roman" w:hint="eastAsia"/>
                <w:sz w:val="24"/>
                <w:szCs w:val="20"/>
              </w:rPr>
              <w:t>站内</w:t>
            </w:r>
            <w:r>
              <w:rPr>
                <w:rFonts w:ascii="Times New Roman" w:cs="Times New Roman" w:hAnsi="Times New Roman" w:hint="eastAsia"/>
                <w:sz w:val="24"/>
                <w:szCs w:val="20"/>
                <w:lang w:val="en-US" w:eastAsia="zh-CN"/>
              </w:rPr>
              <w:t>各设施</w:t>
            </w:r>
            <w:r>
              <w:rPr>
                <w:rFonts w:ascii="Times New Roman" w:cs="Times New Roman" w:hAnsi="Times New Roman" w:hint="eastAsia"/>
                <w:sz w:val="24"/>
                <w:szCs w:val="20"/>
              </w:rPr>
              <w:t>之间的</w:t>
            </w:r>
            <w:r>
              <w:rPr>
                <w:rFonts w:ascii="Times New Roman" w:cs="Times New Roman" w:hAnsi="Times New Roman" w:hint="eastAsia"/>
                <w:sz w:val="24"/>
                <w:szCs w:val="20"/>
                <w:lang w:val="en-US" w:eastAsia="zh-CN"/>
              </w:rPr>
              <w:t>防火</w:t>
            </w:r>
            <w:r>
              <w:rPr>
                <w:rFonts w:ascii="Times New Roman" w:cs="Times New Roman" w:hAnsi="Times New Roman" w:hint="eastAsia"/>
                <w:sz w:val="24"/>
                <w:szCs w:val="20"/>
              </w:rPr>
              <w:t>距离</w:t>
            </w:r>
            <w:r>
              <w:rPr>
                <w:rFonts w:ascii="Times New Roman" w:cs="Times New Roman" w:hAnsi="Times New Roman" w:hint="eastAsia"/>
                <w:sz w:val="24"/>
                <w:szCs w:val="20"/>
                <w:lang w:val="en-US" w:eastAsia="zh-CN"/>
              </w:rPr>
              <w:t>一览表        单位：m</w:t>
            </w:r>
          </w:p>
          <w:tbl>
            <w:tblPr>
              <w:jc w:val="center"/>
              <w:tblW w:w="882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CellMar>
                <w:top w:w="0" w:type="dxa"/>
                <w:left w:w="108" w:type="dxa"/>
                <w:bottom w:w="0" w:type="dxa"/>
                <w:right w:w="108" w:type="dxa"/>
              </w:tblCellMar>
              <w:tblLook w:val="0600" w:firstRow="0" w:lastRow="0" w:firstColumn="0" w:lastColumn="0" w:noHBand="1" w:noVBand="1"/>
            </w:tblPr>
            <w:tblGrid>
              <w:gridCol w:w="1302"/>
              <w:gridCol w:w="2925"/>
              <w:gridCol w:w="1710"/>
              <w:gridCol w:w="1530"/>
              <w:gridCol w:w="1358"/>
            </w:tblGrid>
            <w:tr>
              <w:trPr>
                <w:trHeight w:val="397"/>
              </w:trPr>
              <w:tc>
                <w:tcPr>
                  <w:tcW w:w="1302" w:type="dxa"/>
                  <w:vMerge w:val="restart"/>
                  <w:tcBorders>
                    <w:right w:val="single" w:sz="4" w:space="0" w:color="000000"/>
                  </w:tcBorders>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b/>
                      <w:bCs/>
                      <w:color w:val="auto"/>
                      <w:sz w:val="21"/>
                      <w:szCs w:val="21"/>
                      <w:lang w:val="en-US" w:eastAsia="zh-CN"/>
                      <w:highlight w:val="none"/>
                    </w:rPr>
                    <w:t>项目</w:t>
                  </w:r>
                </w:p>
              </w:tc>
              <w:tc>
                <w:tcPr>
                  <w:tcW w:w="2925" w:type="dxa"/>
                  <w:vMerge w:val="restart"/>
                  <w:tcBorders>
                    <w:left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b/>
                      <w:bCs/>
                      <w:color w:val="auto"/>
                      <w:sz w:val="21"/>
                      <w:szCs w:val="21"/>
                      <w:lang w:val="en-US" w:eastAsia="zh-CN"/>
                      <w:highlight w:val="none"/>
                    </w:rPr>
                    <w:t>设施</w:t>
                  </w:r>
                  <w:r>
                    <w:rPr>
                      <w:rFonts w:ascii="Times New Roman" w:eastAsia="宋体" w:cs="Times New Roman" w:hAnsi="Times New Roman"/>
                      <w:b/>
                      <w:bCs/>
                      <w:color w:val="auto"/>
                      <w:sz w:val="21"/>
                      <w:szCs w:val="21"/>
                      <w:highlight w:val="none"/>
                    </w:rPr>
                    <w:t>名称</w:t>
                  </w:r>
                </w:p>
              </w:tc>
              <w:tc>
                <w:tcPr>
                  <w:tcW w:w="4598" w:type="dxa"/>
                  <w:gridSpan w:val="3"/>
                  <w:tcBorders>
                    <w:left w:val="single" w:sz="4" w:space="0" w:color="000000"/>
                    <w:bottom w:val="single" w:sz="4" w:space="0" w:color="auto"/>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14:textFill>
                        <w14:solidFill>
                          <w14:srgbClr w14:val="000000"/>
                        </w14:solidFill>
                      </w14:textFill>
                      <w:highlight w:val="none"/>
                    </w:rPr>
                  </w:pPr>
                  <w:r>
                    <w:rPr>
                      <w:rFonts w:ascii="Times New Roman" w:eastAsia="宋体" w:cs="Times New Roman" w:hAnsi="Times New Roman"/>
                      <w:b/>
                      <w:bCs w:val="0"/>
                      <w:i w:val="0"/>
                      <w:iCs w:val="0"/>
                      <w:color w:val="auto"/>
                      <w:sz w:val="21"/>
                      <w:szCs w:val="21"/>
                      <w:vertAlign w:val="baseline"/>
                      <w:lang w:val="en-US" w:eastAsia="zh-CN"/>
                    </w:rPr>
                    <w:t>防火距离</w:t>
                  </w:r>
                </w:p>
              </w:tc>
            </w:tr>
            <w:tr>
              <w:trPr>
                <w:trHeight w:val="397"/>
              </w:trPr>
              <w:tc>
                <w:tcPr>
                  <w:tcW w:w="1302" w:type="dxa"/>
                  <w:vMerge/>
                  <w:tcBorders>
                    <w:bottom w:val="single" w:sz="4" w:space="0" w:color="000000"/>
                    <w:right w:val="single" w:sz="4" w:space="0" w:color="000000"/>
                  </w:tcBorders>
                  <w:vAlign w:val="center"/>
                </w:tcPr>
                <w:p/>
              </w:tc>
              <w:tc>
                <w:tcPr>
                  <w:tcW w:w="2925" w:type="dxa"/>
                  <w:vMerge/>
                  <w:tcBorders>
                    <w:left w:val="single" w:sz="4" w:space="0" w:color="000000"/>
                    <w:bottom w:val="single" w:sz="4" w:space="0" w:color="000000"/>
                    <w:right w:val="single" w:sz="4" w:space="0" w:color="000000"/>
                  </w:tcBorders>
                  <w:vAlign w:val="center"/>
                </w:tcPr>
                <w:p/>
              </w:tc>
              <w:tc>
                <w:tcPr>
                  <w:tcW w:w="1710" w:type="dxa"/>
                  <w:tcBorders>
                    <w:top w:val="single" w:sz="4" w:space="0" w:color="auto"/>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b/>
                      <w:bCs w:val="0"/>
                      <w:i w:val="0"/>
                      <w:iCs w:val="0"/>
                      <w:color w:val="auto"/>
                      <w:sz w:val="21"/>
                      <w:szCs w:val="21"/>
                      <w:vertAlign w:val="baseline"/>
                      <w:lang w:val="en-US" w:eastAsia="zh-CN"/>
                    </w:rPr>
                    <w:t>标准</w:t>
                  </w:r>
                </w:p>
              </w:tc>
              <w:tc>
                <w:tcPr>
                  <w:tcW w:w="1530" w:type="dxa"/>
                  <w:tcBorders>
                    <w:top w:val="single" w:sz="4" w:space="0" w:color="auto"/>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auto"/>
                      <w:sz w:val="21"/>
                      <w:szCs w:val="21"/>
                      <w:lang w:val="en-US" w:eastAsia="zh-CN"/>
                      <w:highlight w:val="red"/>
                    </w:rPr>
                  </w:pPr>
                  <w:r>
                    <w:rPr>
                      <w:rFonts w:ascii="Times New Roman" w:eastAsia="宋体" w:cs="Times New Roman" w:hAnsi="Times New Roman"/>
                      <w:b/>
                      <w:bCs w:val="0"/>
                      <w:i w:val="0"/>
                      <w:iCs w:val="0"/>
                      <w:color w:val="auto"/>
                      <w:sz w:val="21"/>
                      <w:szCs w:val="21"/>
                      <w:vertAlign w:val="baseline"/>
                      <w:lang w:val="en-US" w:eastAsia="zh-CN"/>
                    </w:rPr>
                    <w:t>设计</w:t>
                  </w:r>
                </w:p>
              </w:tc>
              <w:tc>
                <w:tcPr>
                  <w:tcW w:w="1358" w:type="dxa"/>
                  <w:tcBorders>
                    <w:top w:val="single" w:sz="4" w:space="0" w:color="auto"/>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highlight w:val="none"/>
                    </w:rPr>
                  </w:pPr>
                  <w:r>
                    <w:rPr>
                      <w:rFonts w:ascii="Times New Roman" w:eastAsia="宋体" w:cs="Times New Roman" w:hAnsi="Times New Roman"/>
                      <w:b/>
                      <w:bCs w:val="0"/>
                      <w:i w:val="0"/>
                      <w:iCs w:val="0"/>
                      <w:color w:val="auto"/>
                      <w:sz w:val="21"/>
                      <w:szCs w:val="21"/>
                      <w:vertAlign w:val="baseline"/>
                      <w:lang w:val="en-US" w:eastAsia="zh-CN"/>
                    </w:rPr>
                    <w:t>结论</w:t>
                  </w:r>
                </w:p>
              </w:tc>
            </w:tr>
            <w:tr>
              <w:trPr>
                <w:trHeight w:val="397"/>
              </w:trPr>
              <w:tc>
                <w:tcPr>
                  <w:tcW w:w="1302" w:type="dxa"/>
                  <w:vMerge w:val="restart"/>
                  <w:tcBorders>
                    <w:top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汽油罐</w:t>
                  </w: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柴油罐</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0.5</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Cs/>
                      <w:sz w:val="21"/>
                      <w:szCs w:val="21"/>
                      <w:lang w:val="en-US" w:eastAsia="zh-CN"/>
                    </w:rPr>
                  </w:pPr>
                  <w:r>
                    <w:rPr>
                      <w:rFonts w:ascii="Times New Roman" w:eastAsia="宋体" w:cs="Times New Roman" w:hAnsi="Times New Roman"/>
                      <w:color w:val="000000"/>
                      <w:spacing w:val="-2"/>
                      <w:sz w:val="21"/>
                      <w:szCs w:val="21"/>
                      <w:lang w:val="zh-CN"/>
                    </w:rPr>
                    <w:t>站房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9.4</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1"/>
                      <w:sz w:val="21"/>
                      <w:szCs w:val="21"/>
                      <w:lang w:val="zh-CN"/>
                    </w:rPr>
                    <w:t>配电室</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4.5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6"/>
                      <w:sz w:val="21"/>
                      <w:szCs w:val="21"/>
                      <w:lang w:val="zh-CN"/>
                    </w:rPr>
                    <w:t>11</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1"/>
                      <w:sz w:val="21"/>
                      <w:szCs w:val="21"/>
                      <w:lang w:val="zh-CN"/>
                    </w:rPr>
                    <w:t>自用燃煤锅炉房和燃煤厨房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12.5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z w:val="21"/>
                      <w:szCs w:val="21"/>
                      <w:lang w:val="zh-CN"/>
                    </w:rPr>
                    <w:t>自用有燃气(油)</w:t>
                  </w:r>
                  <w:r>
                    <w:rPr>
                      <w:rFonts w:ascii="Times New Roman" w:eastAsia="宋体" w:cs="Times New Roman" w:hAnsi="Times New Roman"/>
                      <w:color w:val="000000"/>
                      <w:spacing w:val="-1"/>
                      <w:sz w:val="21"/>
                      <w:szCs w:val="21"/>
                      <w:lang w:val="zh-CN"/>
                    </w:rPr>
                    <w:t>设备的房间</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Cs/>
                      <w:sz w:val="21"/>
                      <w:szCs w:val="21"/>
                      <w:lang w:val="en-US" w:eastAsia="zh-CN"/>
                    </w:rPr>
                  </w:pPr>
                  <w:r>
                    <w:rPr>
                      <w:rFonts w:ascii="Times New Roman" w:eastAsia="宋体" w:cs="Times New Roman" w:hAnsi="Times New Roman"/>
                      <w:color w:val="000000"/>
                      <w:spacing w:val="-1"/>
                      <w:sz w:val="21"/>
                      <w:szCs w:val="21"/>
                      <w:lang w:val="zh-CN"/>
                    </w:rPr>
                    <w:t>站区围墙</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20.4</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val="restart"/>
                  <w:tcBorders>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柴油罐</w:t>
                  </w: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Cs/>
                      <w:sz w:val="21"/>
                      <w:szCs w:val="21"/>
                      <w:lang w:val="en-US" w:eastAsia="zh-CN"/>
                    </w:rPr>
                  </w:pPr>
                  <w:r>
                    <w:rPr>
                      <w:rFonts w:ascii="Times New Roman" w:eastAsia="宋体" w:cs="Times New Roman" w:hAnsi="Times New Roman"/>
                      <w:color w:val="000000"/>
                      <w:spacing w:val="-1"/>
                      <w:sz w:val="21"/>
                      <w:szCs w:val="21"/>
                      <w:lang w:val="zh-CN"/>
                    </w:rPr>
                    <w:t>汽油罐</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0.5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0.5</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2"/>
                      <w:sz w:val="21"/>
                      <w:szCs w:val="21"/>
                      <w:lang w:val="zh-CN"/>
                    </w:rPr>
                    <w:t>站房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9.4</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1"/>
                      <w:sz w:val="21"/>
                      <w:szCs w:val="21"/>
                      <w:lang w:val="zh-CN"/>
                    </w:rPr>
                    <w:t>自用燃煤锅炉房和燃煤厨房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2"/>
                      <w:sz w:val="21"/>
                      <w:szCs w:val="21"/>
                      <w:lang w:val="zh-CN"/>
                    </w:rPr>
                    <w:t>10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z w:val="21"/>
                      <w:szCs w:val="21"/>
                      <w:lang w:val="zh-CN"/>
                    </w:rPr>
                    <w:t>自用有燃气(油)</w:t>
                  </w:r>
                  <w:r>
                    <w:rPr>
                      <w:rFonts w:ascii="Times New Roman" w:eastAsia="宋体" w:cs="Times New Roman" w:hAnsi="Times New Roman"/>
                      <w:color w:val="000000"/>
                      <w:spacing w:val="-1"/>
                      <w:sz w:val="21"/>
                      <w:szCs w:val="21"/>
                      <w:lang w:val="zh-CN"/>
                    </w:rPr>
                    <w:t>设备的房间</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bCs/>
                      <w:sz w:val="21"/>
                      <w:szCs w:val="21"/>
                      <w:lang w:val="en-US" w:eastAsia="zh-CN"/>
                    </w:rPr>
                  </w:pPr>
                  <w:r>
                    <w:rPr>
                      <w:rFonts w:ascii="Times New Roman" w:eastAsia="宋体" w:cs="Times New Roman" w:hAnsi="Times New Roman"/>
                      <w:color w:val="000000"/>
                      <w:spacing w:val="-2"/>
                      <w:sz w:val="21"/>
                      <w:szCs w:val="21"/>
                      <w:lang w:val="zh-CN"/>
                    </w:rPr>
                    <w:t>围墙</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20.4</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val="restart"/>
                  <w:tcBorders>
                    <w:right w:val="single" w:sz="4" w:space="0" w:color="000000"/>
                  </w:tcBorders>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b w:val="0"/>
                      <w:bCs/>
                      <w:i w:val="0"/>
                      <w:iCs w:val="0"/>
                      <w:color w:val="auto"/>
                      <w:sz w:val="21"/>
                      <w:szCs w:val="21"/>
                      <w:vertAlign w:val="baseline"/>
                      <w:lang w:val="en-US" w:eastAsia="zh-CN"/>
                    </w:rPr>
                    <w:t>汽油通气管道</w:t>
                  </w:r>
                </w:p>
              </w:tc>
              <w:tc>
                <w:tcPr>
                  <w:tcW w:w="29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1"/>
                      <w:sz w:val="21"/>
                      <w:szCs w:val="21"/>
                      <w:lang w:val="zh-CN"/>
                    </w:rPr>
                    <w:t>油品卸车点</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3</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9.8</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2"/>
                      <w:sz w:val="21"/>
                      <w:szCs w:val="21"/>
                      <w:lang w:val="zh-CN"/>
                    </w:rPr>
                    <w:t>站房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18.9</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1"/>
                      <w:sz w:val="21"/>
                      <w:szCs w:val="21"/>
                      <w:lang w:val="zh-CN"/>
                    </w:rPr>
                    <w:t>配电室</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18.9</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1"/>
                      <w:sz w:val="21"/>
                      <w:szCs w:val="21"/>
                      <w:lang w:val="zh-CN"/>
                    </w:rPr>
                    <w:t>自用燃煤锅炉房和燃煤厨房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pacing w:val="-1"/>
                      <w:sz w:val="21"/>
                      <w:szCs w:val="21"/>
                      <w:lang w:val="zh-CN"/>
                    </w:rPr>
                    <w:t>12.5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z w:val="21"/>
                      <w:szCs w:val="21"/>
                      <w:lang w:val="zh-CN"/>
                    </w:rPr>
                    <w:t>自用有燃气(油)</w:t>
                  </w:r>
                  <w:r>
                    <w:rPr>
                      <w:rFonts w:ascii="Times New Roman" w:eastAsia="宋体" w:cs="Times New Roman" w:hAnsi="Times New Roman"/>
                      <w:color w:val="000000"/>
                      <w:spacing w:val="-1"/>
                      <w:sz w:val="21"/>
                      <w:szCs w:val="21"/>
                      <w:lang w:val="zh-CN"/>
                    </w:rPr>
                    <w:t>设备的房间</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z w:val="21"/>
                      <w:szCs w:val="21"/>
                      <w:lang w:val="zh-CN"/>
                    </w:rPr>
                    <w:t>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1"/>
                      <w:sz w:val="21"/>
                      <w:szCs w:val="21"/>
                      <w:lang w:val="zh-CN"/>
                    </w:rPr>
                    <w:t>站区围墙</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z w:val="21"/>
                      <w:szCs w:val="21"/>
                      <w:lang w:val="zh-CN"/>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pacing w:val="-1"/>
                      <w:sz w:val="21"/>
                      <w:szCs w:val="21"/>
                      <w:lang w:val="zh-CN"/>
                    </w:rPr>
                    <w:t>18.8</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val="restart"/>
                  <w:tcBorders>
                    <w:right w:val="single" w:sz="4" w:space="0" w:color="000000"/>
                  </w:tcBorders>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b w:val="0"/>
                      <w:bCs/>
                      <w:i w:val="0"/>
                      <w:iCs w:val="0"/>
                      <w:color w:val="auto"/>
                      <w:sz w:val="21"/>
                      <w:szCs w:val="21"/>
                      <w:vertAlign w:val="baseline"/>
                      <w:lang w:val="en-US" w:eastAsia="zh-CN"/>
                    </w:rPr>
                    <w:t>柴油通气管道</w:t>
                  </w: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Cs/>
                      <w:kern w:val="2"/>
                      <w:sz w:val="21"/>
                      <w:szCs w:val="21"/>
                      <w:lang w:val="en-US" w:eastAsia="zh-CN" w:bidi="ar-SA"/>
                    </w:rPr>
                  </w:pPr>
                  <w:r>
                    <w:rPr>
                      <w:rFonts w:ascii="Times New Roman" w:eastAsia="宋体" w:cs="Times New Roman" w:hAnsi="Times New Roman"/>
                      <w:color w:val="000000"/>
                      <w:spacing w:val="-2"/>
                      <w:sz w:val="21"/>
                      <w:szCs w:val="21"/>
                      <w:lang w:val="zh-CN"/>
                    </w:rPr>
                    <w:t>站房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pacing w:val="-1"/>
                      <w:sz w:val="21"/>
                      <w:szCs w:val="21"/>
                      <w:lang w:val="zh-CN"/>
                    </w:rPr>
                    <w:t>3.5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pacing w:val="-1"/>
                      <w:sz w:val="21"/>
                      <w:szCs w:val="21"/>
                      <w:lang w:val="zh-CN"/>
                    </w:rPr>
                    <w:t>18.9</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1"/>
                      <w:sz w:val="21"/>
                      <w:szCs w:val="21"/>
                      <w:lang w:val="zh-CN"/>
                    </w:rPr>
                    <w:t>油品卸车点</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8.9</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1"/>
                      <w:sz w:val="21"/>
                      <w:szCs w:val="21"/>
                      <w:lang w:val="zh-CN"/>
                    </w:rPr>
                    <w:t>自用燃煤锅炉房和燃煤厨房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2"/>
                      <w:sz w:val="21"/>
                      <w:szCs w:val="21"/>
                      <w:lang w:val="zh-CN"/>
                    </w:rPr>
                    <w:t>10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Cs/>
                      <w:kern w:val="2"/>
                      <w:sz w:val="21"/>
                      <w:szCs w:val="21"/>
                      <w:lang w:val="en-US" w:eastAsia="zh-CN" w:bidi="ar-SA"/>
                    </w:rPr>
                  </w:pPr>
                  <w:r>
                    <w:rPr>
                      <w:rFonts w:ascii="Times New Roman" w:eastAsia="宋体" w:cs="Times New Roman" w:hAnsi="Times New Roman"/>
                      <w:color w:val="000000"/>
                      <w:sz w:val="21"/>
                      <w:szCs w:val="21"/>
                      <w:lang w:val="zh-CN"/>
                    </w:rPr>
                    <w:t>自用有燃气(油)</w:t>
                  </w:r>
                  <w:r>
                    <w:rPr>
                      <w:rFonts w:ascii="Times New Roman" w:eastAsia="宋体" w:cs="Times New Roman" w:hAnsi="Times New Roman"/>
                      <w:color w:val="000000"/>
                      <w:spacing w:val="-1"/>
                      <w:sz w:val="21"/>
                      <w:szCs w:val="21"/>
                      <w:lang w:val="zh-CN"/>
                    </w:rPr>
                    <w:t>设备的房间</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z w:val="21"/>
                      <w:szCs w:val="21"/>
                      <w:lang w:val="zh-CN"/>
                    </w:rPr>
                    <w:t>6</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kern w:val="2"/>
                      <w:sz w:val="21"/>
                      <w:szCs w:val="21"/>
                      <w:vertAlign w:val="baseline"/>
                      <w:lang w:val="en-US" w:eastAsia="zh-CN" w:bidi="ar-SA"/>
                    </w:rPr>
                  </w:pPr>
                  <w:r>
                    <w:rPr>
                      <w:rFonts w:ascii="Times New Roman" w:eastAsia="宋体" w:cs="Times New Roman" w:hAnsi="Times New Roman"/>
                      <w:color w:val="000000"/>
                      <w:spacing w:val="-2"/>
                      <w:sz w:val="21"/>
                      <w:szCs w:val="21"/>
                      <w:lang w:val="zh-CN"/>
                    </w:rPr>
                    <w:t>围墙</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z w:val="21"/>
                      <w:szCs w:val="21"/>
                      <w:lang w:val="zh-CN"/>
                    </w:rPr>
                    <w:t>2</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kern w:val="2"/>
                      <w:sz w:val="21"/>
                      <w:szCs w:val="21"/>
                      <w:lang w:val="en-US" w:eastAsia="zh-CN" w:bidi="ar-SA"/>
                      <w:highlight w:val="none"/>
                    </w:rPr>
                  </w:pPr>
                  <w:r>
                    <w:rPr>
                      <w:rFonts w:ascii="Times New Roman" w:eastAsia="宋体" w:cs="Times New Roman" w:hAnsi="Times New Roman"/>
                      <w:color w:val="000000"/>
                      <w:spacing w:val="-1"/>
                      <w:sz w:val="21"/>
                      <w:szCs w:val="21"/>
                      <w:lang w:val="zh-CN"/>
                    </w:rPr>
                    <w:t>19.7</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val="restart"/>
                  <w:tcBorders>
                    <w:right w:val="single" w:sz="4" w:space="0" w:color="000000"/>
                  </w:tcBorders>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b w:val="0"/>
                      <w:bCs/>
                      <w:i w:val="0"/>
                      <w:iCs w:val="0"/>
                      <w:color w:val="auto"/>
                      <w:sz w:val="21"/>
                      <w:szCs w:val="21"/>
                      <w:vertAlign w:val="baseline"/>
                      <w:lang w:val="en-US" w:eastAsia="zh-CN"/>
                    </w:rPr>
                    <w:t>油品卸车点</w:t>
                  </w: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Cs/>
                      <w:sz w:val="21"/>
                      <w:szCs w:val="21"/>
                      <w:lang w:val="en-US" w:eastAsia="zh-CN"/>
                    </w:rPr>
                  </w:pPr>
                  <w:r>
                    <w:rPr>
                      <w:rFonts w:ascii="Times New Roman" w:eastAsia="宋体" w:cs="Times New Roman" w:hAnsi="Times New Roman"/>
                      <w:color w:val="000000"/>
                      <w:spacing w:val="-2"/>
                      <w:sz w:val="21"/>
                      <w:szCs w:val="21"/>
                      <w:lang w:val="zh-CN"/>
                    </w:rPr>
                    <w:t>站房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2"/>
                      <w:sz w:val="21"/>
                      <w:szCs w:val="21"/>
                      <w:lang w:val="zh-CN"/>
                    </w:rPr>
                    <w:t>19</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1"/>
                      <w:sz w:val="21"/>
                      <w:szCs w:val="21"/>
                      <w:lang w:val="zh-CN"/>
                    </w:rPr>
                    <w:t>配电室</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4.5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21.4</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Cs/>
                      <w:sz w:val="21"/>
                      <w:szCs w:val="21"/>
                      <w:lang w:val="en-US" w:eastAsia="zh-CN"/>
                    </w:rPr>
                  </w:pPr>
                  <w:r>
                    <w:rPr>
                      <w:rFonts w:ascii="Times New Roman" w:eastAsia="宋体" w:cs="Times New Roman" w:hAnsi="Times New Roman"/>
                      <w:color w:val="000000"/>
                      <w:spacing w:val="-1"/>
                      <w:sz w:val="21"/>
                      <w:szCs w:val="21"/>
                      <w:lang w:val="zh-CN"/>
                    </w:rPr>
                    <w:t>自用燃煤锅炉房和燃煤厨房</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2"/>
                      <w:sz w:val="21"/>
                      <w:szCs w:val="21"/>
                      <w:lang w:val="zh-CN"/>
                    </w:rPr>
                    <w:t>15</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z w:val="21"/>
                      <w:szCs w:val="21"/>
                      <w:lang w:val="zh-CN"/>
                    </w:rPr>
                    <w:t>自用有燃气(油)</w:t>
                  </w:r>
                  <w:r>
                    <w:rPr>
                      <w:rFonts w:ascii="Times New Roman" w:eastAsia="宋体" w:cs="Times New Roman" w:hAnsi="Times New Roman"/>
                      <w:color w:val="000000"/>
                      <w:spacing w:val="-1"/>
                      <w:sz w:val="21"/>
                      <w:szCs w:val="21"/>
                      <w:lang w:val="zh-CN"/>
                    </w:rPr>
                    <w:t>设备的房间</w:t>
                  </w:r>
                </w:p>
              </w:tc>
              <w:tc>
                <w:tcPr>
                  <w:tcW w:w="1710" w:type="dxa"/>
                  <w:tcBorders>
                    <w:top w:val="single" w:sz="4" w:space="0" w:color="000000"/>
                    <w:left w:val="single" w:sz="4" w:space="0" w:color="000000"/>
                    <w:bottom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8</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val="restart"/>
                  <w:tcBorders>
                    <w:right w:val="single" w:sz="4" w:space="0" w:color="000000"/>
                  </w:tcBorders>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b w:val="0"/>
                      <w:bCs/>
                      <w:i w:val="0"/>
                      <w:iCs w:val="0"/>
                      <w:color w:val="auto"/>
                      <w:sz w:val="21"/>
                      <w:szCs w:val="21"/>
                      <w:vertAlign w:val="baseline"/>
                      <w:lang w:val="en-US" w:eastAsia="zh-CN"/>
                    </w:rPr>
                    <w:t>汽油加油机</w:t>
                  </w:r>
                </w:p>
              </w:tc>
              <w:tc>
                <w:tcPr>
                  <w:tcW w:w="2925" w:type="dxa"/>
                  <w:tcBorders>
                    <w:top w:val="single" w:sz="4" w:space="0" w:color="000000"/>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Cs/>
                      <w:sz w:val="21"/>
                      <w:szCs w:val="21"/>
                      <w:lang w:val="en-US" w:eastAsia="zh-CN"/>
                    </w:rPr>
                  </w:pPr>
                  <w:r>
                    <w:rPr>
                      <w:rFonts w:ascii="Times New Roman" w:eastAsia="宋体" w:cs="Times New Roman" w:hAnsi="Times New Roman"/>
                      <w:color w:val="000000"/>
                      <w:spacing w:val="-2"/>
                      <w:sz w:val="21"/>
                      <w:szCs w:val="21"/>
                      <w:lang w:val="zh-CN"/>
                    </w:rPr>
                    <w:t>站房</w:t>
                  </w:r>
                </w:p>
              </w:tc>
              <w:tc>
                <w:tcPr>
                  <w:tcW w:w="1710" w:type="dxa"/>
                  <w:tcBorders>
                    <w:top w:val="single" w:sz="4" w:space="0" w:color="000000"/>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5</w:t>
                  </w:r>
                </w:p>
              </w:tc>
              <w:tc>
                <w:tcPr>
                  <w:tcW w:w="153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6</w:t>
                  </w:r>
                </w:p>
              </w:tc>
              <w:tc>
                <w:tcPr>
                  <w:tcW w:w="1358" w:type="dxa"/>
                  <w:tcBorders>
                    <w:top w:val="single" w:sz="4" w:space="0" w:color="000000"/>
                    <w:left w:val="single" w:sz="4" w:space="0" w:color="000000"/>
                    <w:bottom w:val="single" w:sz="4" w:space="0" w:color="auto"/>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1"/>
                      <w:sz w:val="21"/>
                      <w:szCs w:val="21"/>
                      <w:lang w:val="zh-CN"/>
                    </w:rPr>
                    <w:t>配电室</w:t>
                  </w:r>
                </w:p>
              </w:tc>
              <w:tc>
                <w:tcPr>
                  <w:tcW w:w="1710" w:type="dxa"/>
                  <w:tcBorders>
                    <w:top w:val="single" w:sz="4" w:space="0" w:color="000000"/>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6</w:t>
                  </w:r>
                </w:p>
              </w:tc>
              <w:tc>
                <w:tcPr>
                  <w:tcW w:w="153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6.3</w:t>
                  </w:r>
                </w:p>
              </w:tc>
              <w:tc>
                <w:tcPr>
                  <w:tcW w:w="1358" w:type="dxa"/>
                  <w:tcBorders>
                    <w:top w:val="single" w:sz="4" w:space="0" w:color="000000"/>
                    <w:left w:val="single" w:sz="4" w:space="0" w:color="000000"/>
                    <w:bottom w:val="single" w:sz="4" w:space="0" w:color="auto"/>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000000"/>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1"/>
                      <w:sz w:val="21"/>
                      <w:szCs w:val="21"/>
                      <w:lang w:val="zh-CN"/>
                    </w:rPr>
                    <w:t>自用燃煤锅炉房和燃煤厨房</w:t>
                  </w:r>
                </w:p>
              </w:tc>
              <w:tc>
                <w:tcPr>
                  <w:tcW w:w="1710" w:type="dxa"/>
                  <w:tcBorders>
                    <w:top w:val="single" w:sz="4" w:space="0" w:color="000000"/>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1"/>
                      <w:sz w:val="21"/>
                      <w:szCs w:val="21"/>
                      <w:lang w:val="zh-CN"/>
                    </w:rPr>
                    <w:t>12.5</w:t>
                  </w:r>
                </w:p>
              </w:tc>
              <w:tc>
                <w:tcPr>
                  <w:tcW w:w="153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auto"/>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bottom w:val="single" w:sz="4" w:space="0" w:color="auto"/>
                    <w:right w:val="single" w:sz="4" w:space="0" w:color="000000"/>
                  </w:tcBorders>
                  <w:vAlign w:val="center"/>
                </w:tcPr>
                <w:p/>
              </w:tc>
              <w:tc>
                <w:tcPr>
                  <w:tcW w:w="2925" w:type="dxa"/>
                  <w:tcBorders>
                    <w:top w:val="single" w:sz="4" w:space="0" w:color="000000"/>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z w:val="21"/>
                      <w:szCs w:val="21"/>
                      <w:lang w:val="zh-CN"/>
                    </w:rPr>
                    <w:t>自用有燃气(油)</w:t>
                  </w:r>
                  <w:r>
                    <w:rPr>
                      <w:rFonts w:ascii="Times New Roman" w:eastAsia="宋体" w:cs="Times New Roman" w:hAnsi="Times New Roman"/>
                      <w:color w:val="000000"/>
                      <w:spacing w:val="-1"/>
                      <w:sz w:val="21"/>
                      <w:szCs w:val="21"/>
                      <w:lang w:val="zh-CN"/>
                    </w:rPr>
                    <w:t>设备的房间</w:t>
                  </w:r>
                </w:p>
              </w:tc>
              <w:tc>
                <w:tcPr>
                  <w:tcW w:w="1710" w:type="dxa"/>
                  <w:tcBorders>
                    <w:top w:val="single" w:sz="4" w:space="0" w:color="000000"/>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8</w:t>
                  </w:r>
                </w:p>
              </w:tc>
              <w:tc>
                <w:tcPr>
                  <w:tcW w:w="1530" w:type="dxa"/>
                  <w:tcBorders>
                    <w:top w:val="single" w:sz="4" w:space="0" w:color="000000"/>
                    <w:left w:val="single" w:sz="4" w:space="0" w:color="000000"/>
                    <w:bottom w:val="single" w:sz="4" w:space="0" w:color="auto"/>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000000"/>
                    <w:left w:val="single" w:sz="4" w:space="0" w:color="000000"/>
                    <w:bottom w:val="single" w:sz="4" w:space="0" w:color="auto"/>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val="restart"/>
                  <w:tcBorders>
                    <w:top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柴油加油机</w:t>
                  </w:r>
                </w:p>
              </w:tc>
              <w:tc>
                <w:tcPr>
                  <w:tcW w:w="2925" w:type="dxa"/>
                  <w:tcBorders>
                    <w:top w:val="single" w:sz="4" w:space="0" w:color="auto"/>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Cs/>
                      <w:sz w:val="21"/>
                      <w:szCs w:val="21"/>
                      <w:lang w:val="en-US" w:eastAsia="zh-CN"/>
                    </w:rPr>
                  </w:pPr>
                  <w:r>
                    <w:rPr>
                      <w:rFonts w:ascii="Times New Roman" w:eastAsia="宋体" w:cs="Times New Roman" w:hAnsi="Times New Roman"/>
                      <w:color w:val="000000"/>
                      <w:spacing w:val="-2"/>
                      <w:sz w:val="21"/>
                      <w:szCs w:val="21"/>
                      <w:lang w:val="zh-CN"/>
                    </w:rPr>
                    <w:t>站房</w:t>
                  </w:r>
                </w:p>
              </w:tc>
              <w:tc>
                <w:tcPr>
                  <w:tcW w:w="1710" w:type="dxa"/>
                  <w:tcBorders>
                    <w:top w:val="single" w:sz="4" w:space="0" w:color="auto"/>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4</w:t>
                  </w:r>
                </w:p>
              </w:tc>
              <w:tc>
                <w:tcPr>
                  <w:tcW w:w="1530" w:type="dxa"/>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6</w:t>
                  </w:r>
                </w:p>
              </w:tc>
              <w:tc>
                <w:tcPr>
                  <w:tcW w:w="1358" w:type="dxa"/>
                  <w:tcBorders>
                    <w:top w:val="single" w:sz="4" w:space="0" w:color="auto"/>
                    <w:left w:val="single" w:sz="4" w:space="0" w:color="000000"/>
                    <w:bottom w:val="single" w:sz="4" w:space="0" w:color="auto"/>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auto"/>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pacing w:val="-1"/>
                      <w:sz w:val="21"/>
                      <w:szCs w:val="21"/>
                      <w:lang w:val="zh-CN"/>
                    </w:rPr>
                    <w:t>自用燃煤锅炉房和燃煤厨房</w:t>
                  </w:r>
                </w:p>
              </w:tc>
              <w:tc>
                <w:tcPr>
                  <w:tcW w:w="1710" w:type="dxa"/>
                  <w:tcBorders>
                    <w:top w:val="single" w:sz="4" w:space="0" w:color="auto"/>
                    <w:left w:val="single" w:sz="4" w:space="0" w:color="000000"/>
                    <w:bottom w:val="single" w:sz="4" w:space="0" w:color="auto"/>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2"/>
                      <w:sz w:val="21"/>
                      <w:szCs w:val="21"/>
                      <w:lang w:val="zh-CN"/>
                    </w:rPr>
                    <w:t>10</w:t>
                  </w:r>
                </w:p>
              </w:tc>
              <w:tc>
                <w:tcPr>
                  <w:tcW w:w="1530" w:type="dxa"/>
                  <w:tcBorders>
                    <w:top w:val="single" w:sz="4" w:space="0" w:color="auto"/>
                    <w:left w:val="single" w:sz="4" w:space="0" w:color="000000"/>
                    <w:bottom w:val="single" w:sz="4" w:space="0" w:color="auto"/>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auto"/>
                    <w:left w:val="single" w:sz="4" w:space="0" w:color="000000"/>
                    <w:bottom w:val="single" w:sz="4" w:space="0" w:color="auto"/>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r>
              <w:trPr>
                <w:trHeight w:val="397"/>
              </w:trPr>
              <w:tc>
                <w:tcPr>
                  <w:tcW w:w="1302" w:type="dxa"/>
                  <w:vMerge/>
                  <w:tcBorders>
                    <w:right w:val="single" w:sz="4" w:space="0" w:color="000000"/>
                  </w:tcBorders>
                  <w:vAlign w:val="center"/>
                </w:tcPr>
                <w:p/>
              </w:tc>
              <w:tc>
                <w:tcPr>
                  <w:tcW w:w="2925" w:type="dxa"/>
                  <w:tcBorders>
                    <w:top w:val="single" w:sz="4" w:space="0" w:color="auto"/>
                    <w:left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b w:val="0"/>
                      <w:bCs/>
                      <w:i w:val="0"/>
                      <w:iCs w:val="0"/>
                      <w:color w:val="auto"/>
                      <w:sz w:val="21"/>
                      <w:szCs w:val="21"/>
                      <w:vertAlign w:val="baseline"/>
                      <w:lang w:val="en-US" w:eastAsia="zh-CN"/>
                    </w:rPr>
                  </w:pPr>
                  <w:r>
                    <w:rPr>
                      <w:rFonts w:ascii="Times New Roman" w:eastAsia="宋体" w:cs="Times New Roman" w:hAnsi="Times New Roman"/>
                      <w:color w:val="000000"/>
                      <w:sz w:val="21"/>
                      <w:szCs w:val="21"/>
                      <w:lang w:val="zh-CN"/>
                    </w:rPr>
                    <w:t>自用有燃气(油)</w:t>
                  </w:r>
                  <w:r>
                    <w:rPr>
                      <w:rFonts w:ascii="Times New Roman" w:eastAsia="宋体" w:cs="Times New Roman" w:hAnsi="Times New Roman"/>
                      <w:color w:val="000000"/>
                      <w:spacing w:val="-1"/>
                      <w:sz w:val="21"/>
                      <w:szCs w:val="21"/>
                      <w:lang w:val="zh-CN"/>
                    </w:rPr>
                    <w:t>设备的房间</w:t>
                  </w:r>
                </w:p>
              </w:tc>
              <w:tc>
                <w:tcPr>
                  <w:tcW w:w="1710" w:type="dxa"/>
                  <w:tcBorders>
                    <w:top w:val="single" w:sz="4" w:space="0" w:color="auto"/>
                    <w:left w:val="single" w:sz="4" w:space="0" w:color="000000"/>
                    <w:righ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z w:val="21"/>
                      <w:szCs w:val="21"/>
                      <w:lang w:val="zh-CN"/>
                    </w:rPr>
                    <w:t>6</w:t>
                  </w:r>
                </w:p>
              </w:tc>
              <w:tc>
                <w:tcPr>
                  <w:tcW w:w="1530" w:type="dxa"/>
                  <w:tcBorders>
                    <w:top w:val="single" w:sz="4" w:space="0" w:color="auto"/>
                    <w:left w:val="single" w:sz="4" w:space="0" w:color="000000"/>
                    <w:right w:val="single" w:sz="4" w:space="0" w:color="000000"/>
                  </w:tcBorders>
                  <w:shd w:val="clear" w:color="auto" w:fill="auto"/>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000000"/>
                      <w:spacing w:val="-3"/>
                      <w:sz w:val="21"/>
                      <w:szCs w:val="21"/>
                      <w:lang w:val="zh-CN"/>
                    </w:rPr>
                    <w:t>无</w:t>
                  </w:r>
                </w:p>
              </w:tc>
              <w:tc>
                <w:tcPr>
                  <w:tcW w:w="1358" w:type="dxa"/>
                  <w:tcBorders>
                    <w:top w:val="single" w:sz="4" w:space="0" w:color="auto"/>
                    <w:left w:val="single" w:sz="4" w:space="0" w:color="000000"/>
                  </w:tcBorders>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36"/>
                      <w:sz w:val="21"/>
                      <w:szCs w:val="21"/>
                      <w:lang w:val="en-US" w:eastAsia="zh-CN"/>
                      <w:highlight w:val="none"/>
                    </w:rPr>
                  </w:pPr>
                  <w:r>
                    <w:rPr>
                      <w:rFonts w:ascii="Times New Roman" w:eastAsia="宋体" w:cs="Times New Roman" w:hAnsi="Times New Roman"/>
                      <w:color w:val="000000"/>
                      <w:kern w:val="36"/>
                      <w:sz w:val="21"/>
                      <w:szCs w:val="21"/>
                      <w:lang w:val="en-US" w:eastAsia="zh-CN"/>
                      <w:highlight w:val="none"/>
                    </w:rPr>
                    <w:t>合格</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ascii="Times New Roman" w:eastAsia="宋体" w:cs="Times New Roman" w:hAnsi="Times New Roman"/>
                <w:bCs/>
                <w:sz w:val="24"/>
                <w:szCs w:val="24"/>
                <w:lang w:val="en-US" w:eastAsia="zh-CN"/>
              </w:rPr>
            </w:pPr>
            <w:r>
              <w:rPr>
                <w:rFonts w:ascii="Times New Roman" w:cs="Times New Roman" w:hAnsi="Times New Roman" w:hint="eastAsia"/>
                <w:bCs/>
                <w:color w:val="auto"/>
                <w:sz w:val="24"/>
                <w:szCs w:val="24"/>
                <w:lang w:val="en-US" w:eastAsia="zh-CN"/>
              </w:rPr>
              <w:t>加油站内设施与站外建（构）筑物的安全间距见</w:t>
            </w:r>
            <w:r>
              <w:rPr>
                <w:rFonts w:ascii="Times New Roman" w:cs="Times New Roman" w:hAnsi="Times New Roman" w:hint="eastAsia"/>
                <w:bCs/>
                <w:color w:val="auto"/>
                <w:sz w:val="24"/>
                <w:szCs w:val="24"/>
                <w:lang w:val="en-US" w:eastAsia="zh-CN"/>
                <w:highlight w:val="none"/>
              </w:rPr>
              <w:t>下表。</w:t>
            </w:r>
          </w:p>
          <w:p>
            <w:pPr>
              <w:pStyle w:val="75"/>
              <w:keepNext/>
              <w:keepLines w:val="0"/>
              <w:suppressLineNumbers w:val="0"/>
              <w:bidi w:val="0"/>
              <w:spacing w:before="0" w:beforeAutospacing="0" w:after="0" w:afterAutospacing="0"/>
              <w:ind w:left="0" w:right="0" w:firstLine="420"/>
              <w:rPr>
                <w:lang w:val="en-US" w:eastAsia="zh-CN"/>
              </w:rPr>
            </w:pPr>
            <w:r>
              <w:rPr>
                <w:rFonts w:ascii="Times New Roman" w:cs="Times New Roman" w:hAnsi="Times New Roman" w:hint="eastAsia"/>
                <w:sz w:val="24"/>
                <w:szCs w:val="20"/>
                <w:lang w:val="en-US" w:eastAsia="zh-CN"/>
              </w:rPr>
              <w:t xml:space="preserve">  </w:t>
            </w:r>
            <w:r>
              <w:rPr>
                <w:rFonts w:ascii="Times New Roman" w:cs="Times New Roman" w:hAnsi="Times New Roman"/>
                <w:sz w:val="24"/>
                <w:szCs w:val="20"/>
                <w:u w:val="single"/>
                <w:lang w:val="en-US" w:eastAsia="zh-CN"/>
              </w:rPr>
              <w:t>汽油</w:t>
            </w:r>
            <w:r>
              <w:rPr>
                <w:rFonts w:ascii="Times New Roman" w:cs="Times New Roman" w:hAnsi="Times New Roman" w:hint="eastAsia"/>
                <w:sz w:val="24"/>
                <w:szCs w:val="20"/>
                <w:u w:val="single"/>
                <w:lang w:val="en-US" w:eastAsia="zh-CN"/>
              </w:rPr>
              <w:t>(柴油)</w:t>
            </w:r>
            <w:r>
              <w:rPr>
                <w:rFonts w:ascii="Times New Roman" w:cs="Times New Roman" w:hAnsi="Times New Roman"/>
                <w:sz w:val="24"/>
                <w:szCs w:val="20"/>
                <w:u w:val="single"/>
                <w:lang w:val="en-US" w:eastAsia="zh-CN"/>
              </w:rPr>
              <w:t>设施与站外建（构）筑物的安全间距</w:t>
            </w:r>
            <w:r>
              <w:rPr>
                <w:rFonts w:ascii="Times New Roman" w:cs="Times New Roman" w:hAnsi="Times New Roman"/>
                <w:sz w:val="24"/>
                <w:szCs w:val="20"/>
                <w:lang w:val="en-US" w:eastAsia="zh-CN"/>
              </w:rPr>
              <w:t xml:space="preserve">     单位：m</w:t>
            </w:r>
          </w:p>
          <w:tbl>
            <w:tblPr>
              <w:jc w:val="left"/>
              <w:tblInd w:w="0" w:type="dxa"/>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72"/>
              <w:gridCol w:w="1492"/>
              <w:gridCol w:w="1077"/>
              <w:gridCol w:w="1145"/>
              <w:gridCol w:w="1159"/>
              <w:gridCol w:w="1119"/>
              <w:gridCol w:w="1131"/>
              <w:gridCol w:w="1011"/>
            </w:tblGrid>
            <w:tr>
              <w:trPr>
                <w:trHeight w:val="397"/>
              </w:trPr>
              <w:tc>
                <w:tcPr>
                  <w:tcW w:w="2164" w:type="dxa"/>
                  <w:gridSpan w:val="2"/>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
                      <w:bCs/>
                      <w:sz w:val="21"/>
                      <w:szCs w:val="21"/>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
                      <w:bCs/>
                      <w:sz w:val="21"/>
                      <w:szCs w:val="21"/>
                      <w:lang w:val="en-US" w:eastAsia="zh-CN"/>
                    </w:rPr>
                  </w:pPr>
                </w:p>
                <w:p>
                  <w:pPr>
                    <w:keepNext w:val="0"/>
                    <w:keepLines w:val="0"/>
                    <w:pageBreakBefore w:val="0"/>
                    <w:widowControl w:val="0"/>
                    <w:suppressLineNumbers w:val="0"/>
                    <w:kinsoku/>
                    <w:wordWrap/>
                    <w:topLinePunct w:val="0"/>
                    <w:autoSpaceDE/>
                    <w:autoSpaceDN/>
                    <w:bidi w:val="0"/>
                    <w:adjustRightInd/>
                    <w:spacing w:before="0" w:beforeAutospacing="0" w:after="0" w:afterAutospacing="0"/>
                    <w:ind w:left="0" w:right="0" w:firstLine="0"/>
                    <w:jc w:val="center"/>
                    <w:textAlignment w:val="auto"/>
                    <w:outlineLvl w:val="9"/>
                    <w:rPr>
                      <w:sz w:val="21"/>
                      <w:szCs w:val="21"/>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
                      <w:bCs/>
                      <w:sz w:val="21"/>
                      <w:szCs w:val="21"/>
                      <w:lang w:val="en-US" w:eastAsia="zh-CN"/>
                    </w:rPr>
                  </w:pPr>
                  <w:r>
                    <w:rPr>
                      <w:rFonts w:ascii="Times New Roman" w:eastAsia="宋体" w:cs="Times New Roman" w:hAnsi="Times New Roman"/>
                      <w:b/>
                      <w:bCs/>
                      <w:sz w:val="21"/>
                      <w:szCs w:val="21"/>
                      <w:lang w:val="en-US" w:eastAsia="zh-CN" w:bidi="ar-SA"/>
                    </w:rPr>
                    <w:t>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9"/>
                    <w:rPr>
                      <w:rFonts w:ascii="Times New Roman" w:eastAsia="宋体" w:cs="Times New Roman" w:hAnsi="Times New Roman"/>
                      <w:b/>
                      <w:bCs/>
                      <w:sz w:val="21"/>
                      <w:szCs w:val="21"/>
                      <w:lang w:val="en-US" w:eastAsia="zh-CN"/>
                    </w:rPr>
                  </w:pPr>
                  <w:r>
                    <w:rPr>
                      <w:rFonts w:ascii="Times New Roman" w:eastAsia="宋体" w:cs="Times New Roman" w:hAnsi="Times New Roman"/>
                      <w:b/>
                      <w:bCs/>
                      <w:sz w:val="21"/>
                      <w:szCs w:val="21"/>
                      <w:lang w:val="en-US" w:eastAsia="zh-CN" w:bidi="ar-SA"/>
                    </w:rPr>
                    <w:t>级别</w:t>
                  </w:r>
                </w:p>
              </w:tc>
              <w:tc>
                <w:tcPr>
                  <w:tcW w:w="2222" w:type="dxa"/>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rPr>
                  </w:pPr>
                  <w:r>
                    <w:rPr>
                      <w:rFonts w:ascii="Times New Roman" w:eastAsia="宋体" w:cs="Times New Roman" w:hAnsi="Times New Roman"/>
                      <w:b/>
                      <w:bCs/>
                      <w:sz w:val="21"/>
                      <w:szCs w:val="21"/>
                      <w:lang w:val="en-US" w:eastAsia="zh-CN" w:bidi="ar-SA"/>
                    </w:rPr>
                    <w:t>地埋油罐</w:t>
                  </w:r>
                </w:p>
              </w:tc>
              <w:tc>
                <w:tcPr>
                  <w:tcW w:w="2278" w:type="dxa"/>
                  <w:gridSpan w:val="2"/>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rPr>
                  </w:pPr>
                  <w:r>
                    <w:rPr>
                      <w:rFonts w:ascii="Times New Roman" w:eastAsia="宋体" w:cs="Times New Roman" w:hAnsi="Times New Roman"/>
                      <w:b/>
                      <w:bCs/>
                      <w:sz w:val="21"/>
                      <w:szCs w:val="21"/>
                      <w:lang w:val="en-US" w:eastAsia="zh-CN" w:bidi="ar-SA"/>
                    </w:rPr>
                    <w:t>油罐通气管管口</w:t>
                  </w:r>
                </w:p>
              </w:tc>
              <w:tc>
                <w:tcPr>
                  <w:tcW w:w="2142" w:type="dxa"/>
                  <w:gridSpan w:val="2"/>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rPr>
                  </w:pPr>
                  <w:r>
                    <w:rPr>
                      <w:rFonts w:ascii="Times New Roman" w:eastAsia="宋体" w:cs="Times New Roman" w:hAnsi="Times New Roman"/>
                      <w:b/>
                      <w:bCs/>
                      <w:sz w:val="21"/>
                      <w:szCs w:val="21"/>
                      <w:lang w:val="en-US" w:eastAsia="zh-CN" w:bidi="ar-SA"/>
                    </w:rPr>
                    <w:t>加油机</w:t>
                  </w:r>
                </w:p>
              </w:tc>
            </w:tr>
            <w:tr>
              <w:trPr>
                <w:trHeight w:val="397"/>
              </w:trPr>
              <w:tc>
                <w:tcPr>
                  <w:tcW w:w="2164" w:type="dxa"/>
                  <w:gridSpan w:val="2"/>
                  <w:vMerge/>
                  <w:tcBorders>
                    <w:tl2br w:val="nil"/>
                    <w:tr2bl w:val="nil"/>
                  </w:tcBorders>
                  <w:vAlign w:val="center"/>
                </w:tcPr>
                <w:p/>
              </w:tc>
              <w:tc>
                <w:tcPr>
                  <w:tcW w:w="2222" w:type="dxa"/>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rPr>
                  </w:pPr>
                  <w:r>
                    <w:rPr>
                      <w:rFonts w:ascii="Times New Roman" w:eastAsia="宋体" w:cs="Times New Roman" w:hAnsi="Times New Roman"/>
                      <w:b/>
                      <w:bCs/>
                      <w:sz w:val="21"/>
                      <w:szCs w:val="21"/>
                      <w:lang w:val="en-US" w:eastAsia="zh-CN" w:bidi="ar-SA"/>
                    </w:rPr>
                    <w:t>三级站</w:t>
                  </w:r>
                </w:p>
              </w:tc>
              <w:tc>
                <w:tcPr>
                  <w:tcW w:w="2278" w:type="dxa"/>
                  <w:gridSpan w:val="2"/>
                  <w:vMerge/>
                  <w:tcBorders>
                    <w:tl2br w:val="nil"/>
                    <w:tr2bl w:val="nil"/>
                  </w:tcBorders>
                  <w:vAlign w:val="center"/>
                </w:tcPr>
                <w:p/>
              </w:tc>
              <w:tc>
                <w:tcPr>
                  <w:tcW w:w="2142" w:type="dxa"/>
                  <w:gridSpan w:val="2"/>
                  <w:vMerge/>
                  <w:tcBorders>
                    <w:tl2br w:val="nil"/>
                    <w:tr2bl w:val="nil"/>
                  </w:tcBorders>
                  <w:vAlign w:val="center"/>
                </w:tcPr>
                <w:p/>
              </w:tc>
            </w:tr>
            <w:tr>
              <w:trPr>
                <w:trHeight w:val="397"/>
              </w:trPr>
              <w:tc>
                <w:tcPr>
                  <w:tcW w:w="2164" w:type="dxa"/>
                  <w:gridSpan w:val="2"/>
                  <w:vMerge/>
                  <w:tcBorders>
                    <w:tl2br w:val="nil"/>
                    <w:tr2bl w:val="nil"/>
                  </w:tcBorders>
                  <w:vAlign w:val="center"/>
                </w:tcPr>
                <w:p/>
              </w:tc>
              <w:tc>
                <w:tcPr>
                  <w:tcW w:w="1077"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rPr>
                  </w:pPr>
                  <w:r>
                    <w:rPr>
                      <w:rFonts w:ascii="Times New Roman" w:eastAsia="宋体" w:cs="Times New Roman" w:hAnsi="Times New Roman"/>
                      <w:b/>
                      <w:bCs/>
                      <w:sz w:val="21"/>
                      <w:szCs w:val="21"/>
                      <w:lang w:val="en-US" w:eastAsia="zh-CN" w:bidi="ar-SA"/>
                    </w:rPr>
                    <w:t>标准</w:t>
                  </w:r>
                </w:p>
              </w:tc>
              <w:tc>
                <w:tcPr>
                  <w:tcW w:w="1145"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highlight w:val="none"/>
                    </w:rPr>
                  </w:pPr>
                  <w:r>
                    <w:rPr>
                      <w:rFonts w:ascii="Times New Roman" w:eastAsia="宋体" w:cs="Times New Roman" w:hAnsi="Times New Roman"/>
                      <w:b/>
                      <w:bCs/>
                      <w:sz w:val="21"/>
                      <w:szCs w:val="21"/>
                      <w:lang w:val="en-US" w:eastAsia="zh-CN" w:bidi="ar-SA"/>
                    </w:rPr>
                    <w:t>设计</w:t>
                  </w:r>
                </w:p>
              </w:tc>
              <w:tc>
                <w:tcPr>
                  <w:tcW w:w="115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highlight w:val="none"/>
                    </w:rPr>
                  </w:pPr>
                  <w:r>
                    <w:rPr>
                      <w:rFonts w:ascii="Times New Roman" w:eastAsia="宋体" w:cs="Times New Roman" w:hAnsi="Times New Roman"/>
                      <w:b/>
                      <w:bCs/>
                      <w:sz w:val="21"/>
                      <w:szCs w:val="21"/>
                      <w:lang w:val="en-US" w:eastAsia="zh-CN" w:bidi="ar-SA"/>
                    </w:rPr>
                    <w:t>标准</w:t>
                  </w:r>
                </w:p>
              </w:tc>
              <w:tc>
                <w:tcPr>
                  <w:tcW w:w="111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highlight w:val="none"/>
                    </w:rPr>
                  </w:pPr>
                  <w:r>
                    <w:rPr>
                      <w:rFonts w:ascii="Times New Roman" w:eastAsia="宋体" w:cs="Times New Roman" w:hAnsi="Times New Roman"/>
                      <w:b/>
                      <w:bCs/>
                      <w:sz w:val="21"/>
                      <w:szCs w:val="21"/>
                      <w:lang w:val="en-US" w:eastAsia="zh-CN" w:bidi="ar-SA"/>
                    </w:rPr>
                    <w:t>设计</w:t>
                  </w:r>
                </w:p>
              </w:tc>
              <w:tc>
                <w:tcPr>
                  <w:tcW w:w="113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highlight w:val="none"/>
                    </w:rPr>
                  </w:pPr>
                  <w:r>
                    <w:rPr>
                      <w:rFonts w:ascii="Times New Roman" w:eastAsia="宋体" w:cs="Times New Roman" w:hAnsi="Times New Roman"/>
                      <w:b/>
                      <w:bCs/>
                      <w:sz w:val="21"/>
                      <w:szCs w:val="21"/>
                      <w:lang w:val="en-US" w:eastAsia="zh-CN" w:bidi="ar-SA"/>
                    </w:rPr>
                    <w:t>标准</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b/>
                      <w:bCs/>
                      <w:sz w:val="21"/>
                      <w:szCs w:val="21"/>
                      <w:lang w:val="en-US" w:eastAsia="zh-CN"/>
                      <w:highlight w:val="none"/>
                    </w:rPr>
                  </w:pPr>
                  <w:r>
                    <w:rPr>
                      <w:rFonts w:ascii="Times New Roman" w:eastAsia="宋体" w:cs="Times New Roman" w:hAnsi="Times New Roman"/>
                      <w:b/>
                      <w:bCs/>
                      <w:sz w:val="21"/>
                      <w:szCs w:val="21"/>
                      <w:lang w:val="en-US" w:eastAsia="zh-CN" w:bidi="ar-SA"/>
                    </w:rPr>
                    <w:t>设计</w:t>
                  </w:r>
                </w:p>
              </w:tc>
            </w:tr>
            <w:tr>
              <w:trPr>
                <w:trHeight w:val="397"/>
              </w:trPr>
              <w:tc>
                <w:tcPr>
                  <w:tcW w:w="2164" w:type="dxa"/>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重要公共建筑物</w:t>
                  </w:r>
                </w:p>
              </w:tc>
              <w:tc>
                <w:tcPr>
                  <w:tcW w:w="1077"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67" behindDoc="0" locked="0" layoutInCell="1" hidden="0" allowOverlap="1">
                            <wp:simplePos x="0" y="0"/>
                            <wp:positionH relativeFrom="page">
                              <wp:posOffset>699135</wp:posOffset>
                            </wp:positionH>
                            <wp:positionV relativeFrom="line">
                              <wp:posOffset>-21590</wp:posOffset>
                            </wp:positionV>
                            <wp:extent cx="6349" cy="6097"/>
                            <wp:wrapNone/>
                            <wp:docPr id="26" name="Freeform 358"/>
                            <wp:cNvGraphicFramePr>
                              <a:graphicFrameLocks noChangeAspect="0"/>
                            </wp:cNvGraphicFramePr>
                            <a:graphic>
                              <a:graphicData uri="http://schemas.microsoft.com/office/word/2010/wordprocessingShape">
                                <wps:wsp>
                                  <wps:cNvSpPr/>
                                  <wps:spPr>
                                    <a:xfrm rot="0">
                                      <a:off x="0" y="0"/>
                                      <a:ext cx="6349" cy="6097"/>
                                    </a:xfrm>
                                    <a:custGeom>
                                      <a:gdLst>
                                        <a:gd name="T1" fmla="*/ 0 w 21600"/>
                                        <a:gd name="T2" fmla="*/ 0 h 21600"/>
                                        <a:gd name="T3" fmla="*/ 21604 w 21600"/>
                                        <a:gd name="T4" fmla="*/ 21603 h 21600"/>
                                      </a:gdLst>
                                      <a:rect l="T1" t="T2" r="T3" b="T4"/>
                                      <a:pathLst>
                                        <a:path w="21600" h="21600">
                                          <a:moveTo>
                                            <a:pt x="0" y="21603"/>
                                          </a:moveTo>
                                          <a:lnTo>
                                            <a:pt x="21603" y="21603"/>
                                          </a:lnTo>
                                          <a:lnTo>
                                            <a:pt x="21603" y="0"/>
                                          </a:lnTo>
                                          <a:lnTo>
                                            <a:pt x="0" y="0"/>
                                          </a:lnTo>
                                          <a:cubicBezTo>
                                            <a:pt x="0" y="7204"/>
                                            <a:pt x="0" y="14402"/>
                                            <a:pt x="0" y="21603"/>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58" o:spid="_x0000_s11" fillcolor="#000000" stroked="f" strokeweight="1.0pt" coordsize="9,9" path="m,9hdc3,9,6,9,10,9hdc10,6,10,3,10,hdc6,,3,,,hdc,3,,6,,9xe" style="position:absolute;margin-left:55.05pt;margin-top:-1.7000002pt;width:0.4999981pt;height:0.48007876pt;z-index:67;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1"/>
                      <w:sz w:val="21"/>
                      <w:szCs w:val="21"/>
                      <w:lang w:val="zh-CN" w:eastAsia="zh-CN" w:bidi="ar-SA"/>
                    </w:rPr>
                    <w:t>35(25)</w:t>
                  </w:r>
                </w:p>
              </w:tc>
              <w:tc>
                <w:tcPr>
                  <w:tcW w:w="1145"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69" behindDoc="0" locked="0" layoutInCell="1" hidden="0" allowOverlap="1">
                            <wp:simplePos x="0" y="0"/>
                            <wp:positionH relativeFrom="page">
                              <wp:posOffset>826135</wp:posOffset>
                            </wp:positionH>
                            <wp:positionV relativeFrom="line">
                              <wp:posOffset>-21590</wp:posOffset>
                            </wp:positionV>
                            <wp:extent cx="6349" cy="6097"/>
                            <wp:wrapNone/>
                            <wp:docPr id="60" name="Freeform 359"/>
                            <wp:cNvGraphicFramePr>
                              <a:graphicFrameLocks noChangeAspect="0"/>
                            </wp:cNvGraphicFramePr>
                            <a:graphic>
                              <a:graphicData uri="http://schemas.microsoft.com/office/word/2010/wordprocessingShape">
                                <wps:wsp>
                                  <wps:cNvSpPr/>
                                  <wps:spPr>
                                    <a:xfrm rot="0">
                                      <a:off x="0" y="0"/>
                                      <a:ext cx="6349" cy="6097"/>
                                    </a:xfrm>
                                    <a:custGeom>
                                      <a:gdLst>
                                        <a:gd name="T1" fmla="*/ 0 w 21600"/>
                                        <a:gd name="T2" fmla="*/ 0 h 21600"/>
                                        <a:gd name="T3" fmla="*/ 21601 w 21600"/>
                                        <a:gd name="T4" fmla="*/ 21603 h 21600"/>
                                      </a:gdLst>
                                      <a:rect l="T1" t="T2" r="T3" b="T4"/>
                                      <a:pathLst>
                                        <a:path w="21600" h="21600">
                                          <a:moveTo>
                                            <a:pt x="0" y="21603"/>
                                          </a:moveTo>
                                          <a:lnTo>
                                            <a:pt x="21600" y="21603"/>
                                          </a:lnTo>
                                          <a:lnTo>
                                            <a:pt x="21600" y="0"/>
                                          </a:lnTo>
                                          <a:lnTo>
                                            <a:pt x="0" y="0"/>
                                          </a:lnTo>
                                          <a:cubicBezTo>
                                            <a:pt x="0" y="7204"/>
                                            <a:pt x="0" y="14402"/>
                                            <a:pt x="0" y="21603"/>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59" o:spid="_x0000_s12" fillcolor="#000000" stroked="f" strokeweight="1.0pt" coordsize="9,9" path="m,9hdc3,9,6,9,10,9hdc10,6,10,3,10,hdc6,,3,,,hdc,3,,6,,9xe" style="position:absolute;margin-left:65.05pt;margin-top:-1.7000002pt;width:0.4999981pt;height:0.48007876pt;z-index:69;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5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71" behindDoc="0" locked="0" layoutInCell="1" hidden="0" allowOverlap="1">
                            <wp:simplePos x="0" y="0"/>
                            <wp:positionH relativeFrom="page">
                              <wp:posOffset>692150</wp:posOffset>
                            </wp:positionH>
                            <wp:positionV relativeFrom="line">
                              <wp:posOffset>-21590</wp:posOffset>
                            </wp:positionV>
                            <wp:extent cx="6349" cy="6097"/>
                            <wp:wrapNone/>
                            <wp:docPr id="61" name="Freeform 360"/>
                            <wp:cNvGraphicFramePr>
                              <a:graphicFrameLocks noChangeAspect="0"/>
                            </wp:cNvGraphicFramePr>
                            <a:graphic>
                              <a:graphicData uri="http://schemas.microsoft.com/office/word/2010/wordprocessingShape">
                                <wps:wsp>
                                  <wps:cNvSpPr/>
                                  <wps:spPr>
                                    <a:xfrm rot="0">
                                      <a:off x="0" y="0"/>
                                      <a:ext cx="6349" cy="6097"/>
                                    </a:xfrm>
                                    <a:custGeom>
                                      <a:gdLst>
                                        <a:gd name="T1" fmla="*/ 0 w 21600"/>
                                        <a:gd name="T2" fmla="*/ 0 h 21600"/>
                                        <a:gd name="T3" fmla="*/ 21598 w 21600"/>
                                        <a:gd name="T4" fmla="*/ 21603 h 21600"/>
                                      </a:gdLst>
                                      <a:rect l="T1" t="T2" r="T3" b="T4"/>
                                      <a:pathLst>
                                        <a:path w="21600" h="21600">
                                          <a:moveTo>
                                            <a:pt x="0" y="21603"/>
                                          </a:moveTo>
                                          <a:lnTo>
                                            <a:pt x="21597" y="21603"/>
                                          </a:lnTo>
                                          <a:lnTo>
                                            <a:pt x="21597" y="0"/>
                                          </a:lnTo>
                                          <a:lnTo>
                                            <a:pt x="0" y="0"/>
                                          </a:lnTo>
                                          <a:cubicBezTo>
                                            <a:pt x="0" y="7204"/>
                                            <a:pt x="0" y="14402"/>
                                            <a:pt x="0" y="21603"/>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60" o:spid="_x0000_s13" fillcolor="#000000" stroked="f" strokeweight="1.0pt" coordsize="9,9" path="m,9hdc3,9,6,9,9,9hdc9,6,9,3,9,hdc6,,3,,,hdc,3,,6,,9xe" style="position:absolute;margin-left:54.500004pt;margin-top:-1.7000002pt;width:0.4999981pt;height:0.48007876pt;z-index:71;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1"/>
                      <w:sz w:val="21"/>
                      <w:szCs w:val="21"/>
                      <w:lang w:val="zh-CN" w:eastAsia="zh-CN" w:bidi="ar-SA"/>
                    </w:rPr>
                    <w:t>35(25)</w:t>
                  </w:r>
                </w:p>
              </w:tc>
              <w:tc>
                <w:tcPr>
                  <w:tcW w:w="111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73" behindDoc="0" locked="0" layoutInCell="1" hidden="0" allowOverlap="1">
                            <wp:simplePos x="0" y="0"/>
                            <wp:positionH relativeFrom="page">
                              <wp:posOffset>826135</wp:posOffset>
                            </wp:positionH>
                            <wp:positionV relativeFrom="line">
                              <wp:posOffset>-21590</wp:posOffset>
                            </wp:positionV>
                            <wp:extent cx="6349" cy="6097"/>
                            <wp:wrapNone/>
                            <wp:docPr id="62" name="Freeform 361"/>
                            <wp:cNvGraphicFramePr>
                              <a:graphicFrameLocks noChangeAspect="0"/>
                            </wp:cNvGraphicFramePr>
                            <a:graphic>
                              <a:graphicData uri="http://schemas.microsoft.com/office/word/2010/wordprocessingShape">
                                <wps:wsp>
                                  <wps:cNvSpPr/>
                                  <wps:spPr>
                                    <a:xfrm rot="0">
                                      <a:off x="0" y="0"/>
                                      <a:ext cx="6349" cy="6097"/>
                                    </a:xfrm>
                                    <a:custGeom>
                                      <a:gdLst>
                                        <a:gd name="T1" fmla="*/ 0 w 21600"/>
                                        <a:gd name="T2" fmla="*/ 0 h 21600"/>
                                        <a:gd name="T3" fmla="*/ 21603 w 21600"/>
                                        <a:gd name="T4" fmla="*/ 21603 h 21600"/>
                                      </a:gdLst>
                                      <a:rect l="T1" t="T2" r="T3" b="T4"/>
                                      <a:pathLst>
                                        <a:path w="21600" h="21600">
                                          <a:moveTo>
                                            <a:pt x="0" y="21603"/>
                                          </a:moveTo>
                                          <a:lnTo>
                                            <a:pt x="21602" y="21603"/>
                                          </a:lnTo>
                                          <a:lnTo>
                                            <a:pt x="21602" y="0"/>
                                          </a:lnTo>
                                          <a:lnTo>
                                            <a:pt x="0" y="0"/>
                                          </a:lnTo>
                                          <a:cubicBezTo>
                                            <a:pt x="0" y="7204"/>
                                            <a:pt x="0" y="14402"/>
                                            <a:pt x="0" y="21603"/>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61" o:spid="_x0000_s14" fillcolor="#000000" stroked="f" strokeweight="1.0pt" coordsize="9,9" path="m,9hdc3,9,6,9,10,9hdc10,6,10,3,10,hdc6,,3,,,hdc,3,,6,,9xe" style="position:absolute;margin-left:65.05pt;margin-top:-1.7000002pt;width:0.4999981pt;height:0.48007876pt;z-index:73;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3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75" behindDoc="0" locked="0" layoutInCell="1" hidden="0" allowOverlap="1">
                            <wp:simplePos x="0" y="0"/>
                            <wp:positionH relativeFrom="page">
                              <wp:posOffset>693420</wp:posOffset>
                            </wp:positionH>
                            <wp:positionV relativeFrom="line">
                              <wp:posOffset>-21590</wp:posOffset>
                            </wp:positionV>
                            <wp:extent cx="6349" cy="6097"/>
                            <wp:wrapNone/>
                            <wp:docPr id="63" name="Freeform 362"/>
                            <wp:cNvGraphicFramePr>
                              <a:graphicFrameLocks noChangeAspect="0"/>
                            </wp:cNvGraphicFramePr>
                            <a:graphic>
                              <a:graphicData uri="http://schemas.microsoft.com/office/word/2010/wordprocessingShape">
                                <wps:wsp>
                                  <wps:cNvSpPr/>
                                  <wps:spPr>
                                    <a:xfrm rot="0">
                                      <a:off x="0" y="0"/>
                                      <a:ext cx="6349" cy="6097"/>
                                    </a:xfrm>
                                    <a:custGeom>
                                      <a:gdLst>
                                        <a:gd name="T1" fmla="*/ 0 w 21600"/>
                                        <a:gd name="T2" fmla="*/ 0 h 21600"/>
                                        <a:gd name="T3" fmla="*/ 21601 w 21600"/>
                                        <a:gd name="T4" fmla="*/ 21603 h 21600"/>
                                      </a:gdLst>
                                      <a:rect l="T1" t="T2" r="T3" b="T4"/>
                                      <a:pathLst>
                                        <a:path w="21600" h="21600">
                                          <a:moveTo>
                                            <a:pt x="0" y="21603"/>
                                          </a:moveTo>
                                          <a:lnTo>
                                            <a:pt x="21600" y="21603"/>
                                          </a:lnTo>
                                          <a:lnTo>
                                            <a:pt x="21600" y="0"/>
                                          </a:lnTo>
                                          <a:lnTo>
                                            <a:pt x="0" y="0"/>
                                          </a:lnTo>
                                          <a:cubicBezTo>
                                            <a:pt x="0" y="7204"/>
                                            <a:pt x="0" y="14402"/>
                                            <a:pt x="0" y="21603"/>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62" o:spid="_x0000_s15" fillcolor="#000000" stroked="f" strokeweight="1.0pt" coordsize="9,9" path="m,9hdc3,9,6,9,10,9hdc10,6,10,3,10,hdc6,,3,,,hdc,3,,6,,9xe" style="position:absolute;margin-left:54.600002pt;margin-top:-1.7000002pt;width:0.4999981pt;height:0.48007876pt;z-index:75;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35(25)</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77" behindDoc="0" locked="0" layoutInCell="1" hidden="0" allowOverlap="1">
                            <wp:simplePos x="0" y="0"/>
                            <wp:positionH relativeFrom="page">
                              <wp:posOffset>824865</wp:posOffset>
                            </wp:positionH>
                            <wp:positionV relativeFrom="line">
                              <wp:posOffset>-21590</wp:posOffset>
                            </wp:positionV>
                            <wp:extent cx="6349" cy="6097"/>
                            <wp:wrapNone/>
                            <wp:docPr id="64" name="Freeform 363"/>
                            <wp:cNvGraphicFramePr>
                              <a:graphicFrameLocks noChangeAspect="0"/>
                            </wp:cNvGraphicFramePr>
                            <a:graphic>
                              <a:graphicData uri="http://schemas.microsoft.com/office/word/2010/wordprocessingShape">
                                <wps:wsp>
                                  <wps:cNvSpPr/>
                                  <wps:spPr>
                                    <a:xfrm rot="0">
                                      <a:off x="0" y="0"/>
                                      <a:ext cx="6349" cy="6097"/>
                                    </a:xfrm>
                                    <a:custGeom>
                                      <a:gdLst>
                                        <a:gd name="T1" fmla="*/ 0 w 21600"/>
                                        <a:gd name="T2" fmla="*/ 0 h 21600"/>
                                        <a:gd name="T3" fmla="*/ 21605 w 21600"/>
                                        <a:gd name="T4" fmla="*/ 21603 h 21600"/>
                                      </a:gdLst>
                                      <a:rect l="T1" t="T2" r="T3" b="T4"/>
                                      <a:pathLst>
                                        <a:path w="21600" h="21600">
                                          <a:moveTo>
                                            <a:pt x="0" y="21603"/>
                                          </a:moveTo>
                                          <a:lnTo>
                                            <a:pt x="21604" y="21603"/>
                                          </a:lnTo>
                                          <a:lnTo>
                                            <a:pt x="21604" y="0"/>
                                          </a:lnTo>
                                          <a:lnTo>
                                            <a:pt x="0" y="0"/>
                                          </a:lnTo>
                                          <a:cubicBezTo>
                                            <a:pt x="0" y="7204"/>
                                            <a:pt x="0" y="14402"/>
                                            <a:pt x="0" y="21603"/>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63" o:spid="_x0000_s16" fillcolor="#000000" stroked="f" strokeweight="1.0pt" coordsize="9,9" path="m,9hdc3,9,6,9,10,9hdc10,6,10,3,10,hdc6,,3,,,hdc,3,,6,,9xe" style="position:absolute;margin-left:64.95pt;margin-top:-1.7000002pt;width:0.4999981pt;height:0.48007876pt;z-index:77;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r>
            <w:tr>
              <w:trPr>
                <w:trHeight w:val="397"/>
              </w:trPr>
              <w:tc>
                <w:tcPr>
                  <w:tcW w:w="2164" w:type="dxa"/>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明火地点或散发火花地点</w:t>
                  </w:r>
                </w:p>
              </w:tc>
              <w:tc>
                <w:tcPr>
                  <w:tcW w:w="1077"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79" behindDoc="0" locked="0" layoutInCell="1" hidden="0" allowOverlap="1">
                            <wp:simplePos x="0" y="0"/>
                            <wp:positionH relativeFrom="page">
                              <wp:posOffset>699135</wp:posOffset>
                            </wp:positionH>
                            <wp:positionV relativeFrom="line">
                              <wp:posOffset>0</wp:posOffset>
                            </wp:positionV>
                            <wp:extent cx="6349" cy="6095"/>
                            <wp:wrapNone/>
                            <wp:docPr id="65" name="Freeform 366"/>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4 w 21600"/>
                                        <a:gd name="T4" fmla="*/ 21600 h 21600"/>
                                      </a:gdLst>
                                      <a:rect l="T1" t="T2" r="T3" b="T4"/>
                                      <a:pathLst>
                                        <a:path w="21600" h="21600">
                                          <a:moveTo>
                                            <a:pt x="0" y="21599"/>
                                          </a:moveTo>
                                          <a:lnTo>
                                            <a:pt x="21603" y="21599"/>
                                          </a:lnTo>
                                          <a:lnTo>
                                            <a:pt x="21603"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66" o:spid="_x0000_s17" fillcolor="#000000" stroked="f" strokeweight="1.0pt" coordsize="9,9" path="m,9hdc3,9,6,9,10,9hdc10,6,10,3,10,hdc6,,3,,,hdc,3,,6,,9xe" style="position:absolute;margin-left:55.05pt;margin-top:0.0pt;width:0.4999981pt;height:0.47992125pt;z-index:79;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12.5(10)</w:t>
                  </w:r>
                </w:p>
              </w:tc>
              <w:tc>
                <w:tcPr>
                  <w:tcW w:w="1145"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81" behindDoc="0" locked="0" layoutInCell="1" hidden="0" allowOverlap="1">
                            <wp:simplePos x="0" y="0"/>
                            <wp:positionH relativeFrom="page">
                              <wp:posOffset>826135</wp:posOffset>
                            </wp:positionH>
                            <wp:positionV relativeFrom="line">
                              <wp:posOffset>0</wp:posOffset>
                            </wp:positionV>
                            <wp:extent cx="6349" cy="6095"/>
                            <wp:wrapNone/>
                            <wp:docPr id="66" name="Freeform 367"/>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1 w 21600"/>
                                        <a:gd name="T4" fmla="*/ 21600 h 21600"/>
                                      </a:gdLst>
                                      <a:rect l="T1" t="T2" r="T3" b="T4"/>
                                      <a:pathLst>
                                        <a:path w="21600" h="21600">
                                          <a:moveTo>
                                            <a:pt x="0" y="21599"/>
                                          </a:moveTo>
                                          <a:lnTo>
                                            <a:pt x="21600" y="21599"/>
                                          </a:lnTo>
                                          <a:lnTo>
                                            <a:pt x="21600"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67" o:spid="_x0000_s18" fillcolor="#000000" stroked="f" strokeweight="1.0pt" coordsize="9,9" path="m,9hdc3,9,6,9,10,9hdc10,6,10,3,10,hdc6,,3,,,hdc,3,,6,,9xe" style="position:absolute;margin-left:65.05pt;margin-top:0.0pt;width:0.4999981pt;height:0.47992125pt;z-index:81;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5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83" behindDoc="0" locked="0" layoutInCell="1" hidden="0" allowOverlap="1">
                            <wp:simplePos x="0" y="0"/>
                            <wp:positionH relativeFrom="page">
                              <wp:posOffset>692150</wp:posOffset>
                            </wp:positionH>
                            <wp:positionV relativeFrom="line">
                              <wp:posOffset>0</wp:posOffset>
                            </wp:positionV>
                            <wp:extent cx="6349" cy="6095"/>
                            <wp:wrapNone/>
                            <wp:docPr id="67" name="Freeform 368"/>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598 w 21600"/>
                                        <a:gd name="T4" fmla="*/ 21600 h 21600"/>
                                      </a:gdLst>
                                      <a:rect l="T1" t="T2" r="T3" b="T4"/>
                                      <a:pathLst>
                                        <a:path w="21600" h="21600">
                                          <a:moveTo>
                                            <a:pt x="0" y="21599"/>
                                          </a:moveTo>
                                          <a:lnTo>
                                            <a:pt x="21597" y="21599"/>
                                          </a:lnTo>
                                          <a:lnTo>
                                            <a:pt x="21597"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68" o:spid="_x0000_s19" fillcolor="#000000" stroked="f" strokeweight="1.0pt" coordsize="9,9" path="m,9hdc3,9,6,9,9,9hdc9,6,9,3,9,hdc6,,3,,,hdc,3,,6,,9xe" style="position:absolute;margin-left:54.500004pt;margin-top:0.0pt;width:0.4999981pt;height:0.47992125pt;z-index:83;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12.5(10)</w:t>
                  </w:r>
                </w:p>
              </w:tc>
              <w:tc>
                <w:tcPr>
                  <w:tcW w:w="111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85" behindDoc="0" locked="0" layoutInCell="1" hidden="0" allowOverlap="1">
                            <wp:simplePos x="0" y="0"/>
                            <wp:positionH relativeFrom="page">
                              <wp:posOffset>826135</wp:posOffset>
                            </wp:positionH>
                            <wp:positionV relativeFrom="line">
                              <wp:posOffset>0</wp:posOffset>
                            </wp:positionV>
                            <wp:extent cx="6349" cy="6095"/>
                            <wp:wrapNone/>
                            <wp:docPr id="68" name="Freeform 369"/>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3 w 21600"/>
                                        <a:gd name="T4" fmla="*/ 21600 h 21600"/>
                                      </a:gdLst>
                                      <a:rect l="T1" t="T2" r="T3" b="T4"/>
                                      <a:pathLst>
                                        <a:path w="21600" h="21600">
                                          <a:moveTo>
                                            <a:pt x="0" y="21599"/>
                                          </a:moveTo>
                                          <a:lnTo>
                                            <a:pt x="21602" y="21599"/>
                                          </a:lnTo>
                                          <a:lnTo>
                                            <a:pt x="21602"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69" o:spid="_x0000_s20" fillcolor="#000000" stroked="f" strokeweight="1.0pt" coordsize="9,9" path="m,9hdc3,9,6,9,10,9hdc10,6,10,3,10,hdc6,,3,,,hdc,3,,6,,9xe" style="position:absolute;margin-left:65.05pt;margin-top:0.0pt;width:0.4999981pt;height:0.47992125pt;z-index:85;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3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87" behindDoc="0" locked="0" layoutInCell="1" hidden="0" allowOverlap="1">
                            <wp:simplePos x="0" y="0"/>
                            <wp:positionH relativeFrom="page">
                              <wp:posOffset>693420</wp:posOffset>
                            </wp:positionH>
                            <wp:positionV relativeFrom="line">
                              <wp:posOffset>0</wp:posOffset>
                            </wp:positionV>
                            <wp:extent cx="6349" cy="6095"/>
                            <wp:wrapNone/>
                            <wp:docPr id="69" name="Freeform 370"/>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1 w 21600"/>
                                        <a:gd name="T4" fmla="*/ 21600 h 21600"/>
                                      </a:gdLst>
                                      <a:rect l="T1" t="T2" r="T3" b="T4"/>
                                      <a:pathLst>
                                        <a:path w="21600" h="21600">
                                          <a:moveTo>
                                            <a:pt x="0" y="21599"/>
                                          </a:moveTo>
                                          <a:lnTo>
                                            <a:pt x="21600" y="21599"/>
                                          </a:lnTo>
                                          <a:lnTo>
                                            <a:pt x="21600"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70" o:spid="_x0000_s21" fillcolor="#000000" stroked="f" strokeweight="1.0pt" coordsize="9,9" path="m,9hdc3,9,6,9,10,9hdc10,6,10,3,10,hdc6,,3,,,hdc,3,,6,,9xe" style="position:absolute;margin-left:54.600002pt;margin-top:0.0pt;width:0.4999981pt;height:0.47992125pt;z-index:87;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12.5(10)</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89" behindDoc="0" locked="0" layoutInCell="1" hidden="0" allowOverlap="1">
                            <wp:simplePos x="0" y="0"/>
                            <wp:positionH relativeFrom="page">
                              <wp:posOffset>824865</wp:posOffset>
                            </wp:positionH>
                            <wp:positionV relativeFrom="line">
                              <wp:posOffset>0</wp:posOffset>
                            </wp:positionV>
                            <wp:extent cx="6349" cy="6095"/>
                            <wp:wrapNone/>
                            <wp:docPr id="70" name="Freeform 371"/>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5 w 21600"/>
                                        <a:gd name="T4" fmla="*/ 21600 h 21600"/>
                                      </a:gdLst>
                                      <a:rect l="T1" t="T2" r="T3" b="T4"/>
                                      <a:pathLst>
                                        <a:path w="21600" h="21600">
                                          <a:moveTo>
                                            <a:pt x="0" y="21599"/>
                                          </a:moveTo>
                                          <a:lnTo>
                                            <a:pt x="21604" y="21599"/>
                                          </a:lnTo>
                                          <a:lnTo>
                                            <a:pt x="21604"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71" o:spid="_x0000_s22" fillcolor="#000000" stroked="f" strokeweight="1.0pt" coordsize="9,9" path="m,9hdc3,9,6,9,10,9hdc10,6,10,3,10,hdc6,,3,,,hdc,3,,6,,9xe" style="position:absolute;margin-left:64.95pt;margin-top:0.0pt;width:0.4999981pt;height:0.47992125pt;z-index:89;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r>
            <w:tr>
              <w:trPr>
                <w:trHeight w:val="397"/>
              </w:trPr>
              <w:tc>
                <w:tcPr>
                  <w:tcW w:w="672" w:type="dxa"/>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民用建筑保护物类别</w:t>
                  </w:r>
                </w:p>
              </w:tc>
              <w:tc>
                <w:tcPr>
                  <w:tcW w:w="1492"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一类保护物</w:t>
                  </w:r>
                </w:p>
              </w:tc>
              <w:tc>
                <w:tcPr>
                  <w:tcW w:w="1077"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91" behindDoc="0" locked="0" layoutInCell="1" hidden="0" allowOverlap="1">
                            <wp:simplePos x="0" y="0"/>
                            <wp:positionH relativeFrom="page">
                              <wp:posOffset>699135</wp:posOffset>
                            </wp:positionH>
                            <wp:positionV relativeFrom="line">
                              <wp:posOffset>0</wp:posOffset>
                            </wp:positionV>
                            <wp:extent cx="6349" cy="6096"/>
                            <wp:wrapNone/>
                            <wp:docPr id="71" name="Freeform 379"/>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4 w 21600"/>
                                        <a:gd name="T4" fmla="*/ 21603 h 21600"/>
                                      </a:gdLst>
                                      <a:rect l="T1" t="T2" r="T3" b="T4"/>
                                      <a:pathLst>
                                        <a:path w="21600" h="21600">
                                          <a:moveTo>
                                            <a:pt x="0" y="21602"/>
                                          </a:moveTo>
                                          <a:lnTo>
                                            <a:pt x="21603" y="21602"/>
                                          </a:lnTo>
                                          <a:lnTo>
                                            <a:pt x="21603" y="0"/>
                                          </a:lnTo>
                                          <a:lnTo>
                                            <a:pt x="0" y="0"/>
                                          </a:lnTo>
                                          <a:cubicBezTo>
                                            <a:pt x="0" y="7201"/>
                                            <a:pt x="0" y="14401"/>
                                            <a:pt x="0" y="21602"/>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79" o:spid="_x0000_s23" fillcolor="#000000" stroked="f" strokeweight="1.0pt" coordsize="9,9" path="m,9hdc3,9,6,9,10,9hdc10,6,10,3,10,hdc6,,3,,,hdc,3,,6,,9xe" style="position:absolute;margin-left:55.05pt;margin-top:0.0pt;width:0.4999981pt;height:0.48pt;z-index:91;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2"/>
                      <w:sz w:val="21"/>
                      <w:szCs w:val="21"/>
                      <w:lang w:val="zh-CN" w:eastAsia="zh-CN" w:bidi="ar-SA"/>
                    </w:rPr>
                    <w:t>11(6)</w:t>
                  </w:r>
                </w:p>
              </w:tc>
              <w:tc>
                <w:tcPr>
                  <w:tcW w:w="1145"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93" behindDoc="0" locked="0" layoutInCell="1" hidden="0" allowOverlap="1">
                            <wp:simplePos x="0" y="0"/>
                            <wp:positionH relativeFrom="page">
                              <wp:posOffset>826135</wp:posOffset>
                            </wp:positionH>
                            <wp:positionV relativeFrom="line">
                              <wp:posOffset>0</wp:posOffset>
                            </wp:positionV>
                            <wp:extent cx="6349" cy="6096"/>
                            <wp:wrapNone/>
                            <wp:docPr id="72" name="Freeform 380"/>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1 w 21600"/>
                                        <a:gd name="T4" fmla="*/ 21603 h 21600"/>
                                      </a:gdLst>
                                      <a:rect l="T1" t="T2" r="T3" b="T4"/>
                                      <a:pathLst>
                                        <a:path w="21600" h="21600">
                                          <a:moveTo>
                                            <a:pt x="0" y="21602"/>
                                          </a:moveTo>
                                          <a:lnTo>
                                            <a:pt x="21600" y="21602"/>
                                          </a:lnTo>
                                          <a:lnTo>
                                            <a:pt x="21600" y="0"/>
                                          </a:lnTo>
                                          <a:lnTo>
                                            <a:pt x="0" y="0"/>
                                          </a:lnTo>
                                          <a:cubicBezTo>
                                            <a:pt x="0" y="7201"/>
                                            <a:pt x="0" y="14401"/>
                                            <a:pt x="0" y="21602"/>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80" o:spid="_x0000_s24" fillcolor="#000000" stroked="f" strokeweight="1.0pt" coordsize="9,9" path="m,9hdc3,9,6,9,10,9hdc10,6,10,3,10,hdc6,,3,,,hdc,3,,6,,9xe" style="position:absolute;margin-left:65.05pt;margin-top:0.0pt;width:0.4999981pt;height:0.48pt;z-index:93;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5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95" behindDoc="0" locked="0" layoutInCell="1" hidden="0" allowOverlap="1">
                            <wp:simplePos x="0" y="0"/>
                            <wp:positionH relativeFrom="page">
                              <wp:posOffset>692150</wp:posOffset>
                            </wp:positionH>
                            <wp:positionV relativeFrom="line">
                              <wp:posOffset>0</wp:posOffset>
                            </wp:positionV>
                            <wp:extent cx="6349" cy="6096"/>
                            <wp:wrapNone/>
                            <wp:docPr id="73" name="Freeform 381"/>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598 w 21600"/>
                                        <a:gd name="T4" fmla="*/ 21603 h 21600"/>
                                      </a:gdLst>
                                      <a:rect l="T1" t="T2" r="T3" b="T4"/>
                                      <a:pathLst>
                                        <a:path w="21600" h="21600">
                                          <a:moveTo>
                                            <a:pt x="0" y="21602"/>
                                          </a:moveTo>
                                          <a:lnTo>
                                            <a:pt x="21597" y="21602"/>
                                          </a:lnTo>
                                          <a:lnTo>
                                            <a:pt x="21597" y="0"/>
                                          </a:lnTo>
                                          <a:lnTo>
                                            <a:pt x="0" y="0"/>
                                          </a:lnTo>
                                          <a:cubicBezTo>
                                            <a:pt x="0" y="7201"/>
                                            <a:pt x="0" y="14401"/>
                                            <a:pt x="0" y="21602"/>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81" o:spid="_x0000_s25" fillcolor="#000000" stroked="f" strokeweight="1.0pt" coordsize="9,9" path="m,9hdc3,9,6,9,9,9hdc9,6,9,3,9,hdc6,,3,,,hdc,3,,6,,9xe" style="position:absolute;margin-left:54.500004pt;margin-top:0.0pt;width:0.4999981pt;height:0.48pt;z-index:95;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2"/>
                      <w:sz w:val="21"/>
                      <w:szCs w:val="21"/>
                      <w:lang w:val="zh-CN" w:eastAsia="zh-CN" w:bidi="ar-SA"/>
                    </w:rPr>
                    <w:t>11(6)</w:t>
                  </w:r>
                </w:p>
              </w:tc>
              <w:tc>
                <w:tcPr>
                  <w:tcW w:w="111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97" behindDoc="0" locked="0" layoutInCell="1" hidden="0" allowOverlap="1">
                            <wp:simplePos x="0" y="0"/>
                            <wp:positionH relativeFrom="page">
                              <wp:posOffset>826135</wp:posOffset>
                            </wp:positionH>
                            <wp:positionV relativeFrom="line">
                              <wp:posOffset>0</wp:posOffset>
                            </wp:positionV>
                            <wp:extent cx="6349" cy="6096"/>
                            <wp:wrapNone/>
                            <wp:docPr id="74" name="Freeform 382"/>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3 w 21600"/>
                                        <a:gd name="T4" fmla="*/ 21603 h 21600"/>
                                      </a:gdLst>
                                      <a:rect l="T1" t="T2" r="T3" b="T4"/>
                                      <a:pathLst>
                                        <a:path w="21600" h="21600">
                                          <a:moveTo>
                                            <a:pt x="0" y="21602"/>
                                          </a:moveTo>
                                          <a:lnTo>
                                            <a:pt x="21602" y="21602"/>
                                          </a:lnTo>
                                          <a:lnTo>
                                            <a:pt x="21602" y="0"/>
                                          </a:lnTo>
                                          <a:lnTo>
                                            <a:pt x="0" y="0"/>
                                          </a:lnTo>
                                          <a:cubicBezTo>
                                            <a:pt x="0" y="7201"/>
                                            <a:pt x="0" y="14401"/>
                                            <a:pt x="0" y="21602"/>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82" o:spid="_x0000_s26" fillcolor="#000000" stroked="f" strokeweight="1.0pt" coordsize="9,9" path="m,9hdc3,9,6,9,10,9hdc10,6,10,3,10,hdc6,,3,,,hdc,3,,6,,9xe" style="position:absolute;margin-left:65.05pt;margin-top:0.0pt;width:0.4999981pt;height:0.48pt;z-index:97;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3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99" behindDoc="0" locked="0" layoutInCell="1" hidden="0" allowOverlap="1">
                            <wp:simplePos x="0" y="0"/>
                            <wp:positionH relativeFrom="page">
                              <wp:posOffset>693420</wp:posOffset>
                            </wp:positionH>
                            <wp:positionV relativeFrom="line">
                              <wp:posOffset>0</wp:posOffset>
                            </wp:positionV>
                            <wp:extent cx="6349" cy="6096"/>
                            <wp:wrapNone/>
                            <wp:docPr id="75" name="Freeform 383"/>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1 w 21600"/>
                                        <a:gd name="T4" fmla="*/ 21603 h 21600"/>
                                      </a:gdLst>
                                      <a:rect l="T1" t="T2" r="T3" b="T4"/>
                                      <a:pathLst>
                                        <a:path w="21600" h="21600">
                                          <a:moveTo>
                                            <a:pt x="0" y="21602"/>
                                          </a:moveTo>
                                          <a:lnTo>
                                            <a:pt x="21600" y="21602"/>
                                          </a:lnTo>
                                          <a:lnTo>
                                            <a:pt x="21600" y="0"/>
                                          </a:lnTo>
                                          <a:lnTo>
                                            <a:pt x="0" y="0"/>
                                          </a:lnTo>
                                          <a:cubicBezTo>
                                            <a:pt x="0" y="7201"/>
                                            <a:pt x="0" y="14401"/>
                                            <a:pt x="0" y="21602"/>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83" o:spid="_x0000_s27" fillcolor="#000000" stroked="f" strokeweight="1.0pt" coordsize="9,9" path="m,9hdc3,9,6,9,10,9hdc10,6,10,3,10,hdc6,,3,,,hdc,3,,6,,9xe" style="position:absolute;margin-left:54.600002pt;margin-top:0.0pt;width:0.4999981pt;height:0.48pt;z-index:99;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11(6)</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01" behindDoc="0" locked="0" layoutInCell="1" hidden="0" allowOverlap="1">
                            <wp:simplePos x="0" y="0"/>
                            <wp:positionH relativeFrom="page">
                              <wp:posOffset>824865</wp:posOffset>
                            </wp:positionH>
                            <wp:positionV relativeFrom="line">
                              <wp:posOffset>0</wp:posOffset>
                            </wp:positionV>
                            <wp:extent cx="6349" cy="6096"/>
                            <wp:wrapNone/>
                            <wp:docPr id="76" name="Freeform 384"/>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5 w 21600"/>
                                        <a:gd name="T4" fmla="*/ 21603 h 21600"/>
                                      </a:gdLst>
                                      <a:rect l="T1" t="T2" r="T3" b="T4"/>
                                      <a:pathLst>
                                        <a:path w="21600" h="21600">
                                          <a:moveTo>
                                            <a:pt x="0" y="21602"/>
                                          </a:moveTo>
                                          <a:lnTo>
                                            <a:pt x="21604" y="21602"/>
                                          </a:lnTo>
                                          <a:lnTo>
                                            <a:pt x="21604" y="0"/>
                                          </a:lnTo>
                                          <a:lnTo>
                                            <a:pt x="0" y="0"/>
                                          </a:lnTo>
                                          <a:cubicBezTo>
                                            <a:pt x="0" y="7201"/>
                                            <a:pt x="0" y="14401"/>
                                            <a:pt x="0" y="21602"/>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84" o:spid="_x0000_s28" fillcolor="#000000" stroked="f" strokeweight="1.0pt" coordsize="9,9" path="m,9hdc3,9,6,9,10,9hdc10,6,10,3,10,hdc6,,3,,,hdc,3,,6,,9xe" style="position:absolute;margin-left:64.95pt;margin-top:0.0pt;width:0.4999981pt;height:0.48pt;z-index:101;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r>
            <w:tr>
              <w:trPr>
                <w:trHeight w:val="397"/>
              </w:trPr>
              <w:tc>
                <w:tcPr>
                  <w:tcW w:w="672" w:type="dxa"/>
                  <w:vMerge/>
                  <w:tcBorders>
                    <w:tl2br w:val="nil"/>
                    <w:tr2bl w:val="nil"/>
                  </w:tcBorders>
                  <w:vAlign w:val="center"/>
                </w:tcPr>
                <w:p/>
              </w:tc>
              <w:tc>
                <w:tcPr>
                  <w:tcW w:w="1492"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二类保护物</w:t>
                  </w:r>
                </w:p>
              </w:tc>
              <w:tc>
                <w:tcPr>
                  <w:tcW w:w="1077"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03" behindDoc="0" locked="0" layoutInCell="1" hidden="0" allowOverlap="1">
                            <wp:simplePos x="0" y="0"/>
                            <wp:positionH relativeFrom="page">
                              <wp:posOffset>699135</wp:posOffset>
                            </wp:positionH>
                            <wp:positionV relativeFrom="line">
                              <wp:posOffset>0</wp:posOffset>
                            </wp:positionV>
                            <wp:extent cx="6349" cy="6096"/>
                            <wp:wrapNone/>
                            <wp:docPr id="77" name="Freeform 386"/>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4 w 21600"/>
                                        <a:gd name="T4" fmla="*/ 21599 h 21600"/>
                                      </a:gdLst>
                                      <a:rect l="T1" t="T2" r="T3" b="T4"/>
                                      <a:pathLst>
                                        <a:path w="21600" h="21600">
                                          <a:moveTo>
                                            <a:pt x="0" y="21599"/>
                                          </a:moveTo>
                                          <a:lnTo>
                                            <a:pt x="21603" y="21599"/>
                                          </a:lnTo>
                                          <a:lnTo>
                                            <a:pt x="21603"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86" o:spid="_x0000_s29" fillcolor="#000000" stroked="f" strokeweight="1.0pt" coordsize="9,9" path="m,9hdc3,9,6,9,10,9hdc10,6,10,3,10,hdc6,,3,,,hdc,3,,6,,9xe" style="position:absolute;margin-left:55.05pt;margin-top:0.0pt;width:0.4999981pt;height:0.48pt;z-index:103;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8.5(6)</w:t>
                  </w:r>
                </w:p>
              </w:tc>
              <w:tc>
                <w:tcPr>
                  <w:tcW w:w="1145"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05" behindDoc="0" locked="0" layoutInCell="1" hidden="0" allowOverlap="1">
                            <wp:simplePos x="0" y="0"/>
                            <wp:positionH relativeFrom="page">
                              <wp:posOffset>826135</wp:posOffset>
                            </wp:positionH>
                            <wp:positionV relativeFrom="line">
                              <wp:posOffset>0</wp:posOffset>
                            </wp:positionV>
                            <wp:extent cx="6349" cy="6096"/>
                            <wp:wrapNone/>
                            <wp:docPr id="78" name="Freeform 387"/>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1 w 21600"/>
                                        <a:gd name="T4" fmla="*/ 21599 h 21600"/>
                                      </a:gdLst>
                                      <a:rect l="T1" t="T2" r="T3" b="T4"/>
                                      <a:pathLst>
                                        <a:path w="21600" h="21600">
                                          <a:moveTo>
                                            <a:pt x="0" y="21599"/>
                                          </a:moveTo>
                                          <a:lnTo>
                                            <a:pt x="21600" y="21599"/>
                                          </a:lnTo>
                                          <a:lnTo>
                                            <a:pt x="21600"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87" o:spid="_x0000_s30" fillcolor="#000000" stroked="f" strokeweight="1.0pt" coordsize="9,9" path="m,9hdc3,9,6,9,10,9hdc10,6,10,3,10,hdc6,,3,,,hdc,3,,6,,9xe" style="position:absolute;margin-left:65.05pt;margin-top:0.0pt;width:0.4999981pt;height:0.48pt;z-index:105;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5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07" behindDoc="0" locked="0" layoutInCell="1" hidden="0" allowOverlap="1">
                            <wp:simplePos x="0" y="0"/>
                            <wp:positionH relativeFrom="page">
                              <wp:posOffset>692150</wp:posOffset>
                            </wp:positionH>
                            <wp:positionV relativeFrom="line">
                              <wp:posOffset>0</wp:posOffset>
                            </wp:positionV>
                            <wp:extent cx="6349" cy="6096"/>
                            <wp:wrapNone/>
                            <wp:docPr id="79" name="Freeform 388"/>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598 w 21600"/>
                                        <a:gd name="T4" fmla="*/ 21599 h 21600"/>
                                      </a:gdLst>
                                      <a:rect l="T1" t="T2" r="T3" b="T4"/>
                                      <a:pathLst>
                                        <a:path w="21600" h="21600">
                                          <a:moveTo>
                                            <a:pt x="0" y="21599"/>
                                          </a:moveTo>
                                          <a:lnTo>
                                            <a:pt x="21597" y="21599"/>
                                          </a:lnTo>
                                          <a:lnTo>
                                            <a:pt x="21597"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88" o:spid="_x0000_s31" fillcolor="#000000" stroked="f" strokeweight="1.0pt" coordsize="9,9" path="m,9hdc3,9,6,9,9,9hdc9,6,9,3,9,hdc6,,3,,,hdc,3,,6,,9xe" style="position:absolute;margin-left:54.500004pt;margin-top:0.0pt;width:0.4999981pt;height:0.48pt;z-index:107;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8.5(6)</w:t>
                  </w:r>
                </w:p>
              </w:tc>
              <w:tc>
                <w:tcPr>
                  <w:tcW w:w="111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09" behindDoc="0" locked="0" layoutInCell="1" hidden="0" allowOverlap="1">
                            <wp:simplePos x="0" y="0"/>
                            <wp:positionH relativeFrom="page">
                              <wp:posOffset>826135</wp:posOffset>
                            </wp:positionH>
                            <wp:positionV relativeFrom="line">
                              <wp:posOffset>0</wp:posOffset>
                            </wp:positionV>
                            <wp:extent cx="6349" cy="6096"/>
                            <wp:wrapNone/>
                            <wp:docPr id="80" name="Freeform 389"/>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3 w 21600"/>
                                        <a:gd name="T4" fmla="*/ 21599 h 21600"/>
                                      </a:gdLst>
                                      <a:rect l="T1" t="T2" r="T3" b="T4"/>
                                      <a:pathLst>
                                        <a:path w="21600" h="21600">
                                          <a:moveTo>
                                            <a:pt x="0" y="21599"/>
                                          </a:moveTo>
                                          <a:lnTo>
                                            <a:pt x="21602" y="21599"/>
                                          </a:lnTo>
                                          <a:lnTo>
                                            <a:pt x="21602"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89" o:spid="_x0000_s32" fillcolor="#000000" stroked="f" strokeweight="1.0pt" coordsize="9,9" path="m,9hdc3,9,6,9,10,9hdc10,6,10,3,10,hdc6,,3,,,hdc,3,,6,,9xe" style="position:absolute;margin-left:65.05pt;margin-top:0.0pt;width:0.4999981pt;height:0.48pt;z-index:109;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3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11" behindDoc="0" locked="0" layoutInCell="1" hidden="0" allowOverlap="1">
                            <wp:simplePos x="0" y="0"/>
                            <wp:positionH relativeFrom="page">
                              <wp:posOffset>693420</wp:posOffset>
                            </wp:positionH>
                            <wp:positionV relativeFrom="line">
                              <wp:posOffset>0</wp:posOffset>
                            </wp:positionV>
                            <wp:extent cx="6349" cy="6096"/>
                            <wp:wrapNone/>
                            <wp:docPr id="81" name="Freeform 390"/>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1 w 21600"/>
                                        <a:gd name="T4" fmla="*/ 21599 h 21600"/>
                                      </a:gdLst>
                                      <a:rect l="T1" t="T2" r="T3" b="T4"/>
                                      <a:pathLst>
                                        <a:path w="21600" h="21600">
                                          <a:moveTo>
                                            <a:pt x="0" y="21599"/>
                                          </a:moveTo>
                                          <a:lnTo>
                                            <a:pt x="21600" y="21599"/>
                                          </a:lnTo>
                                          <a:lnTo>
                                            <a:pt x="21600"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90" o:spid="_x0000_s33" fillcolor="#000000" stroked="f" strokeweight="1.0pt" coordsize="9,9" path="m,9hdc3,9,6,9,10,9hdc10,6,10,3,10,hdc6,,3,,,hdc,3,,6,,9xe" style="position:absolute;margin-left:54.600002pt;margin-top:0.0pt;width:0.4999981pt;height:0.48pt;z-index:111;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8.5(6)</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13" behindDoc="0" locked="0" layoutInCell="1" hidden="0" allowOverlap="1">
                            <wp:simplePos x="0" y="0"/>
                            <wp:positionH relativeFrom="page">
                              <wp:posOffset>824865</wp:posOffset>
                            </wp:positionH>
                            <wp:positionV relativeFrom="line">
                              <wp:posOffset>0</wp:posOffset>
                            </wp:positionV>
                            <wp:extent cx="6349" cy="6096"/>
                            <wp:wrapNone/>
                            <wp:docPr id="82" name="Freeform 391"/>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5 w 21600"/>
                                        <a:gd name="T4" fmla="*/ 21599 h 21600"/>
                                      </a:gdLst>
                                      <a:rect l="T1" t="T2" r="T3" b="T4"/>
                                      <a:pathLst>
                                        <a:path w="21600" h="21600">
                                          <a:moveTo>
                                            <a:pt x="0" y="21599"/>
                                          </a:moveTo>
                                          <a:lnTo>
                                            <a:pt x="21604" y="21599"/>
                                          </a:lnTo>
                                          <a:lnTo>
                                            <a:pt x="21604"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91" o:spid="_x0000_s34" fillcolor="#000000" stroked="f" strokeweight="1.0pt" coordsize="9,9" path="m,9hdc3,9,6,9,10,9hdc10,6,10,3,10,hdc6,,3,,,hdc,3,,6,,9xe" style="position:absolute;margin-left:64.95pt;margin-top:0.0pt;width:0.4999981pt;height:0.48pt;z-index:113;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r>
            <w:tr>
              <w:trPr>
                <w:trHeight w:val="397"/>
              </w:trPr>
              <w:tc>
                <w:tcPr>
                  <w:tcW w:w="672" w:type="dxa"/>
                  <w:vMerge/>
                  <w:tcBorders>
                    <w:tl2br w:val="nil"/>
                    <w:tr2bl w:val="nil"/>
                  </w:tcBorders>
                  <w:vAlign w:val="center"/>
                </w:tcPr>
                <w:p/>
              </w:tc>
              <w:tc>
                <w:tcPr>
                  <w:tcW w:w="1492"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三类保护物）</w:t>
                  </w:r>
                </w:p>
              </w:tc>
              <w:tc>
                <w:tcPr>
                  <w:tcW w:w="1077"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15" behindDoc="0" locked="0" layoutInCell="1" hidden="0" allowOverlap="1">
                            <wp:simplePos x="0" y="0"/>
                            <wp:positionH relativeFrom="page">
                              <wp:posOffset>699135</wp:posOffset>
                            </wp:positionH>
                            <wp:positionV relativeFrom="line">
                              <wp:posOffset>0</wp:posOffset>
                            </wp:positionV>
                            <wp:extent cx="6349" cy="6096"/>
                            <wp:wrapNone/>
                            <wp:docPr id="83" name="Freeform 393"/>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4 w 21600"/>
                                        <a:gd name="T4" fmla="*/ 21599 h 21600"/>
                                      </a:gdLst>
                                      <a:rect l="T1" t="T2" r="T3" b="T4"/>
                                      <a:pathLst>
                                        <a:path w="21600" h="21600">
                                          <a:moveTo>
                                            <a:pt x="0" y="21599"/>
                                          </a:moveTo>
                                          <a:lnTo>
                                            <a:pt x="21603" y="21599"/>
                                          </a:lnTo>
                                          <a:lnTo>
                                            <a:pt x="21603"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93" o:spid="_x0000_s35" fillcolor="#000000" stroked="f" strokeweight="1.0pt" coordsize="9,9" path="m,9hdc3,9,6,9,10,9hdc10,6,10,3,10,hdc6,,3,,,hdc,3,,6,,9xe" style="position:absolute;margin-left:55.05pt;margin-top:0.0pt;width:0.4999981pt;height:0.48pt;z-index:115;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7(6)</w:t>
                  </w:r>
                </w:p>
              </w:tc>
              <w:tc>
                <w:tcPr>
                  <w:tcW w:w="1145"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17" behindDoc="0" locked="0" layoutInCell="1" hidden="0" allowOverlap="1">
                            <wp:simplePos x="0" y="0"/>
                            <wp:positionH relativeFrom="page">
                              <wp:posOffset>826135</wp:posOffset>
                            </wp:positionH>
                            <wp:positionV relativeFrom="line">
                              <wp:posOffset>0</wp:posOffset>
                            </wp:positionV>
                            <wp:extent cx="6349" cy="6096"/>
                            <wp:wrapNone/>
                            <wp:docPr id="84" name="Freeform 394"/>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1 w 21600"/>
                                        <a:gd name="T4" fmla="*/ 21599 h 21600"/>
                                      </a:gdLst>
                                      <a:rect l="T1" t="T2" r="T3" b="T4"/>
                                      <a:pathLst>
                                        <a:path w="21600" h="21600">
                                          <a:moveTo>
                                            <a:pt x="0" y="21599"/>
                                          </a:moveTo>
                                          <a:lnTo>
                                            <a:pt x="21600" y="21599"/>
                                          </a:lnTo>
                                          <a:lnTo>
                                            <a:pt x="21600"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94" o:spid="_x0000_s36" fillcolor="#000000" stroked="f" strokeweight="1.0pt" coordsize="9,9" path="m,9hdc3,9,6,9,10,9hdc10,6,10,3,10,hdc6,,3,,,hdc,3,,6,,9xe" style="position:absolute;margin-left:65.05pt;margin-top:0.0pt;width:0.4999981pt;height:0.48pt;z-index:117;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5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19" behindDoc="0" locked="0" layoutInCell="1" hidden="0" allowOverlap="1">
                            <wp:simplePos x="0" y="0"/>
                            <wp:positionH relativeFrom="page">
                              <wp:posOffset>692150</wp:posOffset>
                            </wp:positionH>
                            <wp:positionV relativeFrom="line">
                              <wp:posOffset>0</wp:posOffset>
                            </wp:positionV>
                            <wp:extent cx="6349" cy="6096"/>
                            <wp:wrapNone/>
                            <wp:docPr id="85" name="Freeform 395"/>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598 w 21600"/>
                                        <a:gd name="T4" fmla="*/ 21599 h 21600"/>
                                      </a:gdLst>
                                      <a:rect l="T1" t="T2" r="T3" b="T4"/>
                                      <a:pathLst>
                                        <a:path w="21600" h="21600">
                                          <a:moveTo>
                                            <a:pt x="0" y="21599"/>
                                          </a:moveTo>
                                          <a:lnTo>
                                            <a:pt x="21597" y="21599"/>
                                          </a:lnTo>
                                          <a:lnTo>
                                            <a:pt x="21597"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95" o:spid="_x0000_s37" fillcolor="#000000" stroked="f" strokeweight="1.0pt" coordsize="9,9" path="m,9hdc3,9,6,9,9,9hdc9,6,9,3,9,hdc6,,3,,,hdc,3,,6,,9xe" style="position:absolute;margin-left:54.500004pt;margin-top:0.0pt;width:0.4999981pt;height:0.48pt;z-index:119;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7(6)</w:t>
                  </w:r>
                </w:p>
              </w:tc>
              <w:tc>
                <w:tcPr>
                  <w:tcW w:w="111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21" behindDoc="0" locked="0" layoutInCell="1" hidden="0" allowOverlap="1">
                            <wp:simplePos x="0" y="0"/>
                            <wp:positionH relativeFrom="page">
                              <wp:posOffset>826135</wp:posOffset>
                            </wp:positionH>
                            <wp:positionV relativeFrom="line">
                              <wp:posOffset>0</wp:posOffset>
                            </wp:positionV>
                            <wp:extent cx="6349" cy="6096"/>
                            <wp:wrapNone/>
                            <wp:docPr id="86" name="Freeform 396"/>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3 w 21600"/>
                                        <a:gd name="T4" fmla="*/ 21599 h 21600"/>
                                      </a:gdLst>
                                      <a:rect l="T1" t="T2" r="T3" b="T4"/>
                                      <a:pathLst>
                                        <a:path w="21600" h="21600">
                                          <a:moveTo>
                                            <a:pt x="0" y="21599"/>
                                          </a:moveTo>
                                          <a:lnTo>
                                            <a:pt x="21602" y="21599"/>
                                          </a:lnTo>
                                          <a:lnTo>
                                            <a:pt x="21602"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96" o:spid="_x0000_s38" fillcolor="#000000" stroked="f" strokeweight="1.0pt" coordsize="9,9" path="m,9hdc3,9,6,9,10,9hdc10,6,10,3,10,hdc6,,3,,,hdc,3,,6,,9xe" style="position:absolute;margin-left:65.05pt;margin-top:0.0pt;width:0.4999981pt;height:0.48pt;z-index:121;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c>
                <w:tcPr>
                  <w:tcW w:w="113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23" behindDoc="0" locked="0" layoutInCell="1" hidden="0" allowOverlap="1">
                            <wp:simplePos x="0" y="0"/>
                            <wp:positionH relativeFrom="page">
                              <wp:posOffset>693420</wp:posOffset>
                            </wp:positionH>
                            <wp:positionV relativeFrom="line">
                              <wp:posOffset>0</wp:posOffset>
                            </wp:positionV>
                            <wp:extent cx="6349" cy="6096"/>
                            <wp:wrapNone/>
                            <wp:docPr id="87" name="Freeform 397"/>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1 w 21600"/>
                                        <a:gd name="T4" fmla="*/ 21599 h 21600"/>
                                      </a:gdLst>
                                      <a:rect l="T1" t="T2" r="T3" b="T4"/>
                                      <a:pathLst>
                                        <a:path w="21600" h="21600">
                                          <a:moveTo>
                                            <a:pt x="0" y="21599"/>
                                          </a:moveTo>
                                          <a:lnTo>
                                            <a:pt x="21600" y="21599"/>
                                          </a:lnTo>
                                          <a:lnTo>
                                            <a:pt x="21600"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97" o:spid="_x0000_s39" fillcolor="#000000" stroked="f" strokeweight="1.0pt" coordsize="9,9" path="m,9hdc3,9,6,9,10,9hdc10,6,10,3,10,hdc6,,3,,,hdc,3,,6,,9xe" style="position:absolute;margin-left:54.600002pt;margin-top:0.0pt;width:0.4999981pt;height:0.48pt;z-index:123;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1"/>
                      <w:sz w:val="21"/>
                      <w:szCs w:val="21"/>
                      <w:lang w:val="zh-CN" w:eastAsia="zh-CN" w:bidi="ar-SA"/>
                    </w:rPr>
                    <w:t>7(6)</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25" behindDoc="0" locked="0" layoutInCell="1" hidden="0" allowOverlap="1">
                            <wp:simplePos x="0" y="0"/>
                            <wp:positionH relativeFrom="page">
                              <wp:posOffset>824865</wp:posOffset>
                            </wp:positionH>
                            <wp:positionV relativeFrom="line">
                              <wp:posOffset>0</wp:posOffset>
                            </wp:positionV>
                            <wp:extent cx="6349" cy="6096"/>
                            <wp:wrapNone/>
                            <wp:docPr id="88" name="Freeform 398"/>
                            <wp:cNvGraphicFramePr>
                              <a:graphicFrameLocks noChangeAspect="0"/>
                            </wp:cNvGraphicFramePr>
                            <a:graphic>
                              <a:graphicData uri="http://schemas.microsoft.com/office/word/2010/wordprocessingShape">
                                <wps:wsp>
                                  <wps:cNvSpPr/>
                                  <wps:spPr>
                                    <a:xfrm rot="0">
                                      <a:off x="0" y="0"/>
                                      <a:ext cx="6349" cy="6096"/>
                                    </a:xfrm>
                                    <a:custGeom>
                                      <a:gdLst>
                                        <a:gd name="T1" fmla="*/ 0 w 21600"/>
                                        <a:gd name="T2" fmla="*/ 0 h 21600"/>
                                        <a:gd name="T3" fmla="*/ 21605 w 21600"/>
                                        <a:gd name="T4" fmla="*/ 21599 h 21600"/>
                                      </a:gdLst>
                                      <a:rect l="T1" t="T2" r="T3" b="T4"/>
                                      <a:pathLst>
                                        <a:path w="21600" h="21600">
                                          <a:moveTo>
                                            <a:pt x="0" y="21599"/>
                                          </a:moveTo>
                                          <a:lnTo>
                                            <a:pt x="21604" y="21599"/>
                                          </a:lnTo>
                                          <a:lnTo>
                                            <a:pt x="21604" y="0"/>
                                          </a:lnTo>
                                          <a:lnTo>
                                            <a:pt x="0" y="0"/>
                                          </a:lnTo>
                                          <a:cubicBezTo>
                                            <a:pt x="0" y="7198"/>
                                            <a:pt x="0" y="14401"/>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398" o:spid="_x0000_s40" fillcolor="#000000" stroked="f" strokeweight="1.0pt" coordsize="9,9" path="m,9hdc3,9,6,9,10,9hdc10,6,10,3,10,hdc6,,3,,,hdc,3,,6,,9xe" style="position:absolute;margin-left:64.95pt;margin-top:0.0pt;width:0.4999981pt;height:0.48pt;z-index:125;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pacing w:val="-3"/>
                      <w:sz w:val="21"/>
                      <w:szCs w:val="21"/>
                      <w:lang w:val="zh-CN" w:eastAsia="zh-CN" w:bidi="ar-SA"/>
                    </w:rPr>
                    <w:t>—</w:t>
                  </w:r>
                </w:p>
              </w:tc>
            </w:tr>
            <w:tr>
              <w:trPr>
                <w:trHeight w:val="397"/>
              </w:trPr>
              <w:tc>
                <w:tcPr>
                  <w:tcW w:w="672" w:type="dxa"/>
                  <w:vMerge/>
                  <w:tcBorders>
                    <w:tl2br w:val="nil"/>
                    <w:tr2bl w:val="nil"/>
                  </w:tcBorders>
                  <w:vAlign w:val="center"/>
                </w:tcPr>
                <w:p/>
              </w:tc>
              <w:tc>
                <w:tcPr>
                  <w:tcW w:w="1492"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三类保护物</w:t>
                  </w:r>
                </w:p>
              </w:tc>
              <w:tc>
                <w:tcPr>
                  <w:tcW w:w="1077"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27" behindDoc="0" locked="0" layoutInCell="1" hidden="0" allowOverlap="1">
                            <wp:simplePos x="0" y="0"/>
                            <wp:positionH relativeFrom="page">
                              <wp:posOffset>699135</wp:posOffset>
                            </wp:positionH>
                            <wp:positionV relativeFrom="line">
                              <wp:posOffset>0</wp:posOffset>
                            </wp:positionV>
                            <wp:extent cx="6349" cy="6095"/>
                            <wp:wrapNone/>
                            <wp:docPr id="89" name="Freeform 402"/>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4 w 21600"/>
                                        <a:gd name="T4" fmla="*/ 21600 h 21600"/>
                                      </a:gdLst>
                                      <a:rect l="T1" t="T2" r="T3" b="T4"/>
                                      <a:pathLst>
                                        <a:path w="21600" h="21600">
                                          <a:moveTo>
                                            <a:pt x="0" y="21599"/>
                                          </a:moveTo>
                                          <a:lnTo>
                                            <a:pt x="21603" y="21599"/>
                                          </a:lnTo>
                                          <a:lnTo>
                                            <a:pt x="21603"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402" o:spid="_x0000_s41" fillcolor="#000000" stroked="f" strokeweight="1.0pt" coordsize="9,9" path="m,9hdc3,9,6,9,10,9hdc10,6,10,3,10,hdc6,,3,,,hdc,3,,6,,9xe" style="position:absolute;margin-left:55.05pt;margin-top:0.0pt;width:0.4999981pt;height:0.47992125pt;z-index:127;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12.5(9)</w:t>
                  </w:r>
                </w:p>
              </w:tc>
              <w:tc>
                <w:tcPr>
                  <w:tcW w:w="1145"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29" behindDoc="0" locked="0" layoutInCell="1" hidden="0" allowOverlap="1">
                            <wp:simplePos x="0" y="0"/>
                            <wp:positionH relativeFrom="page">
                              <wp:posOffset>826135</wp:posOffset>
                            </wp:positionH>
                            <wp:positionV relativeFrom="line">
                              <wp:posOffset>0</wp:posOffset>
                            </wp:positionV>
                            <wp:extent cx="6349" cy="6095"/>
                            <wp:wrapNone/>
                            <wp:docPr id="90" name="Freeform 403"/>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1 w 21600"/>
                                        <a:gd name="T4" fmla="*/ 21600 h 21600"/>
                                      </a:gdLst>
                                      <a:rect l="T1" t="T2" r="T3" b="T4"/>
                                      <a:pathLst>
                                        <a:path w="21600" h="21600">
                                          <a:moveTo>
                                            <a:pt x="0" y="21599"/>
                                          </a:moveTo>
                                          <a:lnTo>
                                            <a:pt x="21600" y="21599"/>
                                          </a:lnTo>
                                          <a:lnTo>
                                            <a:pt x="21600"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403" o:spid="_x0000_s42" fillcolor="#000000" stroked="f" strokeweight="1.0pt" coordsize="9,9" path="m,9hdc3,9,6,9,10,9hdc10,6,10,3,10,hdc6,,3,,,hdc,3,,6,,9xe" style="position:absolute;margin-left:65.05pt;margin-top:0.0pt;width:0.4999981pt;height:0.47992125pt;z-index:129;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39.3(39.4)</w:t>
                  </w:r>
                </w:p>
              </w:tc>
              <w:tc>
                <w:tcPr>
                  <w:tcW w:w="115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31" behindDoc="0" locked="0" layoutInCell="1" hidden="0" allowOverlap="1">
                            <wp:simplePos x="0" y="0"/>
                            <wp:positionH relativeFrom="page">
                              <wp:posOffset>692150</wp:posOffset>
                            </wp:positionH>
                            <wp:positionV relativeFrom="line">
                              <wp:posOffset>0</wp:posOffset>
                            </wp:positionV>
                            <wp:extent cx="6349" cy="6095"/>
                            <wp:wrapNone/>
                            <wp:docPr id="91" name="Freeform 404"/>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598 w 21600"/>
                                        <a:gd name="T4" fmla="*/ 21600 h 21600"/>
                                      </a:gdLst>
                                      <a:rect l="T1" t="T2" r="T3" b="T4"/>
                                      <a:pathLst>
                                        <a:path w="21600" h="21600">
                                          <a:moveTo>
                                            <a:pt x="0" y="21599"/>
                                          </a:moveTo>
                                          <a:lnTo>
                                            <a:pt x="21597" y="21599"/>
                                          </a:lnTo>
                                          <a:lnTo>
                                            <a:pt x="21597"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404" o:spid="_x0000_s43" fillcolor="#000000" stroked="f" strokeweight="1.0pt" coordsize="9,9" path="m,9hdc3,9,6,9,9,9hdc9,6,9,3,9,hdc6,,3,,,hdc,3,,6,,9xe" style="position:absolute;margin-left:54.500004pt;margin-top:0.0pt;width:0.4999981pt;height:0.47992125pt;z-index:131;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12.5(9)</w:t>
                  </w:r>
                </w:p>
              </w:tc>
              <w:tc>
                <w:tcPr>
                  <w:tcW w:w="111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33" behindDoc="0" locked="0" layoutInCell="1" hidden="0" allowOverlap="1">
                            <wp:simplePos x="0" y="0"/>
                            <wp:positionH relativeFrom="page">
                              <wp:posOffset>826135</wp:posOffset>
                            </wp:positionH>
                            <wp:positionV relativeFrom="line">
                              <wp:posOffset>0</wp:posOffset>
                            </wp:positionV>
                            <wp:extent cx="6349" cy="6095"/>
                            <wp:wrapNone/>
                            <wp:docPr id="92" name="Freeform 405"/>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3 w 21600"/>
                                        <a:gd name="T4" fmla="*/ 21600 h 21600"/>
                                      </a:gdLst>
                                      <a:rect l="T1" t="T2" r="T3" b="T4"/>
                                      <a:pathLst>
                                        <a:path w="21600" h="21600">
                                          <a:moveTo>
                                            <a:pt x="0" y="21599"/>
                                          </a:moveTo>
                                          <a:lnTo>
                                            <a:pt x="21602" y="21599"/>
                                          </a:lnTo>
                                          <a:lnTo>
                                            <a:pt x="21602"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405" o:spid="_x0000_s44" fillcolor="#000000" stroked="f" strokeweight="1.0pt" coordsize="9,9" path="m,9hdc3,9,6,9,10,9hdc10,6,10,3,10,hdc6,,3,,,hdc,3,,6,,9xe" style="position:absolute;margin-left:65.05pt;margin-top:0.0pt;width:0.4999981pt;height:0.47992125pt;z-index:133;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49.8(49.6)</w:t>
                  </w:r>
                </w:p>
              </w:tc>
              <w:tc>
                <w:tcPr>
                  <w:tcW w:w="113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35" behindDoc="0" locked="0" layoutInCell="1" hidden="0" allowOverlap="1">
                            <wp:simplePos x="0" y="0"/>
                            <wp:positionH relativeFrom="page">
                              <wp:posOffset>693420</wp:posOffset>
                            </wp:positionH>
                            <wp:positionV relativeFrom="line">
                              <wp:posOffset>0</wp:posOffset>
                            </wp:positionV>
                            <wp:extent cx="6349" cy="6095"/>
                            <wp:wrapNone/>
                            <wp:docPr id="93" name="Freeform 406"/>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1 w 21600"/>
                                        <a:gd name="T4" fmla="*/ 21600 h 21600"/>
                                      </a:gdLst>
                                      <a:rect l="T1" t="T2" r="T3" b="T4"/>
                                      <a:pathLst>
                                        <a:path w="21600" h="21600">
                                          <a:moveTo>
                                            <a:pt x="0" y="21599"/>
                                          </a:moveTo>
                                          <a:lnTo>
                                            <a:pt x="21600" y="21599"/>
                                          </a:lnTo>
                                          <a:lnTo>
                                            <a:pt x="21600"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406" o:spid="_x0000_s45" fillcolor="#000000" stroked="f" strokeweight="1.0pt" coordsize="9,9" path="m,9hdc3,9,6,9,10,9hdc10,6,10,3,10,hdc6,,3,,,hdc,3,,6,,9xe" style="position:absolute;margin-left:54.600002pt;margin-top:0.0pt;width:0.4999981pt;height:0.47992125pt;z-index:135;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12.5(9)</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mc:AlternateContent>
                      <mc:Choice Requires="wps">
                        <w:drawing>
                          <wp:anchor distT="0" distB="0" distL="114300" distR="114300" simplePos="0" relativeHeight="137" behindDoc="0" locked="0" layoutInCell="1" hidden="0" allowOverlap="1">
                            <wp:simplePos x="0" y="0"/>
                            <wp:positionH relativeFrom="page">
                              <wp:posOffset>824865</wp:posOffset>
                            </wp:positionH>
                            <wp:positionV relativeFrom="line">
                              <wp:posOffset>0</wp:posOffset>
                            </wp:positionV>
                            <wp:extent cx="6349" cy="6095"/>
                            <wp:wrapNone/>
                            <wp:docPr id="94" name="Freeform 407"/>
                            <wp:cNvGraphicFramePr>
                              <a:graphicFrameLocks noChangeAspect="0"/>
                            </wp:cNvGraphicFramePr>
                            <a:graphic>
                              <a:graphicData uri="http://schemas.microsoft.com/office/word/2010/wordprocessingShape">
                                <wps:wsp>
                                  <wps:cNvSpPr/>
                                  <wps:spPr>
                                    <a:xfrm rot="0">
                                      <a:off x="0" y="0"/>
                                      <a:ext cx="6349" cy="6095"/>
                                    </a:xfrm>
                                    <a:custGeom>
                                      <a:gdLst>
                                        <a:gd name="T1" fmla="*/ 0 w 21600"/>
                                        <a:gd name="T2" fmla="*/ 0 h 21600"/>
                                        <a:gd name="T3" fmla="*/ 21605 w 21600"/>
                                        <a:gd name="T4" fmla="*/ 21600 h 21600"/>
                                      </a:gdLst>
                                      <a:rect l="T1" t="T2" r="T3" b="T4"/>
                                      <a:pathLst>
                                        <a:path w="21600" h="21600">
                                          <a:moveTo>
                                            <a:pt x="0" y="21599"/>
                                          </a:moveTo>
                                          <a:lnTo>
                                            <a:pt x="21604" y="21599"/>
                                          </a:lnTo>
                                          <a:lnTo>
                                            <a:pt x="21604" y="0"/>
                                          </a:lnTo>
                                          <a:lnTo>
                                            <a:pt x="0" y="0"/>
                                          </a:lnTo>
                                          <a:cubicBezTo>
                                            <a:pt x="0" y="7199"/>
                                            <a:pt x="0" y="14400"/>
                                            <a:pt x="0" y="21599"/>
                                          </a:cubicBezTo>
                                          <a:close/>
                                        </a:path>
                                      </a:pathLst>
                                    </a:custGeom>
                                    <a:solidFill>
                                      <a:srgbClr val="000000"/>
                                    </a:solidFill>
                                    <a:ln w="12700" cmpd="sng" cap="flat">
                                      <a:noFill/>
                                      <a:prstDash val="solid"/>
                                      <a:round/>
                                    </a:ln>
                                  </wps:spPr>
                                  <wps:style>
                                    <a:lnRef idx="2">
                                      <a:schemeClr val="accent1">
                                        <a:shade val="50000"/>
                                      </a:schemeClr>
                                    </a:lnRef>
                                    <a:fillRef idx="1">
                                      <a:schemeClr val="accent1"/>
                                    </a:fillRef>
                                    <a:effectRef idx="0">
                                      <a:schemeClr val="accent1"/>
                                    </a:effectRef>
                                    <a:fontRef idx="minor">
                                      <a:schemeClr val="lt1"/>
                                    </a:fontRef>
                                  </wps:style>
                                  <wps:bodyPr vert="horz" wrap="square" lIns="91440" tIns="45720" rIns="91440" bIns="45720" anchor="t" anchorCtr="0" upright="0">
                                    <a:noAutofit/>
                                  </wps:bodyPr>
                                </wps:wsp>
                              </a:graphicData>
                            </a:graphic>
                          </wp:anchor>
                        </w:drawing>
                      </mc:Choice>
                      <mc:Fallback>
                        <w:pict>
                          <v:shape type="#_x0000_t0" id="Freeform 407" o:spid="_x0000_s46" fillcolor="#000000" stroked="f" strokeweight="1.0pt" coordsize="9,9" path="m,9hdc3,9,6,9,10,9hdc10,6,10,3,10,hdc6,,3,,,hdc,3,,6,,9xe" style="position:absolute;margin-left:64.95pt;margin-top:0.0pt;width:0.4999981pt;height:0.47992125pt;z-index:137;mso-position-horizontal:absolute;mso-position-horizontal-relative:page;mso-position-vertical:absolute;mso-position-vertical-relative:line;">
                            <v:stroke/>
                          </v:shape>
                        </w:pict>
                      </mc:Fallback>
                    </mc:AlternateContent>
                  </w:r>
                  <w:r>
                    <w:rPr>
                      <w:rFonts w:ascii="Times New Roman" w:eastAsia="宋体" w:cs="Times New Roman" w:hAnsi="Times New Roman"/>
                      <w:color w:val="000000"/>
                      <w:sz w:val="21"/>
                      <w:szCs w:val="21"/>
                      <w:lang w:val="zh-CN" w:eastAsia="zh-CN" w:bidi="ar-SA"/>
                    </w:rPr>
                    <w:t>36(35.9)</w:t>
                  </w:r>
                </w:p>
              </w:tc>
            </w:tr>
            <w:tr>
              <w:trPr>
                <w:trHeight w:val="397"/>
              </w:trPr>
              <w:tc>
                <w:tcPr>
                  <w:tcW w:w="2164" w:type="dxa"/>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pacing w:val="0"/>
                      <w:sz w:val="21"/>
                      <w:szCs w:val="21"/>
                      <w:u w:val="single"/>
                      <w:lang w:val="en-US" w:eastAsia="zh-CN"/>
                    </w:rPr>
                  </w:pPr>
                  <w:r>
                    <w:rPr>
                      <w:rFonts w:ascii="Times New Roman" w:eastAsia="宋体" w:cs="Times New Roman" w:hAnsi="Times New Roman"/>
                      <w:color w:val="000000"/>
                      <w:spacing w:val="0"/>
                      <w:sz w:val="21"/>
                      <w:szCs w:val="21"/>
                      <w:u w:val="single"/>
                      <w:lang w:val="zh-CN" w:eastAsia="zh-CN" w:bidi="ar-SA"/>
                    </w:rPr>
                    <w:t>甲、乙类物品生产厂房、库房和甲、乙类液体储罐（东侧甲类空载区）</w:t>
                  </w:r>
                </w:p>
              </w:tc>
              <w:tc>
                <w:tcPr>
                  <w:tcW w:w="1077"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z w:val="21"/>
                      <w:szCs w:val="21"/>
                      <w:u w:val="single"/>
                      <w:lang w:val="zh-CN" w:eastAsia="zh-CN" w:bidi="ar-SA"/>
                    </w:rPr>
                    <w:t>10.5(9)</w:t>
                  </w:r>
                </w:p>
              </w:tc>
              <w:tc>
                <w:tcPr>
                  <w:tcW w:w="1145"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z w:val="21"/>
                      <w:szCs w:val="21"/>
                      <w:u w:val="single"/>
                      <w:lang w:val="zh-CN" w:eastAsia="zh-CN" w:bidi="ar-SA"/>
                    </w:rPr>
                    <w:t>58.2(55.1)</w:t>
                  </w:r>
                </w:p>
              </w:tc>
              <w:tc>
                <w:tcPr>
                  <w:tcW w:w="115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z w:val="21"/>
                      <w:szCs w:val="21"/>
                      <w:u w:val="single"/>
                      <w:lang w:val="zh-CN" w:eastAsia="zh-CN" w:bidi="ar-SA"/>
                    </w:rPr>
                    <w:t>10.5(9)</w:t>
                  </w:r>
                </w:p>
              </w:tc>
              <w:tc>
                <w:tcPr>
                  <w:tcW w:w="111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z w:val="21"/>
                      <w:szCs w:val="21"/>
                      <w:u w:val="single"/>
                      <w:lang w:val="zh-CN" w:eastAsia="zh-CN" w:bidi="ar-SA"/>
                    </w:rPr>
                    <w:t>68.5(67.6)</w:t>
                  </w:r>
                </w:p>
              </w:tc>
              <w:tc>
                <w:tcPr>
                  <w:tcW w:w="113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z w:val="21"/>
                      <w:szCs w:val="21"/>
                      <w:u w:val="single"/>
                      <w:lang w:val="zh-CN" w:eastAsia="zh-CN" w:bidi="ar-SA"/>
                    </w:rPr>
                    <w:t>10.5(9)</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z w:val="21"/>
                      <w:szCs w:val="21"/>
                      <w:u w:val="single"/>
                      <w:lang w:val="zh-CN" w:eastAsia="zh-CN" w:bidi="ar-SA"/>
                    </w:rPr>
                    <w:t>61(55.2)</w:t>
                  </w:r>
                </w:p>
              </w:tc>
            </w:tr>
            <w:tr>
              <w:trPr>
                <w:trHeight w:val="397"/>
              </w:trPr>
              <w:tc>
                <w:tcPr>
                  <w:tcW w:w="2164" w:type="dxa"/>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pacing w:val="0"/>
                      <w:sz w:val="21"/>
                      <w:szCs w:val="21"/>
                      <w:u w:val="single"/>
                      <w:lang w:val="en-US" w:eastAsia="zh-CN"/>
                    </w:rPr>
                  </w:pPr>
                  <w:r>
                    <w:rPr>
                      <w:rFonts w:ascii="Times New Roman" w:eastAsia="宋体" w:cs="Times New Roman" w:hAnsi="Times New Roman"/>
                      <w:color w:val="000000"/>
                      <w:spacing w:val="0"/>
                      <w:sz w:val="21"/>
                      <w:szCs w:val="21"/>
                      <w:u w:val="single"/>
                      <w:lang w:val="zh-CN" w:eastAsia="zh-CN" w:bidi="ar-SA"/>
                    </w:rPr>
                    <w:t>丙、丁、戊类物品生产厂房、库房和丙类液体储罐以及单罐容积不大于50m</w:t>
                  </w:r>
                  <w:r>
                    <w:rPr>
                      <w:rFonts w:ascii="Times New Roman" w:eastAsia="宋体" w:cs="Times New Roman" w:hAnsi="Times New Roman"/>
                      <w:color w:val="000000"/>
                      <w:spacing w:val="0"/>
                      <w:sz w:val="21"/>
                      <w:szCs w:val="21"/>
                      <w:u w:val="single"/>
                      <w:vertAlign w:val="superscript"/>
                      <w:lang w:val="zh-CN" w:eastAsia="zh-CN" w:bidi="ar-SA"/>
                    </w:rPr>
                    <w:t>3</w:t>
                  </w:r>
                  <w:r>
                    <w:rPr>
                      <w:rFonts w:ascii="Times New Roman" w:eastAsia="宋体" w:cs="Times New Roman" w:hAnsi="Times New Roman"/>
                      <w:color w:val="000000"/>
                      <w:spacing w:val="0"/>
                      <w:sz w:val="21"/>
                      <w:szCs w:val="21"/>
                      <w:u w:val="single"/>
                      <w:lang w:val="zh-CN" w:eastAsia="zh-CN" w:bidi="ar-SA"/>
                    </w:rPr>
                    <w:t>的</w:t>
                  </w:r>
                  <w:r>
                    <w:rPr>
                      <w:rFonts w:ascii="Times New Roman" w:eastAsia="宋体" w:cs="Times New Roman" w:hAnsi="Times New Roman" w:hint="eastAsia"/>
                      <w:color w:val="000000"/>
                      <w:spacing w:val="0"/>
                      <w:sz w:val="21"/>
                      <w:szCs w:val="21"/>
                      <w:u w:val="single"/>
                      <w:lang w:val="en-US" w:eastAsia="zh-CN" w:bidi="ar-SA"/>
                    </w:rPr>
                    <w:t>埋地甲</w:t>
                  </w:r>
                  <w:r>
                    <w:rPr>
                      <w:rFonts w:ascii="Times New Roman" w:eastAsia="宋体" w:cs="Times New Roman" w:hAnsi="Times New Roman"/>
                      <w:color w:val="000000"/>
                      <w:spacing w:val="0"/>
                      <w:sz w:val="21"/>
                      <w:szCs w:val="21"/>
                      <w:u w:val="single"/>
                      <w:lang w:val="zh-CN" w:eastAsia="zh-CN" w:bidi="ar-SA"/>
                    </w:rPr>
                    <w:t>、乙类液体储罐（南侧丙类（戊类）重载区）</w:t>
                  </w:r>
                </w:p>
              </w:tc>
              <w:tc>
                <w:tcPr>
                  <w:tcW w:w="1077"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pacing w:val="-1"/>
                      <w:sz w:val="21"/>
                      <w:szCs w:val="21"/>
                      <w:u w:val="single"/>
                      <w:lang w:val="zh-CN" w:eastAsia="zh-CN" w:bidi="ar-SA"/>
                    </w:rPr>
                    <w:t>35(25)</w:t>
                  </w:r>
                </w:p>
              </w:tc>
              <w:tc>
                <w:tcPr>
                  <w:tcW w:w="1145"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pacing w:val="-3"/>
                      <w:sz w:val="21"/>
                      <w:szCs w:val="21"/>
                      <w:u w:val="single"/>
                      <w:lang w:val="zh-CN" w:eastAsia="zh-CN" w:bidi="ar-SA"/>
                    </w:rPr>
                    <w:t>—</w:t>
                  </w:r>
                </w:p>
              </w:tc>
              <w:tc>
                <w:tcPr>
                  <w:tcW w:w="115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pacing w:val="-1"/>
                      <w:sz w:val="21"/>
                      <w:szCs w:val="21"/>
                      <w:u w:val="single"/>
                      <w:lang w:val="zh-CN" w:eastAsia="zh-CN" w:bidi="ar-SA"/>
                    </w:rPr>
                    <w:t>35(25)</w:t>
                  </w:r>
                </w:p>
              </w:tc>
              <w:tc>
                <w:tcPr>
                  <w:tcW w:w="1119"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pacing w:val="-3"/>
                      <w:sz w:val="21"/>
                      <w:szCs w:val="21"/>
                      <w:u w:val="single"/>
                      <w:lang w:val="zh-CN" w:eastAsia="zh-CN" w:bidi="ar-SA"/>
                    </w:rPr>
                    <w:t>—</w:t>
                  </w:r>
                </w:p>
              </w:tc>
              <w:tc>
                <w:tcPr>
                  <w:tcW w:w="113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z w:val="21"/>
                      <w:szCs w:val="21"/>
                      <w:u w:val="single"/>
                      <w:lang w:val="zh-CN" w:eastAsia="zh-CN" w:bidi="ar-SA"/>
                    </w:rPr>
                    <w:t>35(25)</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u w:val="single"/>
                      <w:lang w:val="en-US" w:eastAsia="zh-CN"/>
                    </w:rPr>
                  </w:pPr>
                  <w:r>
                    <w:rPr>
                      <w:rFonts w:ascii="Times New Roman" w:eastAsia="宋体" w:cs="Times New Roman" w:hAnsi="Times New Roman"/>
                      <w:color w:val="000000"/>
                      <w:spacing w:val="-3"/>
                      <w:sz w:val="21"/>
                      <w:szCs w:val="21"/>
                      <w:u w:val="single"/>
                      <w:lang w:val="zh-CN" w:eastAsia="zh-CN" w:bidi="ar-SA"/>
                    </w:rPr>
                    <w:t>—</w:t>
                  </w:r>
                </w:p>
              </w:tc>
            </w:tr>
            <w:tr>
              <w:trPr>
                <w:trHeight w:val="397"/>
              </w:trPr>
              <w:tc>
                <w:tcPr>
                  <w:tcW w:w="2164"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spacing w:val="0"/>
                      <w:kern w:val="2"/>
                      <w:sz w:val="21"/>
                      <w:szCs w:val="21"/>
                      <w:u w:val="single"/>
                      <w:lang w:val="zh-CN" w:eastAsia="zh-CN" w:bidi="ar-SA"/>
                    </w:rPr>
                  </w:pPr>
                  <w:r>
                    <w:rPr>
                      <w:rFonts w:ascii="Times New Roman" w:eastAsia="宋体" w:cs="Times New Roman" w:hAnsi="Times New Roman"/>
                      <w:color w:val="000000"/>
                      <w:spacing w:val="0"/>
                      <w:sz w:val="21"/>
                      <w:szCs w:val="21"/>
                      <w:u w:val="single"/>
                      <w:lang w:val="zh-CN" w:eastAsia="zh-CN" w:bidi="ar-SA"/>
                    </w:rPr>
                    <w:t>丙、丁、戊类物品生产厂房、库房和丙类液体储罐以及单罐容积不大于50m</w:t>
                  </w:r>
                  <w:r>
                    <w:rPr>
                      <w:rFonts w:ascii="Times New Roman" w:eastAsia="宋体" w:cs="Times New Roman" w:hAnsi="Times New Roman"/>
                      <w:color w:val="000000"/>
                      <w:spacing w:val="0"/>
                      <w:sz w:val="21"/>
                      <w:szCs w:val="21"/>
                      <w:u w:val="single"/>
                      <w:vertAlign w:val="superscript"/>
                      <w:lang w:val="zh-CN" w:eastAsia="zh-CN" w:bidi="ar-SA"/>
                    </w:rPr>
                    <w:t>3</w:t>
                  </w:r>
                  <w:r>
                    <w:rPr>
                      <w:rFonts w:ascii="Times New Roman" w:eastAsia="宋体" w:cs="Times New Roman" w:hAnsi="Times New Roman"/>
                      <w:color w:val="000000"/>
                      <w:spacing w:val="0"/>
                      <w:sz w:val="21"/>
                      <w:szCs w:val="21"/>
                      <w:u w:val="single"/>
                      <w:lang w:val="zh-CN" w:eastAsia="zh-CN" w:bidi="ar-SA"/>
                    </w:rPr>
                    <w:t>的埋地甲、乙类液体储罐（北侧戊类空载区）</w:t>
                  </w:r>
                </w:p>
              </w:tc>
              <w:tc>
                <w:tcPr>
                  <w:tcW w:w="1077"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u w:val="single"/>
                      <w:lang w:val="zh-CN" w:eastAsia="zh-CN" w:bidi="ar-SA"/>
                    </w:rPr>
                  </w:pPr>
                  <w:r>
                    <w:rPr>
                      <w:rFonts w:ascii="Times New Roman" w:eastAsia="宋体" w:cs="Times New Roman" w:hAnsi="Times New Roman"/>
                      <w:color w:val="000000"/>
                      <w:sz w:val="21"/>
                      <w:szCs w:val="21"/>
                      <w:u w:val="single"/>
                      <w:lang w:val="zh-CN" w:eastAsia="zh-CN" w:bidi="ar-SA"/>
                    </w:rPr>
                    <w:t>10.5(9)</w:t>
                  </w:r>
                </w:p>
              </w:tc>
              <w:tc>
                <w:tcPr>
                  <w:tcW w:w="1145"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u w:val="single"/>
                      <w:lang w:val="zh-CN" w:eastAsia="zh-CN" w:bidi="ar-SA"/>
                    </w:rPr>
                  </w:pPr>
                  <w:r>
                    <w:rPr>
                      <w:rFonts w:ascii="Times New Roman" w:eastAsia="宋体" w:cs="Times New Roman" w:hAnsi="Times New Roman"/>
                      <w:color w:val="000000"/>
                      <w:sz w:val="21"/>
                      <w:szCs w:val="21"/>
                      <w:u w:val="single"/>
                      <w:lang w:val="zh-CN" w:eastAsia="zh-CN" w:bidi="ar-SA"/>
                    </w:rPr>
                    <w:t>29(26.1)</w:t>
                  </w:r>
                </w:p>
              </w:tc>
              <w:tc>
                <w:tcPr>
                  <w:tcW w:w="115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u w:val="single"/>
                      <w:lang w:val="zh-CN" w:eastAsia="zh-CN" w:bidi="ar-SA"/>
                    </w:rPr>
                  </w:pPr>
                  <w:r>
                    <w:rPr>
                      <w:rFonts w:ascii="Times New Roman" w:eastAsia="宋体" w:cs="Times New Roman" w:hAnsi="Times New Roman"/>
                      <w:color w:val="000000"/>
                      <w:sz w:val="21"/>
                      <w:szCs w:val="21"/>
                      <w:u w:val="single"/>
                      <w:lang w:val="zh-CN" w:eastAsia="zh-CN" w:bidi="ar-SA"/>
                    </w:rPr>
                    <w:t>10.5(9)</w:t>
                  </w:r>
                </w:p>
              </w:tc>
              <w:tc>
                <w:tcPr>
                  <w:tcW w:w="111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u w:val="single"/>
                      <w:lang w:val="zh-CN" w:eastAsia="zh-CN" w:bidi="ar-SA"/>
                    </w:rPr>
                  </w:pPr>
                  <w:r>
                    <w:rPr>
                      <w:rFonts w:ascii="Times New Roman" w:eastAsia="宋体" w:cs="Times New Roman" w:hAnsi="Times New Roman"/>
                      <w:color w:val="000000"/>
                      <w:sz w:val="21"/>
                      <w:szCs w:val="21"/>
                      <w:u w:val="single"/>
                      <w:lang w:val="zh-CN" w:eastAsia="zh-CN" w:bidi="ar-SA"/>
                    </w:rPr>
                    <w:t>28.4(29.2)</w:t>
                  </w:r>
                </w:p>
              </w:tc>
              <w:tc>
                <w:tcPr>
                  <w:tcW w:w="113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u w:val="single"/>
                      <w:lang w:val="zh-CN" w:eastAsia="zh-CN" w:bidi="ar-SA"/>
                    </w:rPr>
                  </w:pPr>
                  <w:r>
                    <w:rPr>
                      <w:rFonts w:ascii="Times New Roman" w:eastAsia="宋体" w:cs="Times New Roman" w:hAnsi="Times New Roman"/>
                      <w:color w:val="000000"/>
                      <w:sz w:val="21"/>
                      <w:szCs w:val="21"/>
                      <w:u w:val="single"/>
                      <w:lang w:val="zh-CN" w:eastAsia="zh-CN" w:bidi="ar-SA"/>
                    </w:rPr>
                    <w:t>10.5(9)</w:t>
                  </w:r>
                </w:p>
              </w:tc>
              <w:tc>
                <w:tcPr>
                  <w:tcW w:w="101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u w:val="single"/>
                      <w:lang w:val="zh-CN" w:eastAsia="zh-CN" w:bidi="ar-SA"/>
                    </w:rPr>
                  </w:pPr>
                  <w:r>
                    <w:rPr>
                      <w:rFonts w:ascii="Times New Roman" w:eastAsia="宋体" w:cs="Times New Roman" w:hAnsi="Times New Roman"/>
                      <w:color w:val="000000"/>
                      <w:sz w:val="21"/>
                      <w:szCs w:val="21"/>
                      <w:u w:val="single"/>
                      <w:lang w:val="zh-CN" w:eastAsia="zh-CN" w:bidi="ar-SA"/>
                    </w:rPr>
                    <w:t>25.2(29.8)</w:t>
                  </w:r>
                </w:p>
              </w:tc>
            </w:tr>
            <w:tr>
              <w:trPr>
                <w:trHeight w:val="397"/>
              </w:trPr>
              <w:tc>
                <w:tcPr>
                  <w:tcW w:w="2164"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1"/>
                      <w:sz w:val="21"/>
                      <w:szCs w:val="21"/>
                      <w:lang w:val="zh-CN" w:eastAsia="zh-CN" w:bidi="ar-SA"/>
                    </w:rPr>
                    <w:t>室外变配电站</w:t>
                  </w:r>
                </w:p>
              </w:tc>
              <w:tc>
                <w:tcPr>
                  <w:tcW w:w="1077"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z w:val="21"/>
                      <w:szCs w:val="21"/>
                      <w:lang w:val="zh-CN" w:eastAsia="zh-CN" w:bidi="ar-SA"/>
                    </w:rPr>
                    <w:t>12.5(12.5)</w:t>
                  </w:r>
                </w:p>
              </w:tc>
              <w:tc>
                <w:tcPr>
                  <w:tcW w:w="1145"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3"/>
                      <w:sz w:val="21"/>
                      <w:szCs w:val="21"/>
                      <w:lang w:val="zh-CN" w:eastAsia="zh-CN" w:bidi="ar-SA"/>
                    </w:rPr>
                    <w:t>—</w:t>
                  </w:r>
                </w:p>
              </w:tc>
              <w:tc>
                <w:tcPr>
                  <w:tcW w:w="115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z w:val="21"/>
                      <w:szCs w:val="21"/>
                      <w:lang w:val="zh-CN" w:eastAsia="zh-CN" w:bidi="ar-SA"/>
                    </w:rPr>
                    <w:t>12.5(12.5)</w:t>
                  </w:r>
                </w:p>
              </w:tc>
              <w:tc>
                <w:tcPr>
                  <w:tcW w:w="111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3"/>
                      <w:sz w:val="21"/>
                      <w:szCs w:val="21"/>
                      <w:lang w:val="zh-CN" w:eastAsia="zh-CN" w:bidi="ar-SA"/>
                    </w:rPr>
                    <w:t>—</w:t>
                  </w:r>
                </w:p>
              </w:tc>
              <w:tc>
                <w:tcPr>
                  <w:tcW w:w="113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z w:val="21"/>
                      <w:szCs w:val="21"/>
                      <w:lang w:val="zh-CN" w:eastAsia="zh-CN" w:bidi="ar-SA"/>
                    </w:rPr>
                    <w:t>12.5(12.5)</w:t>
                  </w:r>
                </w:p>
              </w:tc>
              <w:tc>
                <w:tcPr>
                  <w:tcW w:w="101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3"/>
                      <w:sz w:val="21"/>
                      <w:szCs w:val="21"/>
                      <w:lang w:val="zh-CN" w:eastAsia="zh-CN" w:bidi="ar-SA"/>
                    </w:rPr>
                    <w:t>—</w:t>
                  </w:r>
                </w:p>
              </w:tc>
            </w:tr>
            <w:tr>
              <w:trPr>
                <w:trHeight w:val="397"/>
              </w:trPr>
              <w:tc>
                <w:tcPr>
                  <w:tcW w:w="2164"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z w:val="21"/>
                      <w:szCs w:val="21"/>
                      <w:lang w:val="zh-CN" w:eastAsia="zh-CN" w:bidi="ar-SA"/>
                    </w:rPr>
                    <w:t>铁路、地上城市轨道线路</w:t>
                  </w:r>
                </w:p>
              </w:tc>
              <w:tc>
                <w:tcPr>
                  <w:tcW w:w="1077"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z w:val="21"/>
                      <w:szCs w:val="21"/>
                      <w:lang w:val="zh-CN" w:eastAsia="zh-CN" w:bidi="ar-SA"/>
                    </w:rPr>
                    <w:t>15.5 (15)</w:t>
                  </w:r>
                </w:p>
              </w:tc>
              <w:tc>
                <w:tcPr>
                  <w:tcW w:w="1145"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3"/>
                      <w:sz w:val="21"/>
                      <w:szCs w:val="21"/>
                      <w:lang w:val="zh-CN" w:eastAsia="zh-CN" w:bidi="ar-SA"/>
                    </w:rPr>
                    <w:t>—</w:t>
                  </w:r>
                </w:p>
              </w:tc>
              <w:tc>
                <w:tcPr>
                  <w:tcW w:w="115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z w:val="21"/>
                      <w:szCs w:val="21"/>
                      <w:lang w:val="zh-CN" w:eastAsia="zh-CN" w:bidi="ar-SA"/>
                    </w:rPr>
                    <w:t>15.5 (15)</w:t>
                  </w:r>
                </w:p>
              </w:tc>
              <w:tc>
                <w:tcPr>
                  <w:tcW w:w="111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3"/>
                      <w:sz w:val="21"/>
                      <w:szCs w:val="21"/>
                      <w:lang w:val="zh-CN" w:eastAsia="zh-CN" w:bidi="ar-SA"/>
                    </w:rPr>
                    <w:t>—</w:t>
                  </w:r>
                </w:p>
              </w:tc>
              <w:tc>
                <w:tcPr>
                  <w:tcW w:w="113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1"/>
                      <w:sz w:val="21"/>
                      <w:szCs w:val="21"/>
                      <w:lang w:val="zh-CN" w:eastAsia="zh-CN" w:bidi="ar-SA"/>
                    </w:rPr>
                    <w:t>15.5 (15)</w:t>
                  </w:r>
                </w:p>
              </w:tc>
              <w:tc>
                <w:tcPr>
                  <w:tcW w:w="101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3"/>
                      <w:sz w:val="21"/>
                      <w:szCs w:val="21"/>
                      <w:lang w:val="zh-CN" w:eastAsia="zh-CN" w:bidi="ar-SA"/>
                    </w:rPr>
                    <w:t>—</w:t>
                  </w:r>
                </w:p>
              </w:tc>
            </w:tr>
            <w:tr>
              <w:trPr>
                <w:trHeight w:val="397"/>
              </w:trPr>
              <w:tc>
                <w:tcPr>
                  <w:tcW w:w="2164"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1"/>
                      <w:sz w:val="21"/>
                      <w:szCs w:val="21"/>
                      <w:lang w:val="zh-CN" w:eastAsia="zh-CN" w:bidi="ar-SA"/>
                    </w:rPr>
                    <w:t>城市快速路、主干路和高速公路、一级公</w:t>
                  </w:r>
                  <w:r>
                    <w:rPr>
                      <w:rFonts w:ascii="Times New Roman" w:eastAsia="宋体" w:cs="Times New Roman" w:hAnsi="Times New Roman"/>
                      <w:color w:val="000000"/>
                      <w:sz w:val="21"/>
                      <w:szCs w:val="21"/>
                      <w:lang w:val="zh-CN" w:eastAsia="zh-CN" w:bidi="ar-SA"/>
                    </w:rPr>
                    <w:t>路、二级公路</w:t>
                  </w:r>
                </w:p>
              </w:tc>
              <w:tc>
                <w:tcPr>
                  <w:tcW w:w="1077"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z w:val="21"/>
                      <w:szCs w:val="21"/>
                      <w:lang w:val="zh-CN" w:eastAsia="zh-CN" w:bidi="ar-SA"/>
                    </w:rPr>
                    <w:t>5.5(3)</w:t>
                  </w:r>
                </w:p>
              </w:tc>
              <w:tc>
                <w:tcPr>
                  <w:tcW w:w="1145"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3"/>
                      <w:sz w:val="21"/>
                      <w:szCs w:val="21"/>
                      <w:lang w:val="zh-CN" w:eastAsia="zh-CN" w:bidi="ar-SA"/>
                    </w:rPr>
                    <w:t>—</w:t>
                  </w:r>
                </w:p>
              </w:tc>
              <w:tc>
                <w:tcPr>
                  <w:tcW w:w="115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z w:val="21"/>
                      <w:szCs w:val="21"/>
                      <w:lang w:val="zh-CN" w:eastAsia="zh-CN" w:bidi="ar-SA"/>
                    </w:rPr>
                    <w:t>5(3)</w:t>
                  </w:r>
                </w:p>
              </w:tc>
              <w:tc>
                <w:tcPr>
                  <w:tcW w:w="111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3"/>
                      <w:sz w:val="21"/>
                      <w:szCs w:val="21"/>
                      <w:lang w:val="zh-CN" w:eastAsia="zh-CN" w:bidi="ar-SA"/>
                    </w:rPr>
                    <w:t>—</w:t>
                  </w:r>
                </w:p>
              </w:tc>
              <w:tc>
                <w:tcPr>
                  <w:tcW w:w="113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1"/>
                      <w:sz w:val="21"/>
                      <w:szCs w:val="21"/>
                      <w:lang w:val="zh-CN" w:eastAsia="zh-CN" w:bidi="ar-SA"/>
                    </w:rPr>
                    <w:t>5(3)</w:t>
                  </w:r>
                </w:p>
              </w:tc>
              <w:tc>
                <w:tcPr>
                  <w:tcW w:w="101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zh-CN" w:eastAsia="zh-CN" w:bidi="ar-SA"/>
                    </w:rPr>
                  </w:pPr>
                  <w:r>
                    <w:rPr>
                      <w:rFonts w:ascii="Times New Roman" w:eastAsia="宋体" w:cs="Times New Roman" w:hAnsi="Times New Roman"/>
                      <w:color w:val="000000"/>
                      <w:spacing w:val="-3"/>
                      <w:sz w:val="21"/>
                      <w:szCs w:val="21"/>
                      <w:lang w:val="zh-CN" w:eastAsia="zh-CN" w:bidi="ar-SA"/>
                    </w:rPr>
                    <w:t>—</w:t>
                  </w:r>
                </w:p>
              </w:tc>
            </w:tr>
            <w:tr>
              <w:trPr>
                <w:trHeight w:val="397"/>
              </w:trPr>
              <w:tc>
                <w:tcPr>
                  <w:tcW w:w="2164" w:type="dxa"/>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z w:val="21"/>
                      <w:szCs w:val="21"/>
                      <w:lang w:val="zh-CN" w:eastAsia="zh-CN" w:bidi="ar-SA"/>
                    </w:rPr>
                    <w:t>城市次干路、支路和三级公路、四级公路（西侧规划路）</w:t>
                  </w:r>
                </w:p>
              </w:tc>
              <w:tc>
                <w:tcPr>
                  <w:tcW w:w="1077"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z w:val="21"/>
                      <w:szCs w:val="21"/>
                      <w:lang w:val="zh-CN" w:eastAsia="zh-CN" w:bidi="ar-SA"/>
                    </w:rPr>
                    <w:t>5(3)</w:t>
                  </w:r>
                </w:p>
              </w:tc>
              <w:tc>
                <w:tcPr>
                  <w:tcW w:w="1145"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1"/>
                      <w:sz w:val="21"/>
                      <w:szCs w:val="21"/>
                      <w:lang w:val="zh-CN" w:eastAsia="zh-CN" w:bidi="ar-SA"/>
                    </w:rPr>
                    <w:t>12.6(11.9)</w:t>
                  </w:r>
                </w:p>
              </w:tc>
              <w:tc>
                <w:tcPr>
                  <w:tcW w:w="115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z w:val="21"/>
                      <w:szCs w:val="21"/>
                      <w:lang w:val="zh-CN" w:eastAsia="zh-CN" w:bidi="ar-SA"/>
                    </w:rPr>
                    <w:t>5(3)</w:t>
                  </w:r>
                </w:p>
              </w:tc>
              <w:tc>
                <w:tcPr>
                  <w:tcW w:w="111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z w:val="21"/>
                      <w:szCs w:val="21"/>
                      <w:lang w:val="zh-CN" w:eastAsia="zh-CN" w:bidi="ar-SA"/>
                    </w:rPr>
                    <w:t>7.9(8.1)</w:t>
                  </w:r>
                </w:p>
              </w:tc>
              <w:tc>
                <w:tcPr>
                  <w:tcW w:w="113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1"/>
                      <w:sz w:val="21"/>
                      <w:szCs w:val="21"/>
                      <w:lang w:val="zh-CN" w:eastAsia="zh-CN" w:bidi="ar-SA"/>
                    </w:rPr>
                    <w:t>5(3)</w:t>
                  </w:r>
                </w:p>
              </w:tc>
              <w:tc>
                <w:tcPr>
                  <w:tcW w:w="101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z w:val="21"/>
                      <w:szCs w:val="21"/>
                      <w:lang w:val="zh-CN" w:eastAsia="zh-CN" w:bidi="ar-SA"/>
                    </w:rPr>
                    <w:t>9.7(8.4)</w:t>
                  </w:r>
                </w:p>
              </w:tc>
            </w:tr>
            <w:tr>
              <w:trPr>
                <w:trHeight w:val="397"/>
              </w:trPr>
              <w:tc>
                <w:tcPr>
                  <w:tcW w:w="2164" w:type="dxa"/>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架空通信线和通信发射塔</w:t>
                  </w:r>
                </w:p>
              </w:tc>
              <w:tc>
                <w:tcPr>
                  <w:tcW w:w="1077"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z w:val="21"/>
                      <w:szCs w:val="21"/>
                      <w:lang w:val="zh-CN" w:eastAsia="zh-CN" w:bidi="ar-SA"/>
                    </w:rPr>
                    <w:t>5(5)</w:t>
                  </w:r>
                </w:p>
              </w:tc>
              <w:tc>
                <w:tcPr>
                  <w:tcW w:w="1145"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3"/>
                      <w:sz w:val="21"/>
                      <w:szCs w:val="21"/>
                      <w:lang w:val="zh-CN" w:eastAsia="zh-CN" w:bidi="ar-SA"/>
                    </w:rPr>
                    <w:t>—</w:t>
                  </w:r>
                </w:p>
              </w:tc>
              <w:tc>
                <w:tcPr>
                  <w:tcW w:w="115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z w:val="21"/>
                      <w:szCs w:val="21"/>
                      <w:lang w:val="zh-CN" w:eastAsia="zh-CN" w:bidi="ar-SA"/>
                    </w:rPr>
                    <w:t>5(5)</w:t>
                  </w:r>
                </w:p>
              </w:tc>
              <w:tc>
                <w:tcPr>
                  <w:tcW w:w="111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3"/>
                      <w:sz w:val="21"/>
                      <w:szCs w:val="21"/>
                      <w:lang w:val="zh-CN" w:eastAsia="zh-CN" w:bidi="ar-SA"/>
                    </w:rPr>
                    <w:t>—</w:t>
                  </w:r>
                </w:p>
              </w:tc>
              <w:tc>
                <w:tcPr>
                  <w:tcW w:w="113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1"/>
                      <w:sz w:val="21"/>
                      <w:szCs w:val="21"/>
                      <w:lang w:val="zh-CN" w:eastAsia="zh-CN" w:bidi="ar-SA"/>
                    </w:rPr>
                    <w:t>5(5)</w:t>
                  </w:r>
                </w:p>
              </w:tc>
              <w:tc>
                <w:tcPr>
                  <w:tcW w:w="101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eastAsia="宋体" w:cs="Times New Roman" w:hAnsi="Times New Roman"/>
                      <w:color w:val="000000"/>
                      <w:spacing w:val="-3"/>
                      <w:sz w:val="21"/>
                      <w:szCs w:val="21"/>
                      <w:lang w:val="zh-CN" w:eastAsia="zh-CN" w:bidi="ar-SA"/>
                    </w:rPr>
                    <w:t>—</w:t>
                  </w:r>
                </w:p>
              </w:tc>
            </w:tr>
            <w:tr>
              <w:trPr>
                <w:trHeight w:val="397"/>
              </w:trPr>
              <w:tc>
                <w:tcPr>
                  <w:tcW w:w="672" w:type="dxa"/>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架空电力线路</w:t>
                  </w:r>
                </w:p>
              </w:tc>
              <w:tc>
                <w:tcPr>
                  <w:tcW w:w="1492"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宋体" w:cs="宋体" w:hAnsi="宋体"/>
                      <w:color w:val="000000"/>
                      <w:sz w:val="21"/>
                      <w:szCs w:val="21"/>
                      <w:lang w:val="zh-CN" w:eastAsia="zh-CN" w:bidi="ar-SA"/>
                    </w:rPr>
                    <w:t>无绝缘层</w:t>
                  </w:r>
                </w:p>
              </w:tc>
              <w:tc>
                <w:tcPr>
                  <w:tcW w:w="1077"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z w:val="21"/>
                      <w:szCs w:val="21"/>
                      <w:lang w:val="zh-CN" w:eastAsia="zh-CN" w:bidi="ar-SA"/>
                    </w:rPr>
                    <w:t>6.5(6.5)</w:t>
                  </w:r>
                </w:p>
              </w:tc>
              <w:tc>
                <w:tcPr>
                  <w:tcW w:w="1145"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pacing w:val="-3"/>
                      <w:sz w:val="21"/>
                      <w:szCs w:val="21"/>
                      <w:lang w:val="zh-CN" w:eastAsia="zh-CN" w:bidi="ar-SA"/>
                    </w:rPr>
                    <w:t>—</w:t>
                  </w:r>
                </w:p>
              </w:tc>
              <w:tc>
                <w:tcPr>
                  <w:tcW w:w="115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z w:val="21"/>
                      <w:szCs w:val="21"/>
                      <w:lang w:val="zh-CN" w:eastAsia="zh-CN" w:bidi="ar-SA"/>
                    </w:rPr>
                    <w:t>6.5(6.5)</w:t>
                  </w:r>
                </w:p>
              </w:tc>
              <w:tc>
                <w:tcPr>
                  <w:tcW w:w="111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pacing w:val="-3"/>
                      <w:sz w:val="21"/>
                      <w:szCs w:val="21"/>
                      <w:lang w:val="zh-CN" w:eastAsia="zh-CN" w:bidi="ar-SA"/>
                    </w:rPr>
                    <w:t>—</w:t>
                  </w:r>
                </w:p>
              </w:tc>
              <w:tc>
                <w:tcPr>
                  <w:tcW w:w="113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z w:val="21"/>
                      <w:szCs w:val="21"/>
                      <w:lang w:val="zh-CN" w:eastAsia="zh-CN" w:bidi="ar-SA"/>
                    </w:rPr>
                    <w:t>6.5(6.5)</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rPr>
                  </w:pPr>
                  <w:r>
                    <w:rPr>
                      <w:rFonts w:ascii="Times New Roman" w:cs="Times New Roman" w:hAnsi="Times New Roman"/>
                      <w:color w:val="000000"/>
                      <w:spacing w:val="-3"/>
                      <w:sz w:val="21"/>
                      <w:szCs w:val="21"/>
                      <w:lang w:val="zh-CN" w:eastAsia="zh-CN" w:bidi="ar-SA"/>
                    </w:rPr>
                    <w:t>—</w:t>
                  </w:r>
                </w:p>
              </w:tc>
            </w:tr>
            <w:tr>
              <w:trPr>
                <w:trHeight w:val="397"/>
              </w:trPr>
              <w:tc>
                <w:tcPr>
                  <w:tcW w:w="672" w:type="dxa"/>
                  <w:vMerge/>
                  <w:tcBorders>
                    <w:tl2br w:val="nil"/>
                    <w:tr2bl w:val="nil"/>
                  </w:tcBorders>
                  <w:vAlign w:val="center"/>
                </w:tcPr>
                <w:p/>
              </w:tc>
              <w:tc>
                <w:tcPr>
                  <w:tcW w:w="1492"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宋体" w:cs="宋体" w:hAnsi="宋体"/>
                      <w:color w:val="000000"/>
                      <w:sz w:val="21"/>
                      <w:szCs w:val="21"/>
                      <w:lang w:val="zh-CN" w:eastAsia="zh-CN" w:bidi="ar-SA"/>
                    </w:rPr>
                    <w:t>有绝缘层</w:t>
                  </w:r>
                </w:p>
              </w:tc>
              <w:tc>
                <w:tcPr>
                  <w:tcW w:w="1077"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z w:val="21"/>
                      <w:szCs w:val="21"/>
                      <w:lang w:val="zh-CN" w:eastAsia="zh-CN" w:bidi="ar-SA"/>
                    </w:rPr>
                    <w:t>5(5)</w:t>
                  </w:r>
                </w:p>
              </w:tc>
              <w:tc>
                <w:tcPr>
                  <w:tcW w:w="1145"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pacing w:val="-3"/>
                      <w:sz w:val="21"/>
                      <w:szCs w:val="21"/>
                      <w:lang w:val="zh-CN" w:eastAsia="zh-CN" w:bidi="ar-SA"/>
                    </w:rPr>
                    <w:t>—</w:t>
                  </w:r>
                </w:p>
              </w:tc>
              <w:tc>
                <w:tcPr>
                  <w:tcW w:w="115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z w:val="21"/>
                      <w:szCs w:val="21"/>
                      <w:lang w:val="zh-CN" w:eastAsia="zh-CN" w:bidi="ar-SA"/>
                    </w:rPr>
                    <w:t>5(5)</w:t>
                  </w:r>
                </w:p>
              </w:tc>
              <w:tc>
                <w:tcPr>
                  <w:tcW w:w="1119"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pacing w:val="-3"/>
                      <w:sz w:val="21"/>
                      <w:szCs w:val="21"/>
                      <w:lang w:val="zh-CN" w:eastAsia="zh-CN" w:bidi="ar-SA"/>
                    </w:rPr>
                    <w:t>—</w:t>
                  </w:r>
                </w:p>
              </w:tc>
              <w:tc>
                <w:tcPr>
                  <w:tcW w:w="1131" w:type="dxa"/>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color w:val="010302"/>
                      <w:kern w:val="2"/>
                      <w:sz w:val="21"/>
                      <w:szCs w:val="21"/>
                      <w:lang w:val="en-US" w:eastAsia="zh-CN" w:bidi="ar-SA"/>
                    </w:rPr>
                  </w:pPr>
                  <w:r>
                    <w:rPr>
                      <w:rFonts w:ascii="Times New Roman" w:cs="Times New Roman" w:hAnsi="Times New Roman"/>
                      <w:color w:val="000000"/>
                      <w:spacing w:val="-1"/>
                      <w:sz w:val="21"/>
                      <w:szCs w:val="21"/>
                      <w:lang w:val="zh-CN" w:eastAsia="zh-CN" w:bidi="ar-SA"/>
                    </w:rPr>
                    <w:t>5(5)</w:t>
                  </w:r>
                </w:p>
              </w:tc>
              <w:tc>
                <w:tcPr>
                  <w:tcW w:w="1011" w:type="dxa"/>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Times New Roman" w:eastAsia="宋体" w:cs="Times New Roman" w:hAnsi="Times New Roman"/>
                      <w:sz w:val="21"/>
                      <w:szCs w:val="21"/>
                      <w:lang w:val="en-US" w:eastAsia="zh-CN"/>
                    </w:rPr>
                  </w:pPr>
                  <w:r>
                    <w:rPr>
                      <w:rFonts w:ascii="Times New Roman" w:cs="Times New Roman" w:hAnsi="Times New Roman"/>
                      <w:color w:val="000000"/>
                      <w:spacing w:val="-3"/>
                      <w:sz w:val="21"/>
                      <w:szCs w:val="21"/>
                      <w:lang w:val="zh-CN" w:eastAsia="zh-CN" w:bidi="ar-SA"/>
                    </w:rPr>
                    <w:t>—</w:t>
                  </w:r>
                </w:p>
              </w:tc>
            </w:tr>
            <w:tr>
              <w:trPr>
                <w:trHeight w:val="397"/>
              </w:trPr>
              <w:tc>
                <w:tcPr>
                  <w:tcW w:w="8806" w:type="dxa"/>
                  <w:gridSpan w:val="8"/>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注：1、H为架空电力线的杆高或塔高；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rPr>
                  </w:pPr>
                  <w:r>
                    <w:rPr>
                      <w:rFonts w:ascii="Times New Roman" w:eastAsia="宋体" w:cs="Times New Roman" w:hAnsi="Times New Roman"/>
                      <w:sz w:val="21"/>
                      <w:szCs w:val="21"/>
                      <w:lang w:val="en-US" w:eastAsia="zh-CN" w:bidi="ar-SA"/>
                    </w:rPr>
                    <w:t>2、表中括号内数字为柴油设备与站外建（构）筑物的安全距离</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sz w:val="24"/>
                <w:szCs w:val="24"/>
                <w:u w:val="single"/>
                <w:lang w:val="en-US" w:eastAsia="zh-CN"/>
                <w:highlight w:val="none"/>
              </w:rPr>
            </w:pPr>
            <w:r>
              <w:rPr>
                <w:rFonts w:ascii="Times New Roman" w:eastAsia="宋体" w:cs="Times New Roman" w:hAnsi="Times New Roman" w:hint="eastAsia"/>
                <w:color w:val="auto"/>
                <w:sz w:val="24"/>
                <w:szCs w:val="24"/>
                <w:u w:val="single"/>
                <w:lang w:val="en-US" w:eastAsia="zh-CN"/>
                <w:highlight w:val="none"/>
              </w:rPr>
              <w:t>站内工艺设备与站内其他工艺设备及建、构筑物之间的防火间距按照《汽车加油加气加氢站技术标准》（</w:t>
            </w:r>
            <w:r>
              <w:rPr>
                <w:rFonts w:ascii="Times New Roman" w:eastAsia="宋体" w:cs="Times New Roman" w:hAnsi="Times New Roman"/>
                <w:color w:val="auto"/>
                <w:sz w:val="24"/>
                <w:szCs w:val="24"/>
                <w:u w:val="single"/>
                <w:lang w:val="en-US" w:eastAsia="zh-CN"/>
                <w:highlight w:val="none"/>
              </w:rPr>
              <w:t>GB 50156-2021</w:t>
            </w:r>
            <w:r>
              <w:rPr>
                <w:rFonts w:ascii="Times New Roman" w:eastAsia="宋体" w:cs="Times New Roman" w:hAnsi="Times New Roman" w:hint="eastAsia"/>
                <w:color w:val="auto"/>
                <w:sz w:val="24"/>
                <w:szCs w:val="24"/>
                <w:u w:val="single"/>
                <w:lang w:val="en-US" w:eastAsia="zh-CN"/>
                <w:highlight w:val="none"/>
              </w:rPr>
              <w:t>）和《建筑设计防火规范》（</w:t>
            </w:r>
            <w:r>
              <w:rPr>
                <w:rFonts w:ascii="Times New Roman" w:eastAsia="宋体" w:cs="Times New Roman" w:hAnsi="Times New Roman"/>
                <w:color w:val="auto"/>
                <w:sz w:val="24"/>
                <w:szCs w:val="24"/>
                <w:u w:val="single"/>
                <w:lang w:val="en-US" w:eastAsia="zh-CN"/>
                <w:highlight w:val="none"/>
              </w:rPr>
              <w:t>GB 50016-2014</w:t>
            </w:r>
            <w:r>
              <w:rPr>
                <w:rFonts w:ascii="Times New Roman" w:eastAsia="宋体" w:cs="Times New Roman" w:hAnsi="Times New Roman" w:hint="eastAsia"/>
                <w:color w:val="auto"/>
                <w:sz w:val="24"/>
                <w:szCs w:val="24"/>
                <w:u w:val="single"/>
                <w:lang w:val="en-US" w:eastAsia="zh-CN"/>
                <w:highlight w:val="none"/>
              </w:rPr>
              <w:t>（</w:t>
            </w:r>
            <w:r>
              <w:rPr>
                <w:rFonts w:ascii="Times New Roman" w:eastAsia="宋体" w:cs="Times New Roman" w:hAnsi="Times New Roman"/>
                <w:color w:val="auto"/>
                <w:sz w:val="24"/>
                <w:szCs w:val="24"/>
                <w:u w:val="single"/>
                <w:lang w:val="en-US" w:eastAsia="zh-CN"/>
                <w:highlight w:val="none"/>
              </w:rPr>
              <w:t xml:space="preserve">2018 </w:t>
            </w:r>
            <w:r>
              <w:rPr>
                <w:rFonts w:ascii="Times New Roman" w:eastAsia="宋体" w:cs="Times New Roman" w:hAnsi="Times New Roman" w:hint="eastAsia"/>
                <w:color w:val="auto"/>
                <w:sz w:val="24"/>
                <w:szCs w:val="24"/>
                <w:u w:val="single"/>
                <w:lang w:val="en-US" w:eastAsia="zh-CN"/>
                <w:highlight w:val="none"/>
              </w:rPr>
              <w:t>年版））进行设计，均符合规范要求。</w:t>
            </w:r>
          </w:p>
          <w:p>
            <w:pPr>
              <w:pStyle w:val="20"/>
              <w:keepNext w:val="0"/>
              <w:keepLines w:val="0"/>
              <w:suppressLineNumbers w:val="0"/>
              <w:spacing w:before="0" w:beforeAutospacing="0" w:afterAutospacing="0"/>
              <w:ind w:leftChars="0" w:left="0" w:right="0" w:firstLine="0"/>
              <w:rPr>
                <w:lang w:val="en-US" w:eastAsia="zh-CN"/>
              </w:rPr>
            </w:pPr>
          </w:p>
          <w:p>
            <w:pPr>
              <w:pStyle w:val="20"/>
              <w:keepNext w:val="0"/>
              <w:keepLines w:val="0"/>
              <w:suppressLineNumbers w:val="0"/>
              <w:spacing w:before="0" w:beforeAutospacing="0" w:afterAutospacing="0"/>
              <w:ind w:leftChars="0" w:left="0" w:right="0" w:firstLine="0"/>
              <w:rPr>
                <w:lang w:val="en-US" w:eastAsia="zh-CN"/>
              </w:rPr>
            </w:pPr>
          </w:p>
          <w:p>
            <w:pPr>
              <w:pStyle w:val="20"/>
              <w:keepNext w:val="0"/>
              <w:keepLines w:val="0"/>
              <w:suppressLineNumbers w:val="0"/>
              <w:spacing w:before="0" w:beforeAutospacing="0" w:afterAutospacing="0"/>
              <w:ind w:leftChars="0" w:left="0" w:right="0" w:firstLine="0"/>
              <w:rPr>
                <w:lang w:val="en-US" w:eastAsia="zh-CN"/>
              </w:rPr>
            </w:pPr>
          </w:p>
          <w:p>
            <w:pPr>
              <w:pStyle w:val="20"/>
              <w:keepNext w:val="0"/>
              <w:keepLines w:val="0"/>
              <w:suppressLineNumbers w:val="0"/>
              <w:spacing w:before="0" w:beforeAutospacing="0" w:afterAutospacing="0"/>
              <w:ind w:leftChars="0" w:left="0" w:right="0" w:firstLine="0"/>
              <w:rPr>
                <w:lang w:val="en-US" w:eastAsia="zh-CN"/>
              </w:rPr>
            </w:pPr>
          </w:p>
        </w:tc>
      </w:tr>
      <w:tr>
        <w:trPr>
          <w:trHeight w:val="8284"/>
        </w:trPr>
        <w:tc>
          <w:tcPr>
            <w:tcW w:w="731" w:type="dxa"/>
            <w:vAlign w:val="center"/>
          </w:tcPr>
          <w:p>
            <w:pPr>
              <w:pStyle w:val="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ascii="Times New Roman" w:hAnsi="Times New Roman"/>
                <w:sz w:val="21"/>
                <w:szCs w:val="21"/>
                <w:lang w:val="en-US" w:eastAsia="zh-CN"/>
              </w:rPr>
            </w:pPr>
            <w:r>
              <w:rPr>
                <w:rFonts w:ascii="Times New Roman" w:cs="Times New Roman" w:hAnsi="Times New Roman"/>
                <w:sz w:val="24"/>
                <w:szCs w:val="24"/>
                <w:lang w:val="en-US" w:eastAsia="zh-CN"/>
              </w:rPr>
              <w:t>工艺流程和产排污环节</w:t>
            </w:r>
          </w:p>
        </w:tc>
        <w:tc>
          <w:tcPr>
            <w:tcW w:w="9021" w:type="dxa"/>
          </w:tcPr>
          <w:p>
            <w:pPr>
              <w:keepNext w:val="0"/>
              <w:keepLines w:val="0"/>
              <w:suppressLineNumbers w:val="0"/>
              <w:spacing w:before="0" w:beforeAutospacing="0" w:after="0" w:afterAutospacing="0" w:line="440" w:lineRule="exact"/>
              <w:ind w:left="0" w:right="0"/>
              <w:jc w:val="left"/>
              <w:rPr>
                <w:rFonts w:ascii="宋体" w:hAnsi="宋体" w:hint="eastAsia"/>
                <w:b/>
                <w:bCs/>
                <w:sz w:val="24"/>
              </w:rPr>
            </w:pPr>
            <w:r>
              <w:rPr>
                <w:rFonts w:ascii="宋体" w:cs="Times New Roman" w:hAnsi="宋体" w:hint="eastAsia"/>
                <w:b/>
                <w:bCs/>
                <w:sz w:val="24"/>
                <w:szCs w:val="20"/>
              </w:rPr>
              <w:t>工艺流程简述（图示）：</w:t>
            </w:r>
          </w:p>
          <w:p>
            <w:pPr>
              <w:keepNext w:val="0"/>
              <w:keepLines w:val="0"/>
              <w:suppressLineNumbers w:val="0"/>
              <w:spacing w:before="0" w:beforeAutospacing="0" w:after="0" w:afterAutospacing="0" w:line="440" w:lineRule="exact"/>
              <w:ind w:left="0" w:right="0"/>
              <w:jc w:val="left"/>
              <w:rPr>
                <w:rFonts w:ascii="宋体" w:hAnsi="宋体" w:hint="eastAsia"/>
                <w:b/>
                <w:bCs/>
                <w:sz w:val="24"/>
                <w:lang w:val="en-US" w:eastAsia="zh-CN"/>
              </w:rPr>
            </w:pPr>
            <w:r>
              <w:rPr>
                <w:rFonts w:ascii="宋体" w:cs="Times New Roman" w:hAnsi="宋体" w:hint="eastAsia"/>
                <w:b/>
                <w:bCs/>
                <w:sz w:val="24"/>
                <w:szCs w:val="20"/>
                <w:lang w:val="en-US" w:eastAsia="zh-CN"/>
              </w:rPr>
              <w:t>1、本项目生产工艺见下图：</w:t>
            </w:r>
          </w:p>
          <w:p>
            <w:pPr>
              <w:keepNext w:val="0"/>
              <w:keepLines w:val="0"/>
              <w:suppressLineNumbers w:val="0"/>
              <w:spacing w:before="0" w:beforeAutospacing="0" w:after="0" w:afterAutospacing="0" w:line="440" w:lineRule="exact"/>
              <w:ind w:left="0" w:right="0"/>
              <w:jc w:val="center"/>
              <w:rPr>
                <w:rFonts w:ascii="宋体" w:hAnsi="宋体"/>
                <w:b/>
                <w:bCs/>
                <w:sz w:val="24"/>
                <w:lang w:val="en-US" w:eastAsia="zh-CN"/>
              </w:rPr>
            </w:pPr>
            <w:r>
              <w:rPr>
                <w:rFonts w:ascii="Times New Roman" w:cs="Times New Roman" w:hAnsi="Times New Roman"/>
                <w:b/>
                <w:bCs w:val="0"/>
                <w:color w:val="auto"/>
                <w:spacing w:val="-4"/>
                <w:sz w:val="24"/>
                <w:szCs w:val="24"/>
                <w:lang w:val="en-US" w:eastAsia="zh-CN"/>
              </w:rPr>
              <w:object>
                <v:shape id="_x0000_i1026" type="#_x0000_t75" filled="f" stroked="f" style="position:absolute;margin-left:4.4pt;margin-top:8.35pt;width:459.85pt;height:175.8pt;z-index:139;mso-position-horizontal:absolute;mso-position-vertical:absolute;" o:ole="">
                  <v:stroke color="#000000"/>
                  <v:imagedata r:id="rId10" o:title="image4"/>
                  <w10:wrap type="square"/>
                </v:shape>
                <o:OLEObject Type="Embed" ProgID="Visio.Drawing.15" ShapeID="_x0000_i1026" DrawAspect="Content" ObjectID="_1393063352" r:id="rId11"/>
              </w:object>
            </w:r>
            <w:r>
              <w:rPr>
                <w:rFonts w:ascii="Times New Roman" w:cs="Times New Roman" w:hAnsi="Times New Roman"/>
                <w:b/>
                <w:bCs/>
                <w:sz w:val="24"/>
                <w:szCs w:val="20"/>
                <w:lang w:val="en-US" w:eastAsia="zh-CN"/>
              </w:rPr>
              <w:t>图4</w:t>
            </w:r>
            <w:r>
              <w:rPr>
                <w:rFonts w:ascii="宋体" w:cs="Times New Roman" w:hAnsi="宋体" w:hint="eastAsia"/>
                <w:b/>
                <w:bCs/>
                <w:sz w:val="24"/>
                <w:szCs w:val="20"/>
                <w:lang w:val="en-US" w:eastAsia="zh-CN"/>
              </w:rPr>
              <w:t xml:space="preserve"> </w:t>
            </w:r>
            <w:r>
              <w:rPr>
                <w:rFonts w:ascii="宋体" w:cs="Times New Roman" w:hAnsi="宋体" w:hint="eastAsia"/>
                <w:b/>
                <w:bCs/>
                <w:sz w:val="24"/>
                <w:szCs w:val="20"/>
                <w:u w:val="single"/>
                <w:lang w:val="en-US" w:eastAsia="zh-CN"/>
              </w:rPr>
              <w:t>本项目生产工艺流程及产污环节图（柴油无油气回收）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Chars="200" w:left="480" w:right="0"/>
              <w:jc w:val="left"/>
              <w:textAlignment w:val="auto"/>
              <w:rPr>
                <w:rFonts w:hAnsi="宋体" w:hint="eastAsia"/>
                <w:b w:val="0"/>
                <w:bCs/>
                <w:color w:val="auto"/>
                <w:spacing w:val="-4"/>
                <w:sz w:val="24"/>
                <w:szCs w:val="24"/>
                <w:lang w:val="en-US" w:eastAsia="zh-CN"/>
              </w:rPr>
            </w:pPr>
            <w:r>
              <w:rPr>
                <w:rFonts w:ascii="Times New Roman" w:eastAsia="宋体" w:cs="Times New Roman" w:hAnsi="宋体" w:hint="eastAsia"/>
                <w:b w:val="0"/>
                <w:bCs/>
                <w:color w:val="auto"/>
                <w:spacing w:val="-4"/>
                <w:kern w:val="2"/>
                <w:sz w:val="24"/>
                <w:szCs w:val="24"/>
                <w:lang w:val="en-US" w:eastAsia="zh-CN" w:bidi="ar-SA"/>
              </w:rPr>
              <w:t>（1）</w:t>
            </w:r>
            <w:r>
              <w:rPr>
                <w:rFonts w:ascii="Times New Roman" w:cs="Times New Roman" w:hAnsi="宋体" w:hint="eastAsia"/>
                <w:b w:val="0"/>
                <w:bCs/>
                <w:color w:val="auto"/>
                <w:spacing w:val="-4"/>
                <w:sz w:val="24"/>
                <w:szCs w:val="24"/>
                <w:lang w:val="en-US" w:eastAsia="zh-CN"/>
              </w:rPr>
              <w:t>卸油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64"/>
              <w:jc w:val="both"/>
              <w:textAlignment w:val="auto"/>
              <w:rPr>
                <w:rFonts w:hAnsi="宋体"/>
                <w:b w:val="0"/>
                <w:bCs/>
                <w:color w:val="auto"/>
                <w:spacing w:val="-4"/>
                <w:sz w:val="24"/>
                <w:szCs w:val="24"/>
                <w:lang w:val="en-US" w:eastAsia="zh-CN"/>
              </w:rPr>
            </w:pPr>
            <w:r>
              <w:rPr>
                <w:rFonts w:ascii="Times New Roman" w:cs="Times New Roman" w:hAnsi="宋体" w:hint="eastAsia"/>
                <w:b w:val="0"/>
                <w:bCs/>
                <w:color w:val="auto"/>
                <w:spacing w:val="-4"/>
                <w:sz w:val="24"/>
                <w:szCs w:val="24"/>
                <w:lang w:val="en-US" w:eastAsia="zh-CN"/>
              </w:rPr>
              <w:t>柴油卸油：</w:t>
            </w:r>
            <w:r>
              <w:rPr>
                <w:rFonts w:ascii="Times New Roman" w:cs="Times New Roman" w:hAnsi="宋体"/>
                <w:b w:val="0"/>
                <w:bCs/>
                <w:color w:val="auto"/>
                <w:spacing w:val="-4"/>
                <w:sz w:val="24"/>
                <w:szCs w:val="24"/>
                <w:lang w:val="en-US" w:eastAsia="zh-CN"/>
              </w:rPr>
              <w:t>由专用油罐车将</w:t>
            </w:r>
            <w:r>
              <w:rPr>
                <w:rFonts w:ascii="Times New Roman" w:cs="Times New Roman" w:hAnsi="宋体" w:hint="eastAsia"/>
                <w:b w:val="0"/>
                <w:bCs/>
                <w:color w:val="auto"/>
                <w:spacing w:val="-4"/>
                <w:sz w:val="24"/>
                <w:szCs w:val="24"/>
                <w:lang w:val="en-US" w:eastAsia="zh-CN"/>
              </w:rPr>
              <w:t>油品</w:t>
            </w:r>
            <w:r>
              <w:rPr>
                <w:rFonts w:ascii="Times New Roman" w:cs="Times New Roman" w:hAnsi="宋体"/>
                <w:b w:val="0"/>
                <w:bCs/>
                <w:color w:val="auto"/>
                <w:spacing w:val="-4"/>
                <w:sz w:val="24"/>
                <w:szCs w:val="24"/>
                <w:lang w:val="en-US" w:eastAsia="zh-CN"/>
              </w:rPr>
              <w:t>运至站区，油罐车停稳熄火静止5min后，接好卸油连通软管（DN80），然后将油罐车与油罐的密闭卸油口快速接头连接好，将消防器材准备到位并确认接地良好后，检查油罐的存油量，以防止卸油时冒顶跑油。全部检查无误后，缓慢打开油罐车卸油阀门（在油品没有淹没进油管口前，油的流速控制在2.8m/s以下，以防止产生静电），将油卸入油罐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64"/>
              <w:jc w:val="both"/>
              <w:textAlignment w:val="auto"/>
              <w:rPr>
                <w:rFonts w:hAnsi="宋体"/>
                <w:b w:val="0"/>
                <w:bCs/>
                <w:color w:val="auto"/>
                <w:spacing w:val="-4"/>
                <w:sz w:val="24"/>
                <w:szCs w:val="24"/>
                <w:lang w:val="en-US" w:eastAsia="zh-CN"/>
              </w:rPr>
            </w:pPr>
            <w:r>
              <w:rPr>
                <w:rFonts w:ascii="Times New Roman" w:cs="Times New Roman" w:hAnsi="宋体"/>
                <w:b w:val="0"/>
                <w:bCs/>
                <w:color w:val="auto"/>
                <w:spacing w:val="-4"/>
                <w:sz w:val="24"/>
                <w:szCs w:val="24"/>
                <w:lang w:val="en-US" w:eastAsia="zh-CN"/>
              </w:rPr>
              <w:t>汽油卸油工艺采用平衡式密闭油气回收系统。汽油油罐车卸下一定数量的油品，就需吸入大致相等的气体补充到槽车内部，而加油站内的埋地油罐也因注入油品而向外排出相当数量的油气。通过安装一根气相管线，将油槽车与汽油储罐连通，卸车过程中，油槽车内部的汽油通过卸车管线进入储罐，储罐的油气经过气相管线输回油罐车内，完成密闭式卸油过程。回收到油罐车内的油气，可由油罐车带回油库后，再经油库安装的油气回收设施回收处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64"/>
              <w:jc w:val="both"/>
              <w:textAlignment w:val="auto"/>
              <w:rPr>
                <w:rFonts w:hAnsi="宋体"/>
                <w:b w:val="0"/>
                <w:bCs/>
                <w:color w:val="auto"/>
                <w:spacing w:val="-4"/>
                <w:sz w:val="24"/>
                <w:szCs w:val="24"/>
                <w:lang w:val="en-US" w:eastAsia="zh-CN"/>
              </w:rPr>
            </w:pPr>
            <w:r>
              <w:rPr>
                <w:rFonts w:ascii="Times New Roman" w:cs="Times New Roman" w:hAnsi="宋体" w:hint="eastAsia"/>
                <w:b w:val="0"/>
                <w:bCs/>
                <w:color w:val="auto"/>
                <w:spacing w:val="-4"/>
                <w:sz w:val="24"/>
                <w:szCs w:val="24"/>
                <w:lang w:val="en-US" w:eastAsia="zh-CN"/>
              </w:rPr>
              <w:t>（2）加油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64"/>
              <w:jc w:val="both"/>
              <w:textAlignment w:val="auto"/>
              <w:rPr>
                <w:rFonts w:hAnsi="宋体"/>
                <w:b w:val="0"/>
                <w:bCs/>
                <w:color w:val="auto"/>
                <w:spacing w:val="-4"/>
                <w:sz w:val="24"/>
                <w:szCs w:val="24"/>
                <w:lang w:val="en-US" w:eastAsia="zh-CN"/>
              </w:rPr>
            </w:pPr>
            <w:r>
              <w:rPr>
                <w:rFonts w:ascii="Times New Roman" w:cs="Times New Roman" w:hAnsi="宋体" w:hint="eastAsia"/>
                <w:b w:val="0"/>
                <w:bCs/>
                <w:color w:val="auto"/>
                <w:spacing w:val="-4"/>
                <w:sz w:val="24"/>
                <w:szCs w:val="24"/>
                <w:lang w:val="en-US" w:eastAsia="zh-CN"/>
              </w:rPr>
              <w:t>汽油加油采用自吸式加油工艺及真空辅助式油气回收系统，将油品从油罐抽出，经过加油机的油气分离器、计量器，再经加油枪加到受油容器中。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64"/>
              <w:jc w:val="both"/>
              <w:textAlignment w:val="auto"/>
              <w:rPr>
                <w:rFonts w:hAnsi="宋体" w:hint="eastAsia"/>
                <w:b w:val="0"/>
                <w:bCs/>
                <w:color w:val="auto"/>
                <w:spacing w:val="-4"/>
                <w:sz w:val="24"/>
                <w:szCs w:val="24"/>
                <w:lang w:val="en-US" w:eastAsia="zh-CN"/>
              </w:rPr>
            </w:pPr>
            <w:r>
              <w:rPr>
                <w:rFonts w:ascii="Times New Roman" w:cs="Times New Roman" w:hAnsi="宋体" w:hint="eastAsia"/>
                <w:b w:val="0"/>
                <w:bCs/>
                <w:color w:val="auto"/>
                <w:spacing w:val="-4"/>
                <w:sz w:val="24"/>
                <w:szCs w:val="24"/>
                <w:lang w:val="en-US" w:eastAsia="zh-CN"/>
              </w:rPr>
              <w:t>汽油加油油气回收：汽车加油过程中，将汽车油箱内散溢的油气通过油气回收专用加油枪收集，利用动力设备经油气回收管线输送至汽油储罐，实现加油与油气等体积置换。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64"/>
              <w:jc w:val="both"/>
              <w:textAlignment w:val="auto"/>
              <w:rPr>
                <w:rFonts w:hAnsi="宋体" w:hint="eastAsia"/>
                <w:b w:val="0"/>
                <w:bCs/>
                <w:color w:val="auto"/>
                <w:spacing w:val="-4"/>
                <w:sz w:val="24"/>
                <w:szCs w:val="24"/>
                <w:lang w:val="en-US" w:eastAsia="zh-CN"/>
              </w:rPr>
            </w:pPr>
            <w:r>
              <w:rPr>
                <w:rFonts w:ascii="Times New Roman" w:cs="Times New Roman" w:hAnsi="宋体" w:hint="eastAsia"/>
                <w:b w:val="0"/>
                <w:bCs/>
                <w:color w:val="auto"/>
                <w:spacing w:val="-4"/>
                <w:sz w:val="24"/>
                <w:szCs w:val="24"/>
                <w:lang w:val="en-US" w:eastAsia="zh-CN"/>
              </w:rPr>
              <w:t>柴油加油采用自吸式加油工艺，自封式加油枪最大流量不超过50L/min。受油车辆停好熄火后，打开油箱盖，将油枪插入油箱内加油，加油完毕后尽快将油枪放回托架内。</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440" w:lineRule="exact"/>
              <w:ind w:leftChars="200" w:left="480" w:right="0" w:firstLine="0"/>
              <w:jc w:val="both"/>
              <w:textAlignment w:val="auto"/>
              <w:rPr>
                <w:rFonts w:cs="Times New Roman" w:hAnsi="宋体" w:hint="eastAsia"/>
                <w:b w:val="0"/>
                <w:bCs/>
                <w:color w:val="auto"/>
                <w:spacing w:val="-4"/>
                <w:kern w:val="2"/>
                <w:sz w:val="24"/>
                <w:szCs w:val="24"/>
                <w:lang w:val="en-US" w:eastAsia="zh-CN" w:bidi="ar-SA"/>
              </w:rPr>
            </w:pPr>
            <w:r>
              <w:rPr>
                <w:rFonts w:ascii="Times New Roman" w:cs="Times New Roman" w:hAnsi="宋体" w:hint="eastAsia"/>
                <w:b w:val="0"/>
                <w:bCs/>
                <w:color w:val="auto"/>
                <w:spacing w:val="-4"/>
                <w:kern w:val="2"/>
                <w:sz w:val="24"/>
                <w:szCs w:val="24"/>
                <w:lang w:val="en-US" w:eastAsia="zh-CN" w:bidi="ar-SA"/>
              </w:rPr>
              <w:t>储油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64"/>
              <w:jc w:val="both"/>
              <w:textAlignment w:val="auto"/>
              <w:rPr>
                <w:rFonts w:hAnsi="宋体"/>
                <w:b w:val="0"/>
                <w:bCs/>
                <w:color w:val="auto"/>
                <w:spacing w:val="-4"/>
                <w:sz w:val="24"/>
                <w:szCs w:val="24"/>
                <w:lang w:val="en-US" w:eastAsia="zh-CN"/>
              </w:rPr>
            </w:pPr>
            <w:r>
              <w:rPr>
                <w:rFonts w:ascii="Times New Roman" w:cs="Times New Roman" w:hAnsi="宋体"/>
                <w:b w:val="0"/>
                <w:bCs/>
                <w:color w:val="auto"/>
                <w:spacing w:val="-4"/>
                <w:sz w:val="24"/>
                <w:szCs w:val="24"/>
                <w:lang w:val="en-US" w:eastAsia="zh-CN"/>
              </w:rPr>
              <w:t>储油罐罐体设计内压不低于 0.08MPa，油罐放置于承重罐池内，分组安装防止空罐漂浮的紧固装置。罐顶低于混凝土路面不小于 0.9m，油罐周围回填沙或细土（回填料应符合产品说明书的要求），其厚度不小于 0.3m，所有工艺管线均汇集于油罐的人孔盖上。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Chars="200" w:left="480" w:right="0" w:firstLine="0"/>
              <w:jc w:val="both"/>
              <w:textAlignment w:val="auto"/>
              <w:rPr>
                <w:rFonts w:hAnsi="宋体"/>
                <w:b w:val="0"/>
                <w:bCs/>
                <w:color w:val="auto"/>
                <w:spacing w:val="-4"/>
                <w:sz w:val="24"/>
                <w:szCs w:val="24"/>
                <w:lang w:val="en-US" w:eastAsia="zh-CN"/>
              </w:rPr>
            </w:pPr>
            <w:r>
              <w:rPr>
                <w:rFonts w:ascii="Times New Roman" w:eastAsia="宋体" w:cs="Times New Roman" w:hAnsi="宋体"/>
                <w:b w:val="0"/>
                <w:bCs/>
                <w:color w:val="auto"/>
                <w:spacing w:val="-4"/>
                <w:kern w:val="2"/>
                <w:sz w:val="24"/>
                <w:szCs w:val="24"/>
                <w:lang w:val="en-US" w:eastAsia="zh-CN" w:bidi="ar-SA"/>
              </w:rPr>
              <w:t>（</w:t>
            </w:r>
            <w:r>
              <w:rPr>
                <w:rFonts w:ascii="Times New Roman" w:cs="Times New Roman" w:hAnsi="宋体" w:hint="eastAsia"/>
                <w:b w:val="0"/>
                <w:bCs/>
                <w:color w:val="auto"/>
                <w:spacing w:val="-4"/>
                <w:kern w:val="2"/>
                <w:sz w:val="24"/>
                <w:szCs w:val="24"/>
                <w:lang w:val="en-US" w:eastAsia="zh-CN" w:bidi="ar-SA"/>
              </w:rPr>
              <w:t>4</w:t>
            </w:r>
            <w:r>
              <w:rPr>
                <w:rFonts w:ascii="Times New Roman" w:eastAsia="宋体" w:cs="Times New Roman" w:hAnsi="宋体"/>
                <w:b w:val="0"/>
                <w:bCs/>
                <w:color w:val="auto"/>
                <w:spacing w:val="-4"/>
                <w:kern w:val="2"/>
                <w:sz w:val="24"/>
                <w:szCs w:val="24"/>
                <w:lang w:val="en-US" w:eastAsia="zh-CN" w:bidi="ar-SA"/>
              </w:rPr>
              <w:t>）</w:t>
            </w:r>
            <w:r>
              <w:rPr>
                <w:rFonts w:ascii="Times New Roman" w:cs="Times New Roman" w:hAnsi="宋体"/>
                <w:b w:val="0"/>
                <w:bCs/>
                <w:color w:val="auto"/>
                <w:spacing w:val="-4"/>
                <w:sz w:val="24"/>
                <w:szCs w:val="24"/>
                <w:lang w:val="en-US" w:eastAsia="zh-CN"/>
              </w:rPr>
              <w:t xml:space="preserve">汽油油气回收工艺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64"/>
              <w:jc w:val="both"/>
              <w:textAlignment w:val="auto"/>
              <w:outlineLvl w:val="9"/>
              <w:rPr>
                <w:rFonts w:hAnsi="宋体"/>
                <w:b w:val="0"/>
                <w:bCs/>
                <w:color w:val="auto"/>
                <w:spacing w:val="-4"/>
                <w:sz w:val="24"/>
                <w:szCs w:val="24"/>
                <w:u w:val="single"/>
                <w:lang w:val="en-US" w:eastAsia="zh-CN"/>
              </w:rPr>
            </w:pPr>
            <w:r>
              <w:rPr>
                <w:rFonts w:ascii="Times New Roman" w:cs="Times New Roman" w:hAnsi="宋体"/>
                <w:b w:val="0"/>
                <w:bCs/>
                <w:color w:val="auto"/>
                <w:spacing w:val="-4"/>
                <w:sz w:val="24"/>
                <w:szCs w:val="24"/>
                <w:u w:val="single"/>
                <w:lang w:val="en-US" w:eastAsia="zh-CN"/>
              </w:rPr>
              <w:t>本项目油气回收系统主要针对汽油，柴油不易挥发，不设置油气回收。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64"/>
              <w:jc w:val="both"/>
              <w:textAlignment w:val="auto"/>
              <w:outlineLvl w:val="9"/>
            </w:pPr>
            <w:r>
              <w:rPr>
                <w:rFonts w:ascii="Times New Roman" w:cs="Times New Roman" w:hAnsi="宋体"/>
                <w:b w:val="0"/>
                <w:bCs/>
                <w:color w:val="auto"/>
                <w:spacing w:val="-4"/>
                <w:sz w:val="24"/>
                <w:szCs w:val="24"/>
                <w:u w:val="single"/>
                <w:lang w:val="en-US" w:eastAsia="zh-CN"/>
              </w:rPr>
              <w:t>加油站汽油油气回收系统由卸油油气回收系统（一次油气回收）、加油油气回收系统（二次油气回收）</w:t>
            </w:r>
            <w:r>
              <w:rPr>
                <w:rFonts w:ascii="Times New Roman" w:cs="Times New Roman" w:hAnsi="宋体" w:hint="eastAsia"/>
                <w:b w:val="0"/>
                <w:bCs/>
                <w:color w:val="auto"/>
                <w:spacing w:val="-4"/>
                <w:sz w:val="24"/>
                <w:szCs w:val="24"/>
                <w:u w:val="single"/>
                <w:lang w:val="en-US" w:eastAsia="zh-CN"/>
              </w:rPr>
              <w:t>、</w:t>
            </w:r>
            <w:r>
              <w:rPr>
                <w:rFonts w:ascii="Times New Roman" w:cs="Times New Roman" w:hAnsi="宋体"/>
                <w:b w:val="0"/>
                <w:bCs/>
                <w:color w:val="auto"/>
                <w:spacing w:val="-4"/>
                <w:sz w:val="24"/>
                <w:szCs w:val="24"/>
                <w:u w:val="single"/>
                <w:lang w:val="en-US" w:eastAsia="zh-CN"/>
              </w:rPr>
              <w:t>油气排放处置装置（三次油气回收</w:t>
            </w:r>
            <w:r>
              <w:rPr>
                <w:rFonts w:ascii="Times New Roman" w:cs="Times New Roman" w:hAnsi="Times New Roman" w:hint="eastAsia"/>
                <w:b w:val="0"/>
                <w:bCs/>
                <w:color w:val="auto"/>
                <w:spacing w:val="-4"/>
                <w:sz w:val="24"/>
                <w:szCs w:val="24"/>
                <w:u w:val="single"/>
                <w:lang w:val="en-US" w:eastAsia="zh-CN"/>
              </w:rPr>
              <w:t>（冷凝，4m高排气筒排放）</w:t>
            </w:r>
            <w:r>
              <w:rPr>
                <w:rFonts w:ascii="Times New Roman" w:cs="Times New Roman" w:hAnsi="宋体"/>
                <w:b w:val="0"/>
                <w:bCs/>
                <w:color w:val="auto"/>
                <w:spacing w:val="-4"/>
                <w:sz w:val="24"/>
                <w:szCs w:val="24"/>
                <w:u w:val="single"/>
                <w:lang w:val="en-US" w:eastAsia="zh-CN"/>
              </w:rPr>
              <w:t>）和在线监测系统组成。</w:t>
            </w:r>
            <w:r>
              <w:rPr>
                <w:rFonts w:ascii="Times New Roman" w:cs="Times New Roman" w:hAnsi="宋体"/>
                <w:b w:val="0"/>
                <w:bCs/>
                <w:color w:val="auto"/>
                <w:spacing w:val="-4"/>
                <w:sz w:val="24"/>
                <w:szCs w:val="24"/>
                <w:lang w:val="en-US" w:eastAsia="zh-CN"/>
              </w:rPr>
              <w:t>卸油油气回收系统是指将汽油罐车卸油时汽油罐内的油气回收至汽油罐车的密闭油气回收系统；加油油气回收系统是指将给汽油车辆加油时汽车油箱内的油气回收至埋地汽油罐的密闭油气回收系统。</w:t>
            </w:r>
            <w:bookmarkStart w:id="2" w:name="_Toc13945"/>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Chars="200" w:firstLine="480"/>
              <w:jc w:val="both"/>
              <w:textAlignment w:val="auto"/>
              <w:outlineLvl w:val="9"/>
              <w:rPr>
                <w:rFonts w:ascii="宋体" w:hAnsi="宋体"/>
                <w:color w:val="000000"/>
                <w:sz w:val="24"/>
              </w:rPr>
            </w:pPr>
            <w:r>
              <w:rPr>
                <w:rFonts w:ascii="Times New Roman" w:cs="Times New Roman" w:hAnsi="Times New Roman" w:hint="eastAsia"/>
                <w:color w:val="000000"/>
                <w:sz w:val="24"/>
                <w:szCs w:val="20"/>
                <w:lang w:val="en-US" w:eastAsia="zh-CN"/>
              </w:rPr>
              <w:t>2、</w:t>
            </w:r>
            <w:r>
              <w:rPr>
                <w:rFonts w:ascii="宋体" w:cs="Times New Roman" w:hAnsi="宋体"/>
                <w:color w:val="000000"/>
                <w:sz w:val="24"/>
                <w:szCs w:val="20"/>
              </w:rPr>
              <w:t>油气回收工艺</w:t>
            </w:r>
            <w:bookmarkEnd w:id="2"/>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jc w:val="both"/>
              <w:textAlignment w:val="auto"/>
              <w:outlineLvl w:val="9"/>
              <w:rPr>
                <w:color w:val="000000"/>
                <w:sz w:val="24"/>
              </w:rPr>
            </w:pPr>
            <w:r>
              <w:rPr>
                <w:rFonts w:ascii="Times New Roman" w:cs="Times New Roman" w:hAnsi="Times New Roman"/>
                <w:color w:val="000000"/>
                <w:sz w:val="24"/>
                <w:szCs w:val="20"/>
              </w:rPr>
              <w:t>本项目</w:t>
            </w:r>
            <w:r>
              <w:rPr>
                <w:rFonts w:ascii="Times New Roman" w:cs="Times New Roman" w:hAnsi="Times New Roman" w:hint="eastAsia"/>
                <w:color w:val="000000"/>
                <w:sz w:val="24"/>
                <w:szCs w:val="20"/>
              </w:rPr>
              <w:t>加油站油气回收系统</w:t>
            </w:r>
            <w:r>
              <w:rPr>
                <w:rFonts w:ascii="Times New Roman" w:cs="Times New Roman" w:hAnsi="Times New Roman"/>
                <w:color w:val="000000"/>
                <w:sz w:val="24"/>
                <w:szCs w:val="20"/>
              </w:rPr>
              <w:t>由卸油油气回收系统（即一次油气回收系统）</w:t>
            </w:r>
            <w:r>
              <w:rPr>
                <w:rFonts w:ascii="Times New Roman" w:cs="Times New Roman" w:hAnsi="Times New Roman" w:hint="eastAsia"/>
                <w:color w:val="000000"/>
                <w:sz w:val="24"/>
                <w:szCs w:val="20"/>
              </w:rPr>
              <w:t>、</w:t>
            </w:r>
            <w:r>
              <w:rPr>
                <w:rFonts w:ascii="Times New Roman" w:cs="Times New Roman" w:hAnsi="Times New Roman"/>
                <w:color w:val="000000"/>
                <w:sz w:val="24"/>
                <w:szCs w:val="20"/>
              </w:rPr>
              <w:t>加油油气回收系统（二次油气回收系统）</w:t>
            </w:r>
            <w:r>
              <w:rPr>
                <w:rFonts w:ascii="Times New Roman" w:cs="Times New Roman" w:hAnsi="Times New Roman" w:hint="eastAsia"/>
                <w:color w:val="000000"/>
                <w:sz w:val="24"/>
                <w:szCs w:val="20"/>
              </w:rPr>
              <w:t>、</w:t>
            </w:r>
            <w:r>
              <w:rPr>
                <w:rFonts w:ascii="Times New Roman" w:cs="宋体" w:hAnsi="Times New Roman" w:hint="eastAsia"/>
                <w:bCs/>
                <w:color w:val="000000"/>
                <w:kern w:val="0"/>
                <w:sz w:val="24"/>
                <w:szCs w:val="20"/>
              </w:rPr>
              <w:t>储油罐油气回收系统（三次油气回收系统）组成</w:t>
            </w:r>
            <w:r>
              <w:rPr>
                <w:rFonts w:ascii="Times New Roman" w:cs="Times New Roman" w:hAnsi="Times New Roman"/>
                <w:color w:val="000000"/>
                <w:sz w:val="24"/>
                <w:szCs w:val="20"/>
              </w:rPr>
              <w:t>，油气回收系统回收率</w:t>
            </w:r>
            <w:r>
              <w:rPr>
                <w:rFonts w:ascii="Times New Roman" w:cs="Times New Roman" w:hAnsi="Times New Roman" w:hint="eastAsia"/>
                <w:color w:val="000000"/>
                <w:sz w:val="24"/>
                <w:szCs w:val="20"/>
              </w:rPr>
              <w:t>均可达到</w:t>
            </w:r>
            <w:r>
              <w:rPr>
                <w:rFonts w:ascii="Times New Roman" w:cs="Times New Roman" w:hAnsi="Times New Roman"/>
                <w:color w:val="000000"/>
                <w:sz w:val="24"/>
                <w:szCs w:val="20"/>
              </w:rPr>
              <w:t>95%</w:t>
            </w:r>
            <w:r>
              <w:rPr>
                <w:rFonts w:ascii="Times New Roman" w:cs="Times New Roman" w:hAnsi="Times New Roman" w:hint="eastAsia"/>
                <w:color w:val="000000"/>
                <w:sz w:val="24"/>
                <w:szCs w:val="20"/>
              </w:rPr>
              <w:t>以上</w:t>
            </w:r>
            <w:r>
              <w:rPr>
                <w:rFonts w:ascii="Times New Roman" w:cs="Times New Roman" w:hAnsi="Times New Roman"/>
                <w:color w:val="000000"/>
                <w:sz w:val="24"/>
                <w:szCs w:val="20"/>
              </w:rPr>
              <w:t>。</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jc w:val="both"/>
              <w:textAlignment w:val="auto"/>
              <w:outlineLvl w:val="9"/>
              <w:rPr>
                <w:color w:val="000000"/>
                <w:sz w:val="24"/>
              </w:rPr>
            </w:pPr>
            <w:r>
              <w:rPr>
                <w:rFonts w:ascii="Times New Roman" w:cs="Times New Roman" w:hAnsi="Times New Roman" w:hint="eastAsia"/>
                <w:color w:val="000000"/>
                <w:sz w:val="24"/>
                <w:szCs w:val="20"/>
              </w:rPr>
              <w:t>①</w:t>
            </w:r>
            <w:r>
              <w:rPr>
                <w:rFonts w:ascii="Times New Roman" w:cs="Times New Roman" w:hAnsi="Times New Roman"/>
                <w:color w:val="000000"/>
                <w:sz w:val="24"/>
                <w:szCs w:val="20"/>
              </w:rPr>
              <w:t>卸油油气回收系统</w:t>
            </w:r>
            <w:r>
              <w:rPr>
                <w:rFonts w:ascii="Times New Roman" w:cs="Times New Roman" w:hAnsi="Times New Roman" w:hint="eastAsia"/>
                <w:color w:val="000000"/>
                <w:sz w:val="24"/>
                <w:szCs w:val="20"/>
              </w:rPr>
              <w:t>（</w:t>
            </w:r>
            <w:r>
              <w:rPr>
                <w:rFonts w:ascii="Times New Roman" w:cs="Times New Roman" w:hAnsi="Times New Roman"/>
                <w:color w:val="000000"/>
                <w:sz w:val="24"/>
                <w:szCs w:val="20"/>
              </w:rPr>
              <w:t>即一次油气回收系统</w:t>
            </w:r>
            <w:r>
              <w:rPr>
                <w:rFonts w:ascii="Times New Roman" w:cs="Times New Roman" w:hAnsi="Times New Roman" w:hint="eastAsia"/>
                <w:color w:val="000000"/>
                <w:sz w:val="24"/>
                <w:szCs w:val="20"/>
              </w:rPr>
              <w:t>）</w:t>
            </w:r>
            <w:r>
              <w:rPr>
                <w:rFonts w:ascii="Times New Roman" w:cs="Times New Roman" w:hAnsi="Times New Roman"/>
                <w:color w:val="000000"/>
                <w:sz w:val="24"/>
                <w:szCs w:val="20"/>
              </w:rPr>
              <w:t>：</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jc w:val="both"/>
              <w:textAlignment w:val="auto"/>
              <w:outlineLvl w:val="9"/>
              <w:rPr>
                <w:color w:val="000000"/>
                <w:sz w:val="24"/>
              </w:rPr>
            </w:pPr>
            <w:r>
              <w:rPr>
                <w:rFonts w:ascii="Times New Roman" w:cs="Times New Roman" w:hAnsi="Times New Roman"/>
                <w:color w:val="000000"/>
                <w:sz w:val="24"/>
                <w:szCs w:val="20"/>
              </w:rPr>
              <w:t>油罐大呼吸损失是指油罐卸油时所呼出的油蒸气而造成的油品蒸发损失。卸油时，随着油罐进油油面逐渐升高，气体空间逐渐减小，罐内压力增大，当压力超过呼吸阀控制压力时，一定浓度的油蒸气开始从呼吸阀呼出，直到油罐停止收油。所呼出的油蒸气造成的油品蒸发损失叫储罐大呼吸损失。为降低储罐大呼吸损失，加油站设置了卸油油气回收系统（又称一次油气回收系统）。</w:t>
            </w:r>
            <w:r>
              <w:rPr>
                <w:rFonts w:ascii="Times New Roman" w:cs="Times New Roman" w:hAnsi="Times New Roman"/>
                <w:color w:val="000000"/>
                <w:sz w:val="24"/>
                <w:szCs w:val="20"/>
                <w:u w:val="single"/>
              </w:rPr>
              <w:t>该阶段油气回收实现过程：在油罐车卸油过程中，储油车内压力减小，地下储罐内压力增加，地下储罐与油罐车内的压力差，使卸油过程中挥发的油气通过管线回到油罐车内，达到油气收集的目的。待卸油结束，地下储罐与油罐车内压力达到平衡状态，一次油气回收阶段结束</w:t>
            </w:r>
            <w:r>
              <w:rPr>
                <w:rFonts w:ascii="Times New Roman" w:cs="Times New Roman" w:hAnsi="Times New Roman" w:hint="eastAsia"/>
                <w:color w:val="000000"/>
                <w:sz w:val="24"/>
                <w:szCs w:val="20"/>
                <w:u w:val="single"/>
              </w:rPr>
              <w:t>，本项目采用的</w:t>
            </w:r>
            <w:r>
              <w:rPr>
                <w:rFonts w:ascii="Times New Roman" w:cs="Times New Roman" w:hAnsi="Times New Roman"/>
                <w:color w:val="000000"/>
                <w:sz w:val="24"/>
                <w:szCs w:val="20"/>
                <w:u w:val="single"/>
              </w:rPr>
              <w:t>平衡浸没式回收，油气回收效率可达9</w:t>
            </w:r>
            <w:r>
              <w:rPr>
                <w:rFonts w:ascii="Times New Roman" w:cs="Times New Roman" w:hAnsi="Times New Roman" w:hint="eastAsia"/>
                <w:color w:val="000000"/>
                <w:sz w:val="24"/>
                <w:szCs w:val="20"/>
                <w:u w:val="single"/>
                <w:lang w:val="en-US" w:eastAsia="zh-CN"/>
              </w:rPr>
              <w:t>7</w:t>
            </w:r>
            <w:r>
              <w:rPr>
                <w:rFonts w:ascii="Times New Roman" w:cs="Times New Roman" w:hAnsi="Times New Roman"/>
                <w:color w:val="000000"/>
                <w:sz w:val="24"/>
                <w:szCs w:val="20"/>
                <w:u w:val="single"/>
              </w:rPr>
              <w:t>%以上。</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jc w:val="both"/>
              <w:textAlignment w:val="auto"/>
              <w:outlineLvl w:val="9"/>
              <w:rPr>
                <w:bCs/>
                <w:color w:val="000000"/>
                <w:sz w:val="24"/>
              </w:rPr>
            </w:pPr>
            <w:r>
              <w:rPr>
                <w:rFonts w:ascii="Times New Roman" w:cs="Times New Roman" w:hAnsi="Times New Roman"/>
                <w:bCs/>
                <w:color w:val="000000"/>
                <w:sz w:val="24"/>
                <w:szCs w:val="20"/>
              </w:rPr>
              <w:t>卸油油气回收系统（又称一次油气回收系统）工艺流程图如下：</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outlineLvl w:val="9"/>
              <w:rPr>
                <w:color w:val="000000"/>
                <w:kern w:val="2"/>
                <w:sz w:val="21"/>
                <w:szCs w:val="21"/>
              </w:rPr>
            </w:pPr>
            <w:r>
              <w:rPr>
                <w:rFonts w:ascii="Times New Roman" w:cs="Times New Roman" w:hAnsi="Times New Roman"/>
                <w:b/>
                <w:bCs/>
                <w:color w:val="000000"/>
                <w:sz w:val="24"/>
                <w:szCs w:val="21"/>
              </w:rPr>
              <w:drawing>
                <wp:anchor distT="0" distB="0" distL="114300" distR="114300" simplePos="0" relativeHeight="143" behindDoc="0" locked="0" layoutInCell="1" hidden="0" allowOverlap="1">
                  <wp:simplePos x="0" y="0"/>
                  <wp:positionH relativeFrom="column">
                    <wp:posOffset>18415</wp:posOffset>
                  </wp:positionH>
                  <wp:positionV relativeFrom="paragraph">
                    <wp:posOffset>172720</wp:posOffset>
                  </wp:positionV>
                  <wp:extent cx="5032375" cy="1914525"/>
                  <wp:effectExtent l="-9525" t="-9525" r="15875" b="9525"/>
                  <wp:wrapTopAndBottom/>
                  <wp:docPr id="2060" name="图片 10" descr="QQ截图20140421092844"/>
                  <wp:cNvGraphicFramePr>
                    <a:graphicFrameLocks noChangeAspect="1"/>
                  </wp:cNvGraphicFramePr>
                  <a:graphic>
                    <a:graphicData uri="http://schemas.openxmlformats.org/drawingml/2006/picture">
                      <pic:pic>
                        <pic:nvPicPr>
                          <pic:cNvPr id="50" name="图片 10 50"/>
                          <pic:cNvPicPr/>
                        </pic:nvPicPr>
                        <pic:blipFill>
                          <a:blip r:embed="rId12"/>
                          <a:stretch>
                            <a:fillRect/>
                          </a:stretch>
                        </pic:blipFill>
                        <pic:spPr>
                          <a:xfrm rot="0">
                            <a:off x="0" y="0"/>
                            <a:ext cx="5032375" cy="1914525"/>
                          </a:xfrm>
                          <a:prstGeom prst="rect"/>
                          <a:noFill/>
                          <a:ln cmpd="sng" cap="flat">
                            <a:noFill/>
                            <a:prstDash val="solid"/>
                            <a:round/>
                          </a:ln>
                        </pic:spPr>
                      </pic:pic>
                    </a:graphicData>
                  </a:graphic>
                </wp:anchor>
              </w:drawing>
            </w:r>
            <w:bookmarkStart w:id="3" w:name="_Toc28509"/>
            <w:r>
              <w:rPr>
                <w:rFonts w:ascii="Times New Roman" w:cs="Times New Roman" w:hAnsi="Times New Roman"/>
                <w:b/>
                <w:bCs/>
                <w:color w:val="000000"/>
                <w:kern w:val="2"/>
                <w:sz w:val="21"/>
                <w:szCs w:val="21"/>
              </w:rPr>
              <w:t>图</w:t>
            </w:r>
            <w:r>
              <w:rPr>
                <w:rFonts w:ascii="Times New Roman" w:cs="Times New Roman" w:hAnsi="Times New Roman" w:hint="eastAsia"/>
                <w:b/>
                <w:bCs/>
                <w:color w:val="000000"/>
                <w:kern w:val="2"/>
                <w:sz w:val="21"/>
                <w:szCs w:val="21"/>
                <w:lang w:val="en-US" w:eastAsia="zh-CN"/>
              </w:rPr>
              <w:t>5</w:t>
            </w:r>
            <w:r>
              <w:rPr>
                <w:rFonts w:ascii="Times New Roman" w:cs="Times New Roman" w:hAnsi="Times New Roman"/>
                <w:b/>
                <w:bCs/>
                <w:color w:val="000000"/>
                <w:kern w:val="2"/>
                <w:sz w:val="21"/>
                <w:szCs w:val="21"/>
              </w:rPr>
              <w:t xml:space="preserve">   卸油油气回收工艺流程图</w:t>
            </w:r>
            <w:r>
              <w:rPr>
                <w:rFonts w:ascii="Times New Roman" w:cs="Times New Roman" w:hAnsi="Times New Roman" w:hint="eastAsia"/>
                <w:b/>
                <w:bCs/>
                <w:color w:val="000000"/>
                <w:kern w:val="2"/>
                <w:sz w:val="21"/>
                <w:szCs w:val="21"/>
              </w:rPr>
              <w:t>（一次油气回收）</w:t>
            </w:r>
            <w:bookmarkEnd w:id="3"/>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jc w:val="both"/>
              <w:textAlignment w:val="auto"/>
              <w:rPr>
                <w:color w:val="000000"/>
                <w:sz w:val="24"/>
              </w:rPr>
            </w:pPr>
            <w:r>
              <w:rPr>
                <w:rFonts w:ascii="Times New Roman" w:cs="Times New Roman" w:hAnsi="Times New Roman" w:hint="eastAsia"/>
                <w:color w:val="000000"/>
                <w:sz w:val="24"/>
                <w:szCs w:val="20"/>
              </w:rPr>
              <w:t>②</w:t>
            </w:r>
            <w:r>
              <w:rPr>
                <w:rFonts w:ascii="Times New Roman" w:cs="Times New Roman" w:hAnsi="Times New Roman"/>
                <w:color w:val="000000"/>
                <w:sz w:val="24"/>
                <w:szCs w:val="20"/>
              </w:rPr>
              <w:t>加油油气回收系统</w:t>
            </w:r>
            <w:r>
              <w:rPr>
                <w:rFonts w:ascii="Times New Roman" w:cs="Times New Roman" w:hAnsi="Times New Roman" w:hint="eastAsia"/>
                <w:color w:val="000000"/>
                <w:sz w:val="24"/>
                <w:szCs w:val="20"/>
              </w:rPr>
              <w:t>（</w:t>
            </w:r>
            <w:r>
              <w:rPr>
                <w:rFonts w:ascii="Times New Roman" w:cs="Times New Roman" w:hAnsi="Times New Roman"/>
                <w:color w:val="000000"/>
                <w:sz w:val="24"/>
                <w:szCs w:val="20"/>
              </w:rPr>
              <w:t>又称二次油气回收系统）</w:t>
            </w:r>
            <w:r>
              <w:rPr>
                <w:rFonts w:ascii="Times New Roman" w:cs="Times New Roman" w:hAnsi="Times New Roman" w:hint="eastAsia"/>
                <w:color w:val="000000"/>
                <w:sz w:val="24"/>
                <w:szCs w:val="20"/>
              </w:rPr>
              <w:t>）</w:t>
            </w:r>
            <w:r>
              <w:rPr>
                <w:rFonts w:ascii="Times New Roman" w:cs="Times New Roman" w:hAnsi="Times New Roman"/>
                <w:color w:val="000000"/>
                <w:sz w:val="24"/>
                <w:szCs w:val="20"/>
              </w:rPr>
              <w:t>：</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jc w:val="both"/>
              <w:textAlignment w:val="auto"/>
              <w:rPr>
                <w:color w:val="000000"/>
                <w:sz w:val="24"/>
                <w:u w:val="single"/>
              </w:rPr>
            </w:pPr>
            <w:r>
              <w:rPr>
                <w:rFonts w:ascii="Times New Roman" w:cs="Times New Roman" w:hAnsi="Times New Roman"/>
                <w:color w:val="000000"/>
                <w:sz w:val="24"/>
                <w:szCs w:val="20"/>
              </w:rPr>
              <w:t>在对车辆加油时，油品进入汽车油箱，油箱内的油气被油品置换排入大气。为减少加油时加油车辆油箱内油气外排，加油站设置了加油油气回收系统（又称二次油气回收系统）。二次油气回收阶段是采用真空辅助式油气回收设备，将在加油过程中挥发的油气通过地下油气回收管线收集到地下储罐内的油气回收过程。</w:t>
            </w:r>
            <w:r>
              <w:rPr>
                <w:rFonts w:ascii="Times New Roman" w:cs="Times New Roman" w:hAnsi="Times New Roman"/>
                <w:color w:val="000000"/>
                <w:sz w:val="24"/>
                <w:szCs w:val="20"/>
                <w:u w:val="single"/>
              </w:rPr>
              <w:t>该阶段油气回收实现过程：在加油站为汽车加油过程中，通过真空泵产生一定真空度，经过加油枪、油气回收管、真空泵等油气回收设备，按照气液比控制在1.0至1.2之间的要求，将加油过程中挥发的油气回收到油罐内。加油机采用了加油油气回收系统后，油气回收效率可达95%以上。</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jc w:val="both"/>
              <w:textAlignment w:val="auto"/>
              <w:rPr>
                <w:color w:val="000000"/>
                <w:sz w:val="24"/>
              </w:rPr>
            </w:pPr>
            <w:r>
              <w:rPr>
                <w:rFonts w:ascii="Times New Roman" w:cs="Times New Roman" w:hAnsi="Times New Roman"/>
                <w:color w:val="000000"/>
                <w:sz w:val="24"/>
                <w:szCs w:val="20"/>
              </w:rPr>
              <w:t>加油油气回收系统（又称二次油气回收系统）工艺流程图如下：</w:t>
            </w:r>
          </w:p>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ind w:left="0" w:right="0"/>
              <w:jc w:val="center"/>
              <w:textAlignment w:val="auto"/>
              <w:outlineLvl w:val="9"/>
              <w:rPr>
                <w:b/>
                <w:bCs/>
                <w:color w:val="000000"/>
                <w:kern w:val="2"/>
                <w:sz w:val="21"/>
                <w:szCs w:val="21"/>
              </w:rPr>
            </w:pPr>
            <w:r>
              <w:rPr>
                <w:rFonts w:ascii="宋体" w:cs="Times New Roman" w:hAnsi="宋体"/>
                <w:b/>
                <w:bCs/>
                <w:color w:val="000000"/>
                <w:sz w:val="24"/>
                <w:szCs w:val="20"/>
              </w:rPr>
              <w:drawing>
                <wp:anchor distT="0" distB="0" distL="114300" distR="114300" simplePos="0" relativeHeight="141" behindDoc="0" locked="0" layoutInCell="1" hidden="0" allowOverlap="1">
                  <wp:simplePos x="0" y="0"/>
                  <wp:positionH relativeFrom="column">
                    <wp:posOffset>340995</wp:posOffset>
                  </wp:positionH>
                  <wp:positionV relativeFrom="paragraph">
                    <wp:posOffset>150495</wp:posOffset>
                  </wp:positionV>
                  <wp:extent cx="4421505" cy="2270125"/>
                  <wp:effectExtent l="-9525" t="-9525" r="17145" b="15875"/>
                  <wp:wrapTopAndBottom/>
                  <wp:docPr id="2061" name="图片 13" descr="工艺"/>
                  <wp:cNvGraphicFramePr>
                    <a:graphicFrameLocks noChangeAspect="1"/>
                  </wp:cNvGraphicFramePr>
                  <a:graphic>
                    <a:graphicData uri="http://schemas.openxmlformats.org/drawingml/2006/picture">
                      <pic:pic>
                        <pic:nvPicPr>
                          <pic:cNvPr id="52" name="图片 13 52"/>
                          <pic:cNvPicPr/>
                        </pic:nvPicPr>
                        <pic:blipFill>
                          <a:blip r:embed="rId13"/>
                          <a:stretch>
                            <a:fillRect/>
                          </a:stretch>
                        </pic:blipFill>
                        <pic:spPr>
                          <a:xfrm rot="0">
                            <a:off x="0" y="0"/>
                            <a:ext cx="4421505" cy="2270125"/>
                          </a:xfrm>
                          <a:prstGeom prst="rect"/>
                          <a:noFill/>
                          <a:ln cmpd="sng" cap="flat">
                            <a:noFill/>
                            <a:prstDash val="solid"/>
                            <a:round/>
                          </a:ln>
                        </pic:spPr>
                      </pic:pic>
                    </a:graphicData>
                  </a:graphic>
                </wp:anchor>
              </w:drawing>
            </w:r>
            <w:bookmarkStart w:id="4" w:name="_Toc10220"/>
            <w:r>
              <w:rPr>
                <w:rFonts w:ascii="Times New Roman" w:cs="Times New Roman" w:hAnsi="Times New Roman"/>
                <w:b/>
                <w:bCs/>
                <w:color w:val="000000"/>
                <w:kern w:val="2"/>
                <w:sz w:val="21"/>
                <w:szCs w:val="21"/>
              </w:rPr>
              <w:t>图</w:t>
            </w:r>
            <w:r>
              <w:rPr>
                <w:rFonts w:ascii="Times New Roman" w:cs="Times New Roman" w:hAnsi="Times New Roman" w:hint="eastAsia"/>
                <w:b/>
                <w:bCs/>
                <w:color w:val="000000"/>
                <w:kern w:val="2"/>
                <w:sz w:val="21"/>
                <w:szCs w:val="21"/>
                <w:lang w:val="en-US" w:eastAsia="zh-CN"/>
              </w:rPr>
              <w:t>6</w:t>
            </w:r>
            <w:r>
              <w:rPr>
                <w:rFonts w:ascii="Times New Roman" w:cs="Times New Roman" w:hAnsi="Times New Roman"/>
                <w:b/>
                <w:bCs/>
                <w:color w:val="000000"/>
                <w:kern w:val="2"/>
                <w:sz w:val="21"/>
                <w:szCs w:val="21"/>
              </w:rPr>
              <w:t xml:space="preserve">   </w:t>
            </w:r>
            <w:r>
              <w:rPr>
                <w:rFonts w:ascii="Times New Roman" w:cs="Times New Roman" w:hAnsi="Times New Roman" w:hint="eastAsia"/>
                <w:b/>
                <w:bCs/>
                <w:color w:val="000000"/>
                <w:kern w:val="2"/>
                <w:sz w:val="21"/>
                <w:szCs w:val="21"/>
              </w:rPr>
              <w:t>加油</w:t>
            </w:r>
            <w:r>
              <w:rPr>
                <w:rFonts w:ascii="Times New Roman" w:cs="Times New Roman" w:hAnsi="Times New Roman"/>
                <w:b/>
                <w:bCs/>
                <w:color w:val="000000"/>
                <w:kern w:val="2"/>
                <w:sz w:val="21"/>
                <w:szCs w:val="21"/>
              </w:rPr>
              <w:t>油气回收工艺流程图</w:t>
            </w:r>
            <w:r>
              <w:rPr>
                <w:rFonts w:ascii="Times New Roman" w:cs="Times New Roman" w:hAnsi="Times New Roman" w:hint="eastAsia"/>
                <w:b/>
                <w:bCs/>
                <w:color w:val="000000"/>
                <w:kern w:val="2"/>
                <w:sz w:val="21"/>
                <w:szCs w:val="21"/>
              </w:rPr>
              <w:t>（二次油气回收）</w:t>
            </w:r>
            <w:bookmarkEnd w:id="4"/>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jc w:val="both"/>
              <w:textAlignment w:val="auto"/>
              <w:rPr>
                <w:rFonts w:cs="宋体" w:hint="eastAsia"/>
                <w:bCs/>
                <w:color w:val="000000"/>
                <w:kern w:val="0"/>
                <w:sz w:val="24"/>
              </w:rPr>
            </w:pPr>
            <w:r>
              <w:rPr>
                <w:rFonts w:ascii="Times New Roman" w:cs="宋体" w:hAnsi="Times New Roman" w:hint="eastAsia"/>
                <w:bCs/>
                <w:color w:val="000000"/>
                <w:kern w:val="0"/>
                <w:sz w:val="24"/>
                <w:szCs w:val="20"/>
                <w:lang w:val="en-US" w:eastAsia="zh-CN"/>
              </w:rPr>
              <w:t>③</w:t>
            </w:r>
            <w:r>
              <w:rPr>
                <w:rFonts w:ascii="Times New Roman" w:cs="宋体" w:hAnsi="Times New Roman" w:hint="eastAsia"/>
                <w:bCs/>
                <w:color w:val="000000"/>
                <w:kern w:val="0"/>
                <w:sz w:val="24"/>
                <w:szCs w:val="20"/>
              </w:rPr>
              <w:t>三次油气回收系统（储油罐油气回收系统）</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jc w:val="both"/>
              <w:textAlignment w:val="auto"/>
              <w:rPr>
                <w:rFonts w:cs="宋体" w:hint="eastAsia"/>
                <w:color w:val="000000"/>
                <w:kern w:val="0"/>
                <w:sz w:val="24"/>
              </w:rPr>
            </w:pPr>
            <w:r>
              <w:rPr>
                <w:rFonts w:ascii="Times New Roman" w:cs="宋体" w:hAnsi="Times New Roman" w:hint="eastAsia"/>
                <w:color w:val="000000"/>
                <w:kern w:val="0"/>
                <w:sz w:val="24"/>
                <w:szCs w:val="20"/>
              </w:rPr>
              <w:t>油罐油气回收系统（三次油气回收），即油气排放处理装置，处理的是带有回收油气功能的加油枪在气液比大于1时多收集并从排气管路排放的油气，还有埋地油罐随大气压和气温变化产生正压时排放的油气，通过采用吸附、吸收、冷凝及膜分离等方法，将油气中的空气分离出来进行外排，剩下的高浓度油气重新回到地下油罐中。</w:t>
            </w:r>
            <w:r>
              <w:rPr>
                <w:rFonts w:ascii="Times New Roman" w:cs="宋体" w:hAnsi="Times New Roman" w:hint="eastAsia"/>
                <w:color w:val="000000"/>
                <w:kern w:val="0"/>
                <w:sz w:val="24"/>
                <w:szCs w:val="20"/>
                <w:u w:val="single"/>
              </w:rPr>
              <w:t>主要工作原理为当油罐内的气压升高到设定的感应压力上限（一般设定为+150Pa），三次油气回收系统自动运行，通过与油罐的呼吸管连接，油气进入冷凝装置，经过冷凝器冷凝，大部分油气液化成油品返回油罐，小部分油气通过高于4m的通气管排放。</w:t>
            </w:r>
          </w:p>
          <w:p>
            <w:pPr>
              <w:keepNext w:val="0"/>
              <w:keepLines w:val="0"/>
              <w:suppressLineNumbers w:val="0"/>
              <w:autoSpaceDE w:val="0"/>
              <w:autoSpaceDN w:val="0"/>
              <w:adjustRightInd w:val="0"/>
              <w:snapToGrid w:val="0"/>
              <w:spacing w:before="0" w:beforeAutospacing="0" w:after="0" w:afterAutospacing="0" w:line="400" w:lineRule="exact"/>
              <w:ind w:left="0" w:right="0"/>
              <w:jc w:val="center"/>
              <w:rPr>
                <w:rFonts w:hint="eastAsia"/>
                <w:b/>
                <w:bCs/>
                <w:color w:val="000000"/>
                <w:sz w:val="21"/>
                <w:szCs w:val="21"/>
              </w:rPr>
            </w:pPr>
            <w:r>
              <w:rPr>
                <w:rFonts w:ascii="Times New Roman" w:cs="宋体" w:hAnsi="Times New Roman" w:hint="eastAsia"/>
                <w:b/>
                <w:bCs/>
                <w:color w:val="000000"/>
                <w:kern w:val="0"/>
                <w:sz w:val="21"/>
                <w:szCs w:val="21"/>
              </w:rPr>
              <mc:AlternateContent>
                <mc:Choice Requires="wps">
                  <w:drawing>
                    <wp:anchor distT="0" distB="0" distL="114300" distR="114300" simplePos="0" relativeHeight="145" behindDoc="0" locked="0" layoutInCell="1" hidden="0" allowOverlap="1">
                      <wp:simplePos x="0" y="0"/>
                      <wp:positionH relativeFrom="column">
                        <wp:posOffset>222250</wp:posOffset>
                      </wp:positionH>
                      <wp:positionV relativeFrom="paragraph">
                        <wp:posOffset>151764</wp:posOffset>
                      </wp:positionV>
                      <wp:extent cx="5039359" cy="2980690"/>
                      <wp:effectExtent l="-9525" t="-9525" r="8889" b="10160"/>
                      <wp:wrapTopAndBottom/>
                      <wp:docPr id="2063" name="组合 2063"/>
                      <wp:cNvGraphicFramePr>
                        <a:graphicFrameLocks noChangeAspect="0"/>
                      </wp:cNvGraphicFramePr>
                      <a:graphic>
                        <a:graphicData uri="http://schemas.microsoft.com/office/word/2010/wordprocessingGroup">
                          <wpg:wgp>
                            <wpg:cNvPr id="53" name="组合 53"/>
                            <wpg:cNvGrpSpPr/>
                            <wpg:grpSpPr>
                              <a:xfrm rot="0">
                                <a:off x="0" y="0"/>
                                <a:ext cx="5039359" cy="2980690"/>
                                <a:chOff x="0" y="0"/>
                                <a:chExt cx="5039359" cy="2980690"/>
                              </a:xfrm>
                              <a:prstGeom prst="rect"/>
                              <a:solidFill>
                                <a:srgbClr val="FFFFFF"/>
                              </a:solidFill>
                              <a:ln w="9525" cmpd="sng" cap="flat">
                                <a:solidFill>
                                  <a:srgbClr val="000000"/>
                                </a:solidFill>
                                <a:prstDash val="solid"/>
                                <a:miter/>
                              </a:ln>
                            </wpg:grpSpPr>
                            <pic:pic>
                              <pic:nvPicPr>
                                <pic:cNvPr id="55" name="图片 128 55"/>
                                <pic:cNvPicPr/>
                              </pic:nvPicPr>
                              <pic:blipFill>
                                <a:blip r:embed="rId14"/>
                                <a:stretch>
                                  <a:fillRect/>
                                </a:stretch>
                              </pic:blipFill>
                              <pic:spPr>
                                <a:xfrm rot="0">
                                  <a:off x="0" y="0"/>
                                  <a:ext cx="5039359" cy="2980690"/>
                                </a:xfrm>
                                <a:prstGeom prst="rect"/>
                                <a:noFill/>
                                <a:ln cmpd="sng" cap="flat">
                                  <a:noFill/>
                                  <a:prstDash val="solid"/>
                                  <a:round/>
                                </a:ln>
                              </pic:spPr>
                            </pic:pic>
                            <wps:wsp>
                              <wps:cNvPr id="56" name="矩形 20 56"/>
                              <wps:cNvSpPr/>
                              <wps:spPr>
                                <a:xfrm rot="0">
                                  <a:off x="1281429" y="2023110"/>
                                  <a:ext cx="609600" cy="262254"/>
                                </a:xfrm>
                                <a:prstGeom prst="rect"/>
                                <a:solidFill>
                                  <a:srgbClr val="E2EFD9"/>
                                </a:solidFill>
                                <a:ln cmpd="sng" cap="flat">
                                  <a:noFill/>
                                  <a:prstDash val="solid"/>
                                  <a:round/>
                                </a:ln>
                              </wps:spPr>
                              <wps:txbx id="57">
                                <w:txbxContent>
                                  <w:p>
                                    <w:pPr>
                                      <w:rPr>
                                        <w:b/>
                                      </w:rPr>
                                    </w:pPr>
                                    <w:r>
                                      <w:rPr>
                                        <w:rFonts w:hint="eastAsia"/>
                                        <w:b/>
                                      </w:rPr>
                                      <w:t>储油罐</w:t>
                                    </w:r>
                                  </w:p>
                                </w:txbxContent>
                              </wps:txbx>
                              <wps:bodyPr vert="horz" wrap="square" lIns="91440" tIns="45720" rIns="91440" bIns="45720" anchor="t" anchorCtr="0" upright="1">
                                <a:noAutofit/>
                              </wps:bodyPr>
                            </wps:wsp>
                            <wps:wsp>
                              <wps:cNvPr id="58" name="矩形 24 58"/>
                              <wps:cNvSpPr/>
                              <wps:spPr>
                                <a:xfrm rot="0">
                                  <a:off x="3524884" y="2091055"/>
                                  <a:ext cx="609599" cy="262255"/>
                                </a:xfrm>
                                <a:prstGeom prst="rect"/>
                                <a:solidFill>
                                  <a:srgbClr val="E2EFD9"/>
                                </a:solidFill>
                                <a:ln cmpd="sng" cap="flat">
                                  <a:noFill/>
                                  <a:prstDash val="solid"/>
                                  <a:round/>
                                </a:ln>
                              </wps:spPr>
                              <wps:txbx id="59">
                                <w:txbxContent>
                                  <w:p>
                                    <w:pPr>
                                      <w:rPr>
                                        <w:b/>
                                      </w:rPr>
                                    </w:pPr>
                                    <w:r>
                                      <w:rPr>
                                        <w:rFonts w:hint="eastAsia"/>
                                        <w:b/>
                                      </w:rPr>
                                      <w:t>储油罐</w:t>
                                    </w:r>
                                  </w:p>
                                </w:txbxContent>
                              </wps:txbx>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2063" o:spid="_x0000_s60" coordorigin="2265,4420" coordsize="7936,4694" style="position:absolute;margin-left:17.5pt;margin-top:11.95pt;width:396.8pt;height:234.70001pt;z-index:145;mso-position-horizontal:absolute;mso-position-vertical:absolute;">
                      <v:shape type="#_x0000_t75" id="图片 128 55" o:spid="_x0000_s61" alt="1625209610(1)" style="position:absolute;left:2265;top:4420;width:7936;height:4694;" filled="f" stroked="f" strokeweight="-1.0pt">
                        <v:imagedata r:id="rId15" o:title="image7"/>
                        <o:lock aspectratio="t"/>
                        <v:stroke/>
                      </v:shape>
                      <v:rect type="#_x0000_t1" id="_s62" o:spid="_x0000_s62" style="position:absolute;left:4283;top:7606;width:960;height:413;mso-wrap-style:square;" fillcolor="#E2EFD9" stroked="f" strokeweight="-1.0pt">
                        <v:textbox id="859" inset="2.54mm,1.27mm,2.54mm,1.27mm" o:insetmode="custom" style="layout-flow:horizontal;v-text-anchor:top;">
                          <w:txbxContent>
                            <w:p>
                              <w:pPr>
                                <w:rPr>
                                  <w:b/>
                                </w:rPr>
                              </w:pPr>
                              <w:r>
                                <w:rPr>
                                  <w:rFonts w:hint="eastAsia"/>
                                  <w:b/>
                                </w:rPr>
                                <w:t>储油罐</w:t>
                              </w:r>
                            </w:p>
                          </w:txbxContent>
                        </v:textbox>
                        <v:stroke/>
                      </v:rect>
                      <v:rect type="#_x0000_t1" id="_s63" o:spid="_x0000_s63" style="position:absolute;left:7816;top:7713;width:960;height:412;mso-wrap-style:square;" fillcolor="#E2EFD9" stroked="f" strokeweight="-1.0pt">
                        <v:textbox id="860" inset="2.54mm,1.27mm,2.54mm,1.27mm" o:insetmode="custom" style="layout-flow:horizontal;v-text-anchor:top;">
                          <w:txbxContent>
                            <w:p>
                              <w:pPr>
                                <w:rPr>
                                  <w:b/>
                                </w:rPr>
                              </w:pPr>
                              <w:r>
                                <w:rPr>
                                  <w:rFonts w:hint="eastAsia"/>
                                  <w:b/>
                                </w:rPr>
                                <w:t>储油罐</w:t>
                              </w:r>
                            </w:p>
                          </w:txbxContent>
                        </v:textbox>
                        <v:stroke/>
                      </v:rect>
                      <w10:wrap type="topAndBottom"/>
                    </v:group>
                  </w:pict>
                </mc:Fallback>
              </mc:AlternateContent>
            </w:r>
            <w:r>
              <w:rPr>
                <w:rFonts w:ascii="Times New Roman" w:cs="Times New Roman" w:hAnsi="Times New Roman" w:hint="eastAsia"/>
                <w:b/>
                <w:bCs/>
                <w:color w:val="000000"/>
                <w:sz w:val="21"/>
                <w:szCs w:val="21"/>
              </w:rPr>
              <w:t>图</w:t>
            </w:r>
            <w:r>
              <w:rPr>
                <w:rFonts w:ascii="Times New Roman" w:cs="Times New Roman" w:hAnsi="Times New Roman" w:hint="eastAsia"/>
                <w:b/>
                <w:bCs/>
                <w:color w:val="000000"/>
                <w:sz w:val="21"/>
                <w:szCs w:val="21"/>
                <w:lang w:val="en-US" w:eastAsia="zh-CN"/>
              </w:rPr>
              <w:t>7</w:t>
            </w:r>
            <w:r>
              <w:rPr>
                <w:rFonts w:ascii="Times New Roman" w:cs="Times New Roman" w:hAnsi="Times New Roman"/>
                <w:b/>
                <w:bCs/>
                <w:color w:val="000000"/>
                <w:sz w:val="21"/>
                <w:szCs w:val="21"/>
              </w:rPr>
              <w:t xml:space="preserve">  </w:t>
            </w:r>
            <w:r>
              <w:rPr>
                <w:rFonts w:ascii="Times New Roman" w:cs="Times New Roman" w:hAnsi="Times New Roman" w:hint="eastAsia"/>
                <w:b/>
                <w:bCs/>
                <w:color w:val="auto"/>
                <w:sz w:val="21"/>
                <w:szCs w:val="21"/>
              </w:rPr>
              <w:t>三次</w:t>
            </w:r>
            <w:r>
              <w:rPr>
                <w:rFonts w:ascii="Times New Roman" w:cs="Times New Roman" w:hAnsi="Times New Roman"/>
                <w:b/>
                <w:bCs/>
                <w:color w:val="auto"/>
                <w:sz w:val="21"/>
                <w:szCs w:val="21"/>
              </w:rPr>
              <w:t>油气回收工艺流程图</w:t>
            </w:r>
            <w:r>
              <w:rPr>
                <w:rFonts w:ascii="Times New Roman" w:cs="Times New Roman" w:hAnsi="Times New Roman" w:hint="eastAsia"/>
                <w:b/>
                <w:bCs/>
                <w:color w:val="auto"/>
                <w:sz w:val="21"/>
                <w:szCs w:val="21"/>
              </w:rPr>
              <w:t>（冷凝吸附）</w:t>
            </w:r>
          </w:p>
          <w:p>
            <w:pPr>
              <w:keepNext w:val="0"/>
              <w:keepLines w:val="0"/>
              <w:suppressLineNumbers w:val="0"/>
              <w:autoSpaceDE w:val="0"/>
              <w:autoSpaceDN w:val="0"/>
              <w:adjustRightInd w:val="0"/>
              <w:snapToGrid w:val="0"/>
              <w:spacing w:before="0" w:beforeAutospacing="0" w:after="0" w:afterAutospacing="0" w:line="520" w:lineRule="exact"/>
              <w:ind w:left="0" w:right="0" w:firstLineChars="200" w:firstLine="480"/>
              <w:rPr>
                <w:rFonts w:cs="宋体" w:hint="eastAsia"/>
                <w:color w:val="000000"/>
                <w:kern w:val="0"/>
                <w:sz w:val="24"/>
              </w:rPr>
            </w:pPr>
            <w:r>
              <w:rPr>
                <w:rFonts w:ascii="Times New Roman" w:cs="宋体" w:hAnsi="Times New Roman" w:hint="eastAsia"/>
                <w:color w:val="000000"/>
                <w:kern w:val="0"/>
                <w:sz w:val="24"/>
                <w:szCs w:val="20"/>
              </w:rPr>
              <w:t>工艺原理为：常温下油气沿油气管道送入油气处理装置的冷凝单元，压缩机和装在油气主管上的压力传感器连锁，当地下储油罐内的气压升高到设定的压力值或根据实际情况设定压力值并且持续10S，系统自动开始运行。</w:t>
            </w:r>
          </w:p>
          <w:p>
            <w:pPr>
              <w:keepNext w:val="0"/>
              <w:keepLines w:val="0"/>
              <w:suppressLineNumbers w:val="0"/>
              <w:autoSpaceDE w:val="0"/>
              <w:autoSpaceDN w:val="0"/>
              <w:adjustRightInd w:val="0"/>
              <w:snapToGrid w:val="0"/>
              <w:spacing w:before="0" w:beforeAutospacing="0" w:after="0" w:afterAutospacing="0" w:line="520" w:lineRule="exact"/>
              <w:ind w:left="0" w:right="0" w:firstLineChars="200" w:firstLine="480"/>
              <w:rPr>
                <w:rFonts w:cs="宋体" w:hint="eastAsia"/>
                <w:color w:val="auto"/>
                <w:kern w:val="0"/>
                <w:sz w:val="24"/>
              </w:rPr>
            </w:pPr>
            <w:r>
              <w:rPr>
                <w:rFonts w:ascii="Times New Roman" w:cs="宋体" w:hAnsi="Times New Roman" w:hint="eastAsia"/>
                <w:color w:val="000000"/>
                <w:kern w:val="0"/>
                <w:sz w:val="24"/>
                <w:szCs w:val="20"/>
              </w:rPr>
              <w:t>油气直接进入冷凝单元进行多级冷凝：先经预冷器被冷却至3℃，冷凝出部分油和水，然后进入一级冷凝箱被冷却至-25℃，再析出一部分油，再进入二级冷凝箱被冷却至-45℃，进一步析出一部分油，至此大部分的烃类组分被冷凝液化析出，进入设备的储油罐内。分离出油后的低温贫油气体再依次回到一级冷凝箱、回热交换器进行回热交换，至此，完成了气路的冷量回收利用。同时，每一级冷场出油管路上均设有利用制冷系统压缩机排出的过热蒸汽将油温升至冰点以上，解决了油冷回收问题，且每一级出油管不会产生冰堵或凝结现象。设备制冷系统的所有制冷量全部用于克服油气从气态变为液态的汽化潜热，无多余的冷量</w:t>
            </w:r>
            <w:r>
              <w:rPr>
                <w:rFonts w:ascii="Times New Roman" w:cs="宋体" w:hAnsi="Times New Roman" w:hint="eastAsia"/>
                <w:color w:val="auto"/>
                <w:kern w:val="0"/>
                <w:sz w:val="24"/>
                <w:szCs w:val="20"/>
              </w:rPr>
              <w:t>浪费。未被吸收的少量油气进入下一个循环，经过</w:t>
            </w:r>
            <w:r>
              <w:rPr>
                <w:rFonts w:ascii="Times New Roman" w:cs="宋体" w:hAnsi="Times New Roman" w:hint="eastAsia"/>
                <w:color w:val="auto"/>
                <w:kern w:val="0"/>
                <w:sz w:val="24"/>
                <w:szCs w:val="20"/>
                <w:lang w:val="en-US" w:eastAsia="zh-CN"/>
              </w:rPr>
              <w:t>冷凝</w:t>
            </w:r>
            <w:r>
              <w:rPr>
                <w:rFonts w:ascii="Times New Roman" w:cs="宋体" w:hAnsi="Times New Roman" w:hint="eastAsia"/>
                <w:color w:val="auto"/>
                <w:kern w:val="0"/>
                <w:sz w:val="24"/>
                <w:szCs w:val="20"/>
              </w:rPr>
              <w:t>系统分离出来的达标尾气经阻火器安全排空。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auto"/>
                <w:lang w:val="en-US" w:eastAsia="zh-CN"/>
              </w:rPr>
            </w:pPr>
            <w:r>
              <w:rPr>
                <w:rFonts w:ascii="Times New Roman" w:cs="宋体" w:hAnsi="Times New Roman" w:hint="eastAsia"/>
                <w:bCs/>
                <w:color w:val="auto"/>
                <w:kern w:val="0"/>
                <w:sz w:val="24"/>
                <w:szCs w:val="20"/>
              </w:rPr>
              <w:t>项目采用“冷凝”法进行三次油气回收处置，最后废气经高于4m的通气管排放。冷凝法法属于《排污许可证申请与核发技术规范储油库、加油站》（HJ 1118-2020）中可行技术，因此本项目油气回收技术可行。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ascii="宋体" w:hAnsi="宋体"/>
                <w:b/>
                <w:bCs/>
                <w:color w:val="000000"/>
                <w:sz w:val="24"/>
              </w:rPr>
            </w:pPr>
            <w:r>
              <w:rPr>
                <w:rFonts w:ascii="宋体" w:cs="Times New Roman" w:hAnsi="宋体" w:hint="eastAsia"/>
                <w:b/>
                <w:bCs/>
                <w:color w:val="000000"/>
                <w:sz w:val="24"/>
                <w:szCs w:val="20"/>
              </w:rPr>
              <w:t>主要污染工序：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ascii="宋体" w:hAnsi="宋体" w:hint="eastAsia"/>
                <w:b/>
                <w:color w:val="000000"/>
                <w:sz w:val="24"/>
              </w:rPr>
            </w:pPr>
            <w:r>
              <w:rPr>
                <w:rFonts w:ascii="Times New Roman" w:cs="Times New Roman" w:hAnsi="Times New Roman" w:hint="eastAsia"/>
                <w:color w:val="000000"/>
                <w:sz w:val="24"/>
                <w:szCs w:val="20"/>
              </w:rPr>
              <w:t>通过工艺流程分析，该项目</w:t>
            </w:r>
            <w:r>
              <w:rPr>
                <w:rFonts w:ascii="Times New Roman" w:cs="Times New Roman" w:hAnsi="Times New Roman"/>
                <w:color w:val="000000"/>
                <w:sz w:val="24"/>
                <w:szCs w:val="20"/>
              </w:rPr>
              <w:t>营运期主要产污环节见</w:t>
            </w:r>
            <w:r>
              <w:rPr>
                <w:rFonts w:ascii="Times New Roman" w:cs="Times New Roman" w:hAnsi="Times New Roman" w:hint="eastAsia"/>
                <w:color w:val="auto"/>
                <w:sz w:val="24"/>
                <w:szCs w:val="20"/>
                <w:lang w:val="en-US" w:eastAsia="zh-CN"/>
              </w:rPr>
              <w:t>下表</w:t>
            </w:r>
            <w:r>
              <w:rPr>
                <w:rFonts w:ascii="Times New Roman" w:cs="Times New Roman" w:hAnsi="Times New Roman" w:hint="eastAsia"/>
                <w:color w:val="auto"/>
                <w:sz w:val="24"/>
                <w:szCs w:val="20"/>
                <w:lang w:eastAsia="zh-CN"/>
              </w:rPr>
              <w:t>：</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hint="eastAsia"/>
                <w:sz w:val="24"/>
                <w:szCs w:val="20"/>
                <w:lang w:val="en-US" w:eastAsia="zh-CN"/>
              </w:rPr>
              <w:t xml:space="preserve">  </w:t>
            </w:r>
            <w:r>
              <w:rPr>
                <w:rFonts w:ascii="Times New Roman" w:cs="Times New Roman" w:hAnsi="Times New Roman" w:hint="eastAsia"/>
                <w:sz w:val="24"/>
                <w:szCs w:val="20"/>
              </w:rPr>
              <w:t>项目产污环节一览表</w:t>
            </w:r>
          </w:p>
          <w:tbl>
            <w:tblPr>
              <w:jc w:val="center"/>
              <w:tblW w:w="5000" w:type="pct"/>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Look w:val="0600" w:firstRow="0" w:lastRow="0" w:firstColumn="0" w:lastColumn="0" w:noHBand="1" w:noVBand="1"/>
            </w:tblPr>
            <w:tblGrid>
              <w:gridCol w:w="1070"/>
              <w:gridCol w:w="1637"/>
              <w:gridCol w:w="1711"/>
              <w:gridCol w:w="4377"/>
            </w:tblGrid>
            <w:tr>
              <w:trPr>
                <w:trHeight w:val="397"/>
              </w:trPr>
              <w:tc>
                <w:tcPr>
                  <w:tcW w:w="1070" w:type="dxa"/>
                  <w:tcBorders>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
                      <w:color w:val="auto"/>
                      <w:sz w:val="21"/>
                      <w:szCs w:val="21"/>
                    </w:rPr>
                  </w:pPr>
                  <w:r>
                    <w:rPr>
                      <w:rFonts w:ascii="Times New Roman" w:cs="Times New Roman" w:hAnsi="Times New Roman"/>
                      <w:b/>
                      <w:color w:val="auto"/>
                      <w:sz w:val="21"/>
                      <w:szCs w:val="21"/>
                    </w:rPr>
                    <w:t>污染因素</w:t>
                  </w:r>
                </w:p>
              </w:tc>
              <w:tc>
                <w:tcPr>
                  <w:tcW w:w="1637" w:type="dxa"/>
                  <w:tcBorders>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
                      <w:color w:val="auto"/>
                      <w:sz w:val="21"/>
                      <w:szCs w:val="21"/>
                    </w:rPr>
                  </w:pPr>
                  <w:r>
                    <w:rPr>
                      <w:rFonts w:ascii="Times New Roman" w:cs="Times New Roman" w:hAnsi="Times New Roman"/>
                      <w:b/>
                      <w:color w:val="auto"/>
                      <w:sz w:val="21"/>
                      <w:szCs w:val="21"/>
                    </w:rPr>
                    <w:t>产污环节</w:t>
                  </w:r>
                </w:p>
              </w:tc>
              <w:tc>
                <w:tcPr>
                  <w:tcW w:w="1711" w:type="dxa"/>
                  <w:tcBorders>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
                      <w:color w:val="auto"/>
                      <w:sz w:val="21"/>
                      <w:szCs w:val="21"/>
                    </w:rPr>
                  </w:pPr>
                  <w:r>
                    <w:rPr>
                      <w:rFonts w:ascii="Times New Roman" w:cs="Times New Roman" w:hAnsi="Times New Roman"/>
                      <w:b/>
                      <w:color w:val="auto"/>
                      <w:sz w:val="21"/>
                      <w:szCs w:val="21"/>
                    </w:rPr>
                    <w:t>污染物</w:t>
                  </w:r>
                </w:p>
              </w:tc>
              <w:tc>
                <w:tcPr>
                  <w:tcW w:w="4377" w:type="dxa"/>
                  <w:tcBorders>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
                      <w:color w:val="auto"/>
                      <w:sz w:val="21"/>
                      <w:szCs w:val="21"/>
                    </w:rPr>
                  </w:pPr>
                  <w:r>
                    <w:rPr>
                      <w:rFonts w:ascii="Times New Roman" w:cs="Times New Roman" w:hAnsi="Times New Roman"/>
                      <w:b/>
                      <w:color w:val="auto"/>
                      <w:sz w:val="21"/>
                      <w:szCs w:val="21"/>
                    </w:rPr>
                    <w:t>污染防治措施</w:t>
                  </w:r>
                </w:p>
              </w:tc>
            </w:tr>
            <w:tr>
              <w:trPr>
                <w:trHeight w:val="397"/>
              </w:trPr>
              <w:tc>
                <w:tcPr>
                  <w:tcW w:w="1070" w:type="dxa"/>
                  <w:vMerge w:val="restart"/>
                  <w:tcBorders>
                    <w:top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auto"/>
                      <w:sz w:val="21"/>
                      <w:szCs w:val="21"/>
                      <w:highlight w:val="none"/>
                    </w:rPr>
                  </w:pPr>
                  <w:r>
                    <w:rPr>
                      <w:rFonts w:ascii="Times New Roman" w:cs="Times New Roman" w:hAnsi="Times New Roman"/>
                      <w:color w:val="auto"/>
                      <w:sz w:val="21"/>
                      <w:szCs w:val="21"/>
                      <w:highlight w:val="none"/>
                    </w:rPr>
                    <w:t>废气</w:t>
                  </w:r>
                </w:p>
              </w:tc>
              <w:tc>
                <w:tcPr>
                  <w:tcW w:w="16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eastAsia="宋体" w:cs="Times New Roman" w:hAnsi="Times New Roman"/>
                      <w:color w:val="0000FF"/>
                      <w:sz w:val="21"/>
                      <w:szCs w:val="21"/>
                      <w:lang w:val="en-US" w:eastAsia="zh-CN"/>
                      <w:highlight w:val="none"/>
                    </w:rPr>
                  </w:pPr>
                  <w:r>
                    <w:rPr>
                      <w:rFonts w:ascii="Times New Roman" w:cs="Times New Roman" w:hAnsi="Times New Roman"/>
                      <w:color w:val="auto"/>
                      <w:sz w:val="21"/>
                      <w:szCs w:val="21"/>
                      <w:lang w:val="en-US" w:eastAsia="zh-CN"/>
                    </w:rPr>
                    <w:t>卸油、储油、加油</w:t>
                  </w:r>
                  <w:r>
                    <w:rPr>
                      <w:rFonts w:ascii="Times New Roman" w:eastAsia="宋体" w:cs="Times New Roman" w:hAnsi="Times New Roman"/>
                      <w:color w:val="auto"/>
                      <w:sz w:val="21"/>
                      <w:szCs w:val="21"/>
                      <w:lang w:val="en-US" w:eastAsia="zh-CN"/>
                    </w:rPr>
                    <w:t>挥发废气</w:t>
                  </w:r>
                </w:p>
              </w:tc>
              <w:tc>
                <w:tcPr>
                  <w:tcW w:w="1711"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cs="Times New Roman" w:hAnsi="Times New Roman"/>
                      <w:color w:val="0000FF"/>
                      <w:sz w:val="21"/>
                      <w:szCs w:val="21"/>
                      <w:vertAlign w:val="baseline"/>
                      <w:lang w:val="en-US" w:eastAsia="zh-CN"/>
                      <w:highlight w:val="none"/>
                    </w:rPr>
                  </w:pPr>
                  <w:r>
                    <w:rPr>
                      <w:rFonts w:ascii="Times New Roman" w:cs="Times New Roman" w:hAnsi="Times New Roman"/>
                      <w:color w:val="auto"/>
                      <w:sz w:val="21"/>
                      <w:szCs w:val="21"/>
                      <w:lang w:val="en-US" w:eastAsia="zh-CN"/>
                    </w:rPr>
                    <w:t>非甲烷总烃</w:t>
                  </w:r>
                </w:p>
              </w:tc>
              <w:tc>
                <w:tcPr>
                  <w:tcW w:w="4377" w:type="dxa"/>
                  <w:tcBorders>
                    <w:top w:val="single" w:sz="4" w:space="0" w:color="auto"/>
                    <w:left w:val="single" w:sz="4" w:space="0" w:color="auto"/>
                    <w:bottom w:val="single" w:sz="4" w:space="0" w:color="auto"/>
                  </w:tcBorders>
                  <w:vAlign w:val="center"/>
                </w:tcPr>
                <w:p>
                  <w:pPr>
                    <w:keepNext w:val="0"/>
                    <w:keepLines w:val="0"/>
                    <w:widowControl/>
                    <w:suppressLineNumbers w:val="0"/>
                    <w:spacing w:before="0" w:beforeAutospacing="0" w:after="0" w:afterAutospacing="0"/>
                    <w:ind w:left="0" w:right="0"/>
                    <w:jc w:val="center"/>
                    <w:rPr>
                      <w:rFonts w:ascii="Times New Roman" w:eastAsia="宋体" w:cs="Times New Roman" w:hAnsi="Times New Roman"/>
                      <w:color w:val="0000FF"/>
                      <w:sz w:val="21"/>
                      <w:szCs w:val="21"/>
                      <w:lang w:val="en-US" w:eastAsia="zh-CN"/>
                      <w:highlight w:val="yellow"/>
                    </w:rPr>
                  </w:pPr>
                  <w:r>
                    <w:rPr>
                      <w:rFonts w:ascii="宋体" w:eastAsia="宋体" w:cs="宋体" w:hAnsi="宋体" w:hint="eastAsia"/>
                      <w:color w:val="000000"/>
                      <w:kern w:val="0"/>
                      <w:sz w:val="21"/>
                      <w:szCs w:val="21"/>
                      <w:lang w:val="en-US" w:eastAsia="zh-CN"/>
                    </w:rPr>
                    <w:t>项目采取以密闭收集为基础的油气回收系统，包括卸油油气回收系统（一次油气回收）、加油油气回收系统（二次油气回收）和油气排放处置装置（三次油气回收），经三次油气回收处理后废气经不低</w:t>
                  </w:r>
                  <w:r>
                    <w:rPr>
                      <w:rFonts w:ascii="Times New Roman" w:eastAsia="宋体" w:cs="Times New Roman" w:hAnsi="Times New Roman"/>
                      <w:color w:val="000000"/>
                      <w:kern w:val="0"/>
                      <w:sz w:val="21"/>
                      <w:szCs w:val="21"/>
                      <w:lang w:val="en-US" w:eastAsia="zh-CN"/>
                    </w:rPr>
                    <w:t>于4m高</w:t>
                  </w:r>
                  <w:r>
                    <w:rPr>
                      <w:rFonts w:ascii="宋体" w:eastAsia="宋体" w:cs="宋体" w:hAnsi="宋体" w:hint="eastAsia"/>
                      <w:color w:val="000000"/>
                      <w:kern w:val="0"/>
                      <w:sz w:val="21"/>
                      <w:szCs w:val="21"/>
                      <w:lang w:val="en-US" w:eastAsia="zh-CN"/>
                    </w:rPr>
                    <w:t>排气筒排放</w:t>
                  </w:r>
                </w:p>
              </w:tc>
            </w:tr>
            <w:tr>
              <w:trPr>
                <w:trHeight w:val="397"/>
              </w:trPr>
              <w:tc>
                <w:tcPr>
                  <w:tcW w:w="1070" w:type="dxa"/>
                  <w:vMerge/>
                  <w:tcBorders>
                    <w:top w:val="single" w:sz="4" w:space="0" w:color="auto"/>
                    <w:bottom w:val="single" w:sz="4" w:space="0" w:color="auto"/>
                    <w:right w:val="single" w:sz="4" w:space="0" w:color="auto"/>
                  </w:tcBorders>
                  <w:vAlign w:val="center"/>
                </w:tcPr>
                <w:p/>
              </w:tc>
              <w:tc>
                <w:tcPr>
                  <w:tcW w:w="16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rPr>
                    <w:t>汽车尾气</w:t>
                  </w:r>
                </w:p>
              </w:tc>
              <w:tc>
                <w:tcPr>
                  <w:tcW w:w="1711"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cs="Times New Roman" w:hAnsi="Times New Roman"/>
                      <w:color w:val="auto"/>
                      <w:kern w:val="0"/>
                      <w:sz w:val="21"/>
                      <w:szCs w:val="21"/>
                      <w:lang w:val="en-US" w:eastAsia="zh-CN"/>
                    </w:rPr>
                  </w:pPr>
                  <w:r>
                    <w:rPr>
                      <w:rFonts w:ascii="Times New Roman" w:cs="Times New Roman" w:hAnsi="Times New Roman"/>
                      <w:color w:val="auto"/>
                      <w:kern w:val="0"/>
                      <w:sz w:val="21"/>
                      <w:szCs w:val="21"/>
                      <w:lang w:val="en-US" w:eastAsia="zh-CN"/>
                    </w:rPr>
                    <w:t>CO、NOx、THC</w:t>
                  </w:r>
                </w:p>
              </w:tc>
              <w:tc>
                <w:tcPr>
                  <w:tcW w:w="4377" w:type="dxa"/>
                  <w:tcBorders>
                    <w:top w:val="single" w:sz="4" w:space="0" w:color="auto"/>
                    <w:left w:val="single" w:sz="4" w:space="0" w:color="auto"/>
                    <w:bottom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eastAsia="宋体" w:cs="Times New Roman" w:hAnsi="Times New Roman"/>
                      <w:color w:val="0000FF"/>
                      <w:sz w:val="21"/>
                      <w:szCs w:val="21"/>
                      <w:highlight w:val="yellow"/>
                    </w:rPr>
                  </w:pPr>
                  <w:r>
                    <w:rPr>
                      <w:rFonts w:ascii="Times New Roman" w:eastAsia="宋体" w:cs="Times New Roman" w:hAnsi="Times New Roman"/>
                      <w:color w:val="auto"/>
                      <w:sz w:val="21"/>
                      <w:szCs w:val="21"/>
                      <w:lang w:val="en-US" w:eastAsia="zh-CN"/>
                    </w:rPr>
                    <w:t>加强进场管理，减少加油车辆怠速；</w:t>
                  </w:r>
                  <w:r>
                    <w:rPr>
                      <w:rFonts w:ascii="Times New Roman" w:cs="Times New Roman" w:hAnsi="Times New Roman"/>
                      <w:color w:val="000000"/>
                      <w:sz w:val="21"/>
                      <w:szCs w:val="21"/>
                      <w:lang w:val="en-US" w:eastAsia="zh-CN"/>
                    </w:rPr>
                    <w:t>加油时汽车停车熄火</w:t>
                  </w:r>
                </w:p>
              </w:tc>
            </w:tr>
            <w:tr>
              <w:trPr>
                <w:trHeight w:val="397"/>
              </w:trPr>
              <w:tc>
                <w:tcPr>
                  <w:tcW w:w="1070" w:type="dxa"/>
                  <w:tcBorders>
                    <w:top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auto"/>
                      <w:sz w:val="21"/>
                      <w:szCs w:val="21"/>
                      <w:lang w:eastAsia="zh-CN"/>
                      <w:highlight w:val="none"/>
                    </w:rPr>
                  </w:pPr>
                  <w:r>
                    <w:rPr>
                      <w:rFonts w:ascii="Times New Roman" w:cs="Times New Roman" w:hAnsi="Times New Roman"/>
                      <w:color w:val="auto"/>
                      <w:sz w:val="21"/>
                      <w:szCs w:val="21"/>
                      <w:lang w:eastAsia="zh-CN"/>
                      <w:highlight w:val="none"/>
                    </w:rPr>
                    <w:t>废水</w:t>
                  </w:r>
                </w:p>
              </w:tc>
              <w:tc>
                <w:tcPr>
                  <w:tcW w:w="1637"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生活污水</w:t>
                  </w:r>
                </w:p>
              </w:tc>
              <w:tc>
                <w:tcPr>
                  <w:tcW w:w="1711"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auto"/>
                      <w:kern w:val="0"/>
                      <w:sz w:val="21"/>
                      <w:szCs w:val="21"/>
                      <w:lang w:val="en-US" w:eastAsia="zh-CN"/>
                      <w:highlight w:val="none"/>
                    </w:rPr>
                  </w:pPr>
                  <w:r>
                    <w:rPr>
                      <w:rFonts w:ascii="Times New Roman" w:cs="Times New Roman" w:hAnsi="Times New Roman"/>
                      <w:color w:val="auto"/>
                      <w:kern w:val="0"/>
                      <w:sz w:val="21"/>
                      <w:szCs w:val="21"/>
                      <w:lang w:val="en-US" w:eastAsia="zh-CN"/>
                      <w:highlight w:val="none"/>
                    </w:rPr>
                    <w:t>COD、SS、NH</w:t>
                  </w:r>
                  <w:r>
                    <w:rPr>
                      <w:rFonts w:ascii="Times New Roman" w:cs="Times New Roman" w:hAnsi="Times New Roman"/>
                      <w:color w:val="auto"/>
                      <w:kern w:val="0"/>
                      <w:sz w:val="21"/>
                      <w:szCs w:val="21"/>
                      <w:vertAlign w:val="subscript"/>
                      <w:lang w:val="en-US" w:eastAsia="zh-CN"/>
                      <w:highlight w:val="none"/>
                    </w:rPr>
                    <w:t>3</w:t>
                  </w:r>
                  <w:r>
                    <w:rPr>
                      <w:rFonts w:ascii="Times New Roman" w:cs="Times New Roman" w:hAnsi="Times New Roman"/>
                      <w:color w:val="auto"/>
                      <w:kern w:val="0"/>
                      <w:sz w:val="21"/>
                      <w:szCs w:val="21"/>
                      <w:lang w:val="en-US" w:eastAsia="zh-CN"/>
                      <w:highlight w:val="none"/>
                    </w:rPr>
                    <w:t>-N、TP、TN</w:t>
                  </w:r>
                </w:p>
              </w:tc>
              <w:tc>
                <w:tcPr>
                  <w:tcW w:w="4377" w:type="dxa"/>
                  <w:tcBorders>
                    <w:top w:val="single" w:sz="4" w:space="0" w:color="auto"/>
                    <w:left w:val="single" w:sz="4" w:space="0" w:color="auto"/>
                    <w:bottom w:val="single" w:sz="4" w:space="0" w:color="auto"/>
                  </w:tcBorders>
                  <w:vAlign w:val="center"/>
                </w:tcPr>
                <w:p>
                  <w:pPr>
                    <w:keepNext w:val="0"/>
                    <w:keepLines w:val="0"/>
                    <w:suppressLineNumbers w:val="0"/>
                    <w:snapToGrid w:val="0"/>
                    <w:spacing w:before="0" w:beforeAutospacing="0" w:after="0" w:afterAutospacing="0" w:line="240" w:lineRule="auto"/>
                    <w:ind w:left="0" w:right="0"/>
                    <w:jc w:val="center"/>
                    <w:rPr>
                      <w:rFonts w:ascii="Times New Roman" w:eastAsia="宋体" w:cs="Times New Roman" w:hAnsi="Times New Roman"/>
                      <w:color w:val="auto"/>
                      <w:sz w:val="21"/>
                      <w:szCs w:val="21"/>
                      <w:lang w:val="en-US" w:eastAsia="zh-CN"/>
                      <w:highlight w:val="none"/>
                    </w:rPr>
                  </w:pPr>
                  <w:r>
                    <w:rPr>
                      <w:rFonts w:ascii="Times New Roman" w:eastAsia="宋体" w:cs="Times New Roman" w:hAnsi="Times New Roman"/>
                      <w:color w:val="auto"/>
                      <w:sz w:val="21"/>
                      <w:szCs w:val="21"/>
                      <w:lang w:val="en-US" w:eastAsia="zh-CN"/>
                      <w:highlight w:val="none"/>
                    </w:rPr>
                    <w:t>经化粪池处理后</w:t>
                  </w:r>
                  <w:r>
                    <w:rPr>
                      <w:rFonts w:ascii="Times New Roman" w:eastAsia="宋体" w:cs="Times New Roman" w:hAnsi="Times New Roman" w:hint="eastAsia"/>
                      <w:color w:val="auto"/>
                      <w:sz w:val="21"/>
                      <w:szCs w:val="21"/>
                      <w:lang w:val="en-US" w:eastAsia="zh-CN"/>
                      <w:highlight w:val="none"/>
                    </w:rPr>
                    <w:t>由管网排入延津县第二污水处理厂进行处理</w:t>
                  </w:r>
                </w:p>
              </w:tc>
            </w:tr>
            <w:tr>
              <w:trPr>
                <w:trHeight w:val="397"/>
              </w:trPr>
              <w:tc>
                <w:tcPr>
                  <w:tcW w:w="1070" w:type="dxa"/>
                  <w:vMerge w:val="restart"/>
                  <w:tcBorders>
                    <w:top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highlight w:val="none"/>
                    </w:rPr>
                    <w:t>噪声</w:t>
                  </w:r>
                </w:p>
              </w:tc>
              <w:tc>
                <w:tcPr>
                  <w:tcW w:w="16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cs="Times New Roman" w:hAnsi="Times New Roman"/>
                      <w:b w:val="0"/>
                      <w:bCs/>
                      <w:color w:val="0000FF"/>
                      <w:sz w:val="21"/>
                      <w:szCs w:val="21"/>
                      <w:lang w:val="en-US" w:eastAsia="zh-CN"/>
                    </w:rPr>
                  </w:pPr>
                  <w:r>
                    <w:rPr>
                      <w:rFonts w:ascii="Times New Roman" w:cs="Times New Roman" w:hAnsi="Times New Roman"/>
                      <w:color w:val="auto"/>
                      <w:sz w:val="21"/>
                      <w:szCs w:val="21"/>
                      <w:lang w:val="en-US" w:eastAsia="zh-CN"/>
                    </w:rPr>
                    <w:t>设备</w:t>
                  </w:r>
                  <w:r>
                    <w:rPr>
                      <w:rFonts w:ascii="Times New Roman" w:eastAsia="宋体" w:cs="Times New Roman" w:hAnsi="Times New Roman"/>
                      <w:color w:val="auto"/>
                      <w:sz w:val="21"/>
                      <w:szCs w:val="21"/>
                      <w:lang w:val="en-US" w:eastAsia="zh-CN"/>
                    </w:rPr>
                    <w:t>噪声</w:t>
                  </w:r>
                </w:p>
              </w:tc>
              <w:tc>
                <w:tcPr>
                  <w:tcW w:w="1711"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eastAsia="宋体" w:cs="Times New Roman" w:hAnsi="Times New Roman"/>
                      <w:color w:val="0000FF"/>
                      <w:sz w:val="21"/>
                      <w:szCs w:val="21"/>
                    </w:rPr>
                  </w:pPr>
                  <w:r>
                    <w:rPr>
                      <w:rFonts w:ascii="Times New Roman" w:eastAsia="宋体" w:cs="Times New Roman" w:hAnsi="Times New Roman"/>
                      <w:color w:val="auto"/>
                      <w:sz w:val="21"/>
                      <w:szCs w:val="21"/>
                      <w:lang w:val="en-US" w:eastAsia="zh-CN"/>
                    </w:rPr>
                    <w:t>噪声</w:t>
                  </w:r>
                </w:p>
              </w:tc>
              <w:tc>
                <w:tcPr>
                  <w:tcW w:w="4377" w:type="dxa"/>
                  <w:tcBorders>
                    <w:top w:val="single" w:sz="4" w:space="0" w:color="auto"/>
                    <w:left w:val="single" w:sz="4" w:space="0" w:color="auto"/>
                    <w:bottom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eastAsia="宋体" w:cs="Times New Roman" w:hAnsi="Times New Roman"/>
                      <w:color w:val="0000FF"/>
                      <w:sz w:val="21"/>
                      <w:szCs w:val="21"/>
                      <w:highlight w:val="none"/>
                    </w:rPr>
                  </w:pPr>
                  <w:r>
                    <w:rPr>
                      <w:rFonts w:ascii="Times New Roman" w:eastAsia="宋体" w:cs="Times New Roman" w:hAnsi="Times New Roman"/>
                      <w:color w:val="auto"/>
                      <w:sz w:val="21"/>
                      <w:szCs w:val="21"/>
                      <w:lang w:val="en-US" w:eastAsia="zh-CN"/>
                    </w:rPr>
                    <w:t>基础减振、距离衰减</w:t>
                  </w:r>
                </w:p>
              </w:tc>
            </w:tr>
            <w:tr>
              <w:trPr>
                <w:trHeight w:val="397"/>
              </w:trPr>
              <w:tc>
                <w:tcPr>
                  <w:tcW w:w="1070" w:type="dxa"/>
                  <w:vMerge/>
                  <w:tcBorders>
                    <w:bottom w:val="single" w:sz="4" w:space="0" w:color="auto"/>
                    <w:right w:val="single" w:sz="4" w:space="0" w:color="auto"/>
                  </w:tcBorders>
                  <w:vAlign w:val="center"/>
                </w:tcPr>
                <w:p/>
              </w:tc>
              <w:tc>
                <w:tcPr>
                  <w:tcW w:w="16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eastAsia="宋体" w:cs="Times New Roman" w:hAnsi="Times New Roman"/>
                      <w:b w:val="0"/>
                      <w:bCs w:val="0"/>
                      <w:color w:val="0000FF"/>
                      <w:sz w:val="21"/>
                      <w:szCs w:val="21"/>
                      <w:u w:val="none"/>
                      <w:lang w:val="en-US" w:eastAsia="zh-CN"/>
                      <w:highlight w:val="none"/>
                    </w:rPr>
                  </w:pPr>
                  <w:r>
                    <w:rPr>
                      <w:rFonts w:ascii="Times New Roman" w:cs="Times New Roman" w:hAnsi="Times New Roman"/>
                      <w:color w:val="auto"/>
                      <w:sz w:val="21"/>
                      <w:szCs w:val="21"/>
                      <w:lang w:val="en-US" w:eastAsia="zh-CN"/>
                    </w:rPr>
                    <w:t>加油汽车</w:t>
                  </w:r>
                </w:p>
              </w:tc>
              <w:tc>
                <w:tcPr>
                  <w:tcW w:w="1711"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cs="Times New Roman" w:hAnsi="Times New Roman"/>
                      <w:color w:val="0000FF"/>
                      <w:sz w:val="21"/>
                      <w:szCs w:val="21"/>
                      <w:highlight w:val="none"/>
                    </w:rPr>
                  </w:pPr>
                  <w:r>
                    <w:rPr>
                      <w:rFonts w:ascii="Times New Roman" w:cs="Times New Roman" w:hAnsi="Times New Roman"/>
                      <w:color w:val="auto"/>
                      <w:sz w:val="21"/>
                      <w:szCs w:val="21"/>
                      <w:lang w:val="en-US" w:eastAsia="zh-CN"/>
                    </w:rPr>
                    <w:t>汽车噪声</w:t>
                  </w:r>
                </w:p>
              </w:tc>
              <w:tc>
                <w:tcPr>
                  <w:tcW w:w="4377" w:type="dxa"/>
                  <w:tcBorders>
                    <w:top w:val="single" w:sz="4" w:space="0" w:color="auto"/>
                    <w:left w:val="single" w:sz="4" w:space="0" w:color="auto"/>
                    <w:bottom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cs="Times New Roman" w:hAnsi="Times New Roman"/>
                      <w:color w:val="0000FF"/>
                      <w:sz w:val="21"/>
                      <w:szCs w:val="21"/>
                      <w:highlight w:val="none"/>
                    </w:rPr>
                  </w:pPr>
                  <w:r>
                    <w:rPr>
                      <w:rFonts w:ascii="Times New Roman" w:cs="Times New Roman" w:hAnsi="Times New Roman"/>
                      <w:sz w:val="21"/>
                      <w:szCs w:val="21"/>
                    </w:rPr>
                    <w:t>车辆进、出站速度要放缓，且禁止鸣笛等措施</w:t>
                  </w:r>
                </w:p>
              </w:tc>
            </w:tr>
            <w:tr>
              <w:trPr>
                <w:trHeight w:val="397"/>
              </w:trPr>
              <w:tc>
                <w:tcPr>
                  <w:tcW w:w="1070" w:type="dxa"/>
                  <w:vMerge w:val="restart"/>
                  <w:tcBorders>
                    <w:top w:val="single" w:sz="4"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auto"/>
                      <w:sz w:val="21"/>
                      <w:szCs w:val="21"/>
                      <w:highlight w:val="none"/>
                    </w:rPr>
                  </w:pPr>
                  <w:r>
                    <w:rPr>
                      <w:rFonts w:ascii="Times New Roman" w:cs="Times New Roman" w:hAnsi="Times New Roman"/>
                      <w:color w:val="auto"/>
                      <w:sz w:val="21"/>
                      <w:szCs w:val="21"/>
                      <w:highlight w:val="none"/>
                    </w:rPr>
                    <w:t>固废</w:t>
                  </w:r>
                </w:p>
              </w:tc>
              <w:tc>
                <w:tcPr>
                  <w:tcW w:w="163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eastAsia="宋体"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职工生活</w:t>
                  </w:r>
                </w:p>
              </w:tc>
              <w:tc>
                <w:tcPr>
                  <w:tcW w:w="1711"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line="240" w:lineRule="auto"/>
                    <w:ind w:left="0" w:right="0"/>
                    <w:contextualSpacing/>
                    <w:jc w:val="center"/>
                    <w:rPr>
                      <w:rFonts w:ascii="Times New Roman" w:cs="Times New Roman" w:hAnsi="Times New Roman"/>
                      <w:color w:val="auto"/>
                      <w:sz w:val="21"/>
                      <w:szCs w:val="21"/>
                      <w:lang w:val="en-US" w:eastAsia="zh-CN"/>
                    </w:rPr>
                  </w:pPr>
                  <w:r>
                    <w:rPr>
                      <w:rFonts w:ascii="Times New Roman" w:eastAsia="宋体" w:cs="Times New Roman" w:hAnsi="Times New Roman"/>
                      <w:color w:val="auto"/>
                      <w:sz w:val="21"/>
                      <w:szCs w:val="21"/>
                      <w:lang w:val="en-US" w:eastAsia="zh-CN"/>
                    </w:rPr>
                    <w:t>生活垃圾</w:t>
                  </w:r>
                </w:p>
              </w:tc>
              <w:tc>
                <w:tcPr>
                  <w:tcW w:w="4377" w:type="dxa"/>
                  <w:tcBorders>
                    <w:top w:val="single" w:sz="4" w:space="0" w:color="auto"/>
                    <w:left w:val="single" w:sz="4" w:space="0" w:color="auto"/>
                    <w:bottom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0000FF"/>
                      <w:sz w:val="21"/>
                      <w:szCs w:val="21"/>
                      <w:lang w:val="en-US" w:eastAsia="zh-CN"/>
                      <w:highlight w:val="none"/>
                    </w:rPr>
                  </w:pPr>
                  <w:r>
                    <w:rPr>
                      <w:rFonts w:ascii="Times New Roman" w:eastAsia="宋体" w:cs="Times New Roman" w:hAnsi="Times New Roman"/>
                      <w:sz w:val="21"/>
                      <w:szCs w:val="21"/>
                      <w:lang w:val="en-US" w:eastAsia="zh-CN"/>
                    </w:rPr>
                    <w:t>环卫部门统一收集</w:t>
                  </w:r>
                </w:p>
              </w:tc>
            </w:tr>
            <w:tr>
              <w:trPr>
                <w:trHeight w:val="397"/>
              </w:trPr>
              <w:tc>
                <w:tcPr>
                  <w:tcW w:w="1070" w:type="dxa"/>
                  <w:vMerge/>
                  <w:tcBorders>
                    <w:right w:val="single" w:sz="4" w:space="0" w:color="auto"/>
                  </w:tcBorders>
                  <w:vAlign w:val="center"/>
                </w:tcPr>
                <w:p/>
              </w:tc>
              <w:tc>
                <w:tcPr>
                  <w:tcW w:w="1637"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Times New Roman" w:eastAsia="宋体" w:cs="Times New Roman" w:hAnsi="Times New Roman"/>
                      <w:color w:val="0000FF"/>
                      <w:kern w:val="2"/>
                      <w:sz w:val="21"/>
                      <w:szCs w:val="21"/>
                      <w:lang w:val="en-US" w:eastAsia="zh-CN" w:bidi="ar-SA"/>
                      <w:highlight w:val="none"/>
                    </w:rPr>
                  </w:pPr>
                  <w:r>
                    <w:rPr>
                      <w:rFonts w:ascii="宋体" w:cs="Times New Roman" w:hAnsi="宋体" w:hint="eastAsia"/>
                      <w:color w:val="000000"/>
                      <w:sz w:val="21"/>
                      <w:szCs w:val="21"/>
                      <w:lang w:val="en-US" w:eastAsia="zh-CN"/>
                    </w:rPr>
                    <w:t>油罐清洗</w:t>
                  </w:r>
                </w:p>
              </w:tc>
              <w:tc>
                <w:tcPr>
                  <w:tcW w:w="1711" w:type="dxa"/>
                  <w:tcBorders>
                    <w:top w:val="single" w:sz="4" w:space="0" w:color="auto"/>
                    <w:left w:val="single" w:sz="4" w:space="0" w:color="auto"/>
                    <w:bottom w:val="single" w:sz="4" w:space="0" w:color="auto"/>
                    <w:right w:val="single" w:sz="4" w:space="0" w:color="auto"/>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Times New Roman" w:eastAsia="宋体" w:cs="Times New Roman" w:hAnsi="Times New Roman"/>
                      <w:color w:val="0000FF"/>
                      <w:kern w:val="2"/>
                      <w:sz w:val="21"/>
                      <w:szCs w:val="21"/>
                      <w:lang w:val="en-US" w:eastAsia="zh-CN" w:bidi="ar-SA"/>
                      <w:highlight w:val="none"/>
                    </w:rPr>
                  </w:pPr>
                  <w:r>
                    <w:rPr>
                      <w:rFonts w:ascii="宋体" w:cs="Times New Roman" w:hAnsi="宋体" w:hint="eastAsia"/>
                      <w:color w:val="000000"/>
                      <w:sz w:val="21"/>
                      <w:szCs w:val="21"/>
                      <w:lang w:val="en-US" w:eastAsia="zh-CN"/>
                    </w:rPr>
                    <w:t>油泥、油水烃混合物</w:t>
                  </w:r>
                </w:p>
              </w:tc>
              <w:tc>
                <w:tcPr>
                  <w:tcW w:w="4377" w:type="dxa"/>
                  <w:tcBorders>
                    <w:top w:val="single" w:sz="4" w:space="0" w:color="auto"/>
                    <w:left w:val="single" w:sz="4" w:space="0" w:color="auto"/>
                    <w:bottom w:val="single" w:sz="4" w:space="0" w:color="auto"/>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Times New Roman"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由有资质的专业油罐清理公司清理后直接清运处理，不在站内暂存</w:t>
                  </w:r>
                </w:p>
              </w:tc>
            </w:tr>
          </w:tbl>
          <w:p>
            <w:pPr>
              <w:keepNext w:val="0"/>
              <w:keepLines w:val="0"/>
              <w:suppressLineNumbers w:val="0"/>
              <w:adjustRightInd w:val="0"/>
              <w:snapToGrid w:val="0"/>
              <w:spacing w:before="0" w:beforeAutospacing="0" w:after="0" w:afterAutospacing="0"/>
              <w:ind w:left="0" w:right="0"/>
              <w:rPr>
                <w:bCs/>
                <w:szCs w:val="21"/>
              </w:rPr>
            </w:pPr>
          </w:p>
        </w:tc>
      </w:tr>
      <w:tr>
        <w:trPr>
          <w:trHeight w:val="4985"/>
        </w:trPr>
        <w:tc>
          <w:tcPr>
            <w:tcW w:w="731" w:type="dxa"/>
            <w:vAlign w:val="center"/>
          </w:tcPr>
          <w:p>
            <w:pPr>
              <w:pStyle w:val="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ascii="Times New Roman" w:hAnsi="Times New Roman"/>
                <w:color w:val="000000"/>
                <w:sz w:val="21"/>
                <w:szCs w:val="21"/>
                <w14:textFill>
                  <w14:solidFill>
                    <w14:srgbClr w14:val="000000"/>
                  </w14:solidFill>
                </w14:textFill>
                <w:lang w:val="en-US" w:eastAsia="zh-CN"/>
              </w:rPr>
            </w:pPr>
            <w:r>
              <w:rPr>
                <w:rFonts w:ascii="Times New Roman" w:cs="Times New Roman" w:hAnsi="Times New Roman"/>
                <w:bCs/>
                <w:color w:val="auto"/>
                <w:kern w:val="2"/>
                <w:sz w:val="24"/>
                <w:szCs w:val="24"/>
                <w:lang w:val="en-US" w:eastAsia="zh-CN"/>
              </w:rPr>
              <w:t>与项目有关的原有环境污染问题</w:t>
            </w:r>
          </w:p>
        </w:tc>
        <w:tc>
          <w:tcPr>
            <w:tcW w:w="9021"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cs="Times New Roman"/>
                <w:bCs/>
                <w:color w:val="000000"/>
                <w:sz w:val="24"/>
                <w:szCs w:val="24"/>
                <w:u w:val="single"/>
                <w:lang w:val="en-US" w:eastAsia="zh-CN"/>
                <w:highlight w:val="none"/>
              </w:rPr>
            </w:pPr>
            <w:r>
              <w:rPr>
                <w:rFonts w:ascii="Times New Roman" w:cs="Times New Roman" w:hAnsi="Times New Roman" w:hint="eastAsia"/>
                <w:bCs/>
                <w:color w:val="000000"/>
                <w:sz w:val="24"/>
                <w:szCs w:val="24"/>
                <w:u w:val="single"/>
                <w:lang w:val="en-US" w:eastAsia="zh-CN"/>
                <w:highlight w:val="none"/>
              </w:rPr>
              <w:t>本项目加油站相邻设有危险化学品停车场（在建），停车场建成后</w:t>
            </w:r>
            <w:r>
              <w:rPr>
                <w:rFonts w:ascii="Times New Roman" w:cs="Times New Roman" w:hAnsi="Times New Roman" w:hint="eastAsia"/>
                <w:bCs/>
                <w:color w:val="auto"/>
                <w:sz w:val="24"/>
                <w:szCs w:val="24"/>
                <w:u w:val="single"/>
                <w:lang w:val="en-US" w:eastAsia="zh-CN"/>
              </w:rPr>
              <w:t>加油站内设施与站外建（构）筑物的安全间距，均能满足</w:t>
            </w:r>
            <w:r>
              <w:rPr>
                <w:rFonts w:ascii="Times New Roman" w:eastAsia="宋体" w:cs="Times New Roman" w:hAnsi="Times New Roman" w:hint="eastAsia"/>
                <w:color w:val="auto"/>
                <w:sz w:val="24"/>
                <w:szCs w:val="24"/>
                <w:u w:val="single"/>
                <w:lang w:val="en-US" w:eastAsia="zh-CN"/>
                <w:highlight w:val="none"/>
              </w:rPr>
              <w:t>《汽车加油加气加氢站技术标准》（</w:t>
            </w:r>
            <w:r>
              <w:rPr>
                <w:rFonts w:ascii="Times New Roman" w:eastAsia="宋体" w:cs="Times New Roman" w:hAnsi="Times New Roman"/>
                <w:color w:val="auto"/>
                <w:sz w:val="24"/>
                <w:szCs w:val="24"/>
                <w:u w:val="single"/>
                <w:lang w:val="en-US" w:eastAsia="zh-CN"/>
                <w:highlight w:val="none"/>
              </w:rPr>
              <w:t>GB50156-2021</w:t>
            </w:r>
            <w:r>
              <w:rPr>
                <w:rFonts w:ascii="Times New Roman" w:eastAsia="宋体" w:cs="Times New Roman" w:hAnsi="Times New Roman" w:hint="eastAsia"/>
                <w:color w:val="auto"/>
                <w:sz w:val="24"/>
                <w:szCs w:val="24"/>
                <w:u w:val="single"/>
                <w:lang w:val="en-US" w:eastAsia="zh-CN"/>
                <w:highlight w:val="none"/>
              </w:rPr>
              <w:t>）和《建筑设计防火规范》（</w:t>
            </w:r>
            <w:r>
              <w:rPr>
                <w:rFonts w:ascii="Times New Roman" w:eastAsia="宋体" w:cs="Times New Roman" w:hAnsi="Times New Roman"/>
                <w:color w:val="auto"/>
                <w:sz w:val="24"/>
                <w:szCs w:val="24"/>
                <w:u w:val="single"/>
                <w:lang w:val="en-US" w:eastAsia="zh-CN"/>
                <w:highlight w:val="none"/>
              </w:rPr>
              <w:t>GB 50016-2014</w:t>
            </w:r>
            <w:r>
              <w:rPr>
                <w:rFonts w:ascii="Times New Roman" w:eastAsia="宋体" w:cs="Times New Roman" w:hAnsi="Times New Roman" w:hint="eastAsia"/>
                <w:color w:val="auto"/>
                <w:sz w:val="24"/>
                <w:szCs w:val="24"/>
                <w:u w:val="single"/>
                <w:lang w:val="en-US" w:eastAsia="zh-CN"/>
                <w:highlight w:val="none"/>
              </w:rPr>
              <w:t>（</w:t>
            </w:r>
            <w:r>
              <w:rPr>
                <w:rFonts w:ascii="Times New Roman" w:eastAsia="宋体" w:cs="Times New Roman" w:hAnsi="Times New Roman"/>
                <w:color w:val="auto"/>
                <w:sz w:val="24"/>
                <w:szCs w:val="24"/>
                <w:u w:val="single"/>
                <w:lang w:val="en-US" w:eastAsia="zh-CN"/>
                <w:highlight w:val="none"/>
              </w:rPr>
              <w:t xml:space="preserve">2018 </w:t>
            </w:r>
            <w:r>
              <w:rPr>
                <w:rFonts w:ascii="Times New Roman" w:eastAsia="宋体" w:cs="Times New Roman" w:hAnsi="Times New Roman" w:hint="eastAsia"/>
                <w:color w:val="auto"/>
                <w:sz w:val="24"/>
                <w:szCs w:val="24"/>
                <w:u w:val="single"/>
                <w:lang w:val="en-US" w:eastAsia="zh-CN"/>
                <w:highlight w:val="none"/>
              </w:rPr>
              <w:t>年版））相关要求。</w:t>
            </w:r>
          </w:p>
          <w:p>
            <w:pPr>
              <w:keepNext w:val="0"/>
              <w:keepLines w:val="0"/>
              <w:suppressLineNumbers w:val="0"/>
              <w:adjustRightInd w:val="0"/>
              <w:snapToGrid w:val="0"/>
              <w:spacing w:before="0" w:beforeAutospacing="0" w:after="0" w:afterAutospacing="0" w:line="440" w:lineRule="exact"/>
              <w:ind w:left="0" w:right="0" w:firstLineChars="200" w:firstLine="480"/>
              <w:jc w:val="both"/>
              <w:rPr>
                <w:rFonts w:cs="Times New Roman" w:hint="eastAsia"/>
                <w:bCs/>
                <w:color w:val="000000"/>
                <w:sz w:val="24"/>
                <w:szCs w:val="24"/>
                <w:lang w:val="en-US" w:eastAsia="zh-CN"/>
                <w:highlight w:val="none"/>
              </w:rPr>
            </w:pPr>
            <w:r>
              <w:rPr>
                <w:rFonts w:ascii="Times New Roman" w:cs="Times New Roman" w:hAnsi="Times New Roman" w:hint="eastAsia"/>
                <w:bCs/>
                <w:color w:val="000000"/>
                <w:sz w:val="24"/>
                <w:szCs w:val="24"/>
                <w:lang w:val="en-US" w:eastAsia="zh-CN"/>
                <w:highlight w:val="none"/>
              </w:rPr>
              <w:t>因此本项目，不存在原有环境污染问题。</w:t>
            </w:r>
          </w:p>
          <w:p>
            <w:pPr>
              <w:pStyle w:val="21"/>
              <w:keepNext w:val="0"/>
              <w:keepLines w:val="0"/>
              <w:suppressLineNumbers w:val="0"/>
              <w:spacing w:before="0" w:beforeAutospacing="0" w:after="0" w:afterAutospacing="0"/>
              <w:ind w:left="0" w:firstLine="0"/>
              <w:rPr>
                <w:lang w:val="en-US" w:eastAsia="zh-CN"/>
              </w:rPr>
            </w:pPr>
          </w:p>
        </w:tc>
      </w:tr>
    </w:tbl>
    <w:p>
      <w:pPr>
        <w:pStyle w:val="29"/>
        <w:rPr>
          <w:rFonts w:ascii="黑体" w:eastAsia="黑体" w:hAnsi="黑体" w:hint="eastAsia"/>
          <w:snapToGrid w:val="0"/>
          <w:sz w:val="36"/>
          <w:szCs w:val="36"/>
          <w:lang w:eastAsia="zh-CN"/>
        </w:rPr>
        <w:sectPr>
          <w:headerReference w:type="default" r:id="rId4"/>
          <w:footerReference w:type="default" r:id="rId5"/>
          <w:pgSz w:w="11906" w:h="16838"/>
          <w:pgMar w:top="1531" w:right="1531" w:bottom="1531" w:left="1531" w:header="851" w:footer="851" w:gutter="0"/>
          <w:pgBorders>
            <w:top w:val="none" w:sz="0" w:space="0" w:color="auto"/>
            <w:left w:val="none" w:sz="0" w:space="0" w:color="auto"/>
            <w:bottom w:val="none" w:sz="0" w:space="0" w:color="auto"/>
            <w:right w:val="none" w:sz="0" w:space="0" w:color="auto"/>
          </w:pgBorders>
          <w:pgNumType w:start="1"/>
          <w:cols w:num="1" w:space="720"/>
          <w:docGrid w:linePitch="312" w:charSpace="0"/>
        </w:sectPr>
      </w:pPr>
    </w:p>
    <w:p>
      <w:pPr>
        <w:pStyle w:val="29"/>
        <w:jc w:val="center"/>
        <w:outlineLvl w:val="0"/>
        <w:rPr>
          <w:rFonts w:ascii="黑体" w:eastAsia="黑体" w:cs="黑体" w:hAnsi="黑体" w:hint="eastAsia"/>
          <w:b w:val="0"/>
          <w:bCs w:val="0"/>
          <w:snapToGrid w:val="0"/>
          <w:sz w:val="30"/>
          <w:szCs w:val="30"/>
        </w:rPr>
      </w:pPr>
      <w:r>
        <w:rPr>
          <w:rFonts w:ascii="黑体" w:eastAsia="黑体" w:cs="黑体" w:hAnsi="黑体" w:hint="eastAsia"/>
          <w:b w:val="0"/>
          <w:bCs w:val="0"/>
          <w:snapToGrid w:val="0"/>
          <w:sz w:val="30"/>
          <w:szCs w:val="30"/>
        </w:rPr>
        <w:t>三、区域环境质量现状、环境保护目标及评价标准</w:t>
      </w:r>
    </w:p>
    <w:tbl>
      <w:tblPr>
        <w:jc w:val="center"/>
        <w:tblW w:w="96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858"/>
        <w:gridCol w:w="8781"/>
      </w:tblGrid>
      <w:tr>
        <w:trPr>
          <w:trHeight w:val="474"/>
        </w:trPr>
        <w:tc>
          <w:tcPr>
            <w:tcW w:w="8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ascii="Times New Roman" w:eastAsia="宋体" w:cs="Times New Roman" w:hAnsi="宋体" w:hint="eastAsia"/>
                <w:bCs/>
                <w:kern w:val="2"/>
                <w:sz w:val="24"/>
                <w:szCs w:val="24"/>
                <w:lang w:val="en-US" w:eastAsia="zh-CN" w:bidi="ar-SA"/>
              </w:rPr>
            </w:pPr>
            <w:r>
              <w:rPr>
                <w:rFonts w:ascii="Times New Roman" w:eastAsia="宋体" w:cs="Times New Roman" w:hAnsi="宋体" w:hint="eastAsia"/>
                <w:bCs/>
                <w:kern w:val="2"/>
                <w:sz w:val="24"/>
                <w:szCs w:val="24"/>
                <w:lang w:val="en-US" w:eastAsia="zh-CN" w:bidi="ar-SA"/>
              </w:rPr>
              <w:t>区域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ascii="Times New Roman" w:eastAsia="宋体" w:cs="Times New Roman" w:hAnsi="宋体" w:hint="eastAsia"/>
                <w:bCs/>
                <w:kern w:val="2"/>
                <w:sz w:val="24"/>
                <w:szCs w:val="24"/>
                <w:lang w:val="en-US" w:eastAsia="zh-CN" w:bidi="ar-SA"/>
              </w:rPr>
            </w:pPr>
            <w:r>
              <w:rPr>
                <w:rFonts w:ascii="Times New Roman" w:eastAsia="宋体" w:cs="Times New Roman" w:hAnsi="宋体" w:hint="eastAsia"/>
                <w:bCs/>
                <w:kern w:val="2"/>
                <w:sz w:val="24"/>
                <w:szCs w:val="24"/>
                <w:lang w:val="en-US" w:eastAsia="zh-CN" w:bidi="ar-SA"/>
              </w:rPr>
              <w:t>环境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ascii="Times New Roman" w:eastAsia="宋体" w:cs="Times New Roman" w:hAnsi="宋体" w:hint="eastAsia"/>
                <w:bCs/>
                <w:kern w:val="2"/>
                <w:sz w:val="24"/>
                <w:szCs w:val="24"/>
                <w:lang w:val="en-US" w:eastAsia="zh-CN" w:bidi="ar-SA"/>
              </w:rPr>
            </w:pPr>
            <w:r>
              <w:rPr>
                <w:rFonts w:ascii="Times New Roman" w:eastAsia="宋体" w:cs="Times New Roman" w:hAnsi="宋体" w:hint="eastAsia"/>
                <w:bCs/>
                <w:kern w:val="2"/>
                <w:sz w:val="24"/>
                <w:szCs w:val="24"/>
                <w:lang w:val="en-US" w:eastAsia="zh-CN" w:bidi="ar-SA"/>
              </w:rPr>
              <w:t>质量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Cs w:val="21"/>
              </w:rPr>
            </w:pPr>
            <w:r>
              <w:rPr>
                <w:rFonts w:ascii="Times New Roman" w:eastAsia="宋体" w:cs="Times New Roman" w:hAnsi="宋体" w:hint="eastAsia"/>
                <w:bCs/>
                <w:kern w:val="2"/>
                <w:sz w:val="24"/>
                <w:szCs w:val="24"/>
                <w:lang w:val="en-US" w:eastAsia="zh-CN" w:bidi="ar-SA"/>
              </w:rPr>
              <w:t>现状</w:t>
            </w:r>
          </w:p>
        </w:tc>
        <w:tc>
          <w:tcPr>
            <w:tcW w:w="8781" w:type="dxa"/>
            <w:vAlign w:val="center"/>
          </w:tcPr>
          <w:p>
            <w:pPr>
              <w:keepNext w:val="0"/>
              <w:keepLines w:val="0"/>
              <w:suppressLineNumbers w:val="0"/>
              <w:spacing w:before="0" w:beforeAutospacing="0" w:after="0" w:afterAutospacing="0" w:line="440" w:lineRule="exact"/>
              <w:ind w:left="0" w:right="0" w:firstLineChars="200" w:firstLine="480"/>
              <w:jc w:val="left"/>
              <w:rPr>
                <w:b/>
                <w:bCs/>
                <w:color w:val="000000"/>
                <w:sz w:val="24"/>
                <w:highlight w:val="none"/>
              </w:rPr>
            </w:pPr>
            <w:r>
              <w:rPr>
                <w:rFonts w:ascii="Times New Roman" w:cs="Times New Roman" w:hAnsi="Times New Roman"/>
                <w:b/>
                <w:bCs/>
                <w:color w:val="000000"/>
                <w:sz w:val="24"/>
                <w:szCs w:val="20"/>
                <w:highlight w:val="none"/>
              </w:rPr>
              <w:t>1</w:t>
            </w:r>
            <w:r>
              <w:rPr>
                <w:rFonts w:ascii="宋体" w:cs="Times New Roman" w:hAnsi="宋体" w:hint="eastAsia"/>
                <w:b/>
                <w:bCs/>
                <w:color w:val="000000"/>
                <w:sz w:val="24"/>
                <w:szCs w:val="20"/>
                <w:highlight w:val="none"/>
              </w:rPr>
              <w:t>、环境空气</w:t>
            </w:r>
            <w:r>
              <w:rPr>
                <w:rFonts w:ascii="Times New Roman" w:cs="Times New Roman" w:hAnsi="Times New Roman"/>
                <w:b/>
                <w:bCs/>
                <w:color w:val="000000"/>
                <w:sz w:val="24"/>
                <w:szCs w:val="20"/>
                <w:highlight w:val="none"/>
              </w:rPr>
              <w:t>质量现状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80" w:lineRule="exact"/>
              <w:ind w:left="0" w:right="0" w:firstLineChars="200" w:firstLine="480"/>
              <w:textAlignment w:val="auto"/>
              <w:rPr>
                <w:sz w:val="24"/>
                <w:szCs w:val="20"/>
              </w:rPr>
            </w:pPr>
            <w:r>
              <w:rPr>
                <w:rFonts w:ascii="Times New Roman" w:eastAsia="宋体" w:cs="Times New Roman" w:hAnsi="Times New Roman"/>
                <w:kern w:val="0"/>
                <w:sz w:val="24"/>
                <w:szCs w:val="20"/>
              </w:rPr>
              <w:t>根据大气功能区划分原则，项目所在区域为二类功能区</w:t>
            </w:r>
            <w:r>
              <w:rPr>
                <w:rFonts w:ascii="Times New Roman" w:cs="Times New Roman" w:hAnsi="Times New Roman" w:hint="eastAsia"/>
                <w:kern w:val="0"/>
                <w:sz w:val="24"/>
                <w:szCs w:val="20"/>
                <w:lang w:val="en-US" w:eastAsia="zh-CN"/>
              </w:rPr>
              <w:t>，</w:t>
            </w:r>
            <w:r>
              <w:rPr>
                <w:rFonts w:ascii="Times New Roman" w:eastAsia="宋体" w:cs="Times New Roman" w:hAnsi="Times New Roman"/>
                <w:kern w:val="0"/>
                <w:sz w:val="24"/>
                <w:szCs w:val="20"/>
              </w:rPr>
              <w:t>环境空气质量应执行《环境空气质量标准》（GB 3095-20</w:t>
            </w:r>
            <w:r>
              <w:rPr>
                <w:rFonts w:ascii="Times New Roman" w:eastAsia="宋体" w:cs="Times New Roman" w:hAnsi="Times New Roman" w:hint="eastAsia"/>
                <w:kern w:val="0"/>
                <w:sz w:val="24"/>
                <w:szCs w:val="20"/>
                <w:lang w:val="en-US" w:eastAsia="zh-CN"/>
              </w:rPr>
              <w:t>26</w:t>
            </w:r>
            <w:r>
              <w:rPr>
                <w:rFonts w:ascii="Times New Roman" w:eastAsia="宋体" w:cs="Times New Roman" w:hAnsi="Times New Roman"/>
                <w:kern w:val="0"/>
                <w:sz w:val="24"/>
                <w:szCs w:val="20"/>
              </w:rPr>
              <w:t>）</w:t>
            </w:r>
            <w:r>
              <w:rPr>
                <w:rFonts w:ascii="Times New Roman" w:eastAsia="宋体" w:cs="Times New Roman" w:hAnsi="Times New Roman"/>
                <w:kern w:val="0"/>
                <w:sz w:val="24"/>
                <w:szCs w:val="20"/>
                <w:lang w:val="en-US" w:eastAsia="zh-CN"/>
              </w:rPr>
              <w:t>过度阶段浓度限制</w:t>
            </w:r>
            <w:r>
              <w:rPr>
                <w:rFonts w:ascii="Times New Roman" w:eastAsia="宋体" w:cs="Times New Roman" w:hAnsi="Times New Roman"/>
                <w:kern w:val="0"/>
                <w:sz w:val="24"/>
                <w:szCs w:val="20"/>
              </w:rPr>
              <w:t>二级标准。根据新乡市生态环境局发布的《新乡市202</w:t>
            </w:r>
            <w:r>
              <w:rPr>
                <w:rFonts w:ascii="Times New Roman" w:cs="Times New Roman" w:hAnsi="Times New Roman" w:hint="eastAsia"/>
                <w:kern w:val="0"/>
                <w:sz w:val="24"/>
                <w:szCs w:val="20"/>
                <w:lang w:val="en-US" w:eastAsia="zh-CN"/>
              </w:rPr>
              <w:t>4</w:t>
            </w:r>
            <w:r>
              <w:rPr>
                <w:rFonts w:ascii="Times New Roman" w:eastAsia="宋体" w:cs="Times New Roman" w:hAnsi="Times New Roman"/>
                <w:kern w:val="0"/>
                <w:sz w:val="24"/>
                <w:szCs w:val="20"/>
              </w:rPr>
              <w:t>年环境质量年报》，区域空气质量现状数据如下表所示。</w:t>
            </w: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区域空气质量现状评价表</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57" w:type="dxa"/>
                <w:left w:w="108" w:type="dxa"/>
                <w:bottom w:w="57" w:type="dxa"/>
                <w:right w:w="108" w:type="dxa"/>
              </w:tblCellMar>
              <w:tblLook w:val="0600" w:firstRow="0" w:lastRow="0" w:firstColumn="0" w:lastColumn="0" w:noHBand="1" w:noVBand="1"/>
            </w:tblPr>
            <w:tblGrid>
              <w:gridCol w:w="771"/>
              <w:gridCol w:w="1850"/>
              <w:gridCol w:w="1936"/>
              <w:gridCol w:w="1720"/>
              <w:gridCol w:w="1214"/>
              <w:gridCol w:w="1051"/>
            </w:tblGrid>
            <w:tr>
              <w:trPr>
                <w:cantSplit/>
                <w:trHeight w:val="397"/>
              </w:trPr>
              <w:tc>
                <w:tcPr>
                  <w:tcW w:w="171"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b/>
                      <w:bCs/>
                      <w:color w:val="auto"/>
                      <w:sz w:val="21"/>
                      <w:szCs w:val="21"/>
                    </w:rPr>
                  </w:pPr>
                  <w:r>
                    <w:rPr>
                      <w:rFonts w:ascii="Times New Roman" w:cs="Times New Roman" w:hAnsi="宋体" w:hint="eastAsia"/>
                      <w:b/>
                      <w:bCs/>
                      <w:color w:val="auto"/>
                      <w:sz w:val="21"/>
                      <w:szCs w:val="21"/>
                    </w:rPr>
                    <w:t>污染物</w:t>
                  </w:r>
                </w:p>
              </w:tc>
              <w:tc>
                <w:tcPr>
                  <w:tcW w:w="435"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b/>
                      <w:bCs/>
                      <w:color w:val="auto"/>
                      <w:sz w:val="21"/>
                      <w:szCs w:val="21"/>
                    </w:rPr>
                  </w:pPr>
                  <w:r>
                    <w:rPr>
                      <w:rFonts w:ascii="Times New Roman" w:cs="Times New Roman" w:hAnsi="宋体" w:hint="eastAsia"/>
                      <w:b/>
                      <w:bCs/>
                      <w:color w:val="auto"/>
                      <w:sz w:val="21"/>
                      <w:szCs w:val="21"/>
                    </w:rPr>
                    <w:t>年评价指标</w:t>
                  </w:r>
                </w:p>
              </w:tc>
              <w:tc>
                <w:tcPr>
                  <w:tcW w:w="45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b/>
                      <w:bCs/>
                      <w:color w:val="auto"/>
                      <w:sz w:val="21"/>
                      <w:szCs w:val="21"/>
                    </w:rPr>
                  </w:pPr>
                  <w:r>
                    <w:rPr>
                      <w:rFonts w:ascii="Times New Roman" w:cs="Times New Roman" w:hAnsi="宋体" w:hint="eastAsia"/>
                      <w:b/>
                      <w:bCs/>
                      <w:color w:val="auto"/>
                      <w:sz w:val="21"/>
                      <w:szCs w:val="21"/>
                    </w:rPr>
                    <w:t>现状浓度</w:t>
                  </w:r>
                  <w:r>
                    <w:rPr>
                      <w:rFonts w:ascii="Times New Roman" w:cs="Times New Roman" w:hAnsi="Times New Roman"/>
                      <w:b/>
                      <w:bCs/>
                      <w:color w:val="auto"/>
                      <w:sz w:val="21"/>
                      <w:szCs w:val="21"/>
                    </w:rPr>
                    <w:t>/</w:t>
                  </w:r>
                  <w:r>
                    <w:rPr>
                      <w:rFonts w:ascii="Times New Roman" w:cs="Times New Roman" w:hAnsi="宋体" w:hint="eastAsia"/>
                      <w:b/>
                      <w:bCs/>
                      <w:color w:val="auto"/>
                      <w:sz w:val="21"/>
                      <w:szCs w:val="21"/>
                    </w:rPr>
                    <w:t>（</w:t>
                  </w:r>
                  <w:r>
                    <w:rPr>
                      <w:rFonts w:ascii="Times New Roman" w:cs="Times New Roman" w:hAnsi="Times New Roman"/>
                      <w:b/>
                      <w:bCs/>
                      <w:color w:val="auto"/>
                      <w:sz w:val="21"/>
                      <w:szCs w:val="21"/>
                    </w:rPr>
                    <w:t>μg/m</w:t>
                  </w:r>
                  <w:r>
                    <w:rPr>
                      <w:rFonts w:ascii="Times New Roman" w:cs="Times New Roman" w:hAnsi="Times New Roman"/>
                      <w:b/>
                      <w:bCs/>
                      <w:color w:val="auto"/>
                      <w:sz w:val="21"/>
                      <w:szCs w:val="21"/>
                      <w:vertAlign w:val="superscript"/>
                    </w:rPr>
                    <w:t>3</w:t>
                  </w:r>
                  <w:r>
                    <w:rPr>
                      <w:rFonts w:ascii="Times New Roman" w:cs="Times New Roman" w:hAnsi="宋体" w:hint="eastAsia"/>
                      <w:b/>
                      <w:bCs/>
                      <w:color w:val="auto"/>
                      <w:sz w:val="21"/>
                      <w:szCs w:val="21"/>
                    </w:rPr>
                    <w:t>）</w:t>
                  </w:r>
                </w:p>
              </w:tc>
              <w:tc>
                <w:tcPr>
                  <w:tcW w:w="405"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b/>
                      <w:bCs/>
                      <w:color w:val="auto"/>
                      <w:sz w:val="21"/>
                      <w:szCs w:val="21"/>
                    </w:rPr>
                  </w:pPr>
                  <w:r>
                    <w:rPr>
                      <w:rFonts w:ascii="Times New Roman" w:cs="Times New Roman" w:hAnsi="宋体" w:hint="eastAsia"/>
                      <w:b/>
                      <w:bCs/>
                      <w:color w:val="auto"/>
                      <w:sz w:val="21"/>
                      <w:szCs w:val="21"/>
                      <w:lang w:val="en-US" w:eastAsia="zh-CN"/>
                    </w:rPr>
                    <w:t>过度阶段浓度限制</w:t>
                  </w:r>
                  <w:r>
                    <w:rPr>
                      <w:rFonts w:ascii="Times New Roman" w:cs="Times New Roman" w:hAnsi="Times New Roman"/>
                      <w:b/>
                      <w:bCs/>
                      <w:color w:val="auto"/>
                      <w:sz w:val="21"/>
                      <w:szCs w:val="21"/>
                    </w:rPr>
                    <w:t>/</w:t>
                  </w:r>
                  <w:r>
                    <w:rPr>
                      <w:rFonts w:ascii="Times New Roman" w:cs="Times New Roman" w:hAnsi="宋体" w:hint="eastAsia"/>
                      <w:b/>
                      <w:bCs/>
                      <w:color w:val="auto"/>
                      <w:sz w:val="21"/>
                      <w:szCs w:val="21"/>
                    </w:rPr>
                    <w:t>（</w:t>
                  </w:r>
                  <w:r>
                    <w:rPr>
                      <w:rFonts w:ascii="Times New Roman" w:cs="Times New Roman" w:hAnsi="Times New Roman"/>
                      <w:b/>
                      <w:bCs/>
                      <w:color w:val="auto"/>
                      <w:sz w:val="21"/>
                      <w:szCs w:val="21"/>
                    </w:rPr>
                    <w:t>μg/m</w:t>
                  </w:r>
                  <w:r>
                    <w:rPr>
                      <w:rFonts w:ascii="Times New Roman" w:cs="Times New Roman" w:hAnsi="Times New Roman"/>
                      <w:b/>
                      <w:bCs/>
                      <w:color w:val="auto"/>
                      <w:sz w:val="21"/>
                      <w:szCs w:val="21"/>
                      <w:vertAlign w:val="superscript"/>
                    </w:rPr>
                    <w:t>3</w:t>
                  </w:r>
                  <w:r>
                    <w:rPr>
                      <w:rFonts w:ascii="Times New Roman" w:cs="Times New Roman" w:hAnsi="宋体" w:hint="eastAsia"/>
                      <w:b/>
                      <w:bCs/>
                      <w:color w:val="auto"/>
                      <w:sz w:val="21"/>
                      <w:szCs w:val="21"/>
                    </w:rPr>
                    <w:t>）</w:t>
                  </w:r>
                </w:p>
              </w:tc>
              <w:tc>
                <w:tcPr>
                  <w:tcW w:w="28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b/>
                      <w:bCs/>
                      <w:color w:val="auto"/>
                      <w:sz w:val="21"/>
                      <w:szCs w:val="21"/>
                    </w:rPr>
                  </w:pPr>
                  <w:r>
                    <w:rPr>
                      <w:rFonts w:ascii="Times New Roman" w:cs="Times New Roman" w:hAnsi="宋体" w:hint="eastAsia"/>
                      <w:b/>
                      <w:bCs/>
                      <w:color w:val="auto"/>
                      <w:sz w:val="21"/>
                      <w:szCs w:val="21"/>
                    </w:rPr>
                    <w:t>占标率</w:t>
                  </w:r>
                  <w:r>
                    <w:rPr>
                      <w:rFonts w:ascii="Times New Roman" w:cs="Times New Roman" w:hAnsi="Times New Roman"/>
                      <w:b/>
                      <w:bCs/>
                      <w:color w:val="auto"/>
                      <w:sz w:val="21"/>
                      <w:szCs w:val="21"/>
                    </w:rPr>
                    <w:t>%</w:t>
                  </w:r>
                </w:p>
              </w:tc>
              <w:tc>
                <w:tcPr>
                  <w:tcW w:w="247"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b/>
                      <w:bCs/>
                      <w:color w:val="auto"/>
                      <w:sz w:val="21"/>
                      <w:szCs w:val="21"/>
                    </w:rPr>
                  </w:pPr>
                  <w:r>
                    <w:rPr>
                      <w:rFonts w:ascii="Times New Roman" w:cs="Times New Roman" w:hAnsi="宋体" w:hint="eastAsia"/>
                      <w:b/>
                      <w:bCs/>
                      <w:color w:val="auto"/>
                      <w:sz w:val="21"/>
                      <w:szCs w:val="21"/>
                    </w:rPr>
                    <w:t>达标情况</w:t>
                  </w:r>
                </w:p>
              </w:tc>
            </w:tr>
            <w:tr>
              <w:trPr>
                <w:cantSplit/>
                <w:trHeight w:val="397"/>
              </w:trPr>
              <w:tc>
                <w:tcPr>
                  <w:tcW w:w="171"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PM</w:t>
                  </w:r>
                  <w:r>
                    <w:rPr>
                      <w:rFonts w:ascii="Times New Roman" w:cs="Times New Roman" w:hAnsi="Times New Roman"/>
                      <w:color w:val="auto"/>
                      <w:sz w:val="21"/>
                      <w:szCs w:val="21"/>
                      <w:vertAlign w:val="subscript"/>
                    </w:rPr>
                    <w:t>10</w:t>
                  </w:r>
                </w:p>
              </w:tc>
              <w:tc>
                <w:tcPr>
                  <w:tcW w:w="435"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宋体" w:hint="eastAsia"/>
                      <w:color w:val="auto"/>
                      <w:sz w:val="21"/>
                      <w:szCs w:val="21"/>
                    </w:rPr>
                    <w:t>年平</w:t>
                  </w:r>
                  <w:r>
                    <w:rPr>
                      <w:rFonts w:ascii="Times New Roman" w:cs="Times New Roman" w:hAnsi="Times New Roman" w:hint="eastAsia"/>
                      <w:color w:val="auto"/>
                      <w:sz w:val="21"/>
                      <w:szCs w:val="21"/>
                    </w:rPr>
                    <w:t>均质量浓度</w:t>
                  </w:r>
                </w:p>
              </w:tc>
              <w:tc>
                <w:tcPr>
                  <w:tcW w:w="45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rFonts w:eastAsia="宋体"/>
                      <w:color w:val="auto"/>
                      <w:sz w:val="21"/>
                      <w:szCs w:val="21"/>
                      <w:lang w:val="en-US" w:eastAsia="zh-CN"/>
                    </w:rPr>
                  </w:pPr>
                  <w:r>
                    <w:rPr>
                      <w:rFonts w:ascii="Times New Roman" w:cs="Times New Roman" w:hAnsi="Times New Roman" w:hint="eastAsia"/>
                      <w:color w:val="auto"/>
                      <w:kern w:val="0"/>
                      <w:sz w:val="21"/>
                      <w:szCs w:val="21"/>
                      <w:lang w:val="en-US" w:eastAsia="zh-CN"/>
                    </w:rPr>
                    <w:t>82</w:t>
                  </w:r>
                </w:p>
              </w:tc>
              <w:tc>
                <w:tcPr>
                  <w:tcW w:w="405"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rFonts w:eastAsia="宋体"/>
                      <w:color w:val="auto"/>
                      <w:sz w:val="21"/>
                      <w:szCs w:val="21"/>
                      <w:lang w:val="en-US" w:eastAsia="zh-CN"/>
                    </w:rPr>
                  </w:pPr>
                  <w:r>
                    <w:rPr>
                      <w:rFonts w:ascii="Times New Roman" w:cs="Times New Roman" w:hAnsi="Times New Roman" w:hint="eastAsia"/>
                      <w:color w:val="auto"/>
                      <w:sz w:val="21"/>
                      <w:szCs w:val="21"/>
                      <w:lang w:val="en-US" w:eastAsia="zh-CN"/>
                    </w:rPr>
                    <w:t>60</w:t>
                  </w:r>
                </w:p>
              </w:tc>
              <w:tc>
                <w:tcPr>
                  <w:tcW w:w="28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color w:val="auto"/>
                      <w:sz w:val="21"/>
                      <w:szCs w:val="21"/>
                      <w:lang w:val="en-US"/>
                    </w:rPr>
                  </w:pPr>
                  <w:r>
                    <w:rPr>
                      <w:rFonts w:ascii="Times New Roman" w:cs="Times New Roman" w:hAnsi="Times New Roman" w:hint="eastAsia"/>
                      <w:color w:val="auto"/>
                      <w:kern w:val="0"/>
                      <w:sz w:val="21"/>
                      <w:szCs w:val="21"/>
                      <w:lang w:val="en-US" w:eastAsia="zh-CN"/>
                    </w:rPr>
                    <w:t>136.7</w:t>
                  </w:r>
                </w:p>
              </w:tc>
              <w:tc>
                <w:tcPr>
                  <w:tcW w:w="247"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超标</w:t>
                  </w:r>
                </w:p>
              </w:tc>
            </w:tr>
            <w:tr>
              <w:trPr>
                <w:cantSplit/>
                <w:trHeight w:val="397"/>
              </w:trPr>
              <w:tc>
                <w:tcPr>
                  <w:tcW w:w="171"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PM</w:t>
                  </w:r>
                  <w:r>
                    <w:rPr>
                      <w:rFonts w:ascii="Times New Roman" w:cs="Times New Roman" w:hAnsi="Times New Roman"/>
                      <w:color w:val="auto"/>
                      <w:sz w:val="21"/>
                      <w:szCs w:val="21"/>
                      <w:vertAlign w:val="subscript"/>
                    </w:rPr>
                    <w:t>2.5</w:t>
                  </w:r>
                </w:p>
              </w:tc>
              <w:tc>
                <w:tcPr>
                  <w:tcW w:w="435"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宋体" w:hint="eastAsia"/>
                      <w:color w:val="auto"/>
                      <w:sz w:val="21"/>
                      <w:szCs w:val="21"/>
                    </w:rPr>
                    <w:t>年平均质量浓度</w:t>
                  </w:r>
                </w:p>
              </w:tc>
              <w:tc>
                <w:tcPr>
                  <w:tcW w:w="45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rFonts w:eastAsia="宋体"/>
                      <w:color w:val="auto"/>
                      <w:sz w:val="21"/>
                      <w:szCs w:val="21"/>
                      <w:lang w:val="en-US" w:eastAsia="zh-CN"/>
                    </w:rPr>
                  </w:pPr>
                  <w:r>
                    <w:rPr>
                      <w:rFonts w:ascii="Times New Roman" w:eastAsia="宋体" w:cs="Times New Roman" w:hAnsi="Times New Roman"/>
                      <w:color w:val="auto"/>
                      <w:kern w:val="0"/>
                      <w:sz w:val="21"/>
                      <w:szCs w:val="21"/>
                      <w:lang w:val="en-US" w:eastAsia="zh-CN"/>
                    </w:rPr>
                    <w:t>4</w:t>
                  </w:r>
                  <w:r>
                    <w:rPr>
                      <w:rFonts w:ascii="Times New Roman" w:cs="Times New Roman" w:hAnsi="Times New Roman" w:hint="eastAsia"/>
                      <w:color w:val="auto"/>
                      <w:kern w:val="0"/>
                      <w:sz w:val="21"/>
                      <w:szCs w:val="21"/>
                      <w:lang w:val="en-US" w:eastAsia="zh-CN"/>
                    </w:rPr>
                    <w:t>9</w:t>
                  </w:r>
                </w:p>
              </w:tc>
              <w:tc>
                <w:tcPr>
                  <w:tcW w:w="405"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rFonts w:eastAsia="宋体"/>
                      <w:color w:val="auto"/>
                      <w:sz w:val="21"/>
                      <w:szCs w:val="21"/>
                      <w:lang w:val="en-US" w:eastAsia="zh-CN"/>
                    </w:rPr>
                  </w:pPr>
                  <w:r>
                    <w:rPr>
                      <w:rFonts w:ascii="Times New Roman" w:cs="Times New Roman" w:hAnsi="Times New Roman" w:hint="eastAsia"/>
                      <w:color w:val="auto"/>
                      <w:sz w:val="21"/>
                      <w:szCs w:val="21"/>
                      <w:lang w:val="en-US" w:eastAsia="zh-CN"/>
                    </w:rPr>
                    <w:t>30</w:t>
                  </w:r>
                </w:p>
              </w:tc>
              <w:tc>
                <w:tcPr>
                  <w:tcW w:w="28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color w:val="auto"/>
                      <w:sz w:val="21"/>
                      <w:szCs w:val="21"/>
                      <w:lang w:val="en-US"/>
                    </w:rPr>
                  </w:pPr>
                  <w:r>
                    <w:rPr>
                      <w:rFonts w:ascii="Times New Roman" w:cs="Times New Roman" w:hAnsi="Times New Roman" w:hint="eastAsia"/>
                      <w:color w:val="auto"/>
                      <w:kern w:val="0"/>
                      <w:sz w:val="21"/>
                      <w:szCs w:val="21"/>
                      <w:lang w:val="en-US" w:eastAsia="zh-CN"/>
                    </w:rPr>
                    <w:t>163.3</w:t>
                  </w:r>
                </w:p>
              </w:tc>
              <w:tc>
                <w:tcPr>
                  <w:tcW w:w="247"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超标</w:t>
                  </w:r>
                </w:p>
              </w:tc>
            </w:tr>
            <w:tr>
              <w:trPr>
                <w:cantSplit/>
                <w:trHeight w:val="397"/>
              </w:trPr>
              <w:tc>
                <w:tcPr>
                  <w:tcW w:w="171"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SO</w:t>
                  </w:r>
                  <w:r>
                    <w:rPr>
                      <w:rFonts w:ascii="Times New Roman" w:cs="Times New Roman" w:hAnsi="Times New Roman"/>
                      <w:color w:val="auto"/>
                      <w:sz w:val="21"/>
                      <w:szCs w:val="21"/>
                      <w:vertAlign w:val="subscript"/>
                    </w:rPr>
                    <w:t>2</w:t>
                  </w:r>
                </w:p>
              </w:tc>
              <w:tc>
                <w:tcPr>
                  <w:tcW w:w="435"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宋体" w:hint="eastAsia"/>
                      <w:color w:val="auto"/>
                      <w:sz w:val="21"/>
                      <w:szCs w:val="21"/>
                    </w:rPr>
                    <w:t>年平均质量浓度</w:t>
                  </w:r>
                </w:p>
              </w:tc>
              <w:tc>
                <w:tcPr>
                  <w:tcW w:w="45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rFonts w:eastAsia="宋体"/>
                      <w:color w:val="auto"/>
                      <w:sz w:val="21"/>
                      <w:szCs w:val="21"/>
                      <w:lang w:val="en-US" w:eastAsia="zh-CN"/>
                    </w:rPr>
                  </w:pPr>
                  <w:r>
                    <w:rPr>
                      <w:rFonts w:ascii="Times New Roman" w:cs="Times New Roman" w:hAnsi="Times New Roman" w:hint="eastAsia"/>
                      <w:color w:val="auto"/>
                      <w:kern w:val="0"/>
                      <w:sz w:val="21"/>
                      <w:szCs w:val="21"/>
                      <w:lang w:val="en-US" w:eastAsia="zh-CN"/>
                    </w:rPr>
                    <w:t>8</w:t>
                  </w:r>
                </w:p>
              </w:tc>
              <w:tc>
                <w:tcPr>
                  <w:tcW w:w="405"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60</w:t>
                  </w:r>
                </w:p>
              </w:tc>
              <w:tc>
                <w:tcPr>
                  <w:tcW w:w="28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color w:val="auto"/>
                      <w:sz w:val="21"/>
                      <w:szCs w:val="21"/>
                    </w:rPr>
                  </w:pPr>
                  <w:r>
                    <w:rPr>
                      <w:rFonts w:ascii="Times New Roman" w:cs="Times New Roman" w:hAnsi="Times New Roman" w:hint="eastAsia"/>
                      <w:color w:val="auto"/>
                      <w:kern w:val="0"/>
                      <w:sz w:val="21"/>
                      <w:szCs w:val="21"/>
                      <w:lang w:val="en-US" w:eastAsia="zh-CN"/>
                    </w:rPr>
                    <w:t>13.3</w:t>
                  </w:r>
                </w:p>
              </w:tc>
              <w:tc>
                <w:tcPr>
                  <w:tcW w:w="247"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达标</w:t>
                  </w:r>
                </w:p>
              </w:tc>
            </w:tr>
            <w:tr>
              <w:trPr>
                <w:cantSplit/>
                <w:trHeight w:val="397"/>
              </w:trPr>
              <w:tc>
                <w:tcPr>
                  <w:tcW w:w="171"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NO</w:t>
                  </w:r>
                  <w:r>
                    <w:rPr>
                      <w:rFonts w:ascii="Times New Roman" w:cs="Times New Roman" w:hAnsi="Times New Roman"/>
                      <w:color w:val="auto"/>
                      <w:sz w:val="21"/>
                      <w:szCs w:val="21"/>
                      <w:vertAlign w:val="subscript"/>
                    </w:rPr>
                    <w:t>2</w:t>
                  </w:r>
                </w:p>
              </w:tc>
              <w:tc>
                <w:tcPr>
                  <w:tcW w:w="435"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宋体" w:hint="eastAsia"/>
                      <w:color w:val="auto"/>
                      <w:sz w:val="21"/>
                      <w:szCs w:val="21"/>
                    </w:rPr>
                    <w:t>年平均质量浓度</w:t>
                  </w:r>
                </w:p>
              </w:tc>
              <w:tc>
                <w:tcPr>
                  <w:tcW w:w="45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rFonts w:eastAsia="宋体"/>
                      <w:color w:val="auto"/>
                      <w:sz w:val="21"/>
                      <w:szCs w:val="21"/>
                      <w:lang w:val="en-US" w:eastAsia="zh-CN"/>
                    </w:rPr>
                  </w:pPr>
                  <w:r>
                    <w:rPr>
                      <w:rFonts w:ascii="Times New Roman" w:cs="Times New Roman" w:hAnsi="Times New Roman" w:hint="eastAsia"/>
                      <w:color w:val="auto"/>
                      <w:kern w:val="0"/>
                      <w:sz w:val="21"/>
                      <w:szCs w:val="21"/>
                      <w:lang w:val="en-US" w:eastAsia="zh-CN"/>
                    </w:rPr>
                    <w:t>27</w:t>
                  </w:r>
                </w:p>
              </w:tc>
              <w:tc>
                <w:tcPr>
                  <w:tcW w:w="405"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40</w:t>
                  </w:r>
                </w:p>
              </w:tc>
              <w:tc>
                <w:tcPr>
                  <w:tcW w:w="28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color w:val="auto"/>
                      <w:sz w:val="21"/>
                      <w:szCs w:val="21"/>
                    </w:rPr>
                  </w:pPr>
                  <w:r>
                    <w:rPr>
                      <w:rFonts w:ascii="Times New Roman" w:cs="Times New Roman" w:hAnsi="Times New Roman" w:hint="eastAsia"/>
                      <w:color w:val="auto"/>
                      <w:kern w:val="0"/>
                      <w:sz w:val="21"/>
                      <w:szCs w:val="21"/>
                      <w:lang w:val="en-US" w:eastAsia="zh-CN"/>
                    </w:rPr>
                    <w:t>67.5</w:t>
                  </w:r>
                </w:p>
              </w:tc>
              <w:tc>
                <w:tcPr>
                  <w:tcW w:w="247"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达标</w:t>
                  </w:r>
                </w:p>
              </w:tc>
            </w:tr>
            <w:tr>
              <w:trPr>
                <w:cantSplit/>
                <w:trHeight w:val="397"/>
              </w:trPr>
              <w:tc>
                <w:tcPr>
                  <w:tcW w:w="171"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CO</w:t>
                  </w:r>
                </w:p>
              </w:tc>
              <w:tc>
                <w:tcPr>
                  <w:tcW w:w="435"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eastAsia="宋体" w:hint="eastAsia"/>
                      <w:color w:val="auto"/>
                      <w:sz w:val="21"/>
                      <w:szCs w:val="21"/>
                      <w:lang w:val="en-US" w:eastAsia="zh-CN"/>
                    </w:rPr>
                  </w:pPr>
                  <w:r>
                    <w:rPr>
                      <w:rFonts w:ascii="Times New Roman" w:cs="Times New Roman" w:hAnsi="Times New Roman" w:hint="eastAsia"/>
                      <w:color w:val="auto"/>
                      <w:sz w:val="21"/>
                      <w:szCs w:val="21"/>
                      <w:lang w:val="en-US" w:eastAsia="zh-CN"/>
                    </w:rPr>
                    <w:t>日平均</w:t>
                  </w:r>
                </w:p>
              </w:tc>
              <w:tc>
                <w:tcPr>
                  <w:tcW w:w="45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lang w:val="en-US" w:eastAsia="zh-CN"/>
                    </w:rPr>
                    <w:t>1.</w:t>
                  </w:r>
                  <w:r>
                    <w:rPr>
                      <w:rFonts w:ascii="Times New Roman" w:cs="Times New Roman" w:hAnsi="Times New Roman" w:hint="eastAsia"/>
                      <w:color w:val="auto"/>
                      <w:sz w:val="21"/>
                      <w:szCs w:val="21"/>
                      <w:lang w:val="en-US" w:eastAsia="zh-CN"/>
                    </w:rPr>
                    <w:t>3</w:t>
                  </w:r>
                  <w:r>
                    <w:rPr>
                      <w:rFonts w:ascii="Times New Roman" w:eastAsia="宋体" w:cs="Times New Roman" w:hAnsi="Times New Roman"/>
                      <w:color w:val="auto"/>
                      <w:sz w:val="21"/>
                      <w:szCs w:val="21"/>
                    </w:rPr>
                    <w:t>mg/m</w:t>
                  </w:r>
                  <w:r>
                    <w:rPr>
                      <w:rFonts w:ascii="Times New Roman" w:eastAsia="宋体" w:cs="Times New Roman" w:hAnsi="Times New Roman"/>
                      <w:color w:val="auto"/>
                      <w:sz w:val="21"/>
                      <w:szCs w:val="21"/>
                      <w:vertAlign w:val="superscript"/>
                    </w:rPr>
                    <w:t>3</w:t>
                  </w:r>
                </w:p>
              </w:tc>
              <w:tc>
                <w:tcPr>
                  <w:tcW w:w="405"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4mg/m</w:t>
                  </w:r>
                  <w:r>
                    <w:rPr>
                      <w:rFonts w:ascii="Times New Roman" w:eastAsia="宋体" w:cs="Times New Roman" w:hAnsi="Times New Roman"/>
                      <w:color w:val="auto"/>
                      <w:sz w:val="21"/>
                      <w:szCs w:val="21"/>
                      <w:vertAlign w:val="superscript"/>
                    </w:rPr>
                    <w:t>3</w:t>
                  </w:r>
                </w:p>
              </w:tc>
              <w:tc>
                <w:tcPr>
                  <w:tcW w:w="28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color w:val="auto"/>
                      <w:sz w:val="21"/>
                      <w:szCs w:val="21"/>
                    </w:rPr>
                  </w:pPr>
                  <w:r>
                    <w:rPr>
                      <w:rFonts w:ascii="Times New Roman" w:cs="Times New Roman" w:hAnsi="Times New Roman" w:hint="eastAsia"/>
                      <w:color w:val="auto"/>
                      <w:kern w:val="0"/>
                      <w:sz w:val="21"/>
                      <w:szCs w:val="21"/>
                      <w:lang w:val="en-US" w:eastAsia="zh-CN"/>
                    </w:rPr>
                    <w:t>32.5</w:t>
                  </w:r>
                </w:p>
              </w:tc>
              <w:tc>
                <w:tcPr>
                  <w:tcW w:w="247"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达标</w:t>
                  </w:r>
                </w:p>
              </w:tc>
            </w:tr>
            <w:tr>
              <w:trPr>
                <w:cantSplit/>
                <w:trHeight w:val="397"/>
              </w:trPr>
              <w:tc>
                <w:tcPr>
                  <w:tcW w:w="171"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color w:val="auto"/>
                      <w:sz w:val="21"/>
                      <w:szCs w:val="21"/>
                    </w:rPr>
                  </w:pPr>
                  <w:r>
                    <w:rPr>
                      <w:rFonts w:ascii="Times New Roman" w:cs="Times New Roman" w:hAnsi="Times New Roman"/>
                      <w:color w:val="auto"/>
                      <w:sz w:val="21"/>
                      <w:szCs w:val="21"/>
                    </w:rPr>
                    <w:t>O</w:t>
                  </w:r>
                  <w:r>
                    <w:rPr>
                      <w:rFonts w:ascii="Times New Roman" w:cs="Times New Roman" w:hAnsi="Times New Roman"/>
                      <w:color w:val="auto"/>
                      <w:sz w:val="21"/>
                      <w:szCs w:val="21"/>
                      <w:vertAlign w:val="subscript"/>
                    </w:rPr>
                    <w:t>3</w:t>
                  </w:r>
                </w:p>
              </w:tc>
              <w:tc>
                <w:tcPr>
                  <w:tcW w:w="435"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eastAsia="宋体"/>
                      <w:color w:val="auto"/>
                      <w:sz w:val="21"/>
                      <w:szCs w:val="21"/>
                      <w:lang w:val="en-US" w:eastAsia="zh-CN"/>
                    </w:rPr>
                  </w:pPr>
                  <w:r>
                    <w:rPr>
                      <w:rFonts w:ascii="Times New Roman" w:cs="Times New Roman" w:hAnsi="Times New Roman" w:hint="eastAsia"/>
                      <w:color w:val="auto"/>
                      <w:sz w:val="21"/>
                      <w:szCs w:val="21"/>
                      <w:lang w:val="en-US" w:eastAsia="zh-CN"/>
                    </w:rPr>
                    <w:t>日最大8小时平均</w:t>
                  </w:r>
                </w:p>
              </w:tc>
              <w:tc>
                <w:tcPr>
                  <w:tcW w:w="45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textAlignment w:val="baseline"/>
                    <w:rPr>
                      <w:rFonts w:eastAsia="宋体"/>
                      <w:color w:val="auto"/>
                      <w:sz w:val="21"/>
                      <w:szCs w:val="21"/>
                      <w:lang w:val="en-US" w:eastAsia="zh-CN"/>
                    </w:rPr>
                  </w:pPr>
                  <w:r>
                    <w:rPr>
                      <w:rFonts w:ascii="Times New Roman" w:eastAsia="宋体" w:cs="Times New Roman" w:hAnsi="Times New Roman"/>
                      <w:color w:val="auto"/>
                      <w:kern w:val="0"/>
                      <w:sz w:val="21"/>
                      <w:szCs w:val="21"/>
                      <w:lang w:val="en-US" w:eastAsia="zh-CN"/>
                    </w:rPr>
                    <w:t>183</w:t>
                  </w:r>
                </w:p>
              </w:tc>
              <w:tc>
                <w:tcPr>
                  <w:tcW w:w="405"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160</w:t>
                  </w:r>
                </w:p>
              </w:tc>
              <w:tc>
                <w:tcPr>
                  <w:tcW w:w="286" w:type="dxa"/>
                  <w:tcBorders>
                    <w:tl2br w:val="nil"/>
                    <w:tr2bl w:val="nil"/>
                  </w:tcBorders>
                  <w:tcMar>
                    <w:left w:w="85" w:type="dxa"/>
                    <w:right w:w="85" w:type="dxa"/>
                  </w:tcMar>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contextualSpacing/>
                    <w:jc w:val="center"/>
                    <w:rPr>
                      <w:color w:val="auto"/>
                      <w:sz w:val="21"/>
                      <w:szCs w:val="21"/>
                    </w:rPr>
                  </w:pPr>
                  <w:r>
                    <w:rPr>
                      <w:rFonts w:ascii="Times New Roman" w:eastAsia="宋体" w:cs="Times New Roman" w:hAnsi="Times New Roman"/>
                      <w:color w:val="auto"/>
                      <w:kern w:val="0"/>
                      <w:sz w:val="21"/>
                      <w:szCs w:val="21"/>
                      <w:lang w:val="en-US" w:eastAsia="zh-CN"/>
                    </w:rPr>
                    <w:t>114</w:t>
                  </w:r>
                  <w:r>
                    <w:rPr>
                      <w:rFonts w:ascii="Times New Roman" w:cs="Times New Roman" w:hAnsi="Times New Roman" w:hint="eastAsia"/>
                      <w:color w:val="auto"/>
                      <w:kern w:val="0"/>
                      <w:sz w:val="21"/>
                      <w:szCs w:val="21"/>
                      <w:lang w:val="en-US" w:eastAsia="zh-CN"/>
                    </w:rPr>
                    <w:t>.4</w:t>
                  </w:r>
                </w:p>
              </w:tc>
              <w:tc>
                <w:tcPr>
                  <w:tcW w:w="247" w:type="dxa"/>
                  <w:tcBorders>
                    <w:tl2br w:val="nil"/>
                    <w:tr2bl w:val="nil"/>
                  </w:tcBorders>
                  <w:tcMar>
                    <w:left w:w="85" w:type="dxa"/>
                    <w:right w:w="85" w:type="dxa"/>
                  </w:tcMar>
                  <w:vAlign w:val="center"/>
                </w:tcPr>
                <w:p>
                  <w:pPr>
                    <w:keepNext w:val="0"/>
                    <w:keepLines w:val="0"/>
                    <w:suppressLineNumbers w:val="0"/>
                    <w:spacing w:before="0" w:beforeAutospacing="0" w:after="0" w:afterAutospacing="0" w:line="240" w:lineRule="auto"/>
                    <w:ind w:left="0" w:right="0"/>
                    <w:contextualSpacing/>
                    <w:jc w:val="center"/>
                    <w:textAlignment w:val="baseline"/>
                    <w:rPr>
                      <w:color w:val="auto"/>
                      <w:sz w:val="21"/>
                      <w:szCs w:val="21"/>
                    </w:rPr>
                  </w:pPr>
                  <w:r>
                    <w:rPr>
                      <w:rFonts w:ascii="Times New Roman" w:eastAsia="宋体" w:cs="Times New Roman" w:hAnsi="Times New Roman"/>
                      <w:color w:val="auto"/>
                      <w:sz w:val="21"/>
                      <w:szCs w:val="21"/>
                    </w:rPr>
                    <w:t>超标</w:t>
                  </w: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Chars="200" w:firstLine="480"/>
              <w:jc w:val="both"/>
              <w:rPr>
                <w:rFonts w:cs="宋体"/>
                <w:kern w:val="0"/>
                <w:sz w:val="24"/>
                <w:szCs w:val="20"/>
              </w:rPr>
            </w:pPr>
            <w:r>
              <w:rPr>
                <w:rFonts w:ascii="Times New Roman" w:eastAsia="宋体" w:cs="Times New Roman" w:hAnsi="Times New Roman"/>
                <w:color w:val="auto"/>
                <w:kern w:val="0"/>
                <w:sz w:val="24"/>
                <w:szCs w:val="20"/>
              </w:rPr>
              <w:t>由上表可知，其中PM</w:t>
            </w:r>
            <w:r>
              <w:rPr>
                <w:rFonts w:ascii="Times New Roman" w:eastAsia="宋体" w:cs="Times New Roman" w:hAnsi="Times New Roman"/>
                <w:color w:val="auto"/>
                <w:kern w:val="0"/>
                <w:sz w:val="24"/>
                <w:szCs w:val="20"/>
                <w:vertAlign w:val="subscript"/>
              </w:rPr>
              <w:t>10</w:t>
            </w:r>
            <w:r>
              <w:rPr>
                <w:rFonts w:ascii="Times New Roman" w:eastAsia="宋体" w:cs="Times New Roman" w:hAnsi="Times New Roman"/>
                <w:color w:val="auto"/>
                <w:kern w:val="0"/>
                <w:sz w:val="24"/>
                <w:szCs w:val="20"/>
              </w:rPr>
              <w:t>、PM</w:t>
            </w:r>
            <w:r>
              <w:rPr>
                <w:rFonts w:ascii="Times New Roman" w:eastAsia="宋体" w:cs="Times New Roman" w:hAnsi="Times New Roman"/>
                <w:color w:val="auto"/>
                <w:kern w:val="0"/>
                <w:sz w:val="24"/>
                <w:szCs w:val="20"/>
                <w:vertAlign w:val="subscript"/>
              </w:rPr>
              <w:t>2.5</w:t>
            </w:r>
            <w:r>
              <w:rPr>
                <w:rFonts w:ascii="Times New Roman" w:eastAsia="宋体" w:cs="Times New Roman" w:hAnsi="Times New Roman"/>
                <w:color w:val="auto"/>
                <w:kern w:val="0"/>
                <w:sz w:val="24"/>
                <w:szCs w:val="20"/>
              </w:rPr>
              <w:t>和O</w:t>
            </w:r>
            <w:r>
              <w:rPr>
                <w:rFonts w:ascii="Times New Roman" w:eastAsia="宋体" w:cs="Times New Roman" w:hAnsi="Times New Roman"/>
                <w:color w:val="auto"/>
                <w:kern w:val="0"/>
                <w:sz w:val="24"/>
                <w:szCs w:val="20"/>
                <w:vertAlign w:val="subscript"/>
              </w:rPr>
              <w:t>3</w:t>
            </w:r>
            <w:r>
              <w:rPr>
                <w:rFonts w:ascii="Times New Roman" w:eastAsia="宋体" w:cs="Times New Roman" w:hAnsi="Times New Roman"/>
                <w:color w:val="auto"/>
                <w:kern w:val="0"/>
                <w:sz w:val="24"/>
                <w:szCs w:val="20"/>
              </w:rPr>
              <w:t>均不能够满足《环境空气质量标准》（GB3095-20</w:t>
            </w:r>
            <w:r>
              <w:rPr>
                <w:rFonts w:ascii="Times New Roman" w:cs="Times New Roman" w:hAnsi="Times New Roman" w:hint="eastAsia"/>
                <w:color w:val="auto"/>
                <w:kern w:val="0"/>
                <w:sz w:val="24"/>
                <w:szCs w:val="20"/>
                <w:lang w:val="en-US" w:eastAsia="zh-CN"/>
              </w:rPr>
              <w:t>26</w:t>
            </w:r>
            <w:r>
              <w:rPr>
                <w:rFonts w:ascii="Times New Roman" w:eastAsia="宋体" w:cs="Times New Roman" w:hAnsi="Times New Roman"/>
                <w:color w:val="auto"/>
                <w:kern w:val="0"/>
                <w:sz w:val="24"/>
                <w:szCs w:val="20"/>
              </w:rPr>
              <w:t>）</w:t>
            </w:r>
            <w:r>
              <w:rPr>
                <w:rFonts w:ascii="Times New Roman" w:eastAsia="宋体" w:cs="Times New Roman" w:hAnsi="Times New Roman"/>
                <w:color w:val="auto"/>
                <w:kern w:val="0"/>
                <w:sz w:val="24"/>
                <w:szCs w:val="20"/>
                <w:lang w:val="en-US" w:eastAsia="zh-CN"/>
              </w:rPr>
              <w:t>过度阶段浓度限制</w:t>
            </w:r>
            <w:r>
              <w:rPr>
                <w:rFonts w:ascii="Times New Roman" w:eastAsia="宋体" w:cs="Times New Roman" w:hAnsi="Times New Roman"/>
                <w:color w:val="auto"/>
                <w:kern w:val="0"/>
                <w:sz w:val="24"/>
                <w:szCs w:val="20"/>
              </w:rPr>
              <w:t>二级标准要求。根据《</w:t>
            </w:r>
            <w:r>
              <w:rPr>
                <w:rFonts w:ascii="Times New Roman" w:eastAsia="宋体" w:cs="Times New Roman" w:hAnsi="Times New Roman"/>
                <w:kern w:val="0"/>
                <w:sz w:val="24"/>
                <w:szCs w:val="20"/>
              </w:rPr>
              <w:t>环境影响评价技术导则大气环境》（HJ2.2-2018），本项目所在区域属于未达标区。</w:t>
            </w:r>
          </w:p>
          <w:p>
            <w:pPr>
              <w:pStyle w:val="7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textAlignment w:val="auto"/>
              <w:rPr>
                <w:rFonts w:hAnsi="宋体" w:hint="eastAsia"/>
                <w:kern w:val="0"/>
                <w:sz w:val="24"/>
                <w:highlight w:val="none"/>
              </w:rPr>
            </w:pPr>
            <w:r>
              <w:rPr>
                <w:rFonts w:ascii="Times New Roman" w:cs="Times New Roman" w:hAnsi="Times New Roman"/>
                <w:sz w:val="24"/>
                <w:szCs w:val="20"/>
              </w:rPr>
              <w:t>目前，新乡市正在实施</w:t>
            </w:r>
            <w:r>
              <w:rPr>
                <w:rFonts w:ascii="Times New Roman" w:cs="Times New Roman" w:hAnsi="Times New Roman"/>
                <w:kern w:val="2"/>
                <w:sz w:val="24"/>
                <w:szCs w:val="24"/>
              </w:rPr>
              <w:t>《</w:t>
            </w:r>
            <w:r>
              <w:rPr>
                <w:rFonts w:ascii="Times New Roman" w:cs="Times New Roman" w:hAnsi="Times New Roman" w:hint="eastAsia"/>
                <w:kern w:val="2"/>
                <w:sz w:val="24"/>
                <w:szCs w:val="24"/>
              </w:rPr>
              <w:t>新乡市202</w:t>
            </w:r>
            <w:r>
              <w:rPr>
                <w:rFonts w:ascii="Times New Roman" w:cs="Times New Roman" w:hAnsi="Times New Roman" w:hint="eastAsia"/>
                <w:kern w:val="2"/>
                <w:sz w:val="24"/>
                <w:szCs w:val="24"/>
                <w:lang w:val="en-US" w:eastAsia="zh-CN"/>
              </w:rPr>
              <w:t>5</w:t>
            </w:r>
            <w:r>
              <w:rPr>
                <w:rFonts w:ascii="Times New Roman" w:cs="Times New Roman" w:hAnsi="Times New Roman" w:hint="eastAsia"/>
                <w:kern w:val="2"/>
                <w:sz w:val="24"/>
                <w:szCs w:val="24"/>
              </w:rPr>
              <w:t>年蓝天保卫战实施方案</w:t>
            </w:r>
            <w:r>
              <w:rPr>
                <w:rFonts w:ascii="Times New Roman" w:cs="Times New Roman" w:hAnsi="Times New Roman"/>
                <w:kern w:val="2"/>
                <w:sz w:val="24"/>
                <w:szCs w:val="24"/>
              </w:rPr>
              <w:t>》</w:t>
            </w:r>
            <w:r>
              <w:rPr>
                <w:rFonts w:ascii="Times New Roman" w:cs="Times New Roman" w:hAnsi="Times New Roman" w:hint="eastAsia"/>
                <w:kern w:val="2"/>
                <w:sz w:val="24"/>
                <w:szCs w:val="24"/>
                <w:lang w:val="en-US" w:eastAsia="zh-CN"/>
              </w:rPr>
              <w:t>和</w:t>
            </w:r>
            <w:r>
              <w:rPr>
                <w:rFonts w:ascii="Times New Roman" w:cs="Times New Roman" w:hAnsi="Times New Roman" w:hint="eastAsia"/>
                <w:b w:val="0"/>
                <w:bCs w:val="0"/>
                <w:color w:val="auto"/>
                <w:sz w:val="24"/>
                <w:szCs w:val="24"/>
                <w:lang w:val="en-US" w:eastAsia="zh-CN"/>
              </w:rPr>
              <w:t>《河南省2025年蓝天保卫战实施方案》</w:t>
            </w:r>
            <w:r>
              <w:rPr>
                <w:rFonts w:ascii="Times New Roman" w:cs="Times New Roman" w:hAnsi="Times New Roman"/>
                <w:sz w:val="24"/>
                <w:szCs w:val="20"/>
              </w:rPr>
              <w:t>等一系列措施，实施这些方案将不断改善区域大气环境质量。</w:t>
            </w:r>
            <w:r>
              <w:rPr>
                <w:rFonts w:ascii="Times New Roman" w:cs="Times New Roman" w:hAnsi="Times New Roman" w:hint="eastAsia"/>
                <w:sz w:val="24"/>
                <w:szCs w:val="24"/>
                <w:lang w:val="en-US" w:eastAsia="zh-CN"/>
              </w:rPr>
              <w:t>本项目废气排放达标，不会对区域大气环境质量造成影响。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left"/>
              <w:textAlignment w:val="auto"/>
              <w:rPr>
                <w:b/>
                <w:bCs/>
                <w:sz w:val="24"/>
                <w:highlight w:val="none"/>
              </w:rPr>
            </w:pPr>
            <w:r>
              <w:rPr>
                <w:rFonts w:ascii="Times New Roman" w:cs="Times New Roman" w:hAnsi="Times New Roman"/>
                <w:b/>
                <w:bCs/>
                <w:sz w:val="24"/>
                <w:szCs w:val="20"/>
                <w:highlight w:val="none"/>
              </w:rPr>
              <w:t>2</w:t>
            </w:r>
            <w:r>
              <w:rPr>
                <w:rFonts w:ascii="Times New Roman" w:cs="Times New Roman" w:hAnsi="宋体"/>
                <w:b/>
                <w:bCs/>
                <w:sz w:val="24"/>
                <w:szCs w:val="20"/>
                <w:highlight w:val="none"/>
              </w:rPr>
              <w:t>、地表水</w:t>
            </w:r>
            <w:r>
              <w:rPr>
                <w:rFonts w:ascii="Times New Roman" w:cs="Times New Roman" w:hAnsi="Times New Roman"/>
                <w:b/>
                <w:bCs/>
                <w:sz w:val="24"/>
                <w:szCs w:val="20"/>
                <w:highlight w:val="none"/>
              </w:rPr>
              <w:t>质量现状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rFonts w:hint="eastAsia"/>
                <w:color w:val="auto"/>
                <w:sz w:val="24"/>
                <w:highlight w:val="none"/>
              </w:rPr>
            </w:pPr>
            <w:r>
              <w:rPr>
                <w:rFonts w:ascii="Times New Roman" w:cs="Times New Roman" w:hAnsi="Times New Roman" w:hint="eastAsia"/>
                <w:color w:val="auto"/>
                <w:sz w:val="24"/>
                <w:szCs w:val="20"/>
                <w:lang w:val="en-US" w:eastAsia="zh-CN"/>
                <w:highlight w:val="none"/>
              </w:rPr>
              <w:t>本项目新增劳动定员8人，</w:t>
            </w:r>
            <w:r>
              <w:rPr>
                <w:rFonts w:ascii="Times New Roman" w:cs="Times New Roman" w:hAnsi="Times New Roman"/>
                <w:color w:val="auto"/>
                <w:sz w:val="24"/>
                <w:szCs w:val="20"/>
              </w:rPr>
              <w:t>本项目</w:t>
            </w:r>
            <w:r>
              <w:rPr>
                <w:rFonts w:ascii="Times New Roman" w:cs="Times New Roman" w:hAnsi="Times New Roman" w:hint="eastAsia"/>
                <w:color w:val="auto"/>
                <w:sz w:val="24"/>
                <w:szCs w:val="20"/>
              </w:rPr>
              <w:t>生活污水经化粪</w:t>
            </w:r>
            <w:r>
              <w:rPr>
                <w:rFonts w:ascii="Times New Roman" w:cs="Times New Roman" w:hAnsi="Times New Roman" w:hint="eastAsia"/>
                <w:sz w:val="24"/>
                <w:szCs w:val="20"/>
              </w:rPr>
              <w:t>池处理后，由管网排入延津县第二污水处理厂进行处理，处理后排入东大沙河。根据《新乡市生态环境局关于下</w:t>
            </w:r>
            <w:r>
              <w:rPr>
                <w:rFonts w:ascii="Times New Roman" w:cs="Times New Roman" w:hAnsi="Times New Roman" w:hint="eastAsia"/>
                <w:color w:val="auto"/>
                <w:sz w:val="24"/>
                <w:szCs w:val="20"/>
              </w:rPr>
              <w:t>达202</w:t>
            </w:r>
            <w:r>
              <w:rPr>
                <w:rFonts w:ascii="Times New Roman" w:cs="Times New Roman" w:hAnsi="Times New Roman" w:hint="eastAsia"/>
                <w:color w:val="auto"/>
                <w:sz w:val="24"/>
                <w:szCs w:val="20"/>
                <w:lang w:val="en-US" w:eastAsia="zh-CN"/>
              </w:rPr>
              <w:t>5</w:t>
            </w:r>
            <w:r>
              <w:rPr>
                <w:rFonts w:ascii="Times New Roman" w:cs="Times New Roman" w:hAnsi="Times New Roman" w:hint="eastAsia"/>
                <w:color w:val="auto"/>
                <w:sz w:val="24"/>
                <w:szCs w:val="20"/>
              </w:rPr>
              <w:t>年地表水环境质量目标的函》，东大沙河吴安屯</w:t>
            </w:r>
            <w:r>
              <w:rPr>
                <w:rFonts w:ascii="Times New Roman" w:cs="Times New Roman" w:hAnsi="Times New Roman"/>
                <w:color w:val="auto"/>
                <w:sz w:val="24"/>
                <w:szCs w:val="20"/>
              </w:rPr>
              <w:t>断面属于新乡市市控责任目标断面，</w:t>
            </w:r>
            <w:r>
              <w:rPr>
                <w:rFonts w:ascii="Times New Roman" w:cs="Times New Roman" w:hAnsi="Times New Roman" w:hint="eastAsia"/>
                <w:color w:val="auto"/>
                <w:sz w:val="24"/>
                <w:szCs w:val="20"/>
              </w:rPr>
              <w:t>202</w:t>
            </w:r>
            <w:r>
              <w:rPr>
                <w:rFonts w:ascii="Times New Roman" w:cs="Times New Roman" w:hAnsi="Times New Roman" w:hint="eastAsia"/>
                <w:color w:val="auto"/>
                <w:sz w:val="24"/>
                <w:szCs w:val="20"/>
                <w:lang w:val="en-US" w:eastAsia="zh-CN"/>
              </w:rPr>
              <w:t>5</w:t>
            </w:r>
            <w:r>
              <w:rPr>
                <w:rFonts w:ascii="Times New Roman" w:cs="Times New Roman" w:hAnsi="Times New Roman"/>
                <w:color w:val="auto"/>
                <w:sz w:val="24"/>
                <w:szCs w:val="20"/>
              </w:rPr>
              <w:t>年目标</w:t>
            </w:r>
            <w:r>
              <w:rPr>
                <w:rFonts w:ascii="Times New Roman" w:cs="Times New Roman" w:hAnsi="Times New Roman" w:hint="eastAsia"/>
                <w:color w:val="auto"/>
                <w:sz w:val="24"/>
                <w:szCs w:val="20"/>
              </w:rPr>
              <w:t>均</w:t>
            </w:r>
            <w:r>
              <w:rPr>
                <w:rFonts w:ascii="Times New Roman" w:cs="Times New Roman" w:hAnsi="Times New Roman"/>
                <w:color w:val="auto"/>
                <w:sz w:val="24"/>
                <w:szCs w:val="20"/>
              </w:rPr>
              <w:t>为Ⅳ类水体标准。</w:t>
            </w:r>
            <w:r>
              <w:rPr>
                <w:rFonts w:ascii="Times New Roman" w:cs="Times New Roman" w:hAnsi="Times New Roman" w:hint="eastAsia"/>
                <w:color w:val="auto"/>
                <w:sz w:val="24"/>
                <w:szCs w:val="20"/>
              </w:rPr>
              <w:t>距离本项目最近的地表水断面为东大沙河吴安屯断面，</w:t>
            </w:r>
            <w:r>
              <w:rPr>
                <w:rFonts w:ascii="Times New Roman" w:cs="Times New Roman" w:hAnsi="Times New Roman"/>
                <w:color w:val="auto"/>
                <w:sz w:val="24"/>
                <w:szCs w:val="20"/>
              </w:rPr>
              <w:t>根据</w:t>
            </w:r>
            <w:r>
              <w:rPr>
                <w:rFonts w:ascii="Times New Roman" w:cs="Times New Roman" w:hAnsi="Times New Roman" w:hint="eastAsia"/>
                <w:color w:val="auto"/>
                <w:sz w:val="24"/>
                <w:szCs w:val="20"/>
              </w:rPr>
              <w:t>新乡市地表水环境</w:t>
            </w:r>
            <w:r>
              <w:rPr>
                <w:rFonts w:ascii="Times New Roman" w:cs="Times New Roman" w:hAnsi="Times New Roman" w:hint="eastAsia"/>
                <w:sz w:val="24"/>
                <w:szCs w:val="20"/>
              </w:rPr>
              <w:t>责任目标断面水质年报，东大沙河吴安屯断面202</w:t>
            </w:r>
            <w:r>
              <w:rPr>
                <w:rFonts w:ascii="Times New Roman" w:cs="Times New Roman" w:hAnsi="Times New Roman" w:hint="eastAsia"/>
                <w:sz w:val="24"/>
                <w:szCs w:val="20"/>
                <w:lang w:val="en-US" w:eastAsia="zh-CN"/>
              </w:rPr>
              <w:t>4</w:t>
            </w:r>
            <w:r>
              <w:rPr>
                <w:rFonts w:ascii="Times New Roman" w:cs="Times New Roman" w:hAnsi="Times New Roman" w:hint="eastAsia"/>
                <w:sz w:val="24"/>
                <w:szCs w:val="20"/>
              </w:rPr>
              <w:t>年年报</w:t>
            </w:r>
            <w:r>
              <w:rPr>
                <w:rFonts w:ascii="Times New Roman" w:cs="Times New Roman" w:hAnsi="Times New Roman"/>
                <w:sz w:val="24"/>
                <w:szCs w:val="20"/>
              </w:rPr>
              <w:t>监测数据详见下表。</w:t>
            </w: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lang w:val="en-US" w:eastAsia="zh-CN"/>
              </w:rPr>
            </w:pPr>
            <w:r>
              <w:rPr>
                <w:rFonts w:ascii="Times New Roman" w:cs="Times New Roman" w:hAnsi="Times New Roman"/>
                <w:sz w:val="24"/>
                <w:szCs w:val="20"/>
                <w:lang w:val="en-US" w:eastAsia="zh-CN"/>
              </w:rPr>
              <w:t xml:space="preserve"> </w:t>
            </w:r>
            <w:r>
              <w:rPr>
                <w:rFonts w:ascii="Times New Roman" w:eastAsia="宋体" w:cs="Times New Roman" w:hAnsi="Times New Roman" w:hint="eastAsia"/>
                <w:sz w:val="24"/>
                <w:szCs w:val="20"/>
                <w:lang w:val="en-US" w:eastAsia="zh-CN"/>
              </w:rPr>
              <w:t>东大沙河吴安屯断面监测数据（2024年年均值）</w:t>
            </w:r>
            <w:r>
              <w:rPr>
                <w:rFonts w:ascii="Times New Roman" w:eastAsia="宋体" w:cs="Times New Roman" w:hAnsi="Times New Roman"/>
                <w:sz w:val="24"/>
                <w:szCs w:val="20"/>
                <w:lang w:val="en-US" w:eastAsia="zh-CN"/>
              </w:rPr>
              <w:t xml:space="preserve">  单位（mg/L）</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2129"/>
              <w:gridCol w:w="2137"/>
              <w:gridCol w:w="2141"/>
              <w:gridCol w:w="2134"/>
            </w:tblGrid>
            <w:tr>
              <w:trPr>
                <w:trHeight w:val="397"/>
              </w:trPr>
              <w:tc>
                <w:tcPr>
                  <w:tcW w:w="1246"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vertAlign w:val="baseline"/>
                    </w:rPr>
                  </w:pPr>
                  <w:r>
                    <w:rPr>
                      <w:rFonts w:hAnsi="宋体"/>
                      <w:b/>
                      <w:color w:val="auto"/>
                      <w:sz w:val="21"/>
                      <w:szCs w:val="21"/>
                      <w:lang w:val="en-US" w:eastAsia="zh-CN" w:bidi="ar-SA"/>
                      <w:highlight w:val="none"/>
                    </w:rPr>
                    <w:t>监测因子</w:t>
                  </w:r>
                </w:p>
              </w:tc>
              <w:tc>
                <w:tcPr>
                  <w:tcW w:w="1251" w:type="pct"/>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rFonts w:hint="eastAsia"/>
                      <w:color w:val="auto"/>
                      <w:sz w:val="21"/>
                      <w:szCs w:val="21"/>
                      <w:vertAlign w:val="baseline"/>
                    </w:rPr>
                  </w:pPr>
                  <w:r>
                    <w:rPr>
                      <w:rFonts w:hint="eastAsia"/>
                      <w:b/>
                      <w:color w:val="auto"/>
                      <w:sz w:val="21"/>
                      <w:szCs w:val="21"/>
                      <w:lang w:val="en-US" w:eastAsia="zh-CN" w:bidi="ar-SA"/>
                    </w:rPr>
                    <w:t>C</w:t>
                  </w:r>
                  <w:r>
                    <w:rPr>
                      <w:b/>
                      <w:color w:val="auto"/>
                      <w:sz w:val="21"/>
                      <w:szCs w:val="21"/>
                      <w:lang w:val="en-US" w:eastAsia="zh-CN" w:bidi="ar-SA"/>
                    </w:rPr>
                    <w:t>OD</w:t>
                  </w:r>
                </w:p>
              </w:tc>
              <w:tc>
                <w:tcPr>
                  <w:tcW w:w="1253" w:type="pct"/>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rFonts w:hint="eastAsia"/>
                      <w:color w:val="auto"/>
                      <w:sz w:val="21"/>
                      <w:szCs w:val="21"/>
                      <w:vertAlign w:val="baseline"/>
                    </w:rPr>
                  </w:pPr>
                  <w:r>
                    <w:rPr>
                      <w:b/>
                      <w:color w:val="auto"/>
                      <w:sz w:val="21"/>
                      <w:szCs w:val="21"/>
                      <w:lang w:val="en-US" w:eastAsia="zh-CN" w:bidi="ar-SA"/>
                    </w:rPr>
                    <w:t>NH</w:t>
                  </w:r>
                  <w:r>
                    <w:rPr>
                      <w:b/>
                      <w:color w:val="auto"/>
                      <w:sz w:val="21"/>
                      <w:szCs w:val="21"/>
                      <w:vertAlign w:val="subscript"/>
                      <w:lang w:val="en-US" w:eastAsia="zh-CN" w:bidi="ar-SA"/>
                    </w:rPr>
                    <w:t>3</w:t>
                  </w:r>
                  <w:r>
                    <w:rPr>
                      <w:b/>
                      <w:color w:val="auto"/>
                      <w:sz w:val="21"/>
                      <w:szCs w:val="21"/>
                      <w:lang w:val="en-US" w:eastAsia="zh-CN" w:bidi="ar-SA"/>
                    </w:rPr>
                    <w:t>-</w:t>
                  </w:r>
                  <w:r>
                    <w:rPr>
                      <w:rFonts w:hint="eastAsia"/>
                      <w:b/>
                      <w:color w:val="auto"/>
                      <w:sz w:val="21"/>
                      <w:szCs w:val="21"/>
                      <w:lang w:val="en-US" w:eastAsia="zh-CN" w:bidi="ar-SA"/>
                    </w:rPr>
                    <w:t>N</w:t>
                  </w:r>
                </w:p>
              </w:tc>
              <w:tc>
                <w:tcPr>
                  <w:tcW w:w="1249" w:type="pct"/>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rFonts w:hint="eastAsia"/>
                      <w:color w:val="auto"/>
                      <w:sz w:val="21"/>
                      <w:szCs w:val="21"/>
                      <w:vertAlign w:val="baseline"/>
                    </w:rPr>
                  </w:pPr>
                  <w:r>
                    <w:rPr>
                      <w:b/>
                      <w:color w:val="auto"/>
                      <w:sz w:val="21"/>
                      <w:szCs w:val="21"/>
                      <w:lang w:val="en-US" w:eastAsia="zh-CN" w:bidi="ar-SA"/>
                    </w:rPr>
                    <w:t>TP</w:t>
                  </w:r>
                </w:p>
              </w:tc>
            </w:tr>
            <w:tr>
              <w:trPr>
                <w:trHeight w:val="397"/>
              </w:trPr>
              <w:tc>
                <w:tcPr>
                  <w:tcW w:w="1246"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vertAlign w:val="baseline"/>
                    </w:rPr>
                  </w:pPr>
                  <w:r>
                    <w:rPr>
                      <w:rFonts w:hAnsi="宋体"/>
                      <w:color w:val="auto"/>
                      <w:sz w:val="21"/>
                      <w:szCs w:val="21"/>
                      <w:lang w:val="en-US" w:eastAsia="zh-CN" w:bidi="ar-SA"/>
                      <w:highlight w:val="none"/>
                    </w:rPr>
                    <w:t>监测数据</w:t>
                  </w:r>
                </w:p>
              </w:tc>
              <w:tc>
                <w:tcPr>
                  <w:tcW w:w="5000" w:type="pct"/>
                  <w:tcBorders>
                    <w:tl2br w:val="nil"/>
                    <w:tr2bl w:val="nil"/>
                  </w:tcBorders>
                  <w:vAlign w:val="center"/>
                </w:tcPr>
                <w:p>
                  <w:pPr>
                    <w:keepNext w:val="0"/>
                    <w:keepLines w:val="0"/>
                    <w:suppressLineNumbers w:val="0"/>
                    <w:adjustRightInd w:val="0"/>
                    <w:snapToGrid w:val="0"/>
                    <w:spacing w:before="0" w:beforeAutospacing="0" w:after="0" w:afterAutospacing="0"/>
                    <w:ind w:left="0" w:right="0"/>
                    <w:jc w:val="center"/>
                    <w:rPr>
                      <w:color w:val="auto"/>
                      <w:sz w:val="21"/>
                      <w:szCs w:val="21"/>
                      <w:vertAlign w:val="baseline"/>
                      <w:lang w:val="en-US"/>
                    </w:rPr>
                  </w:pPr>
                  <w:r>
                    <w:rPr>
                      <w:rFonts w:hint="eastAsia"/>
                      <w:sz w:val="21"/>
                      <w:szCs w:val="21"/>
                      <w:lang w:val="en-US" w:eastAsia="zh-CN" w:bidi="ar-SA"/>
                    </w:rPr>
                    <w:t>25.6</w:t>
                  </w:r>
                </w:p>
              </w:tc>
              <w:tc>
                <w:tcPr>
                  <w:tcW w:w="5000" w:type="pct"/>
                  <w:tcBorders>
                    <w:tl2br w:val="nil"/>
                    <w:tr2bl w:val="nil"/>
                  </w:tcBorders>
                  <w:vAlign w:val="center"/>
                </w:tcPr>
                <w:p>
                  <w:pPr>
                    <w:keepNext w:val="0"/>
                    <w:keepLines w:val="0"/>
                    <w:suppressLineNumbers w:val="0"/>
                    <w:spacing w:before="0" w:beforeAutospacing="0" w:after="0" w:afterAutospacing="0"/>
                    <w:ind w:left="0" w:right="0"/>
                    <w:jc w:val="center"/>
                    <w:rPr>
                      <w:color w:val="auto"/>
                      <w:sz w:val="21"/>
                      <w:szCs w:val="21"/>
                      <w:vertAlign w:val="baseline"/>
                      <w:lang w:val="en-US"/>
                    </w:rPr>
                  </w:pPr>
                  <w:r>
                    <w:rPr>
                      <w:rFonts w:hint="eastAsia"/>
                      <w:sz w:val="21"/>
                      <w:szCs w:val="21"/>
                      <w:lang w:val="en-US" w:eastAsia="zh-CN" w:bidi="ar-SA"/>
                    </w:rPr>
                    <w:t>0.6</w:t>
                  </w:r>
                </w:p>
              </w:tc>
              <w:tc>
                <w:tcPr>
                  <w:tcW w:w="5000" w:type="pct"/>
                  <w:tcBorders>
                    <w:tl2br w:val="nil"/>
                    <w:tr2bl w:val="nil"/>
                  </w:tcBorders>
                  <w:vAlign w:val="center"/>
                </w:tcPr>
                <w:p>
                  <w:pPr>
                    <w:keepNext w:val="0"/>
                    <w:keepLines w:val="0"/>
                    <w:suppressLineNumbers w:val="0"/>
                    <w:spacing w:before="0" w:beforeAutospacing="0" w:after="0" w:afterAutospacing="0"/>
                    <w:ind w:left="0" w:right="0"/>
                    <w:jc w:val="center"/>
                    <w:rPr>
                      <w:color w:val="auto"/>
                      <w:sz w:val="21"/>
                      <w:szCs w:val="21"/>
                      <w:vertAlign w:val="baseline"/>
                      <w:lang w:val="en-US"/>
                    </w:rPr>
                  </w:pPr>
                  <w:r>
                    <w:rPr>
                      <w:rFonts w:hint="eastAsia"/>
                      <w:sz w:val="21"/>
                      <w:szCs w:val="21"/>
                      <w:lang w:val="en-US" w:eastAsia="zh-CN" w:bidi="ar-SA"/>
                    </w:rPr>
                    <w:t>0.17</w:t>
                  </w:r>
                </w:p>
              </w:tc>
            </w:tr>
            <w:tr>
              <w:trPr>
                <w:trHeight w:val="397"/>
              </w:trPr>
              <w:tc>
                <w:tcPr>
                  <w:tcW w:w="1246"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vertAlign w:val="baseline"/>
                    </w:rPr>
                  </w:pPr>
                  <w:r>
                    <w:rPr>
                      <w:rFonts w:hAnsi="宋体"/>
                      <w:color w:val="auto"/>
                      <w:sz w:val="21"/>
                      <w:szCs w:val="21"/>
                      <w:lang w:val="en-US" w:eastAsia="zh-CN" w:bidi="ar-SA"/>
                      <w:highlight w:val="none"/>
                    </w:rPr>
                    <w:t>执行标准</w:t>
                  </w:r>
                </w:p>
              </w:tc>
              <w:tc>
                <w:tcPr>
                  <w:tcW w:w="5000" w:type="pct"/>
                  <w:tcBorders>
                    <w:tl2br w:val="nil"/>
                    <w:tr2bl w:val="nil"/>
                  </w:tcBorders>
                  <w:vAlign w:val="center"/>
                </w:tcPr>
                <w:p>
                  <w:pPr>
                    <w:keepNext w:val="0"/>
                    <w:keepLines w:val="0"/>
                    <w:suppressLineNumbers w:val="0"/>
                    <w:spacing w:before="0" w:beforeAutospacing="0" w:after="0" w:afterAutospacing="0"/>
                    <w:ind w:left="0" w:right="0"/>
                    <w:jc w:val="center"/>
                    <w:rPr>
                      <w:color w:val="auto"/>
                      <w:sz w:val="21"/>
                      <w:szCs w:val="21"/>
                      <w:vertAlign w:val="baseline"/>
                      <w:lang w:val="en-US"/>
                    </w:rPr>
                  </w:pPr>
                  <w:r>
                    <w:rPr>
                      <w:rFonts w:hint="eastAsia"/>
                      <w:sz w:val="21"/>
                      <w:szCs w:val="21"/>
                      <w:lang w:val="en-US" w:eastAsia="zh-CN" w:bidi="ar-SA"/>
                    </w:rPr>
                    <w:t>30</w:t>
                  </w:r>
                </w:p>
              </w:tc>
              <w:tc>
                <w:tcPr>
                  <w:tcW w:w="5000" w:type="pct"/>
                  <w:tcBorders>
                    <w:tl2br w:val="nil"/>
                    <w:tr2bl w:val="nil"/>
                  </w:tcBorders>
                  <w:vAlign w:val="center"/>
                </w:tcPr>
                <w:p>
                  <w:pPr>
                    <w:keepNext w:val="0"/>
                    <w:keepLines w:val="0"/>
                    <w:suppressLineNumbers w:val="0"/>
                    <w:spacing w:before="0" w:beforeAutospacing="0" w:after="0" w:afterAutospacing="0"/>
                    <w:ind w:left="0" w:right="0"/>
                    <w:jc w:val="center"/>
                    <w:rPr>
                      <w:rFonts w:eastAsia="宋体"/>
                      <w:color w:val="auto"/>
                      <w:sz w:val="21"/>
                      <w:szCs w:val="21"/>
                      <w:vertAlign w:val="baseline"/>
                      <w:lang w:val="en-US" w:eastAsia="zh-CN"/>
                    </w:rPr>
                  </w:pPr>
                  <w:r>
                    <w:rPr>
                      <w:rFonts w:hint="eastAsia"/>
                      <w:sz w:val="21"/>
                      <w:szCs w:val="21"/>
                      <w:lang w:val="en-US" w:eastAsia="zh-CN" w:bidi="ar-SA"/>
                    </w:rPr>
                    <w:t>1.5</w:t>
                  </w:r>
                </w:p>
              </w:tc>
              <w:tc>
                <w:tcPr>
                  <w:tcW w:w="5000" w:type="pct"/>
                  <w:tcBorders>
                    <w:tl2br w:val="nil"/>
                    <w:tr2bl w:val="nil"/>
                  </w:tcBorders>
                  <w:vAlign w:val="center"/>
                </w:tcPr>
                <w:p>
                  <w:pPr>
                    <w:keepNext w:val="0"/>
                    <w:keepLines w:val="0"/>
                    <w:suppressLineNumbers w:val="0"/>
                    <w:spacing w:before="0" w:beforeAutospacing="0" w:after="0" w:afterAutospacing="0"/>
                    <w:ind w:left="0" w:right="0"/>
                    <w:jc w:val="center"/>
                    <w:rPr>
                      <w:rFonts w:eastAsia="宋体"/>
                      <w:color w:val="auto"/>
                      <w:sz w:val="21"/>
                      <w:szCs w:val="21"/>
                      <w:vertAlign w:val="baseline"/>
                      <w:lang w:val="en-US" w:eastAsia="zh-CN"/>
                    </w:rPr>
                  </w:pPr>
                  <w:r>
                    <w:rPr>
                      <w:rFonts w:hint="eastAsia"/>
                      <w:sz w:val="21"/>
                      <w:szCs w:val="21"/>
                      <w:lang w:val="en-US" w:eastAsia="zh-CN" w:bidi="ar-SA"/>
                    </w:rPr>
                    <w:t>0.3</w:t>
                  </w:r>
                </w:p>
              </w:tc>
            </w:tr>
            <w:tr>
              <w:trPr>
                <w:trHeight w:val="397"/>
              </w:trPr>
              <w:tc>
                <w:tcPr>
                  <w:tcW w:w="1246" w:type="pc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color w:val="auto"/>
                      <w:sz w:val="21"/>
                      <w:szCs w:val="21"/>
                      <w:vertAlign w:val="baseline"/>
                    </w:rPr>
                  </w:pPr>
                  <w:r>
                    <w:rPr>
                      <w:rFonts w:hAnsi="宋体"/>
                      <w:color w:val="auto"/>
                      <w:sz w:val="21"/>
                      <w:szCs w:val="21"/>
                      <w:lang w:val="en-US" w:eastAsia="zh-CN" w:bidi="ar-SA"/>
                      <w:highlight w:val="none"/>
                    </w:rPr>
                    <w:t>达标情况</w:t>
                  </w:r>
                </w:p>
              </w:tc>
              <w:tc>
                <w:tcPr>
                  <w:tcW w:w="5000" w:type="pct"/>
                  <w:tcBorders>
                    <w:tl2br w:val="nil"/>
                    <w:tr2bl w:val="nil"/>
                  </w:tcBorders>
                  <w:vAlign w:val="center"/>
                </w:tcPr>
                <w:p>
                  <w:pPr>
                    <w:keepNext w:val="0"/>
                    <w:keepLines w:val="0"/>
                    <w:suppressLineNumbers w:val="0"/>
                    <w:spacing w:before="0" w:beforeAutospacing="0" w:after="0" w:afterAutospacing="0"/>
                    <w:ind w:left="0" w:right="0"/>
                    <w:jc w:val="center"/>
                    <w:rPr>
                      <w:rFonts w:hint="eastAsia"/>
                      <w:color w:val="auto"/>
                      <w:sz w:val="21"/>
                      <w:szCs w:val="21"/>
                      <w:vertAlign w:val="baseline"/>
                    </w:rPr>
                  </w:pPr>
                  <w:r>
                    <w:rPr>
                      <w:rFonts w:hint="eastAsia"/>
                      <w:sz w:val="21"/>
                      <w:szCs w:val="21"/>
                      <w:lang w:val="en-US" w:eastAsia="zh-CN" w:bidi="ar-SA"/>
                    </w:rPr>
                    <w:t>达标</w:t>
                  </w:r>
                </w:p>
              </w:tc>
              <w:tc>
                <w:tcPr>
                  <w:tcW w:w="5000" w:type="pct"/>
                  <w:tcBorders>
                    <w:tl2br w:val="nil"/>
                    <w:tr2bl w:val="nil"/>
                  </w:tcBorders>
                  <w:vAlign w:val="center"/>
                </w:tcPr>
                <w:p>
                  <w:pPr>
                    <w:keepNext w:val="0"/>
                    <w:keepLines w:val="0"/>
                    <w:suppressLineNumbers w:val="0"/>
                    <w:spacing w:before="0" w:beforeAutospacing="0" w:after="0" w:afterAutospacing="0"/>
                    <w:ind w:left="0" w:right="0"/>
                    <w:jc w:val="center"/>
                    <w:rPr>
                      <w:rFonts w:hint="eastAsia"/>
                      <w:color w:val="auto"/>
                      <w:sz w:val="21"/>
                      <w:szCs w:val="21"/>
                      <w:vertAlign w:val="baseline"/>
                    </w:rPr>
                  </w:pPr>
                  <w:r>
                    <w:rPr>
                      <w:rFonts w:hint="eastAsia"/>
                      <w:sz w:val="21"/>
                      <w:szCs w:val="21"/>
                      <w:lang w:val="en-US" w:eastAsia="zh-CN" w:bidi="ar-SA"/>
                    </w:rPr>
                    <w:t>达标</w:t>
                  </w:r>
                </w:p>
              </w:tc>
              <w:tc>
                <w:tcPr>
                  <w:tcW w:w="5000" w:type="pct"/>
                  <w:tcBorders>
                    <w:tl2br w:val="nil"/>
                    <w:tr2bl w:val="nil"/>
                  </w:tcBorders>
                  <w:vAlign w:val="center"/>
                </w:tcPr>
                <w:p>
                  <w:pPr>
                    <w:keepNext w:val="0"/>
                    <w:keepLines w:val="0"/>
                    <w:suppressLineNumbers w:val="0"/>
                    <w:spacing w:before="0" w:beforeAutospacing="0" w:after="0" w:afterAutospacing="0"/>
                    <w:ind w:left="0" w:right="0"/>
                    <w:jc w:val="center"/>
                    <w:rPr>
                      <w:rFonts w:hint="eastAsia"/>
                      <w:color w:val="auto"/>
                      <w:sz w:val="21"/>
                      <w:szCs w:val="21"/>
                      <w:vertAlign w:val="baseline"/>
                    </w:rPr>
                  </w:pPr>
                  <w:r>
                    <w:rPr>
                      <w:rFonts w:hint="eastAsia"/>
                      <w:sz w:val="21"/>
                      <w:szCs w:val="21"/>
                      <w:lang w:val="en-US" w:eastAsia="zh-CN" w:bidi="ar-SA"/>
                    </w:rPr>
                    <w:t>达标</w:t>
                  </w:r>
                </w:p>
              </w:tc>
            </w:tr>
          </w:tbl>
          <w:p>
            <w:pPr>
              <w:keepNext w:val="0"/>
              <w:keepLines w:val="0"/>
              <w:suppressLineNumbers w:val="0"/>
              <w:adjustRightInd w:val="0"/>
              <w:snapToGrid w:val="0"/>
              <w:spacing w:before="0" w:beforeAutospacing="0" w:after="0" w:afterAutospacing="0" w:line="440" w:lineRule="exact"/>
              <w:ind w:left="0" w:right="0" w:firstLineChars="200" w:firstLine="480"/>
              <w:jc w:val="both"/>
              <w:rPr>
                <w:rFonts w:ascii="Times New Roman" w:eastAsia="宋体" w:cs="Times New Roman" w:hAnsi="Times New Roman"/>
                <w:color w:val="000000"/>
                <w:sz w:val="24"/>
                <w:highlight w:val="red"/>
              </w:rPr>
            </w:pPr>
            <w:r>
              <w:rPr>
                <w:rFonts w:ascii="Times New Roman" w:cs="Times New Roman" w:hAnsi="Times New Roman" w:hint="eastAsia"/>
                <w:color w:val="auto"/>
                <w:sz w:val="24"/>
                <w:szCs w:val="20"/>
              </w:rPr>
              <w:t>由上表可知，</w:t>
            </w:r>
            <w:r>
              <w:rPr>
                <w:rFonts w:ascii="Times New Roman" w:cs="Times New Roman" w:hAnsi="Times New Roman" w:hint="eastAsia"/>
                <w:color w:val="auto"/>
                <w:sz w:val="24"/>
                <w:szCs w:val="20"/>
                <w:lang w:val="en-US" w:eastAsia="zh-CN"/>
              </w:rPr>
              <w:t>2024年</w:t>
            </w:r>
            <w:r>
              <w:rPr>
                <w:rFonts w:ascii="Times New Roman" w:cs="Times New Roman" w:hAnsi="Times New Roman" w:hint="eastAsia"/>
                <w:color w:val="auto"/>
                <w:sz w:val="24"/>
                <w:szCs w:val="20"/>
              </w:rPr>
              <w:t>COD、NH</w:t>
            </w:r>
            <w:r>
              <w:rPr>
                <w:rFonts w:ascii="Times New Roman" w:cs="Times New Roman" w:hAnsi="Times New Roman" w:hint="eastAsia"/>
                <w:color w:val="auto"/>
                <w:sz w:val="24"/>
                <w:szCs w:val="20"/>
                <w:vertAlign w:val="subscript"/>
              </w:rPr>
              <w:t>3</w:t>
            </w:r>
            <w:r>
              <w:rPr>
                <w:rFonts w:ascii="Times New Roman" w:cs="Times New Roman" w:hAnsi="Times New Roman" w:hint="eastAsia"/>
                <w:color w:val="auto"/>
                <w:sz w:val="24"/>
                <w:szCs w:val="20"/>
              </w:rPr>
              <w:t>-N、TP的监测数据符合《地表水环境质量标准》（GB3838-2002）Ⅳ类标准。</w:t>
            </w:r>
          </w:p>
          <w:p>
            <w:pPr>
              <w:keepNext w:val="0"/>
              <w:keepLines w:val="0"/>
              <w:suppressLineNumbers w:val="0"/>
              <w:adjustRightInd w:val="0"/>
              <w:snapToGrid w:val="0"/>
              <w:spacing w:before="0" w:beforeAutospacing="0" w:after="0" w:afterAutospacing="0" w:line="440" w:lineRule="exact"/>
              <w:ind w:left="0" w:right="0" w:firstLineChars="199" w:firstLine="478"/>
              <w:jc w:val="left"/>
              <w:rPr>
                <w:rFonts w:eastAsia="宋体" w:hint="eastAsia"/>
                <w:b/>
                <w:color w:val="auto"/>
                <w:sz w:val="24"/>
                <w:lang w:val="en-US" w:eastAsia="zh-CN"/>
                <w:highlight w:val="none"/>
              </w:rPr>
            </w:pPr>
            <w:r>
              <w:rPr>
                <w:rFonts w:ascii="Times New Roman" w:cs="Times New Roman" w:hAnsi="Times New Roman" w:hint="eastAsia"/>
                <w:b/>
                <w:color w:val="auto"/>
                <w:sz w:val="24"/>
                <w:szCs w:val="20"/>
                <w:highlight w:val="none"/>
              </w:rPr>
              <w:t>3</w:t>
            </w:r>
            <w:r>
              <w:rPr>
                <w:rFonts w:ascii="Times New Roman" w:cs="Times New Roman" w:hAnsi="Times New Roman"/>
                <w:b/>
                <w:color w:val="auto"/>
                <w:sz w:val="24"/>
                <w:szCs w:val="20"/>
                <w:highlight w:val="none"/>
              </w:rPr>
              <w:t>、声环境</w:t>
            </w:r>
            <w:r>
              <w:rPr>
                <w:rFonts w:ascii="Times New Roman" w:cs="Times New Roman" w:hAnsi="Times New Roman" w:hint="eastAsia"/>
                <w:b/>
                <w:color w:val="auto"/>
                <w:sz w:val="24"/>
                <w:szCs w:val="20"/>
                <w:lang w:val="en-US" w:eastAsia="zh-CN"/>
                <w:highlight w:val="none"/>
              </w:rPr>
              <w:t>现状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000000"/>
                <w:sz w:val="24"/>
                <w:lang w:val="pt-BR" w:eastAsia="zh-CN"/>
                <w:highlight w:val="none"/>
              </w:rPr>
            </w:pPr>
            <w:r>
              <w:rPr>
                <w:rFonts w:ascii="Times New Roman" w:eastAsia="宋体" w:cs="Times New Roman" w:hAnsi="Times New Roman" w:hint="eastAsia"/>
                <w:color w:val="000000"/>
                <w:sz w:val="24"/>
                <w:szCs w:val="20"/>
                <w:lang w:val="pt-BR"/>
                <w:highlight w:val="none"/>
              </w:rPr>
              <w:t>根据《建设项目环境影响报告表编制技术指南（污染影响类）（试行）》，本项目厂界外周边50米范围内不存在声环境保护目标，因此不进行声环境质量现状调查</w:t>
            </w:r>
            <w:r>
              <w:rPr>
                <w:rFonts w:ascii="Times New Roman" w:eastAsia="宋体" w:cs="Times New Roman" w:hAnsi="Times New Roman" w:hint="eastAsia"/>
                <w:color w:val="000000"/>
                <w:sz w:val="24"/>
                <w:szCs w:val="20"/>
                <w:lang w:val="pt-BR" w:eastAsia="zh-CN"/>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hint="eastAsia"/>
                <w:lang w:val="en-US" w:eastAsia="zh-CN"/>
                <w:highlight w:val="none"/>
              </w:rPr>
            </w:pPr>
            <w:r>
              <w:rPr>
                <w:rFonts w:ascii="Times New Roman" w:eastAsia="宋体" w:cs="Times New Roman" w:hAnsi="Times New Roman"/>
                <w:b/>
                <w:bCs/>
                <w:sz w:val="24"/>
                <w:szCs w:val="24"/>
                <w:lang w:val="en-US" w:eastAsia="zh-CN"/>
                <w:highlight w:val="none"/>
              </w:rPr>
              <w:t>4</w:t>
            </w:r>
            <w:r>
              <w:rPr>
                <w:rFonts w:ascii="宋体" w:eastAsia="宋体" w:cs="宋体" w:hAnsi="宋体" w:hint="eastAsia"/>
                <w:b/>
                <w:bCs/>
                <w:sz w:val="24"/>
                <w:szCs w:val="24"/>
                <w:lang w:val="en-US" w:eastAsia="zh-CN"/>
                <w:highlight w:val="none"/>
              </w:rPr>
              <w:t>、生态环境</w:t>
            </w:r>
          </w:p>
          <w:p>
            <w:pPr>
              <w:keepNext w:val="0"/>
              <w:keepLines w:val="0"/>
              <w:suppressLineNumbers w:val="0"/>
              <w:spacing w:before="0" w:beforeAutospacing="0" w:after="0" w:afterAutospacing="0" w:line="440" w:lineRule="exact"/>
              <w:ind w:left="0" w:right="0" w:firstLineChars="200" w:firstLine="480"/>
              <w:jc w:val="both"/>
              <w:rPr>
                <w:rFonts w:eastAsia="宋体" w:hint="eastAsia"/>
                <w:color w:val="000000"/>
                <w:sz w:val="24"/>
                <w14:textFill>
                  <w14:solidFill>
                    <w14:srgbClr w14:val="000000"/>
                  </w14:solidFill>
                </w14:textFill>
                <w:lang w:eastAsia="zh-CN"/>
                <w:highlight w:val="none"/>
              </w:rPr>
            </w:pPr>
            <w:r>
              <w:rPr>
                <w:rFonts w:ascii="Times New Roman" w:cs="Times New Roman" w:hAnsi="Times New Roman"/>
                <w:color w:val="000000"/>
                <w:sz w:val="24"/>
                <w:szCs w:val="20"/>
                <w14:textFill>
                  <w14:solidFill>
                    <w14:srgbClr w14:val="000000"/>
                  </w14:solidFill>
                </w14:textFill>
                <w:highlight w:val="none"/>
              </w:rPr>
              <w:t>根据现场调查，本项目位于</w:t>
            </w:r>
            <w:r>
              <w:rPr>
                <w:rFonts w:ascii="宋体" w:cs="宋体" w:hAnsi="宋体" w:hint="eastAsia"/>
                <w:color w:val="auto"/>
                <w:sz w:val="24"/>
                <w:szCs w:val="24"/>
                <w:lang w:val="en-US" w:eastAsia="zh-CN"/>
                <w:highlight w:val="none"/>
              </w:rPr>
              <w:t>新乡市延津县化工园区纬一路与榆林排交叉口东南角</w:t>
            </w:r>
            <w:r>
              <w:rPr>
                <w:rFonts w:ascii="宋体" w:cs="宋体" w:hAnsi="宋体" w:hint="eastAsia"/>
                <w:color w:val="000000"/>
                <w:sz w:val="24"/>
                <w:szCs w:val="24"/>
                <w14:textFill>
                  <w14:solidFill>
                    <w14:srgbClr w14:val="000000"/>
                  </w14:solidFill>
                </w14:textFill>
                <w:lang w:eastAsia="zh-CN"/>
                <w:highlight w:val="none"/>
              </w:rPr>
              <w:t>，</w:t>
            </w:r>
            <w:r>
              <w:rPr>
                <w:rFonts w:ascii="Times New Roman" w:cs="Times New Roman" w:hAnsi="Times New Roman"/>
                <w:bCs/>
                <w:color w:val="000000"/>
                <w:sz w:val="24"/>
                <w:szCs w:val="20"/>
                <w14:textFill>
                  <w14:solidFill>
                    <w14:srgbClr w14:val="000000"/>
                  </w14:solidFill>
                </w14:textFill>
                <w:highlight w:val="none"/>
              </w:rPr>
              <w:t>项目</w:t>
            </w:r>
            <w:r>
              <w:rPr>
                <w:rFonts w:ascii="Times New Roman" w:cs="Times New Roman" w:hAnsi="Times New Roman"/>
                <w:color w:val="000000"/>
                <w:sz w:val="24"/>
                <w:szCs w:val="20"/>
                <w14:textFill>
                  <w14:solidFill>
                    <w14:srgbClr w14:val="000000"/>
                  </w14:solidFill>
                </w14:textFill>
                <w:highlight w:val="none"/>
              </w:rPr>
              <w:t>周围无重点保护的野生动植物、风景名胜区、自然保护区及文化遗产等特殊保护目标</w:t>
            </w:r>
            <w:r>
              <w:rPr>
                <w:rFonts w:ascii="Times New Roman" w:cs="Times New Roman" w:hAnsi="Times New Roman" w:hint="eastAsia"/>
                <w:color w:val="000000"/>
                <w:sz w:val="24"/>
                <w:szCs w:val="20"/>
                <w14:textFill>
                  <w14:solidFill>
                    <w14:srgbClr w14:val="000000"/>
                  </w14:solidFill>
                </w14:textFill>
                <w:lang w:eastAsia="zh-CN"/>
                <w:highlight w:val="none"/>
              </w:rPr>
              <w:t>。</w:t>
            </w:r>
          </w:p>
          <w:p>
            <w:pPr>
              <w:keepNext w:val="0"/>
              <w:keepLines w:val="0"/>
              <w:suppressLineNumbers w:val="0"/>
              <w:spacing w:before="0" w:beforeAutospacing="0" w:after="0" w:afterAutospacing="0" w:line="440" w:lineRule="exact"/>
              <w:ind w:left="0" w:right="0" w:firstLineChars="200" w:firstLine="480"/>
              <w:rPr>
                <w:rFonts w:hint="eastAsia"/>
                <w:b/>
                <w:bCs/>
                <w:color w:val="auto"/>
                <w:sz w:val="24"/>
                <w:lang w:val="en-US" w:eastAsia="zh-CN"/>
                <w:highlight w:val="none"/>
              </w:rPr>
            </w:pPr>
            <w:r>
              <w:rPr>
                <w:rFonts w:ascii="Times New Roman" w:cs="Times New Roman" w:hAnsi="Times New Roman" w:hint="eastAsia"/>
                <w:b/>
                <w:bCs/>
                <w:color w:val="auto"/>
                <w:sz w:val="24"/>
                <w:szCs w:val="20"/>
                <w:lang w:val="en-US" w:eastAsia="zh-CN"/>
                <w:highlight w:val="none"/>
              </w:rPr>
              <w:t>5、地下水、土壤质量现状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sz w:val="24"/>
                <w:lang w:val="en-US" w:eastAsia="zh-CN"/>
                <w:highlight w:val="none"/>
              </w:rPr>
            </w:pPr>
            <w:r>
              <w:rPr>
                <w:rFonts w:ascii="Times New Roman" w:cs="Times New Roman" w:hAnsi="Times New Roman"/>
                <w:color w:val="auto"/>
                <w:sz w:val="24"/>
                <w:szCs w:val="20"/>
                <w:highlight w:val="none"/>
              </w:rPr>
              <w:t>根据《建设项目环境影响报告表编制技术指南（污染影响类）》（试行）中要求：</w:t>
            </w:r>
            <w:r>
              <w:rPr>
                <w:rFonts w:ascii="宋体" w:cs="宋体" w:hAnsi="宋体" w:hint="eastAsia"/>
                <w:color w:val="auto"/>
                <w:sz w:val="24"/>
                <w:szCs w:val="20"/>
                <w:lang w:eastAsia="zh-CN"/>
                <w:highlight w:val="none"/>
              </w:rPr>
              <w:t>“</w:t>
            </w:r>
            <w:r>
              <w:rPr>
                <w:rFonts w:ascii="Times New Roman" w:cs="Times New Roman" w:hAnsi="Times New Roman"/>
                <w:color w:val="auto"/>
                <w:sz w:val="24"/>
                <w:szCs w:val="20"/>
                <w:highlight w:val="none"/>
              </w:rPr>
              <w:t>原则上不开展地下水、土壤环境质量现状调查</w:t>
            </w:r>
            <w:r>
              <w:rPr>
                <w:rFonts w:ascii="宋体" w:cs="宋体" w:hAnsi="宋体" w:hint="eastAsia"/>
                <w:color w:val="auto"/>
                <w:sz w:val="24"/>
                <w:szCs w:val="20"/>
                <w:lang w:eastAsia="zh-CN"/>
                <w:highlight w:val="none"/>
              </w:rPr>
              <w:t>”</w:t>
            </w:r>
            <w:r>
              <w:rPr>
                <w:rFonts w:ascii="Times New Roman" w:cs="Times New Roman" w:hAnsi="Times New Roman"/>
                <w:color w:val="auto"/>
                <w:sz w:val="24"/>
                <w:szCs w:val="20"/>
                <w:highlight w:val="none"/>
              </w:rPr>
              <w:t>，</w:t>
            </w:r>
            <w:r>
              <w:rPr>
                <w:rFonts w:ascii="Times New Roman" w:cs="Times New Roman" w:hAnsi="Times New Roman"/>
                <w:sz w:val="24"/>
                <w:szCs w:val="20"/>
              </w:rPr>
              <w:t>且本项目严格按要求做好分区防渗措施，</w:t>
            </w:r>
            <w:r>
              <w:rPr>
                <w:rFonts w:ascii="Times New Roman" w:cs="Times New Roman" w:hAnsi="Times New Roman" w:hint="eastAsia"/>
                <w:sz w:val="24"/>
                <w:szCs w:val="20"/>
                <w:lang w:val="en-US" w:eastAsia="zh-CN"/>
              </w:rPr>
              <w:t>由于本项目运营期使用、储存矿物油品，存在地下水、土壤污染风险，为了解项目选址区域的地下水环境质量现状，建设单位委托河南晨升检测技术有限公司于2026年02月24日按照相关国家标准规范对延津县平延园区运营管理有限公司加油站建设项目地下水、土壤进行现场监测和样品采集，并于2026年02月24日至2026年03月07日对现场采集的样品进行分析，检测结果见下表</w:t>
            </w:r>
            <w:r>
              <w:rPr>
                <w:rFonts w:ascii="Times New Roman" w:eastAsia="宋体" w:cs="Times New Roman" w:hAnsi="Times New Roman" w:hint="eastAsia"/>
                <w:color w:val="auto"/>
                <w:sz w:val="24"/>
                <w:szCs w:val="20"/>
                <w:lang w:val="en-US" w:eastAsia="zh-CN"/>
                <w:highlight w:val="none"/>
              </w:rPr>
              <w:t>。</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hint="eastAsia"/>
                <w:sz w:val="24"/>
                <w:szCs w:val="20"/>
                <w:lang w:val="en-US" w:eastAsia="zh-CN"/>
              </w:rPr>
              <w:tab/>
              <w:tab/>
              <w:tab/>
              <w:tab/>
              <w:tab/>
              <w:tab/>
              <w:tab/>
            </w:r>
            <w:r>
              <w:rPr>
                <w:rFonts w:ascii="Times New Roman" w:cs="Times New Roman" w:hAnsi="Times New Roman"/>
                <w:sz w:val="24"/>
                <w:szCs w:val="20"/>
              </w:rPr>
              <w:t>检测</w:t>
            </w:r>
            <w:r>
              <w:rPr>
                <w:rFonts w:ascii="Times New Roman" w:cs="Times New Roman" w:hAnsi="Times New Roman" w:hint="eastAsia"/>
                <w:sz w:val="24"/>
                <w:szCs w:val="20"/>
                <w:lang w:val="en-US" w:eastAsia="zh-CN"/>
              </w:rPr>
              <w:t>点位及项目</w:t>
            </w:r>
            <w:r>
              <w:rPr>
                <w:rFonts w:ascii="Times New Roman" w:cs="Times New Roman" w:hAnsi="Times New Roman"/>
                <w:sz w:val="24"/>
                <w:szCs w:val="20"/>
              </w:rPr>
              <w:t>一览表</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0" w:type="dxa"/>
                <w:left w:w="108" w:type="dxa"/>
                <w:bottom w:w="0" w:type="dxa"/>
                <w:right w:w="108" w:type="dxa"/>
              </w:tblCellMar>
              <w:tblLook w:val="0600" w:firstRow="0" w:lastRow="0" w:firstColumn="0" w:lastColumn="0" w:noHBand="1" w:noVBand="1"/>
            </w:tblPr>
            <w:tblGrid>
              <w:gridCol w:w="833"/>
              <w:gridCol w:w="872"/>
              <w:gridCol w:w="6025"/>
              <w:gridCol w:w="818"/>
            </w:tblGrid>
            <w:tr>
              <w:trPr>
                <w:cantSplit/>
                <w:trHeight w:val="567"/>
                <w:tblHeader/>
              </w:trPr>
              <w:tc>
                <w:tcPr>
                  <w:tcW w:w="487"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eastAsia="宋体" w:cs="Times New Roman" w:hAnsi="Times New Roman"/>
                      <w:b/>
                      <w:bCs/>
                      <w:color w:val="auto"/>
                      <w:sz w:val="21"/>
                      <w:szCs w:val="21"/>
                      <w:highlight w:val="none"/>
                    </w:rPr>
                  </w:pPr>
                  <w:r>
                    <w:rPr>
                      <w:rFonts w:ascii="Times New Roman" w:eastAsia="宋体" w:cs="Times New Roman" w:hAnsi="Times New Roman"/>
                      <w:b/>
                      <w:bCs/>
                      <w:color w:val="auto"/>
                      <w:sz w:val="21"/>
                      <w:szCs w:val="21"/>
                      <w:highlight w:val="none"/>
                    </w:rPr>
                    <w:t>检测类别</w:t>
                  </w:r>
                </w:p>
              </w:tc>
              <w:tc>
                <w:tcPr>
                  <w:tcW w:w="510"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eastAsia="宋体" w:cs="Times New Roman" w:hAnsi="Times New Roman"/>
                      <w:b/>
                      <w:bCs/>
                      <w:color w:val="auto"/>
                      <w:sz w:val="21"/>
                      <w:szCs w:val="21"/>
                      <w:highlight w:val="none"/>
                    </w:rPr>
                  </w:pPr>
                  <w:r>
                    <w:rPr>
                      <w:rFonts w:ascii="Times New Roman" w:eastAsia="宋体" w:cs="Times New Roman" w:hAnsi="Times New Roman"/>
                      <w:b/>
                      <w:bCs/>
                      <w:color w:val="auto"/>
                      <w:sz w:val="21"/>
                      <w:szCs w:val="21"/>
                      <w:lang w:val="en-US" w:eastAsia="zh-CN"/>
                      <w:highlight w:val="none"/>
                    </w:rPr>
                    <w:t>检测</w:t>
                  </w:r>
                  <w:r>
                    <w:rPr>
                      <w:rFonts w:ascii="Times New Roman" w:eastAsia="宋体" w:cs="Times New Roman" w:hAnsi="Times New Roman"/>
                      <w:b/>
                      <w:bCs/>
                      <w:color w:val="auto"/>
                      <w:sz w:val="21"/>
                      <w:szCs w:val="21"/>
                      <w:highlight w:val="none"/>
                    </w:rPr>
                    <w:t>点位</w:t>
                  </w:r>
                </w:p>
              </w:tc>
              <w:tc>
                <w:tcPr>
                  <w:tcW w:w="3523"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eastAsia="宋体" w:cs="Times New Roman" w:hAnsi="Times New Roman"/>
                      <w:b/>
                      <w:bCs/>
                      <w:color w:val="auto"/>
                      <w:sz w:val="21"/>
                      <w:szCs w:val="21"/>
                      <w:highlight w:val="none"/>
                    </w:rPr>
                  </w:pPr>
                  <w:r>
                    <w:rPr>
                      <w:rFonts w:ascii="Times New Roman" w:eastAsia="宋体" w:cs="Times New Roman" w:hAnsi="Times New Roman"/>
                      <w:b/>
                      <w:bCs/>
                      <w:color w:val="auto"/>
                      <w:sz w:val="21"/>
                      <w:szCs w:val="21"/>
                      <w:highlight w:val="none"/>
                    </w:rPr>
                    <w:t>检测项目</w:t>
                  </w:r>
                </w:p>
              </w:tc>
              <w:tc>
                <w:tcPr>
                  <w:tcW w:w="478"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eastAsia="宋体" w:cs="Times New Roman" w:hAnsi="Times New Roman"/>
                      <w:b/>
                      <w:bCs/>
                      <w:color w:val="auto"/>
                      <w:sz w:val="21"/>
                      <w:szCs w:val="21"/>
                      <w:highlight w:val="none"/>
                    </w:rPr>
                  </w:pPr>
                  <w:r>
                    <w:rPr>
                      <w:rFonts w:ascii="Times New Roman" w:eastAsia="宋体" w:cs="Times New Roman" w:hAnsi="Times New Roman"/>
                      <w:b/>
                      <w:bCs/>
                      <w:color w:val="auto"/>
                      <w:sz w:val="21"/>
                      <w:szCs w:val="21"/>
                      <w:highlight w:val="none"/>
                    </w:rPr>
                    <w:t>检测频次</w:t>
                  </w:r>
                </w:p>
              </w:tc>
            </w:tr>
            <w:tr>
              <w:trPr>
                <w:cantSplit/>
                <w:trHeight w:val="471"/>
              </w:trPr>
              <w:tc>
                <w:tcPr>
                  <w:tcW w:w="487" w:type="pct"/>
                  <w:tcBorders>
                    <w:tl2br w:val="nil"/>
                    <w:tr2bl w:val="nil"/>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pacing w:val="9"/>
                      <w:sz w:val="21"/>
                      <w:szCs w:val="21"/>
                      <w:vertAlign w:val="baseline"/>
                      <w:lang w:val="en-US" w:eastAsia="zh-CN" w:bidi="ar-SA"/>
                    </w:rPr>
                  </w:pPr>
                  <w:r>
                    <w:rPr>
                      <w:rFonts w:ascii="Times New Roman" w:eastAsia="宋体" w:cs="Times New Roman" w:hAnsi="Times New Roman"/>
                      <w:spacing w:val="9"/>
                      <w:sz w:val="21"/>
                      <w:szCs w:val="21"/>
                      <w:vertAlign w:val="baseline"/>
                      <w:lang w:val="en-US" w:eastAsia="zh-CN"/>
                    </w:rPr>
                    <w:t>地下水</w:t>
                  </w:r>
                </w:p>
              </w:tc>
              <w:tc>
                <w:tcPr>
                  <w:tcW w:w="510" w:type="pct"/>
                  <w:tcBorders>
                    <w:tl2br w:val="nil"/>
                    <w:tr2bl w:val="nil"/>
                  </w:tcBorders>
                  <w:vAlign w:val="center"/>
                </w:tcPr>
                <w:p>
                  <w:pPr>
                    <w:keepNext w:val="0"/>
                    <w:keepLines w:val="0"/>
                    <w:widowControl w:val="0"/>
                    <w:suppressLineNumbers w:val="0"/>
                    <w:adjustRightInd/>
                    <w:snapToGrid/>
                    <w:spacing w:before="0" w:beforeAutospacing="0" w:after="0" w:afterAutospacing="0" w:line="240" w:lineRule="auto"/>
                    <w:ind w:left="0" w:right="0"/>
                    <w:jc w:val="center"/>
                    <w:rPr>
                      <w:rFonts w:ascii="Times New Roman" w:eastAsia="宋体" w:cs="Times New Roman" w:hAnsi="Times New Roman"/>
                      <w:color w:val="auto"/>
                      <w:kern w:val="2"/>
                      <w:sz w:val="21"/>
                      <w:szCs w:val="21"/>
                      <w:lang w:val="en-US" w:eastAsia="zh-CN"/>
                      <w:highlight w:val="none"/>
                    </w:rPr>
                  </w:pPr>
                  <w:r>
                    <w:rPr>
                      <w:rFonts w:ascii="Times New Roman" w:eastAsia="宋体" w:cs="Times New Roman" w:hAnsi="Times New Roman" w:hint="eastAsia"/>
                      <w:color w:val="auto"/>
                      <w:kern w:val="2"/>
                      <w:sz w:val="21"/>
                      <w:szCs w:val="21"/>
                      <w:lang w:val="en-US" w:eastAsia="zh-CN"/>
                      <w:highlight w:val="none"/>
                    </w:rPr>
                    <w:t>站区</w:t>
                  </w:r>
                </w:p>
              </w:tc>
              <w:tc>
                <w:tcPr>
                  <w:tcW w:w="3523" w:type="pct"/>
                  <w:tcBorders>
                    <w:tl2br w:val="nil"/>
                    <w:tr2bl w:val="nil"/>
                  </w:tcBorders>
                  <w:vAlign w:val="center"/>
                </w:tcPr>
                <w:p>
                  <w:pPr>
                    <w:keepNext w:val="0"/>
                    <w:keepLines w:val="0"/>
                    <w:widowControl w:val="0"/>
                    <w:suppressLineNumbers w:val="0"/>
                    <w:spacing w:before="0" w:beforeAutospacing="0" w:after="0" w:afterAutospacing="0"/>
                    <w:ind w:left="0" w:right="0"/>
                    <w:jc w:val="center"/>
                    <w:rPr>
                      <w:rFonts w:ascii="Times New Roman" w:eastAsia="宋体" w:cs="Times New Roman" w:hAnsi="Times New Roman"/>
                      <w:color w:val="auto"/>
                      <w:sz w:val="21"/>
                      <w:szCs w:val="21"/>
                      <w:u w:val="none"/>
                      <w:lang w:val="en-US" w:eastAsia="zh-CN"/>
                    </w:rPr>
                  </w:pPr>
                  <w:r>
                    <w:rPr>
                      <w:rFonts w:ascii="Times New Roman" w:eastAsia="宋体" w:cs="Times New Roman" w:hAnsi="Times New Roman"/>
                      <w:color w:val="000000"/>
                      <w:kern w:val="0"/>
                      <w:sz w:val="21"/>
                      <w:szCs w:val="21"/>
                      <w:lang w:val="en-US" w:eastAsia="zh-CN"/>
                    </w:rPr>
                    <w:t>pH</w:t>
                  </w:r>
                  <w:r>
                    <w:rPr>
                      <w:rFonts w:ascii="Times New Roman" w:eastAsia="宋体" w:cs="Times New Roman" w:hAnsi="Times New Roman"/>
                      <w:b w:val="0"/>
                      <w:bCs w:val="0"/>
                      <w:color w:val="000000"/>
                      <w:kern w:val="2"/>
                      <w:sz w:val="21"/>
                      <w:szCs w:val="21"/>
                      <w:lang w:val="en-US" w:eastAsia="zh-CN"/>
                    </w:rPr>
                    <w:t>值</w:t>
                  </w:r>
                  <w:r>
                    <w:rPr>
                      <w:rFonts w:ascii="Times New Roman" w:eastAsia="宋体" w:cs="Times New Roman" w:hAnsi="Times New Roman"/>
                      <w:color w:val="000000"/>
                      <w:kern w:val="0"/>
                      <w:sz w:val="21"/>
                      <w:szCs w:val="21"/>
                      <w:lang w:val="en-US" w:eastAsia="zh-CN"/>
                    </w:rPr>
                    <w:t>、</w:t>
                  </w:r>
                  <w:r>
                    <w:rPr>
                      <w:rFonts w:ascii="Times New Roman" w:eastAsia="宋体" w:cs="Times New Roman" w:hAnsi="Times New Roman" w:hint="eastAsia"/>
                      <w:color w:val="000000"/>
                      <w:kern w:val="0"/>
                      <w:sz w:val="21"/>
                      <w:szCs w:val="21"/>
                      <w:lang w:val="en-US" w:eastAsia="zh-CN"/>
                    </w:rPr>
                    <w:t>色度、嗅和味、</w:t>
                  </w:r>
                  <w:r>
                    <w:rPr>
                      <w:rFonts w:ascii="Times New Roman" w:eastAsia="宋体" w:cs="Times New Roman" w:hAnsi="Times New Roman"/>
                      <w:color w:val="000000"/>
                      <w:kern w:val="0"/>
                      <w:sz w:val="21"/>
                      <w:szCs w:val="21"/>
                      <w:lang w:val="en-US" w:eastAsia="zh-CN"/>
                    </w:rPr>
                    <w:t>总硬度、溶解性总固体、氨氮、硫化物、硝酸盐</w:t>
                  </w:r>
                  <w:r>
                    <w:rPr>
                      <w:rFonts w:ascii="Times New Roman" w:eastAsia="宋体" w:cs="Times New Roman" w:hAnsi="Times New Roman"/>
                      <w:b w:val="0"/>
                      <w:bCs w:val="0"/>
                      <w:i w:val="0"/>
                      <w:iCs w:val="0"/>
                      <w:color w:val="000000"/>
                      <w:kern w:val="0"/>
                      <w:sz w:val="21"/>
                      <w:szCs w:val="21"/>
                      <w:u w:val="none"/>
                      <w:lang w:val="en-US" w:eastAsia="zh-CN"/>
                      <w:highlight w:val="none"/>
                    </w:rPr>
                    <w:t>（氮）</w:t>
                  </w:r>
                  <w:r>
                    <w:rPr>
                      <w:rFonts w:ascii="Times New Roman" w:eastAsia="宋体" w:cs="Times New Roman" w:hAnsi="Times New Roman"/>
                      <w:color w:val="000000"/>
                      <w:kern w:val="0"/>
                      <w:sz w:val="21"/>
                      <w:szCs w:val="21"/>
                      <w:lang w:val="en-US" w:eastAsia="zh-CN"/>
                    </w:rPr>
                    <w:t>、</w:t>
                  </w:r>
                  <w:r>
                    <w:rPr>
                      <w:rFonts w:ascii="Times New Roman" w:eastAsia="宋体" w:cs="Times New Roman" w:hAnsi="Times New Roman"/>
                      <w:b w:val="0"/>
                      <w:bCs w:val="0"/>
                      <w:i w:val="0"/>
                      <w:iCs w:val="0"/>
                      <w:color w:val="000000"/>
                      <w:kern w:val="0"/>
                      <w:sz w:val="21"/>
                      <w:szCs w:val="21"/>
                      <w:u w:val="none"/>
                      <w:lang w:val="en-US" w:eastAsia="zh-CN"/>
                      <w:highlight w:val="none"/>
                    </w:rPr>
                    <w:t>亚硝酸盐（氮）</w:t>
                  </w:r>
                  <w:r>
                    <w:rPr>
                      <w:rFonts w:ascii="Times New Roman" w:eastAsia="宋体" w:cs="Times New Roman" w:hAnsi="Times New Roman"/>
                      <w:color w:val="000000"/>
                      <w:kern w:val="0"/>
                      <w:sz w:val="21"/>
                      <w:szCs w:val="21"/>
                      <w:lang w:val="en-US" w:eastAsia="zh-CN"/>
                    </w:rPr>
                    <w:t>、</w:t>
                  </w:r>
                  <w:r>
                    <w:rPr>
                      <w:rFonts w:ascii="Times New Roman" w:eastAsia="宋体" w:cs="Times New Roman" w:hAnsi="Times New Roman"/>
                      <w:color w:val="000000"/>
                      <w:kern w:val="0"/>
                      <w:sz w:val="21"/>
                      <w:szCs w:val="21"/>
                      <w:lang w:val="en-US" w:eastAsia="zh-CN"/>
                      <w:highlight w:val="none"/>
                    </w:rPr>
                    <w:t>挥发酚</w:t>
                  </w:r>
                  <w:r>
                    <w:rPr>
                      <w:rFonts w:ascii="Times New Roman" w:eastAsia="宋体" w:cs="Times New Roman" w:hAnsi="Times New Roman"/>
                      <w:color w:val="000000"/>
                      <w:kern w:val="0"/>
                      <w:sz w:val="21"/>
                      <w:szCs w:val="21"/>
                      <w:lang w:val="en-US" w:eastAsia="zh-CN"/>
                    </w:rPr>
                    <w:t>、阴离子表面活性剂</w:t>
                  </w:r>
                  <w:r>
                    <w:rPr>
                      <w:rFonts w:ascii="Times New Roman" w:eastAsia="宋体" w:cs="Times New Roman" w:hAnsi="Times New Roman" w:hint="eastAsia"/>
                      <w:color w:val="000000"/>
                      <w:kern w:val="0"/>
                      <w:sz w:val="21"/>
                      <w:szCs w:val="21"/>
                      <w:lang w:val="en-US" w:eastAsia="zh-CN"/>
                    </w:rPr>
                    <w:t>、</w:t>
                  </w:r>
                  <w:r>
                    <w:rPr>
                      <w:rFonts w:ascii="Times New Roman" w:eastAsia="宋体" w:cs="Times New Roman" w:hAnsi="Times New Roman"/>
                      <w:color w:val="000000"/>
                      <w:kern w:val="0"/>
                      <w:sz w:val="21"/>
                      <w:szCs w:val="21"/>
                      <w:lang w:val="en-US" w:eastAsia="zh-CN"/>
                    </w:rPr>
                    <w:t>砷、汞、</w:t>
                  </w:r>
                  <w:r>
                    <w:rPr>
                      <w:rFonts w:ascii="Times New Roman" w:eastAsia="宋体" w:cs="Times New Roman" w:hAnsi="Times New Roman" w:hint="eastAsia"/>
                      <w:color w:val="000000"/>
                      <w:kern w:val="0"/>
                      <w:sz w:val="21"/>
                      <w:szCs w:val="21"/>
                      <w:lang w:val="en-US" w:eastAsia="zh-CN"/>
                    </w:rPr>
                    <w:t>硒、</w:t>
                  </w:r>
                  <w:r>
                    <w:rPr>
                      <w:rFonts w:ascii="Times New Roman" w:eastAsia="宋体" w:cs="Times New Roman" w:hAnsi="Times New Roman"/>
                      <w:color w:val="000000"/>
                      <w:kern w:val="0"/>
                      <w:sz w:val="21"/>
                      <w:szCs w:val="21"/>
                      <w:lang w:val="en-US" w:eastAsia="zh-CN"/>
                    </w:rPr>
                    <w:t>铬（六价）、铅、镉、铁、锰、铜、锌、</w:t>
                  </w:r>
                  <w:r>
                    <w:rPr>
                      <w:rFonts w:ascii="Times New Roman" w:eastAsia="宋体" w:cs="Times New Roman" w:hAnsi="Times New Roman" w:hint="eastAsia"/>
                      <w:color w:val="000000"/>
                      <w:kern w:val="0"/>
                      <w:sz w:val="21"/>
                      <w:szCs w:val="21"/>
                      <w:lang w:val="en-US" w:eastAsia="zh-CN"/>
                    </w:rPr>
                    <w:t>铝、</w:t>
                  </w:r>
                  <w:r>
                    <w:rPr>
                      <w:rFonts w:ascii="Times New Roman" w:eastAsia="宋体" w:cs="Times New Roman" w:hAnsi="Times New Roman"/>
                      <w:b w:val="0"/>
                      <w:bCs w:val="0"/>
                      <w:color w:val="000000"/>
                      <w:kern w:val="2"/>
                      <w:sz w:val="21"/>
                      <w:szCs w:val="21"/>
                      <w:lang w:val="en-US" w:eastAsia="zh-CN"/>
                    </w:rPr>
                    <w:t>高锰酸盐指数（以O</w:t>
                  </w:r>
                  <w:r>
                    <w:rPr>
                      <w:rFonts w:ascii="Times New Roman" w:eastAsia="宋体" w:cs="Times New Roman" w:hAnsi="Times New Roman"/>
                      <w:b w:val="0"/>
                      <w:bCs w:val="0"/>
                      <w:color w:val="000000"/>
                      <w:kern w:val="2"/>
                      <w:sz w:val="21"/>
                      <w:szCs w:val="21"/>
                      <w:vertAlign w:val="subscript"/>
                      <w:lang w:val="en-US" w:eastAsia="zh-CN"/>
                    </w:rPr>
                    <w:t>2</w:t>
                  </w:r>
                  <w:r>
                    <w:rPr>
                      <w:rFonts w:ascii="Times New Roman" w:eastAsia="宋体" w:cs="Times New Roman" w:hAnsi="Times New Roman"/>
                      <w:b w:val="0"/>
                      <w:bCs w:val="0"/>
                      <w:color w:val="000000"/>
                      <w:kern w:val="2"/>
                      <w:sz w:val="21"/>
                      <w:szCs w:val="21"/>
                      <w:lang w:val="en-US" w:eastAsia="zh-CN"/>
                    </w:rPr>
                    <w:t>计）</w:t>
                  </w:r>
                  <w:r>
                    <w:rPr>
                      <w:rFonts w:ascii="Times New Roman" w:eastAsia="宋体" w:cs="Times New Roman" w:hAnsi="Times New Roman" w:hint="eastAsia"/>
                      <w:b w:val="0"/>
                      <w:bCs w:val="0"/>
                      <w:color w:val="000000"/>
                      <w:kern w:val="2"/>
                      <w:sz w:val="21"/>
                      <w:szCs w:val="21"/>
                      <w:lang w:val="en-US" w:eastAsia="zh-CN"/>
                    </w:rPr>
                    <w:t>、</w:t>
                  </w:r>
                  <w:r>
                    <w:rPr>
                      <w:rFonts w:ascii="Times New Roman" w:eastAsia="宋体" w:cs="Times New Roman" w:hAnsi="Times New Roman"/>
                      <w:color w:val="000000"/>
                      <w:kern w:val="0"/>
                      <w:sz w:val="21"/>
                      <w:szCs w:val="21"/>
                      <w:lang w:val="en-US" w:eastAsia="zh-CN"/>
                    </w:rPr>
                    <w:t>硫酸盐、氯化物、</w:t>
                  </w:r>
                  <w:r>
                    <w:rPr>
                      <w:rFonts w:ascii="Times New Roman" w:eastAsia="宋体" w:cs="Times New Roman" w:hAnsi="Times New Roman" w:hint="eastAsia"/>
                      <w:color w:val="000000"/>
                      <w:kern w:val="0"/>
                      <w:sz w:val="21"/>
                      <w:szCs w:val="21"/>
                      <w:lang w:val="en-US" w:eastAsia="zh-CN"/>
                    </w:rPr>
                    <w:t>苯、甲苯、</w:t>
                  </w:r>
                  <w:r>
                    <w:rPr>
                      <w:rFonts w:ascii="Times New Roman" w:eastAsia="宋体" w:cs="Times New Roman" w:hAnsi="Times New Roman"/>
                      <w:color w:val="000000"/>
                      <w:kern w:val="0"/>
                      <w:sz w:val="21"/>
                      <w:szCs w:val="21"/>
                      <w:lang w:val="en-US" w:eastAsia="zh-CN"/>
                    </w:rPr>
                    <w:t>总大肠菌群、</w:t>
                  </w:r>
                  <w:r>
                    <w:rPr>
                      <w:rFonts w:ascii="Times New Roman" w:eastAsia="宋体" w:cs="Times New Roman" w:hAnsi="Times New Roman" w:hint="eastAsia"/>
                      <w:color w:val="000000"/>
                      <w:kern w:val="0"/>
                      <w:sz w:val="21"/>
                      <w:szCs w:val="21"/>
                      <w:lang w:val="en-US" w:eastAsia="zh-CN"/>
                    </w:rPr>
                    <w:t>细菌</w:t>
                  </w:r>
                  <w:r>
                    <w:rPr>
                      <w:rFonts w:ascii="Times New Roman" w:eastAsia="宋体" w:cs="Times New Roman" w:hAnsi="Times New Roman"/>
                      <w:color w:val="000000"/>
                      <w:kern w:val="0"/>
                      <w:sz w:val="21"/>
                      <w:szCs w:val="21"/>
                      <w:lang w:val="en-US" w:eastAsia="zh-CN"/>
                    </w:rPr>
                    <w:t>总数</w:t>
                  </w:r>
                  <w:r>
                    <w:rPr>
                      <w:rFonts w:ascii="Times New Roman" w:eastAsia="宋体" w:cs="Times New Roman" w:hAnsi="Times New Roman" w:hint="eastAsia"/>
                      <w:color w:val="000000"/>
                      <w:kern w:val="0"/>
                      <w:sz w:val="21"/>
                      <w:szCs w:val="21"/>
                      <w:lang w:val="en-US" w:eastAsia="zh-CN"/>
                    </w:rPr>
                    <w:t>、</w:t>
                  </w:r>
                  <w:r>
                    <w:rPr>
                      <w:rFonts w:ascii="Times New Roman" w:eastAsia="宋体" w:cs="Times New Roman" w:hAnsi="Times New Roman" w:hint="eastAsia"/>
                      <w:sz w:val="21"/>
                      <w:szCs w:val="21"/>
                      <w:vertAlign w:val="baseline"/>
                      <w:lang w:val="en-US" w:eastAsia="zh-CN"/>
                      <w:highlight w:val="none"/>
                    </w:rPr>
                    <w:t>石油类、</w:t>
                  </w:r>
                </w:p>
              </w:tc>
              <w:tc>
                <w:tcPr>
                  <w:tcW w:w="478" w:type="pct"/>
                  <w:tcBorders>
                    <w:tl2br w:val="nil"/>
                    <w:tr2bl w:val="nil"/>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 w:val="0"/>
                      <w:bCs w:val="0"/>
                      <w:color w:val="auto"/>
                      <w:kern w:val="2"/>
                      <w:sz w:val="21"/>
                      <w:szCs w:val="21"/>
                      <w:lang w:val="en-US" w:eastAsia="zh-CN" w:bidi="ar-SA"/>
                    </w:rPr>
                  </w:pPr>
                  <w:r>
                    <w:rPr>
                      <w:rFonts w:ascii="Times New Roman" w:eastAsia="宋体" w:cs="Times New Roman" w:hAnsi="Times New Roman"/>
                      <w:b w:val="0"/>
                      <w:bCs w:val="0"/>
                      <w:color w:val="auto"/>
                      <w:kern w:val="2"/>
                      <w:sz w:val="21"/>
                      <w:szCs w:val="21"/>
                      <w:lang w:val="en-US" w:eastAsia="zh-CN" w:bidi="ar-SA"/>
                    </w:rPr>
                    <w:t>检测1次</w:t>
                  </w:r>
                </w:p>
              </w:tc>
            </w:tr>
            <w:tr>
              <w:trPr>
                <w:cantSplit/>
                <w:trHeight w:val="2985"/>
              </w:trPr>
              <w:tc>
                <w:tcPr>
                  <w:tcW w:w="487" w:type="pct"/>
                  <w:tcBorders>
                    <w:tl2br w:val="nil"/>
                    <w:tr2bl w:val="nil"/>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pacing w:val="9"/>
                      <w:sz w:val="21"/>
                      <w:szCs w:val="21"/>
                      <w:vertAlign w:val="baseline"/>
                      <w:lang w:val="en-US" w:eastAsia="zh-CN"/>
                    </w:rPr>
                  </w:pPr>
                  <w:r>
                    <w:rPr>
                      <w:rFonts w:ascii="Times New Roman" w:eastAsia="宋体" w:cs="Times New Roman" w:hAnsi="Times New Roman"/>
                      <w:spacing w:val="9"/>
                      <w:sz w:val="21"/>
                      <w:szCs w:val="21"/>
                      <w:vertAlign w:val="baseline"/>
                      <w:lang w:val="en-US" w:eastAsia="zh-CN"/>
                    </w:rPr>
                    <w:t>土壤</w:t>
                  </w:r>
                </w:p>
              </w:tc>
              <w:tc>
                <w:tcPr>
                  <w:tcW w:w="510"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ascii="Times New Roman" w:eastAsia="宋体" w:cs="Times New Roman" w:hAnsi="Times New Roman"/>
                      <w:b w:val="0"/>
                      <w:bCs w:val="0"/>
                      <w:color w:val="auto"/>
                      <w:sz w:val="21"/>
                      <w:szCs w:val="21"/>
                      <w:lang w:val="en-US" w:eastAsia="zh-CN"/>
                      <w:highlight w:val="none"/>
                    </w:rPr>
                  </w:pPr>
                  <w:r>
                    <w:rPr>
                      <w:rFonts w:ascii="Times New Roman" w:eastAsia="宋体" w:cs="Times New Roman" w:hAnsi="Times New Roman" w:hint="eastAsia"/>
                      <w:b w:val="0"/>
                      <w:bCs w:val="0"/>
                      <w:color w:val="auto"/>
                      <w:sz w:val="21"/>
                      <w:szCs w:val="21"/>
                      <w:lang w:val="en-US" w:eastAsia="zh-CN"/>
                      <w:highlight w:val="none"/>
                    </w:rPr>
                    <w:t>罐区</w:t>
                  </w:r>
                  <w:r>
                    <w:rPr>
                      <w:rFonts w:ascii="Times New Roman" w:eastAsia="宋体" w:cs="Times New Roman" w:hAnsi="Times New Roman"/>
                      <w:b w:val="0"/>
                      <w:bCs w:val="0"/>
                      <w:color w:val="auto"/>
                      <w:sz w:val="21"/>
                      <w:szCs w:val="21"/>
                      <w:lang w:val="en-US" w:eastAsia="zh-CN"/>
                      <w:highlight w:val="none"/>
                    </w:rPr>
                    <w:t>（0~0.2m）</w:t>
                  </w:r>
                </w:p>
              </w:tc>
              <w:tc>
                <w:tcPr>
                  <w:tcW w:w="3523"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jc w:val="center"/>
                    <w:textAlignment w:val="auto"/>
                    <w:rPr>
                      <w:rFonts w:ascii="Times New Roman" w:eastAsia="宋体" w:cs="Times New Roman" w:hAnsi="Times New Roman"/>
                      <w:b w:val="0"/>
                      <w:bCs w:val="0"/>
                      <w:color w:val="auto"/>
                      <w:sz w:val="21"/>
                      <w:szCs w:val="21"/>
                      <w:lang w:val="en-US" w:eastAsia="zh-CN" w:bidi="ar-SA"/>
                      <w:highlight w:val="none"/>
                    </w:rPr>
                  </w:pPr>
                  <w:r>
                    <w:rPr>
                      <w:rFonts w:ascii="Times New Roman" w:eastAsia="宋体" w:cs="Times New Roman" w:hAnsi="Times New Roman"/>
                      <w:b w:val="0"/>
                      <w:bCs w:val="0"/>
                      <w:color w:val="auto"/>
                      <w:sz w:val="21"/>
                      <w:szCs w:val="21"/>
                      <w:lang w:val="en-US" w:eastAsia="zh-CN"/>
                      <w:highlight w:val="none"/>
                    </w:rPr>
                    <w:t>砷、镉、</w:t>
                  </w:r>
                  <w:r>
                    <w:rPr>
                      <w:rFonts w:ascii="Times New Roman" w:eastAsia="宋体" w:cs="Times New Roman" w:hAnsi="Times New Roman" w:hint="eastAsia"/>
                      <w:b w:val="0"/>
                      <w:bCs w:val="0"/>
                      <w:color w:val="auto"/>
                      <w:sz w:val="21"/>
                      <w:szCs w:val="21"/>
                      <w:lang w:val="en-US" w:eastAsia="zh-CN"/>
                      <w:highlight w:val="none"/>
                    </w:rPr>
                    <w:t>六价铬</w:t>
                  </w:r>
                  <w:r>
                    <w:rPr>
                      <w:rFonts w:ascii="Times New Roman" w:eastAsia="宋体" w:cs="Times New Roman" w:hAnsi="Times New Roman"/>
                      <w:b w:val="0"/>
                      <w:bCs w:val="0"/>
                      <w:color w:val="auto"/>
                      <w:sz w:val="21"/>
                      <w:szCs w:val="21"/>
                      <w:lang w:val="en-US" w:eastAsia="zh-CN"/>
                      <w:highlight w:val="none"/>
                    </w:rPr>
                    <w:t>、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二苯并[a,h]蒽、茚并[1,2,3-cd]芘、䓛、萘、pH值、石油烃（C</w:t>
                  </w:r>
                  <w:r>
                    <w:rPr>
                      <w:rFonts w:ascii="Times New Roman" w:eastAsia="宋体" w:cs="Times New Roman" w:hAnsi="Times New Roman"/>
                      <w:b w:val="0"/>
                      <w:bCs w:val="0"/>
                      <w:color w:val="auto"/>
                      <w:sz w:val="21"/>
                      <w:szCs w:val="21"/>
                      <w:vertAlign w:val="subscript"/>
                      <w:lang w:val="en-US" w:eastAsia="zh-CN"/>
                      <w:highlight w:val="none"/>
                    </w:rPr>
                    <w:t>10</w:t>
                  </w:r>
                  <w:r>
                    <w:rPr>
                      <w:rFonts w:ascii="Times New Roman" w:eastAsia="宋体" w:cs="Times New Roman" w:hAnsi="Times New Roman"/>
                      <w:b w:val="0"/>
                      <w:bCs w:val="0"/>
                      <w:color w:val="auto"/>
                      <w:sz w:val="21"/>
                      <w:szCs w:val="21"/>
                      <w:lang w:val="en-US" w:eastAsia="zh-CN"/>
                      <w:highlight w:val="none"/>
                    </w:rPr>
                    <w:t>-C</w:t>
                  </w:r>
                  <w:r>
                    <w:rPr>
                      <w:rFonts w:ascii="Times New Roman" w:eastAsia="宋体" w:cs="Times New Roman" w:hAnsi="Times New Roman"/>
                      <w:b w:val="0"/>
                      <w:bCs w:val="0"/>
                      <w:color w:val="auto"/>
                      <w:sz w:val="21"/>
                      <w:szCs w:val="21"/>
                      <w:vertAlign w:val="subscript"/>
                      <w:lang w:val="en-US" w:eastAsia="zh-CN"/>
                      <w:highlight w:val="none"/>
                    </w:rPr>
                    <w:t>40</w:t>
                  </w:r>
                  <w:r>
                    <w:rPr>
                      <w:rFonts w:ascii="Times New Roman" w:eastAsia="宋体" w:cs="Times New Roman" w:hAnsi="Times New Roman"/>
                      <w:b w:val="0"/>
                      <w:bCs w:val="0"/>
                      <w:color w:val="auto"/>
                      <w:sz w:val="21"/>
                      <w:szCs w:val="21"/>
                      <w:lang w:val="en-US" w:eastAsia="zh-CN"/>
                      <w:highlight w:val="none"/>
                    </w:rPr>
                    <w:t>）</w:t>
                  </w:r>
                </w:p>
              </w:tc>
              <w:tc>
                <w:tcPr>
                  <w:tcW w:w="478" w:type="pct"/>
                  <w:tcBorders>
                    <w:tl2br w:val="nil"/>
                    <w:tr2bl w:val="nil"/>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b w:val="0"/>
                      <w:bCs w:val="0"/>
                      <w:color w:val="auto"/>
                      <w:kern w:val="2"/>
                      <w:sz w:val="21"/>
                      <w:szCs w:val="21"/>
                      <w:lang w:val="en-US" w:eastAsia="zh-CN" w:bidi="ar-SA"/>
                    </w:rPr>
                  </w:pPr>
                  <w:r>
                    <w:rPr>
                      <w:rFonts w:ascii="Times New Roman" w:eastAsia="宋体" w:cs="Times New Roman" w:hAnsi="Times New Roman"/>
                      <w:b w:val="0"/>
                      <w:bCs w:val="0"/>
                      <w:color w:val="auto"/>
                      <w:kern w:val="2"/>
                      <w:sz w:val="21"/>
                      <w:szCs w:val="21"/>
                      <w:lang w:val="en-US" w:eastAsia="zh-CN" w:bidi="ar-SA"/>
                    </w:rPr>
                    <w:t>检测1次</w:t>
                  </w:r>
                </w:p>
              </w:tc>
            </w:tr>
          </w:tbl>
          <w:p>
            <w:pPr>
              <w:pStyle w:val="75"/>
              <w:keepNext/>
              <w:keepLines w:val="0"/>
              <w:suppressLineNumbers w:val="0"/>
              <w:bidi w:val="0"/>
              <w:spacing w:before="0" w:beforeAutospacing="0" w:after="0" w:afterAutospacing="0"/>
              <w:ind w:left="0" w:right="0" w:firstLine="420"/>
              <w:rPr>
                <w:rFonts w:hint="eastAsia"/>
                <w:lang w:val="en-US" w:eastAsia="zh-CN"/>
              </w:rPr>
            </w:pPr>
            <w:r>
              <w:rPr>
                <w:rFonts w:ascii="Times New Roman" w:cs="Times New Roman" w:hAnsi="Times New Roman" w:hint="eastAsia"/>
                <w:sz w:val="24"/>
                <w:szCs w:val="20"/>
                <w:lang w:val="en-US" w:eastAsia="zh-CN"/>
              </w:rPr>
              <w:t xml:space="preserve">  地下水监测结果</w:t>
            </w:r>
          </w:p>
          <w:tbl>
            <w:tblPr>
              <w:jc w:val="center"/>
              <w:tblW w:w="4998"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0" w:type="dxa"/>
                <w:left w:w="108" w:type="dxa"/>
                <w:bottom w:w="0" w:type="dxa"/>
                <w:right w:w="108" w:type="dxa"/>
              </w:tblCellMar>
              <w:tblLook w:val="0600" w:firstRow="0" w:lastRow="0" w:firstColumn="0" w:lastColumn="0" w:noHBand="1" w:noVBand="1"/>
            </w:tblPr>
            <w:tblGrid>
              <w:gridCol w:w="1180"/>
              <w:gridCol w:w="2405"/>
              <w:gridCol w:w="1473"/>
              <w:gridCol w:w="1567"/>
              <w:gridCol w:w="1924"/>
            </w:tblGrid>
            <w:tr>
              <w:trPr>
                <w:trHeight w:val="397"/>
                <w:tblHeader/>
              </w:trPr>
              <w:tc>
                <w:tcPr>
                  <w:tcW w:w="690" w:type="pct"/>
                  <w:vMerge w:val="restar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bCs/>
                      <w:color w:val="auto"/>
                      <w:w w:val="100"/>
                      <w:sz w:val="21"/>
                      <w:szCs w:val="21"/>
                      <w:highlight w:val="none"/>
                    </w:rPr>
                  </w:pPr>
                  <w:r>
                    <w:rPr>
                      <w:rFonts w:ascii="Times New Roman" w:eastAsia="宋体" w:cs="Times New Roman" w:hAnsi="Times New Roman"/>
                      <w:b/>
                      <w:bCs/>
                      <w:color w:val="auto"/>
                      <w:w w:val="100"/>
                      <w:sz w:val="21"/>
                      <w:szCs w:val="21"/>
                      <w:highlight w:val="none"/>
                    </w:rPr>
                    <w:t>采样时间</w:t>
                  </w:r>
                </w:p>
              </w:tc>
              <w:tc>
                <w:tcPr>
                  <w:tcW w:w="1406" w:type="pct"/>
                  <w:vMerge w:val="restar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bCs/>
                      <w:color w:val="auto"/>
                      <w:w w:val="100"/>
                      <w:sz w:val="21"/>
                      <w:szCs w:val="21"/>
                      <w:highlight w:val="none"/>
                    </w:rPr>
                  </w:pPr>
                  <w:r>
                    <w:rPr>
                      <w:rFonts w:ascii="Times New Roman" w:eastAsia="宋体" w:cs="Times New Roman" w:hAnsi="Times New Roman"/>
                      <w:b/>
                      <w:bCs/>
                      <w:color w:val="auto"/>
                      <w:w w:val="100"/>
                      <w:sz w:val="21"/>
                      <w:szCs w:val="21"/>
                      <w:highlight w:val="none"/>
                    </w:rPr>
                    <w:t>检测项目</w:t>
                  </w:r>
                </w:p>
              </w:tc>
              <w:tc>
                <w:tcPr>
                  <w:tcW w:w="861" w:type="pct"/>
                  <w:vMerge w:val="restar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bCs/>
                      <w:color w:val="auto"/>
                      <w:w w:val="100"/>
                      <w:sz w:val="21"/>
                      <w:szCs w:val="21"/>
                      <w:highlight w:val="none"/>
                    </w:rPr>
                  </w:pPr>
                  <w:r>
                    <w:rPr>
                      <w:rFonts w:ascii="Times New Roman" w:eastAsia="宋体" w:cs="Times New Roman" w:hAnsi="Times New Roman"/>
                      <w:b/>
                      <w:bCs/>
                      <w:color w:val="auto"/>
                      <w:w w:val="100"/>
                      <w:sz w:val="21"/>
                      <w:szCs w:val="21"/>
                      <w:highlight w:val="none"/>
                    </w:rPr>
                    <w:t>单位</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bCs/>
                      <w:color w:val="auto"/>
                      <w:w w:val="100"/>
                      <w:sz w:val="21"/>
                      <w:szCs w:val="21"/>
                      <w:lang w:val="en-US" w:eastAsia="zh-CN"/>
                      <w:highlight w:val="none"/>
                    </w:rPr>
                  </w:pPr>
                  <w:r>
                    <w:rPr>
                      <w:rFonts w:ascii="Times New Roman" w:eastAsia="宋体" w:cs="Times New Roman" w:hAnsi="Times New Roman"/>
                      <w:b/>
                      <w:bCs/>
                      <w:color w:val="auto"/>
                      <w:w w:val="100"/>
                      <w:sz w:val="21"/>
                      <w:szCs w:val="21"/>
                      <w:lang w:val="en-US" w:eastAsia="zh-CN"/>
                      <w:highlight w:val="none"/>
                    </w:rPr>
                    <w:t>检测结果</w:t>
                  </w:r>
                </w:p>
              </w:tc>
              <w:tc>
                <w:tcPr>
                  <w:tcW w:w="1125" w:type="pct"/>
                  <w:vMerge w:val="restar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bCs/>
                      <w:color w:val="auto"/>
                      <w:w w:val="100"/>
                      <w:sz w:val="21"/>
                      <w:szCs w:val="21"/>
                      <w:lang w:val="en-US" w:eastAsia="zh-CN"/>
                      <w:highlight w:val="none"/>
                    </w:rPr>
                  </w:pPr>
                  <w:r>
                    <w:rPr>
                      <w:rFonts w:ascii="Times New Roman" w:eastAsia="宋体" w:cs="Times New Roman" w:hAnsi="Times New Roman" w:hint="eastAsia"/>
                      <w:b/>
                      <w:bCs/>
                      <w:color w:val="auto"/>
                      <w:w w:val="100"/>
                      <w:sz w:val="21"/>
                      <w:szCs w:val="21"/>
                      <w:lang w:val="en-US" w:eastAsia="zh-CN"/>
                      <w:highlight w:val="none"/>
                    </w:rPr>
                    <w:t>标准值</w:t>
                  </w:r>
                  <w:r>
                    <w:rPr>
                      <w:rFonts w:ascii="Times New Roman" w:eastAsia="宋体" w:cs="Times New Roman" w:hAnsi="Times New Roman" w:hint="eastAsia"/>
                      <w:b/>
                      <w:bCs/>
                      <w:sz w:val="21"/>
                      <w:szCs w:val="21"/>
                      <w:vertAlign w:val="baseline"/>
                      <w:lang w:val="en-US" w:eastAsia="zh-CN"/>
                    </w:rPr>
                    <w:t>（mg/L）</w:t>
                  </w:r>
                </w:p>
              </w:tc>
            </w:tr>
            <w:tr>
              <w:trPr>
                <w:trHeight w:val="397"/>
                <w:tblHeader/>
              </w:trPr>
              <w:tc>
                <w:tcPr>
                  <w:tcW w:w="690" w:type="pct"/>
                  <w:vMerge/>
                  <w:tcBorders>
                    <w:tl2br w:val="nil"/>
                    <w:tr2bl w:val="nil"/>
                  </w:tcBorders>
                  <w:vAlign w:val="center"/>
                </w:tcPr>
                <w:p/>
              </w:tc>
              <w:tc>
                <w:tcPr>
                  <w:tcW w:w="1406" w:type="pct"/>
                  <w:vMerge/>
                  <w:tcBorders>
                    <w:tl2br w:val="nil"/>
                    <w:tr2bl w:val="nil"/>
                  </w:tcBorders>
                  <w:vAlign w:val="center"/>
                </w:tcPr>
                <w:p/>
              </w:tc>
              <w:tc>
                <w:tcPr>
                  <w:tcW w:w="861" w:type="pct"/>
                  <w:vMerge/>
                  <w:tcBorders>
                    <w:tl2br w:val="nil"/>
                    <w:tr2bl w:val="nil"/>
                  </w:tcBorders>
                  <w:vAlign w:val="center"/>
                </w:tcP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bCs/>
                      <w:color w:val="auto"/>
                      <w:w w:val="100"/>
                      <w:sz w:val="21"/>
                      <w:szCs w:val="21"/>
                      <w:lang w:val="en-US" w:eastAsia="zh-CN"/>
                      <w:highlight w:val="none"/>
                    </w:rPr>
                  </w:pPr>
                  <w:r>
                    <w:rPr>
                      <w:rFonts w:ascii="Times New Roman" w:eastAsia="宋体" w:cs="Times New Roman" w:hAnsi="Times New Roman" w:hint="eastAsia"/>
                      <w:b/>
                      <w:bCs/>
                      <w:color w:val="auto"/>
                      <w:w w:val="100"/>
                      <w:sz w:val="21"/>
                      <w:szCs w:val="21"/>
                      <w:lang w:val="en-US" w:eastAsia="zh-CN"/>
                      <w:highlight w:val="none"/>
                    </w:rPr>
                    <w:t>站区</w:t>
                  </w:r>
                </w:p>
              </w:tc>
              <w:tc>
                <w:tcPr>
                  <w:tcW w:w="1125" w:type="pct"/>
                  <w:vMerge/>
                  <w:tcBorders>
                    <w:tl2br w:val="nil"/>
                    <w:tr2bl w:val="nil"/>
                  </w:tcBorders>
                  <w:vAlign w:val="center"/>
                </w:tcPr>
                <w:p/>
              </w:tc>
            </w:tr>
            <w:tr>
              <w:trPr>
                <w:trHeight w:val="397"/>
              </w:trPr>
              <w:tc>
                <w:tcPr>
                  <w:tcW w:w="690" w:type="pct"/>
                  <w:vMerge w:val="restar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2026.02.24</w:t>
                  </w: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pH值</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无量纲</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7.4</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cs="Times New Roman" w:hAnsi="Times New Roman" w:hint="eastAsia"/>
                      <w:sz w:val="21"/>
                      <w:szCs w:val="21"/>
                      <w:vertAlign w:val="baseline"/>
                      <w:lang w:val="en-US" w:eastAsia="zh-CN"/>
                    </w:rPr>
                    <w:t>6.5</w:t>
                  </w:r>
                  <w:r>
                    <w:rPr>
                      <w:rFonts w:ascii="Times New Roman" w:eastAsia="宋体" w:cs="Times New Roman" w:hAnsi="Times New Roman"/>
                      <w:sz w:val="21"/>
                      <w:szCs w:val="21"/>
                      <w:vertAlign w:val="baseline"/>
                      <w:lang w:val="en-US" w:eastAsia="zh-CN"/>
                    </w:rPr>
                    <w:t>≦</w:t>
                  </w:r>
                  <w:r>
                    <w:rPr>
                      <w:rFonts w:ascii="Times New Roman" w:cs="Times New Roman" w:hAnsi="Times New Roman" w:hint="eastAsia"/>
                      <w:sz w:val="21"/>
                      <w:szCs w:val="21"/>
                      <w:vertAlign w:val="baseline"/>
                      <w:lang w:val="en-US" w:eastAsia="zh-CN"/>
                    </w:rPr>
                    <w:t>pH</w:t>
                  </w:r>
                  <w:r>
                    <w:rPr>
                      <w:rFonts w:ascii="Times New Roman" w:eastAsia="宋体" w:cs="Times New Roman" w:hAnsi="Times New Roman"/>
                      <w:sz w:val="21"/>
                      <w:szCs w:val="21"/>
                      <w:vertAlign w:val="baseline"/>
                      <w:lang w:val="en-US" w:eastAsia="zh-CN"/>
                    </w:rPr>
                    <w:t>≦</w:t>
                  </w:r>
                  <w:r>
                    <w:rPr>
                      <w:rFonts w:ascii="Times New Roman" w:cs="Times New Roman" w:hAnsi="Times New Roman" w:hint="eastAsia"/>
                      <w:sz w:val="21"/>
                      <w:szCs w:val="21"/>
                      <w:vertAlign w:val="baseline"/>
                      <w:lang w:val="en-US" w:eastAsia="zh-CN"/>
                    </w:rPr>
                    <w:t>8.5</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widowControl/>
                    <w:suppressLineNumbers w:val="0"/>
                    <w:autoSpaceDE w:val="0"/>
                    <w:autoSpaceDN/>
                    <w:snapToGrid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000000"/>
                      <w:kern w:val="2"/>
                      <w:sz w:val="21"/>
                      <w:szCs w:val="21"/>
                      <w:lang w:val="en-US" w:eastAsia="zh-CN"/>
                      <w:highlight w:val="none"/>
                    </w:rPr>
                    <w:t>色度</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bidi="ar-SA"/>
                      <w:highlight w:val="none"/>
                    </w:rPr>
                    <w:t>度</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5L</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sz w:val="21"/>
                      <w:szCs w:val="21"/>
                      <w:vertAlign w:val="baseline"/>
                      <w:lang w:val="en-US" w:eastAsia="zh-CN"/>
                    </w:rPr>
                    <w:t>≦</w:t>
                  </w:r>
                  <w:r>
                    <w:rPr>
                      <w:rFonts w:ascii="Times New Roman" w:cs="Times New Roman" w:hAnsi="Times New Roman"/>
                      <w:sz w:val="21"/>
                      <w:szCs w:val="21"/>
                      <w:vertAlign w:val="baseline"/>
                      <w:lang w:val="en-US" w:eastAsia="zh-CN"/>
                    </w:rPr>
                    <w:t>15</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宋体" w:hAnsi="Times New Roman" w:hint="eastAsia"/>
                      <w:i w:val="0"/>
                      <w:iCs w:val="0"/>
                      <w:color w:val="000000"/>
                      <w:kern w:val="0"/>
                      <w:sz w:val="21"/>
                      <w:szCs w:val="21"/>
                      <w:u w:val="none"/>
                      <w:lang w:val="en-US" w:eastAsia="zh-CN"/>
                    </w:rPr>
                    <w:t>嗅和味</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bidi="ar-SA"/>
                      <w:highlight w:val="none"/>
                    </w:rPr>
                    <w:t>/</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无</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总硬度</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312</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450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溶解性总固体</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568</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1000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氨氮</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0.20</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0.50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color w:val="000000"/>
                      <w:kern w:val="0"/>
                      <w:sz w:val="21"/>
                      <w:szCs w:val="21"/>
                      <w:lang w:val="en-US" w:eastAsia="zh-CN"/>
                    </w:rPr>
                    <w:t>硫化物</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tabs>
                      <w:tab w:val="left" w:pos="255"/>
                    </w:tabs>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0.01L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0.02</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硝酸盐（氮）</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3.2</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20.0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亚硝酸盐（氮）</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0.001L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1.00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highlight w:val="none"/>
                    </w:rPr>
                    <w:t>挥发酚</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0.0003L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0.002</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宋体" w:hAnsi="Times New Roman" w:hint="eastAsia"/>
                      <w:i w:val="0"/>
                      <w:iCs w:val="0"/>
                      <w:color w:val="000000"/>
                      <w:kern w:val="0"/>
                      <w:sz w:val="21"/>
                      <w:szCs w:val="21"/>
                      <w:u w:val="none"/>
                      <w:lang w:val="en-US" w:eastAsia="zh-CN"/>
                    </w:rPr>
                    <w:t>阴离子表面活性剂</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0.05L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0.3</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砷</w:t>
                  </w:r>
                </w:p>
              </w:tc>
              <w:tc>
                <w:tcPr>
                  <w:tcW w:w="861" w:type="pct"/>
                  <w:tcBorders>
                    <w:tl2br w:val="nil"/>
                    <w:tr2bl w:val="nil"/>
                  </w:tcBorders>
                  <w:vAlign w:val="center"/>
                </w:tcPr>
                <w:p>
                  <w:pPr>
                    <w:keepNext w:val="0"/>
                    <w:keepLines w:val="0"/>
                    <w:suppressLineNumbers w:val="0"/>
                    <w:tabs>
                      <w:tab w:val="left" w:pos="523"/>
                    </w:tabs>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i w:val="0"/>
                      <w:iCs w:val="0"/>
                      <w:color w:val="000000"/>
                      <w:kern w:val="0"/>
                      <w:sz w:val="21"/>
                      <w:szCs w:val="21"/>
                      <w:u w:val="none"/>
                      <w:lang w:val="en-US" w:eastAsia="zh-CN"/>
                      <w:highlight w:val="none"/>
                    </w:rPr>
                    <w:t>m</w:t>
                  </w:r>
                  <w:r>
                    <w:rPr>
                      <w:rFonts w:ascii="Times New Roman" w:eastAsia="宋体" w:cs="Times New Roman" w:hAnsi="Times New Roman"/>
                      <w:i w:val="0"/>
                      <w:iCs w:val="0"/>
                      <w:color w:val="000000"/>
                      <w:kern w:val="0"/>
                      <w:sz w:val="21"/>
                      <w:szCs w:val="21"/>
                      <w:u w:val="none"/>
                      <w:lang w:val="en-US" w:eastAsia="zh-CN"/>
                      <w:highlight w:val="none"/>
                    </w:rPr>
                    <w:t>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0.0016</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0.01</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汞</w:t>
                  </w:r>
                </w:p>
              </w:tc>
              <w:tc>
                <w:tcPr>
                  <w:tcW w:w="861" w:type="pct"/>
                  <w:tcBorders>
                    <w:tl2br w:val="nil"/>
                    <w:tr2bl w:val="nil"/>
                  </w:tcBorders>
                  <w:vAlign w:val="center"/>
                </w:tcPr>
                <w:p>
                  <w:pPr>
                    <w:keepNext w:val="0"/>
                    <w:keepLines w:val="0"/>
                    <w:suppressLineNumbers w:val="0"/>
                    <w:tabs>
                      <w:tab w:val="left" w:pos="523"/>
                    </w:tabs>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i w:val="0"/>
                      <w:iCs w:val="0"/>
                      <w:color w:val="000000"/>
                      <w:kern w:val="0"/>
                      <w:sz w:val="21"/>
                      <w:szCs w:val="21"/>
                      <w:u w:val="none"/>
                      <w:lang w:val="en-US" w:eastAsia="zh-CN"/>
                      <w:highlight w:val="none"/>
                    </w:rPr>
                    <w:t>μg/L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0.04L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0.001</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color w:val="000000"/>
                      <w:kern w:val="0"/>
                      <w:sz w:val="21"/>
                      <w:szCs w:val="21"/>
                      <w:lang w:val="en-US" w:eastAsia="zh-CN"/>
                    </w:rPr>
                  </w:pPr>
                  <w:r>
                    <w:rPr>
                      <w:rFonts w:ascii="Times New Roman" w:eastAsia="宋体" w:cs="Times New Roman" w:hAnsi="Times New Roman" w:hint="eastAsia"/>
                      <w:b w:val="0"/>
                      <w:bCs w:val="0"/>
                      <w:color w:val="auto"/>
                      <w:w w:val="100"/>
                      <w:sz w:val="21"/>
                      <w:szCs w:val="21"/>
                      <w:lang w:val="en-US" w:eastAsia="zh-CN"/>
                      <w:highlight w:val="none"/>
                    </w:rPr>
                    <w:t>硒</w:t>
                  </w:r>
                </w:p>
              </w:tc>
              <w:tc>
                <w:tcPr>
                  <w:tcW w:w="861" w:type="pct"/>
                  <w:tcBorders>
                    <w:tl2br w:val="nil"/>
                    <w:tr2bl w:val="nil"/>
                  </w:tcBorders>
                  <w:vAlign w:val="center"/>
                </w:tcPr>
                <w:p>
                  <w:pPr>
                    <w:keepNext w:val="0"/>
                    <w:keepLines w:val="0"/>
                    <w:suppressLineNumbers w:val="0"/>
                    <w:tabs>
                      <w:tab w:val="left" w:pos="523"/>
                    </w:tabs>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μg/L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0.4L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0.01</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铬（六价）</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0.004L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0.05</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铅</w:t>
                  </w:r>
                </w:p>
              </w:tc>
              <w:tc>
                <w:tcPr>
                  <w:tcW w:w="861" w:type="pct"/>
                  <w:tcBorders>
                    <w:tl2br w:val="nil"/>
                    <w:tr2bl w:val="nil"/>
                  </w:tcBorders>
                  <w:vAlign w:val="center"/>
                </w:tcPr>
                <w:p>
                  <w:pPr>
                    <w:keepNext w:val="0"/>
                    <w:keepLines w:val="0"/>
                    <w:suppressLineNumbers w:val="0"/>
                    <w:tabs>
                      <w:tab w:val="left" w:pos="523"/>
                    </w:tabs>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i w:val="0"/>
                      <w:iCs w:val="0"/>
                      <w:color w:val="000000"/>
                      <w:kern w:val="0"/>
                      <w:sz w:val="21"/>
                      <w:szCs w:val="21"/>
                      <w:u w:val="none"/>
                      <w:lang w:val="en-US" w:eastAsia="zh-CN"/>
                      <w:highlight w:val="none"/>
                    </w:rPr>
                    <w:t>μg/L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2.5L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0.01</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镉</w:t>
                  </w:r>
                </w:p>
              </w:tc>
              <w:tc>
                <w:tcPr>
                  <w:tcW w:w="861" w:type="pct"/>
                  <w:tcBorders>
                    <w:tl2br w:val="nil"/>
                    <w:tr2bl w:val="nil"/>
                  </w:tcBorders>
                  <w:vAlign w:val="center"/>
                </w:tcPr>
                <w:p>
                  <w:pPr>
                    <w:keepNext w:val="0"/>
                    <w:keepLines w:val="0"/>
                    <w:suppressLineNumbers w:val="0"/>
                    <w:tabs>
                      <w:tab w:val="left" w:pos="523"/>
                    </w:tabs>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i w:val="0"/>
                      <w:iCs w:val="0"/>
                      <w:color w:val="000000"/>
                      <w:kern w:val="0"/>
                      <w:sz w:val="21"/>
                      <w:szCs w:val="21"/>
                      <w:u w:val="none"/>
                      <w:lang w:val="en-US" w:eastAsia="zh-CN"/>
                      <w:highlight w:val="none"/>
                    </w:rPr>
                    <w:t>μg/L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0.5L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0.005</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铁</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0.20</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0.3</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锰</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0.07</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0.10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铜</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bidi="ar-SA"/>
                      <w:highlight w:val="none"/>
                    </w:rPr>
                    <w:t>0.2</w:t>
                  </w:r>
                  <w:r>
                    <w:rPr>
                      <w:rFonts w:ascii="Times New Roman" w:eastAsia="宋体" w:cs="Times New Roman" w:hAnsi="Times New Roman"/>
                      <w:b w:val="0"/>
                      <w:bCs w:val="0"/>
                      <w:color w:val="auto"/>
                      <w:w w:val="100"/>
                      <w:sz w:val="21"/>
                      <w:szCs w:val="21"/>
                      <w:lang w:val="en-US" w:eastAsia="zh-CN"/>
                      <w:highlight w:val="none"/>
                    </w:rPr>
                    <w:t>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1.00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锌</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bidi="ar-SA"/>
                      <w:highlight w:val="none"/>
                    </w:rPr>
                    <w:t>0.34</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1.00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铝</w:t>
                  </w:r>
                </w:p>
              </w:tc>
              <w:tc>
                <w:tcPr>
                  <w:tcW w:w="861" w:type="pct"/>
                  <w:tcBorders>
                    <w:tl2br w:val="nil"/>
                    <w:tr2bl w:val="nil"/>
                  </w:tcBorders>
                  <w:vAlign w:val="center"/>
                </w:tcPr>
                <w:p>
                  <w:pPr>
                    <w:keepNext w:val="0"/>
                    <w:keepLines w:val="0"/>
                    <w:suppressLineNumbers w:val="0"/>
                    <w:tabs>
                      <w:tab w:val="left" w:pos="523"/>
                    </w:tabs>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i w:val="0"/>
                      <w:iCs w:val="0"/>
                      <w:color w:val="000000"/>
                      <w:kern w:val="0"/>
                      <w:sz w:val="21"/>
                      <w:szCs w:val="21"/>
                      <w:u w:val="none"/>
                      <w:lang w:val="en-US" w:eastAsia="zh-CN"/>
                      <w:highlight w:val="none"/>
                    </w:rPr>
                    <w:t>m</w:t>
                  </w:r>
                  <w:r>
                    <w:rPr>
                      <w:rFonts w:ascii="Times New Roman" w:eastAsia="宋体" w:cs="Times New Roman" w:hAnsi="Times New Roman"/>
                      <w:i w:val="0"/>
                      <w:iCs w:val="0"/>
                      <w:color w:val="000000"/>
                      <w:kern w:val="0"/>
                      <w:sz w:val="21"/>
                      <w:szCs w:val="21"/>
                      <w:u w:val="none"/>
                      <w:lang w:val="en-US" w:eastAsia="zh-CN"/>
                      <w:highlight w:val="none"/>
                    </w:rPr>
                    <w:t>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bidi="ar-SA"/>
                      <w:highlight w:val="none"/>
                    </w:rPr>
                    <w:t>0.012</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0.20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宋体" w:hAnsi="Times New Roman" w:hint="eastAsia"/>
                      <w:i w:val="0"/>
                      <w:iCs w:val="0"/>
                      <w:color w:val="000000"/>
                      <w:kern w:val="0"/>
                      <w:sz w:val="21"/>
                      <w:szCs w:val="21"/>
                      <w:u w:val="none"/>
                      <w:lang w:val="en-US" w:eastAsia="zh-CN"/>
                    </w:rPr>
                    <w:t>高锰酸盐指数（以</w:t>
                  </w:r>
                  <w:r>
                    <w:rPr>
                      <w:rFonts w:ascii="Times New Roman" w:eastAsia="宋体" w:cs="Times New Roman" w:hAnsi="Times New Roman"/>
                      <w:i w:val="0"/>
                      <w:iCs w:val="0"/>
                      <w:color w:val="000000"/>
                      <w:kern w:val="0"/>
                      <w:sz w:val="21"/>
                      <w:szCs w:val="21"/>
                      <w:u w:val="none"/>
                      <w:lang w:val="en-US" w:eastAsia="zh-CN"/>
                    </w:rPr>
                    <w:t>O</w:t>
                  </w:r>
                  <w:r>
                    <w:rPr>
                      <w:rFonts w:ascii="Times New Roman" w:eastAsia="宋体" w:cs="Times New Roman" w:hAnsi="Times New Roman"/>
                      <w:i w:val="0"/>
                      <w:iCs w:val="0"/>
                      <w:color w:val="000000"/>
                      <w:kern w:val="0"/>
                      <w:sz w:val="21"/>
                      <w:szCs w:val="21"/>
                      <w:u w:val="none"/>
                      <w:vertAlign w:val="subscript"/>
                      <w:lang w:val="en-US" w:eastAsia="zh-CN"/>
                    </w:rPr>
                    <w:t>2</w:t>
                  </w:r>
                  <w:r>
                    <w:rPr>
                      <w:rFonts w:ascii="Times New Roman" w:eastAsia="宋体" w:cs="宋体" w:hAnsi="Times New Roman" w:hint="eastAsia"/>
                      <w:i w:val="0"/>
                      <w:iCs w:val="0"/>
                      <w:color w:val="000000"/>
                      <w:kern w:val="0"/>
                      <w:sz w:val="21"/>
                      <w:szCs w:val="21"/>
                      <w:u w:val="none"/>
                      <w:lang w:val="en-US" w:eastAsia="zh-CN"/>
                    </w:rPr>
                    <w:t>计）</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1.89</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3.0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color w:val="000000"/>
                      <w:kern w:val="0"/>
                      <w:sz w:val="21"/>
                      <w:szCs w:val="21"/>
                      <w:lang w:val="en-US" w:eastAsia="zh-CN"/>
                      <w:highlight w:val="none"/>
                    </w:rPr>
                  </w:pPr>
                  <w:r>
                    <w:rPr>
                      <w:rFonts w:ascii="Times New Roman" w:eastAsia="宋体" w:cs="Times New Roman" w:hAnsi="Times New Roman" w:hint="eastAsia"/>
                      <w:color w:val="000000"/>
                      <w:kern w:val="0"/>
                      <w:sz w:val="21"/>
                      <w:szCs w:val="21"/>
                      <w:lang w:val="en-US" w:eastAsia="zh-CN"/>
                      <w:highlight w:val="none"/>
                    </w:rPr>
                    <w:t>硫酸盐</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75</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250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氯化物</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52.4</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250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ind w:left="0" w:right="0"/>
                    <w:jc w:val="center"/>
                    <w:textAlignment w:val="auto"/>
                    <w:rPr>
                      <w:rFonts w:ascii="Times New Roman" w:eastAsia="宋体" w:cs="Times New Roman" w:hAnsi="Times New Roman"/>
                      <w:color w:val="000000"/>
                      <w:kern w:val="0"/>
                      <w:sz w:val="21"/>
                      <w:szCs w:val="21"/>
                      <w:lang w:val="en-US" w:eastAsia="zh-CN"/>
                    </w:rPr>
                  </w:pPr>
                  <w:r>
                    <w:rPr>
                      <w:rFonts w:ascii="Times New Roman" w:eastAsia="宋体" w:cs="Times New Roman" w:hAnsi="Times New Roman" w:hint="eastAsia"/>
                      <w:b w:val="0"/>
                      <w:bCs w:val="0"/>
                      <w:i w:val="0"/>
                      <w:iCs w:val="0"/>
                      <w:color w:val="000000"/>
                      <w:kern w:val="0"/>
                      <w:sz w:val="21"/>
                      <w:szCs w:val="21"/>
                      <w:u w:val="none"/>
                      <w:lang w:val="en-US" w:eastAsia="zh-CN"/>
                      <w:highlight w:val="none"/>
                    </w:rPr>
                    <w:t>苯</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μg/L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0.4L</w:t>
                  </w:r>
                </w:p>
              </w:tc>
              <w:tc>
                <w:tcPr>
                  <w:tcW w:w="1125" w:type="pct"/>
                  <w:tcBorders>
                    <w:tl2br w:val="nil"/>
                    <w:tr2bl w:val="nil"/>
                  </w:tcBorders>
                  <w:shd w:val="clear" w:color="auto" w:fill="auto"/>
                  <w:vAlign w:val="center"/>
                </w:tcPr>
                <w:p>
                  <w:pPr>
                    <w:keepNext w:val="0"/>
                    <w:keepLines w:val="0"/>
                    <w:suppressLineNumbers w:val="0"/>
                    <w:spacing w:before="0" w:beforeAutospacing="0" w:after="0" w:afterAutospacing="0"/>
                    <w:ind w:left="0" w:right="0"/>
                    <w:jc w:val="center"/>
                    <w:rPr>
                      <w:rFonts w:ascii="Times New Roman" w:cs="Times New Roman" w:hAnsi="Times New Roman" w:hint="eastAsia"/>
                      <w:color w:val="000000"/>
                      <w:sz w:val="21"/>
                      <w:szCs w:val="21"/>
                      <w:vertAlign w:val="baseline"/>
                      <w:lang w:val="en-US" w:eastAsia="zh-CN" w:bidi="ar-SA"/>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10.0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widowControl/>
                    <w:suppressLineNumbers w:val="0"/>
                    <w:autoSpaceDE w:val="0"/>
                    <w:autoSpaceDN/>
                    <w:snapToGrid w:val="0"/>
                    <w:spacing w:before="0" w:beforeAutospacing="0" w:after="0" w:afterAutospacing="0"/>
                    <w:ind w:left="0" w:right="0" w:firstLine="0"/>
                    <w:jc w:val="center"/>
                    <w:textAlignment w:val="center"/>
                    <w:rPr>
                      <w:rFonts w:ascii="Times New Roman" w:eastAsia="宋体" w:cs="Times New Roman" w:hAnsi="Times New Roman"/>
                      <w:color w:val="000000"/>
                      <w:kern w:val="0"/>
                      <w:sz w:val="21"/>
                      <w:szCs w:val="21"/>
                      <w:lang w:val="en-US" w:eastAsia="zh-CN"/>
                    </w:rPr>
                  </w:pPr>
                  <w:r>
                    <w:rPr>
                      <w:rFonts w:ascii="Times New Roman" w:eastAsia="宋体" w:cs="Times New Roman" w:hAnsi="Times New Roman" w:hint="eastAsia"/>
                      <w:b w:val="0"/>
                      <w:bCs w:val="0"/>
                      <w:color w:val="000000"/>
                      <w:kern w:val="2"/>
                      <w:sz w:val="21"/>
                      <w:szCs w:val="21"/>
                      <w:lang w:val="en-US" w:eastAsia="zh-CN"/>
                      <w:highlight w:val="none"/>
                    </w:rPr>
                    <w:t>甲苯</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μg/L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0.3L</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700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kern w:val="0"/>
                      <w:sz w:val="21"/>
                      <w:szCs w:val="21"/>
                      <w:lang w:val="en-US" w:eastAsia="zh-CN"/>
                    </w:rPr>
                    <w:t>总大肠菌群</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MPN/100mL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2L</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3.0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rPr>
                    <w:t>细菌</w:t>
                  </w:r>
                  <w:r>
                    <w:rPr>
                      <w:rFonts w:ascii="Times New Roman" w:eastAsia="宋体" w:cs="Times New Roman" w:hAnsi="Times New Roman"/>
                      <w:color w:val="000000"/>
                      <w:kern w:val="0"/>
                      <w:sz w:val="21"/>
                      <w:szCs w:val="21"/>
                      <w:lang w:val="en-US" w:eastAsia="zh-CN"/>
                    </w:rPr>
                    <w:t>总数</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color w:val="000000"/>
                      <w:sz w:val="21"/>
                      <w:szCs w:val="21"/>
                      <w:lang w:val="en-US" w:eastAsia="zh-CN"/>
                      <w:highlight w:val="none"/>
                    </w:rPr>
                    <w:t>CFU/m</w:t>
                  </w:r>
                  <w:r>
                    <w:rPr>
                      <w:rFonts w:ascii="Times New Roman" w:eastAsia="宋体" w:cs="Times New Roman" w:hAnsi="Times New Roman"/>
                      <w:b w:val="0"/>
                      <w:bCs w:val="0"/>
                      <w:color w:val="auto"/>
                      <w:w w:val="100"/>
                      <w:sz w:val="21"/>
                      <w:szCs w:val="21"/>
                      <w:lang w:val="en-US" w:eastAsia="zh-CN"/>
                      <w:highlight w:val="none"/>
                    </w:rPr>
                    <w:t>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38</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eastAsia="宋体" w:cs="Times New Roman" w:hAnsi="Times New Roman"/>
                      <w:sz w:val="21"/>
                      <w:szCs w:val="21"/>
                      <w:vertAlign w:val="baseline"/>
                      <w:lang w:val="en-US" w:eastAsia="zh-CN"/>
                    </w:rPr>
                    <w:t>≦</w:t>
                  </w:r>
                  <w:r>
                    <w:rPr>
                      <w:rFonts w:ascii="Times New Roman" w:eastAsia="宋体" w:cs="Times New Roman" w:hAnsi="Times New Roman" w:hint="eastAsia"/>
                      <w:sz w:val="21"/>
                      <w:szCs w:val="21"/>
                      <w:vertAlign w:val="baseline"/>
                      <w:lang w:val="en-US" w:eastAsia="zh-CN"/>
                    </w:rPr>
                    <w:t>100</w:t>
                  </w:r>
                </w:p>
              </w:tc>
            </w:tr>
            <w:tr>
              <w:trPr>
                <w:trHeight w:val="397"/>
              </w:trPr>
              <w:tc>
                <w:tcPr>
                  <w:tcW w:w="690" w:type="pct"/>
                  <w:vMerge/>
                  <w:tcBorders>
                    <w:tl2br w:val="nil"/>
                    <w:tr2bl w:val="nil"/>
                  </w:tcBorders>
                  <w:vAlign w:val="center"/>
                </w:tcPr>
                <w:p/>
              </w:tc>
              <w:tc>
                <w:tcPr>
                  <w:tcW w:w="1406"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宋体" w:hAnsi="Times New Roman" w:hint="eastAsia"/>
                      <w:i w:val="0"/>
                      <w:iCs w:val="0"/>
                      <w:color w:val="000000"/>
                      <w:kern w:val="0"/>
                      <w:sz w:val="21"/>
                      <w:szCs w:val="21"/>
                      <w:u w:val="none"/>
                      <w:lang w:val="en-US" w:eastAsia="zh-CN"/>
                    </w:rPr>
                    <w:t>石油类</w:t>
                  </w:r>
                </w:p>
              </w:tc>
              <w:tc>
                <w:tcPr>
                  <w:tcW w:w="861"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bidi="ar-SA"/>
                    </w:rPr>
                  </w:pPr>
                  <w:r>
                    <w:rPr>
                      <w:rFonts w:ascii="Times New Roman" w:eastAsia="宋体" w:cs="Times New Roman" w:hAnsi="Times New Roman"/>
                      <w:b w:val="0"/>
                      <w:bCs w:val="0"/>
                      <w:color w:val="auto"/>
                      <w:w w:val="100"/>
                      <w:sz w:val="21"/>
                      <w:szCs w:val="21"/>
                      <w:lang w:val="en-US" w:eastAsia="zh-CN"/>
                      <w:highlight w:val="none"/>
                    </w:rPr>
                    <w:t>mg/L</w:t>
                  </w:r>
                </w:p>
              </w:tc>
              <w:tc>
                <w:tcPr>
                  <w:tcW w:w="916"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hint="eastAsia"/>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0.01L</w:t>
                  </w:r>
                </w:p>
              </w:tc>
              <w:tc>
                <w:tcPr>
                  <w:tcW w:w="1125" w:type="pct"/>
                  <w:tcBorders>
                    <w:tl2br w:val="nil"/>
                    <w:tr2bl w:val="nil"/>
                  </w:tcBorders>
                  <w:vAlign w:val="center"/>
                </w:tcPr>
                <w:p>
                  <w:pPr>
                    <w:keepNext w:val="0"/>
                    <w:keepLines w:val="0"/>
                    <w:suppressLineNumbers w:val="0"/>
                    <w:spacing w:before="0" w:beforeAutospacing="0" w:after="0" w:afterAutospacing="0"/>
                    <w:ind w:left="0" w:right="0" w:firstLine="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hint="eastAsia"/>
                <w:lang w:val="en-US" w:eastAsia="zh-CN"/>
              </w:rPr>
            </w:pPr>
            <w:r>
              <w:rPr>
                <w:rFonts w:ascii="Times New Roman" w:cs="Times New Roman" w:hAnsi="Times New Roman"/>
                <w:color w:val="000000"/>
                <w:kern w:val="0"/>
                <w:sz w:val="24"/>
                <w:szCs w:val="20"/>
              </w:rPr>
              <w:t>由上表监测结果可知，本项目</w:t>
            </w:r>
            <w:r>
              <w:rPr>
                <w:rFonts w:ascii="Times New Roman" w:cs="Times New Roman" w:hAnsi="Times New Roman"/>
                <w:color w:val="000000"/>
                <w:sz w:val="24"/>
                <w:szCs w:val="20"/>
              </w:rPr>
              <w:t>区域监测点位各检测因子均能满足《地下水质量标准》（GB/T14848-2017）Ⅲ类标准限值，评价区域内地下水环境质量良好。</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hint="eastAsia"/>
                <w:sz w:val="24"/>
                <w:szCs w:val="20"/>
                <w:lang w:val="en-US" w:eastAsia="zh-CN"/>
              </w:rPr>
              <w:t xml:space="preserve">   土壤</w:t>
            </w:r>
            <w:r>
              <w:rPr>
                <w:rFonts w:ascii="Times New Roman" w:cs="Times New Roman" w:hAnsi="Times New Roman"/>
                <w:sz w:val="24"/>
                <w:szCs w:val="20"/>
              </w:rPr>
              <w:t>检测结果表</w:t>
            </w:r>
          </w:p>
          <w:tbl>
            <w:tblPr>
              <w:jc w:val="center"/>
              <w:tblW w:w="4998"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0" w:type="dxa"/>
                <w:left w:w="108" w:type="dxa"/>
                <w:bottom w:w="0" w:type="dxa"/>
                <w:right w:w="108" w:type="dxa"/>
              </w:tblCellMar>
              <w:tblLook w:val="0600" w:firstRow="0" w:lastRow="0" w:firstColumn="0" w:lastColumn="0" w:noHBand="1" w:noVBand="1"/>
            </w:tblPr>
            <w:tblGrid>
              <w:gridCol w:w="1178"/>
              <w:gridCol w:w="2092"/>
              <w:gridCol w:w="1144"/>
              <w:gridCol w:w="2261"/>
              <w:gridCol w:w="1871"/>
            </w:tblGrid>
            <w:tr>
              <w:trPr>
                <w:trHeight w:val="448"/>
                <w:tblHeader/>
              </w:trPr>
              <w:tc>
                <w:tcPr>
                  <w:tcW w:w="689" w:type="pct"/>
                  <w:vMerge w:val="restar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bCs/>
                      <w:color w:val="auto"/>
                      <w:w w:val="100"/>
                      <w:sz w:val="21"/>
                      <w:szCs w:val="21"/>
                      <w:highlight w:val="none"/>
                    </w:rPr>
                  </w:pPr>
                  <w:r>
                    <w:rPr>
                      <w:rFonts w:ascii="Times New Roman" w:eastAsia="宋体" w:cs="Times New Roman" w:hAnsi="Times New Roman"/>
                      <w:b/>
                      <w:bCs/>
                      <w:color w:val="auto"/>
                      <w:w w:val="100"/>
                      <w:sz w:val="21"/>
                      <w:szCs w:val="21"/>
                      <w:highlight w:val="none"/>
                    </w:rPr>
                    <w:t>采样时间</w:t>
                  </w:r>
                </w:p>
              </w:tc>
              <w:tc>
                <w:tcPr>
                  <w:tcW w:w="1223" w:type="pct"/>
                  <w:vMerge w:val="restar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bCs/>
                      <w:color w:val="auto"/>
                      <w:w w:val="100"/>
                      <w:sz w:val="21"/>
                      <w:szCs w:val="21"/>
                      <w:highlight w:val="none"/>
                    </w:rPr>
                  </w:pPr>
                  <w:r>
                    <w:rPr>
                      <w:rFonts w:ascii="Times New Roman" w:eastAsia="宋体" w:cs="Times New Roman" w:hAnsi="Times New Roman"/>
                      <w:b/>
                      <w:bCs/>
                      <w:color w:val="auto"/>
                      <w:w w:val="100"/>
                      <w:sz w:val="21"/>
                      <w:szCs w:val="21"/>
                      <w:highlight w:val="none"/>
                    </w:rPr>
                    <w:t>检测项目</w:t>
                  </w:r>
                </w:p>
              </w:tc>
              <w:tc>
                <w:tcPr>
                  <w:tcW w:w="669" w:type="pct"/>
                  <w:vMerge w:val="restar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bCs/>
                      <w:color w:val="auto"/>
                      <w:w w:val="100"/>
                      <w:sz w:val="21"/>
                      <w:szCs w:val="21"/>
                      <w:highlight w:val="none"/>
                    </w:rPr>
                  </w:pPr>
                  <w:r>
                    <w:rPr>
                      <w:rFonts w:ascii="Times New Roman" w:eastAsia="宋体" w:cs="Times New Roman" w:hAnsi="Times New Roman"/>
                      <w:b/>
                      <w:bCs/>
                      <w:color w:val="auto"/>
                      <w:w w:val="100"/>
                      <w:sz w:val="21"/>
                      <w:szCs w:val="21"/>
                      <w:highlight w:val="none"/>
                    </w:rPr>
                    <w:t>单位</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bCs/>
                      <w:color w:val="auto"/>
                      <w:w w:val="100"/>
                      <w:sz w:val="21"/>
                      <w:szCs w:val="21"/>
                      <w:lang w:val="en-US" w:eastAsia="zh-CN"/>
                      <w:highlight w:val="none"/>
                    </w:rPr>
                  </w:pPr>
                  <w:r>
                    <w:rPr>
                      <w:rFonts w:ascii="Times New Roman" w:eastAsia="宋体" w:cs="Times New Roman" w:hAnsi="Times New Roman"/>
                      <w:b/>
                      <w:bCs/>
                      <w:color w:val="auto"/>
                      <w:w w:val="100"/>
                      <w:sz w:val="21"/>
                      <w:szCs w:val="21"/>
                      <w:lang w:val="en-US" w:eastAsia="zh-CN"/>
                      <w:highlight w:val="none"/>
                    </w:rPr>
                    <w:t>检测结果</w:t>
                  </w:r>
                </w:p>
              </w:tc>
              <w:tc>
                <w:tcPr>
                  <w:tcW w:w="1094" w:type="pct"/>
                  <w:vMerge w:val="restar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bCs/>
                      <w:color w:val="auto"/>
                      <w:w w:val="100"/>
                      <w:sz w:val="21"/>
                      <w:szCs w:val="21"/>
                      <w:lang w:val="en-US" w:eastAsia="zh-CN"/>
                      <w:highlight w:val="none"/>
                    </w:rPr>
                  </w:pPr>
                  <w:r>
                    <w:rPr>
                      <w:rFonts w:ascii="Times New Roman" w:eastAsia="宋体" w:cs="Times New Roman" w:hAnsi="Times New Roman" w:hint="eastAsia"/>
                      <w:b/>
                      <w:bCs/>
                      <w:color w:val="auto"/>
                      <w:w w:val="100"/>
                      <w:sz w:val="21"/>
                      <w:szCs w:val="21"/>
                      <w:lang w:val="en-US" w:eastAsia="zh-CN"/>
                      <w:highlight w:val="none"/>
                    </w:rPr>
                    <w:t>标准值</w:t>
                  </w:r>
                </w:p>
              </w:tc>
            </w:tr>
            <w:tr>
              <w:trPr>
                <w:trHeight w:val="448"/>
                <w:tblHeader/>
              </w:trPr>
              <w:tc>
                <w:tcPr>
                  <w:tcW w:w="689" w:type="pct"/>
                  <w:vMerge/>
                  <w:tcBorders>
                    <w:tl2br w:val="nil"/>
                    <w:tr2bl w:val="nil"/>
                  </w:tcBorders>
                  <w:vAlign w:val="center"/>
                </w:tcPr>
                <w:p/>
              </w:tc>
              <w:tc>
                <w:tcPr>
                  <w:tcW w:w="1223" w:type="pct"/>
                  <w:vMerge/>
                  <w:tcBorders>
                    <w:tl2br w:val="nil"/>
                    <w:tr2bl w:val="nil"/>
                  </w:tcBorders>
                  <w:vAlign w:val="center"/>
                </w:tcPr>
                <w:p/>
              </w:tc>
              <w:tc>
                <w:tcPr>
                  <w:tcW w:w="669" w:type="pct"/>
                  <w:vMerge/>
                  <w:tcBorders>
                    <w:tl2br w:val="nil"/>
                    <w:tr2bl w:val="nil"/>
                  </w:tcBorders>
                  <w:vAlign w:val="center"/>
                </w:tcP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bCs/>
                      <w:color w:val="auto"/>
                      <w:w w:val="100"/>
                      <w:sz w:val="21"/>
                      <w:szCs w:val="21"/>
                      <w:lang w:val="en-US" w:eastAsia="zh-CN"/>
                      <w:highlight w:val="none"/>
                    </w:rPr>
                  </w:pPr>
                  <w:r>
                    <w:rPr>
                      <w:rFonts w:ascii="Times New Roman" w:eastAsia="宋体" w:cs="Times New Roman" w:hAnsi="Times New Roman" w:hint="eastAsia"/>
                      <w:b/>
                      <w:bCs/>
                      <w:color w:val="auto"/>
                      <w:w w:val="100"/>
                      <w:sz w:val="21"/>
                      <w:szCs w:val="21"/>
                      <w:lang w:val="en-US" w:eastAsia="zh-CN"/>
                      <w:highlight w:val="none"/>
                    </w:rPr>
                    <w:t>罐区</w:t>
                  </w:r>
                </w:p>
              </w:tc>
              <w:tc>
                <w:tcPr>
                  <w:tcW w:w="1094" w:type="pct"/>
                  <w:vMerge/>
                  <w:tcBorders>
                    <w:tl2br w:val="nil"/>
                    <w:tr2bl w:val="nil"/>
                  </w:tcBorders>
                  <w:vAlign w:val="center"/>
                </w:tcPr>
                <w:p/>
              </w:tc>
            </w:tr>
            <w:tr>
              <w:trPr>
                <w:trHeight w:val="448"/>
                <w:tblHeader/>
              </w:trPr>
              <w:tc>
                <w:tcPr>
                  <w:tcW w:w="689" w:type="pct"/>
                  <w:vMerge/>
                  <w:tcBorders>
                    <w:tl2br w:val="nil"/>
                    <w:tr2bl w:val="nil"/>
                  </w:tcBorders>
                  <w:vAlign w:val="center"/>
                </w:tcPr>
                <w:p/>
              </w:tc>
              <w:tc>
                <w:tcPr>
                  <w:tcW w:w="1223" w:type="pct"/>
                  <w:vMerge/>
                  <w:tcBorders>
                    <w:tl2br w:val="nil"/>
                    <w:tr2bl w:val="nil"/>
                  </w:tcBorders>
                  <w:vAlign w:val="center"/>
                </w:tcPr>
                <w:p/>
              </w:tc>
              <w:tc>
                <w:tcPr>
                  <w:tcW w:w="669" w:type="pct"/>
                  <w:vMerge/>
                  <w:tcBorders>
                    <w:tl2br w:val="nil"/>
                    <w:tr2bl w:val="nil"/>
                  </w:tcBorders>
                  <w:vAlign w:val="center"/>
                </w:tcP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bCs/>
                      <w:color w:val="auto"/>
                      <w:w w:val="100"/>
                      <w:sz w:val="21"/>
                      <w:szCs w:val="21"/>
                      <w:lang w:val="en-US" w:eastAsia="zh-CN" w:bidi="ar-SA"/>
                      <w:highlight w:val="none"/>
                    </w:rPr>
                  </w:pPr>
                  <w:r>
                    <w:rPr>
                      <w:rFonts w:ascii="Times New Roman" w:eastAsia="宋体" w:cs="Times New Roman" w:hAnsi="Times New Roman"/>
                      <w:b/>
                      <w:bCs/>
                      <w:color w:val="auto"/>
                      <w:w w:val="100"/>
                      <w:sz w:val="21"/>
                      <w:szCs w:val="21"/>
                      <w:lang w:val="en-US" w:eastAsia="zh-CN" w:bidi="ar-SA"/>
                      <w:highlight w:val="none"/>
                    </w:rPr>
                    <w:t>0~0.2m</w:t>
                  </w:r>
                </w:p>
              </w:tc>
              <w:tc>
                <w:tcPr>
                  <w:tcW w:w="1094" w:type="pct"/>
                  <w:vMerge/>
                  <w:tcBorders>
                    <w:tl2br w:val="nil"/>
                    <w:tr2bl w:val="nil"/>
                  </w:tcBorders>
                  <w:vAlign w:val="center"/>
                </w:tcPr>
                <w:p/>
              </w:tc>
            </w:tr>
            <w:tr>
              <w:trPr>
                <w:trHeight w:val="448"/>
              </w:trPr>
              <w:tc>
                <w:tcPr>
                  <w:tcW w:w="689" w:type="pct"/>
                  <w:vMerge w:val="restar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bidi="ar-SA"/>
                      <w:highlight w:val="none"/>
                    </w:rPr>
                    <w:t>2026.02.24</w:t>
                  </w: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10.5</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cs="Times New Roman" w:hAnsi="Times New Roman"/>
                      <w:color w:val="000000"/>
                      <w:kern w:val="0"/>
                      <w:sz w:val="21"/>
                      <w:szCs w:val="21"/>
                      <w:lang w:val="en-US" w:eastAsia="zh-CN"/>
                    </w:rPr>
                    <w:t>60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镉</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bidi w:val="0"/>
                    <w:spacing w:before="0" w:beforeAutospacing="0" w:after="0" w:afterAutospacing="0"/>
                    <w:ind w:left="0" w:right="0"/>
                    <w:jc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0.18</w:t>
                  </w:r>
                </w:p>
              </w:tc>
              <w:tc>
                <w:tcPr>
                  <w:tcW w:w="1094" w:type="pct"/>
                  <w:tcBorders>
                    <w:tl2br w:val="nil"/>
                    <w:tr2bl w:val="nil"/>
                  </w:tcBorders>
                  <w:vAlign w:val="center"/>
                </w:tcPr>
                <w:p>
                  <w:pPr>
                    <w:keepNext w:val="0"/>
                    <w:keepLines w:val="0"/>
                    <w:suppressLineNumbers w:val="0"/>
                    <w:bidi w:val="0"/>
                    <w:spacing w:before="0" w:beforeAutospacing="0" w:after="0" w:afterAutospacing="0"/>
                    <w:ind w:left="0" w:right="0"/>
                    <w:jc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cs="Times New Roman" w:hAnsi="Times New Roman"/>
                      <w:color w:val="000000"/>
                      <w:kern w:val="0"/>
                      <w:sz w:val="21"/>
                      <w:szCs w:val="21"/>
                      <w:lang w:val="en-US" w:eastAsia="zh-CN"/>
                    </w:rPr>
                    <w:t>65</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六价铬</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hint="eastAsia"/>
                      <w:color w:val="000000"/>
                      <w:sz w:val="21"/>
                      <w:szCs w:val="21"/>
                      <w:lang w:val="en-US" w:eastAsia="zh-CN" w:bidi="ar-SA"/>
                      <w:highlight w:val="none"/>
                    </w:rPr>
                  </w:pPr>
                  <w:r>
                    <w:rPr>
                      <w:rFonts w:ascii="Times New Roman" w:cs="Times New Roman" w:hAnsi="Times New Roman"/>
                      <w:color w:val="000000"/>
                      <w:kern w:val="0"/>
                      <w:sz w:val="21"/>
                      <w:szCs w:val="21"/>
                      <w:lang w:val="en-US" w:eastAsia="zh-CN"/>
                    </w:rPr>
                    <w:t>5.7</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铜</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28</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hint="eastAsia"/>
                      <w:b w:val="0"/>
                      <w:bCs w:val="0"/>
                      <w:color w:val="auto"/>
                      <w:w w:val="100"/>
                      <w:sz w:val="21"/>
                      <w:szCs w:val="21"/>
                      <w:lang w:val="en-US" w:eastAsia="zh-CN"/>
                      <w:highlight w:val="none"/>
                    </w:rPr>
                  </w:pPr>
                  <w:r>
                    <w:rPr>
                      <w:rFonts w:ascii="Times New Roman" w:cs="Times New Roman" w:hAnsi="Times New Roman"/>
                      <w:color w:val="000000"/>
                      <w:kern w:val="0"/>
                      <w:sz w:val="21"/>
                      <w:szCs w:val="21"/>
                      <w:lang w:val="en-US" w:eastAsia="zh-CN"/>
                    </w:rPr>
                    <w:t>18000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铅</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14.7</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800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汞</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0.832</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38</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镍</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22</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highlight w:val="none"/>
                    </w:rPr>
                    <w:t>900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四氯化碳</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2.8</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氯仿</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0.9</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氯甲烷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37</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1,1-二氯乙烷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9</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1,2-二氯乙烷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5</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1,1-二氯乙烯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66</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顺-1,2-二氯乙烯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596</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反-1,2-二氯乙烯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54</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二氯甲烷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616</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1,2-二氯丙烷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5</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1,1,1,2-四氯乙烷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1,1,2,2-四氯乙烷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6.8</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auto"/>
                      <w:kern w:val="0"/>
                      <w:sz w:val="21"/>
                      <w:szCs w:val="21"/>
                      <w:u w:val="none"/>
                      <w:lang w:val="en-US" w:eastAsia="zh-CN"/>
                      <w:highlight w:val="none"/>
                    </w:rPr>
                    <w:t>四氯乙烯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53</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1,1,1-三氯乙烷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840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1,1,2-三氯乙烷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2.8</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三氯乙烯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2.8</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1,2,3-三氯丙烷</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0.5</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氯乙烯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0.43</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4</w:t>
                  </w:r>
                </w:p>
              </w:tc>
            </w:tr>
            <w:tr>
              <w:trPr>
                <w:trHeight w:val="448"/>
              </w:trPr>
              <w:tc>
                <w:tcPr>
                  <w:tcW w:w="689" w:type="pct"/>
                  <w:vMerge w:val="restar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bidi="ar-SA"/>
                      <w:highlight w:val="none"/>
                    </w:rPr>
                    <w:t>2026.02.24</w:t>
                  </w: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氯苯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270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1,2-二氯苯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560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1,4-二氯苯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20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乙苯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28</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苯乙烯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1290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甲苯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1200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间二甲苯+对二甲苯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570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highlight w:val="none"/>
                    </w:rPr>
                    <w:t>邻二甲苯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640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硝基苯</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76</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苯胺</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260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2-氯酚</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2256</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苯并[a]蒽</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15</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苯并[a]芘</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1.5</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苯并[b]荧蒽</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15</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苯并[k]荧蒽</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151</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二苯并[a,h]蒽</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1.5</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茚并[1,2,3-cd]芘</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15</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䓛</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1293</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i w:val="0"/>
                      <w:iCs w:val="0"/>
                      <w:color w:val="000000"/>
                      <w:kern w:val="0"/>
                      <w:sz w:val="21"/>
                      <w:szCs w:val="21"/>
                      <w:u w:val="none"/>
                      <w:lang w:val="en-US" w:eastAsia="zh-CN"/>
                    </w:rPr>
                    <w:t>萘</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未检出</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color w:val="000000"/>
                      <w:sz w:val="21"/>
                      <w:szCs w:val="21"/>
                      <w:lang w:val="en-US" w:eastAsia="zh-CN" w:bidi="ar-SA"/>
                      <w:highlight w:val="none"/>
                    </w:rPr>
                  </w:pPr>
                  <w:r>
                    <w:rPr>
                      <w:rFonts w:ascii="Times New Roman" w:eastAsia="宋体" w:cs="Times New Roman" w:hAnsi="Times New Roman" w:hint="eastAsia"/>
                      <w:color w:val="000000"/>
                      <w:sz w:val="21"/>
                      <w:szCs w:val="21"/>
                      <w:lang w:val="en-US" w:eastAsia="zh-CN" w:bidi="ar-SA"/>
                      <w:highlight w:val="none"/>
                    </w:rPr>
                    <w:t>70</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sz w:val="21"/>
                      <w:szCs w:val="21"/>
                      <w:vertAlign w:val="baseline"/>
                      <w:lang w:val="en-US" w:eastAsia="zh-CN"/>
                      <w:highlight w:val="none"/>
                    </w:rPr>
                    <w:t>pH值</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highlight w:val="none"/>
                    </w:rPr>
                    <w:t>无量纲</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bidi="ar-SA"/>
                      <w:highlight w:val="none"/>
                    </w:rPr>
                    <w:t>8.29</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bidi="ar-SA"/>
                      <w:highlight w:val="none"/>
                    </w:rPr>
                    <w:t>/</w:t>
                  </w:r>
                </w:p>
              </w:tc>
            </w:tr>
            <w:tr>
              <w:trPr>
                <w:trHeight w:val="448"/>
              </w:trPr>
              <w:tc>
                <w:tcPr>
                  <w:tcW w:w="689" w:type="pct"/>
                  <w:vMerge/>
                  <w:tcBorders>
                    <w:tl2br w:val="nil"/>
                    <w:tr2bl w:val="nil"/>
                  </w:tcBorders>
                  <w:vAlign w:val="center"/>
                </w:tcPr>
                <w:p/>
              </w:tc>
              <w:tc>
                <w:tcPr>
                  <w:tcW w:w="1223" w:type="pct"/>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sz w:val="21"/>
                      <w:szCs w:val="21"/>
                      <w:lang w:val="en-US" w:eastAsia="zh-CN"/>
                      <w:highlight w:val="none"/>
                    </w:rPr>
                  </w:pPr>
                  <w:r>
                    <w:rPr>
                      <w:rFonts w:ascii="Times New Roman" w:eastAsia="宋体" w:cs="宋体" w:hAnsi="Times New Roman" w:hint="eastAsia"/>
                      <w:i w:val="0"/>
                      <w:iCs w:val="0"/>
                      <w:color w:val="000000"/>
                      <w:kern w:val="0"/>
                      <w:sz w:val="21"/>
                      <w:szCs w:val="21"/>
                      <w:u w:val="none"/>
                      <w:lang w:val="en-US" w:eastAsia="zh-CN"/>
                      <w:highlight w:val="none"/>
                    </w:rPr>
                    <w:t>石油烃（</w:t>
                  </w:r>
                  <w:r>
                    <w:rPr>
                      <w:rFonts w:ascii="Times New Roman" w:eastAsia="宋体" w:cs="Times New Roman" w:hAnsi="Times New Roman"/>
                      <w:i w:val="0"/>
                      <w:iCs w:val="0"/>
                      <w:color w:val="000000"/>
                      <w:kern w:val="0"/>
                      <w:sz w:val="21"/>
                      <w:szCs w:val="21"/>
                      <w:u w:val="none"/>
                      <w:lang w:val="en-US" w:eastAsia="zh-CN"/>
                      <w:highlight w:val="none"/>
                    </w:rPr>
                    <w:t>C</w:t>
                  </w:r>
                  <w:r>
                    <w:rPr>
                      <w:rFonts w:ascii="Times New Roman" w:eastAsia="宋体" w:cs="Times New Roman" w:hAnsi="Times New Roman"/>
                      <w:i w:val="0"/>
                      <w:iCs w:val="0"/>
                      <w:color w:val="000000"/>
                      <w:kern w:val="0"/>
                      <w:sz w:val="21"/>
                      <w:szCs w:val="21"/>
                      <w:u w:val="none"/>
                      <w:vertAlign w:val="subscript"/>
                      <w:lang w:val="en-US" w:eastAsia="zh-CN"/>
                      <w:highlight w:val="none"/>
                    </w:rPr>
                    <w:t>10</w:t>
                  </w:r>
                  <w:r>
                    <w:rPr>
                      <w:rFonts w:ascii="Times New Roman" w:eastAsia="宋体" w:cs="Times New Roman" w:hAnsi="Times New Roman"/>
                      <w:i w:val="0"/>
                      <w:iCs w:val="0"/>
                      <w:color w:val="000000"/>
                      <w:kern w:val="0"/>
                      <w:sz w:val="21"/>
                      <w:szCs w:val="21"/>
                      <w:u w:val="none"/>
                      <w:lang w:val="en-US" w:eastAsia="zh-CN"/>
                      <w:highlight w:val="none"/>
                    </w:rPr>
                    <w:t>-C</w:t>
                  </w:r>
                  <w:r>
                    <w:rPr>
                      <w:rFonts w:ascii="Times New Roman" w:eastAsia="宋体" w:cs="Times New Roman" w:hAnsi="Times New Roman"/>
                      <w:i w:val="0"/>
                      <w:iCs w:val="0"/>
                      <w:color w:val="000000"/>
                      <w:kern w:val="0"/>
                      <w:sz w:val="21"/>
                      <w:szCs w:val="21"/>
                      <w:u w:val="none"/>
                      <w:vertAlign w:val="subscript"/>
                      <w:lang w:val="en-US" w:eastAsia="zh-CN"/>
                      <w:highlight w:val="none"/>
                    </w:rPr>
                    <w:t>40</w:t>
                  </w:r>
                  <w:r>
                    <w:rPr>
                      <w:rFonts w:ascii="Times New Roman" w:eastAsia="宋体" w:cs="宋体" w:hAnsi="Times New Roman" w:hint="eastAsia"/>
                      <w:i w:val="0"/>
                      <w:iCs w:val="0"/>
                      <w:color w:val="000000"/>
                      <w:kern w:val="0"/>
                      <w:sz w:val="21"/>
                      <w:szCs w:val="21"/>
                      <w:u w:val="none"/>
                      <w:lang w:val="en-US" w:eastAsia="zh-CN"/>
                      <w:highlight w:val="none"/>
                    </w:rPr>
                    <w:t>）</w:t>
                  </w:r>
                </w:p>
              </w:tc>
              <w:tc>
                <w:tcPr>
                  <w:tcW w:w="669"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b w:val="0"/>
                      <w:bCs w:val="0"/>
                      <w:color w:val="auto"/>
                      <w:w w:val="100"/>
                      <w:sz w:val="21"/>
                      <w:szCs w:val="21"/>
                      <w:lang w:val="en-US" w:eastAsia="zh-CN"/>
                      <w:highlight w:val="none"/>
                    </w:rPr>
                    <w:t>mg/kg</w:t>
                  </w:r>
                </w:p>
              </w:tc>
              <w:tc>
                <w:tcPr>
                  <w:tcW w:w="1322"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highlight w:val="none"/>
                    </w:rPr>
                  </w:pPr>
                  <w:r>
                    <w:rPr>
                      <w:rFonts w:ascii="Times New Roman" w:eastAsia="宋体" w:cs="Times New Roman" w:hAnsi="Times New Roman" w:hint="eastAsia"/>
                      <w:b w:val="0"/>
                      <w:bCs w:val="0"/>
                      <w:color w:val="auto"/>
                      <w:w w:val="100"/>
                      <w:sz w:val="21"/>
                      <w:szCs w:val="21"/>
                      <w:lang w:val="en-US" w:eastAsia="zh-CN" w:bidi="ar-SA"/>
                      <w:highlight w:val="none"/>
                    </w:rPr>
                    <w:t>54</w:t>
                  </w:r>
                </w:p>
              </w:tc>
              <w:tc>
                <w:tcPr>
                  <w:tcW w:w="1094" w:type="pct"/>
                  <w:tcBorders>
                    <w:tl2br w:val="nil"/>
                    <w:tr2bl w:val="nil"/>
                  </w:tcBorders>
                  <w:vAlign w:val="center"/>
                </w:tcPr>
                <w:p>
                  <w:pPr>
                    <w:keepNext w:val="0"/>
                    <w:keepLines w:val="0"/>
                    <w:suppressLineNumbers w:val="0"/>
                    <w:spacing w:before="0" w:beforeAutospacing="0" w:after="0" w:afterAutospacing="0"/>
                    <w:ind w:left="0" w:right="0"/>
                    <w:jc w:val="center"/>
                    <w:textAlignment w:val="center"/>
                    <w:rPr>
                      <w:rFonts w:ascii="Times New Roman" w:eastAsia="宋体" w:cs="Times New Roman" w:hAnsi="Times New Roman"/>
                      <w:b w:val="0"/>
                      <w:bCs w:val="0"/>
                      <w:color w:val="auto"/>
                      <w:w w:val="100"/>
                      <w:sz w:val="21"/>
                      <w:szCs w:val="21"/>
                      <w:lang w:val="en-US" w:eastAsia="zh-CN" w:bidi="ar-SA"/>
                      <w:highlight w:val="none"/>
                    </w:rPr>
                  </w:pPr>
                  <w:r>
                    <w:rPr>
                      <w:rFonts w:ascii="Times New Roman" w:eastAsia="宋体" w:cs="Times New Roman" w:hAnsi="Times New Roman" w:hint="eastAsia"/>
                      <w:b w:val="0"/>
                      <w:bCs w:val="0"/>
                      <w:color w:val="auto"/>
                      <w:w w:val="100"/>
                      <w:sz w:val="21"/>
                      <w:szCs w:val="21"/>
                      <w:lang w:val="en-US" w:eastAsia="zh-CN" w:bidi="ar-SA"/>
                      <w:highlight w:val="none"/>
                    </w:rPr>
                    <w:t>4500</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sz w:val="24"/>
                <w:lang w:val="en-US" w:eastAsia="zh-CN"/>
                <w:highlight w:val="none"/>
              </w:rPr>
            </w:pPr>
            <w:r>
              <w:rPr>
                <w:rFonts w:ascii="Times New Roman" w:cs="Times New Roman" w:hAnsi="Times New Roman" w:hint="eastAsia"/>
                <w:color w:val="000000"/>
                <w:kern w:val="0"/>
                <w:sz w:val="24"/>
                <w:szCs w:val="20"/>
              </w:rPr>
              <w:t>由</w:t>
            </w:r>
            <w:r>
              <w:rPr>
                <w:rFonts w:ascii="Times New Roman" w:cs="Times New Roman" w:hAnsi="Times New Roman"/>
                <w:color w:val="000000"/>
                <w:kern w:val="0"/>
                <w:sz w:val="24"/>
                <w:szCs w:val="20"/>
              </w:rPr>
              <w:t>监测结果可知，项目场地土壤环境质量现状监测因子均满足《</w:t>
            </w:r>
            <w:r>
              <w:rPr>
                <w:rFonts w:ascii="Times New Roman" w:cs="Times New Roman" w:hAnsi="Times New Roman" w:hint="eastAsia"/>
                <w:color w:val="000000"/>
                <w:kern w:val="0"/>
                <w:sz w:val="24"/>
                <w:szCs w:val="20"/>
              </w:rPr>
              <w:t>土壤</w:t>
            </w:r>
            <w:r>
              <w:rPr>
                <w:rFonts w:ascii="Times New Roman" w:cs="Times New Roman" w:hAnsi="Times New Roman"/>
                <w:color w:val="000000"/>
                <w:kern w:val="0"/>
                <w:sz w:val="24"/>
                <w:szCs w:val="20"/>
              </w:rPr>
              <w:t>环境质量建设用地土壤污染风险管控标准（</w:t>
            </w:r>
            <w:r>
              <w:rPr>
                <w:rFonts w:ascii="Times New Roman" w:cs="Times New Roman" w:hAnsi="Times New Roman" w:hint="eastAsia"/>
                <w:color w:val="000000"/>
                <w:kern w:val="0"/>
                <w:sz w:val="24"/>
                <w:szCs w:val="20"/>
              </w:rPr>
              <w:t>试行</w:t>
            </w:r>
            <w:r>
              <w:rPr>
                <w:rFonts w:ascii="Times New Roman" w:cs="Times New Roman" w:hAnsi="Times New Roman"/>
                <w:color w:val="000000"/>
                <w:kern w:val="0"/>
                <w:sz w:val="24"/>
                <w:szCs w:val="20"/>
              </w:rPr>
              <w:t>）》</w:t>
            </w:r>
            <w:r>
              <w:rPr>
                <w:rFonts w:ascii="Times New Roman" w:cs="Times New Roman" w:hAnsi="Times New Roman" w:hint="eastAsia"/>
                <w:color w:val="000000"/>
                <w:kern w:val="0"/>
                <w:sz w:val="24"/>
                <w:szCs w:val="20"/>
              </w:rPr>
              <w:t>（GB36600-2018）表1中</w:t>
            </w:r>
            <w:r>
              <w:rPr>
                <w:rFonts w:ascii="Times New Roman" w:cs="Times New Roman" w:hAnsi="Times New Roman"/>
                <w:color w:val="000000"/>
                <w:kern w:val="0"/>
                <w:sz w:val="24"/>
                <w:szCs w:val="20"/>
              </w:rPr>
              <w:t>二类用地</w:t>
            </w:r>
            <w:r>
              <w:rPr>
                <w:rFonts w:ascii="Times New Roman" w:cs="Times New Roman" w:hAnsi="Times New Roman" w:hint="eastAsia"/>
                <w:color w:val="000000"/>
                <w:kern w:val="0"/>
                <w:sz w:val="24"/>
                <w:szCs w:val="20"/>
              </w:rPr>
              <w:t>风险</w:t>
            </w:r>
            <w:r>
              <w:rPr>
                <w:rFonts w:ascii="Times New Roman" w:cs="Times New Roman" w:hAnsi="Times New Roman"/>
                <w:color w:val="000000"/>
                <w:kern w:val="0"/>
                <w:sz w:val="24"/>
                <w:szCs w:val="20"/>
              </w:rPr>
              <w:t>筛选</w:t>
            </w:r>
            <w:r>
              <w:rPr>
                <w:rFonts w:ascii="Times New Roman" w:cs="Times New Roman" w:hAnsi="Times New Roman" w:hint="eastAsia"/>
                <w:color w:val="000000"/>
                <w:kern w:val="0"/>
                <w:sz w:val="24"/>
                <w:szCs w:val="20"/>
              </w:rPr>
              <w:t>值</w:t>
            </w:r>
            <w:r>
              <w:rPr>
                <w:rFonts w:ascii="Times New Roman" w:cs="Times New Roman" w:hAnsi="Times New Roman"/>
                <w:color w:val="000000"/>
                <w:kern w:val="0"/>
                <w:sz w:val="24"/>
                <w:szCs w:val="20"/>
              </w:rPr>
              <w:t>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sz w:val="24"/>
                <w:lang w:val="en-US" w:eastAsia="zh-CN"/>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sz w:val="24"/>
                <w:lang w:val="en-US" w:eastAsia="zh-CN"/>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sz w:val="24"/>
                <w:lang w:val="en-US" w:eastAsia="zh-CN"/>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sz w:val="24"/>
                <w:lang w:val="en-US" w:eastAsia="zh-CN"/>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sz w:val="24"/>
                <w:lang w:val="en-US" w:eastAsia="zh-CN"/>
                <w:highlight w:val="none"/>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color w:val="auto"/>
                <w:sz w:val="24"/>
                <w:lang w:val="en-US" w:eastAsia="zh-CN"/>
                <w:highlight w:val="none"/>
              </w:rPr>
            </w:pPr>
          </w:p>
          <w:p>
            <w:pPr>
              <w:pStyle w:val="1"/>
              <w:keepNext/>
              <w:keepLines w:val="0"/>
              <w:suppressLineNumbers w:val="0"/>
              <w:spacing w:beforeAutospacing="0" w:afterAutospacing="0"/>
              <w:ind w:right="0"/>
              <w:rPr>
                <w:lang w:val="en-US" w:eastAsia="zh-CN"/>
              </w:rPr>
            </w:pPr>
          </w:p>
        </w:tc>
      </w:tr>
      <w:tr>
        <w:trPr>
          <w:trHeight w:val="6200"/>
        </w:trPr>
        <w:tc>
          <w:tcPr>
            <w:tcW w:w="8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 w:val="24"/>
                <w:szCs w:val="24"/>
              </w:rPr>
            </w:pPr>
            <w:r>
              <w:rPr>
                <w:rFonts w:ascii="Times New Roman" w:cs="Times New Roman" w:hAnsi="宋体"/>
                <w:kern w:val="0"/>
                <w:sz w:val="24"/>
                <w:szCs w:val="24"/>
              </w:rPr>
              <w:t>环境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 w:val="24"/>
                <w:szCs w:val="24"/>
              </w:rPr>
            </w:pPr>
            <w:r>
              <w:rPr>
                <w:rFonts w:ascii="Times New Roman" w:cs="Times New Roman" w:hAnsi="宋体"/>
                <w:kern w:val="0"/>
                <w:sz w:val="24"/>
                <w:szCs w:val="24"/>
              </w:rPr>
              <w:t>保护</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 w:val="24"/>
                <w:szCs w:val="24"/>
              </w:rPr>
            </w:pPr>
            <w:r>
              <w:rPr>
                <w:rFonts w:ascii="Times New Roman" w:cs="Times New Roman" w:hAnsi="宋体"/>
                <w:kern w:val="0"/>
                <w:sz w:val="24"/>
                <w:szCs w:val="24"/>
              </w:rPr>
              <w:t>目标</w:t>
            </w:r>
          </w:p>
        </w:tc>
        <w:tc>
          <w:tcPr>
            <w:tcW w:w="8781" w:type="dxa"/>
          </w:tcPr>
          <w:p>
            <w:pPr>
              <w:keepNext w:val="0"/>
              <w:keepLines w:val="0"/>
              <w:suppressLineNumbers w:val="0"/>
              <w:spacing w:before="0" w:beforeAutospacing="0" w:after="0" w:afterAutospacing="0" w:line="440" w:lineRule="exact"/>
              <w:ind w:left="0" w:right="0" w:firstLineChars="200" w:firstLine="480"/>
              <w:jc w:val="both"/>
              <w:rPr>
                <w:sz w:val="24"/>
                <w:highlight w:val="none"/>
              </w:rPr>
            </w:pPr>
            <w:r>
              <w:rPr>
                <w:rFonts w:ascii="Times New Roman" w:cs="Times New Roman" w:hAnsi="Times New Roman"/>
                <w:sz w:val="24"/>
                <w:szCs w:val="20"/>
                <w:highlight w:val="none"/>
              </w:rPr>
              <w:t>根据《建设项目环境影响报告表编制技术指南（污染影响类）（试行）》，本项目厂界外</w:t>
            </w:r>
            <w:r>
              <w:rPr>
                <w:rFonts w:ascii="Times New Roman" w:cs="Times New Roman" w:hAnsi="Times New Roman" w:hint="eastAsia"/>
                <w:sz w:val="24"/>
                <w:szCs w:val="20"/>
                <w:highlight w:val="none"/>
              </w:rPr>
              <w:t>5</w:t>
            </w:r>
            <w:r>
              <w:rPr>
                <w:rFonts w:ascii="Times New Roman" w:cs="Times New Roman" w:hAnsi="Times New Roman"/>
                <w:sz w:val="24"/>
                <w:szCs w:val="20"/>
                <w:highlight w:val="none"/>
              </w:rPr>
              <w:t>00m范围内不存在地下水环境保护目标，</w:t>
            </w:r>
            <w:r>
              <w:rPr>
                <w:rFonts w:ascii="Times New Roman" w:cs="Times New Roman" w:hAnsi="Times New Roman" w:hint="eastAsia"/>
                <w:sz w:val="24"/>
                <w:szCs w:val="20"/>
                <w:highlight w:val="none"/>
              </w:rPr>
              <w:t>5</w:t>
            </w:r>
            <w:r>
              <w:rPr>
                <w:rFonts w:ascii="Times New Roman" w:cs="Times New Roman" w:hAnsi="Times New Roman"/>
                <w:sz w:val="24"/>
                <w:szCs w:val="20"/>
                <w:highlight w:val="none"/>
              </w:rPr>
              <w:t>0m范围内</w:t>
            </w:r>
            <w:r>
              <w:rPr>
                <w:rFonts w:ascii="Times New Roman" w:cs="Times New Roman" w:hAnsi="Times New Roman" w:hint="eastAsia"/>
                <w:sz w:val="24"/>
                <w:szCs w:val="20"/>
                <w:lang w:val="en-US" w:eastAsia="zh-CN"/>
                <w:highlight w:val="none"/>
              </w:rPr>
              <w:t>不</w:t>
            </w:r>
            <w:r>
              <w:rPr>
                <w:rFonts w:ascii="Times New Roman" w:cs="Times New Roman" w:hAnsi="Times New Roman"/>
                <w:sz w:val="24"/>
                <w:szCs w:val="20"/>
                <w:highlight w:val="none"/>
              </w:rPr>
              <w:t>存在声环境保护目标。</w:t>
            </w:r>
            <w:r>
              <w:rPr>
                <w:rFonts w:ascii="Times New Roman" w:cs="Times New Roman" w:hAnsi="Times New Roman"/>
                <w:color w:val="000000"/>
                <w:sz w:val="24"/>
                <w:szCs w:val="20"/>
                <w14:textFill>
                  <w14:solidFill>
                    <w14:srgbClr w14:val="000000"/>
                  </w14:solidFill>
                </w14:textFill>
                <w:highlight w:val="none"/>
              </w:rPr>
              <w:t>本项目位于</w:t>
            </w:r>
            <w:r>
              <w:rPr>
                <w:rFonts w:ascii="宋体" w:cs="宋体" w:hAnsi="宋体" w:hint="eastAsia"/>
                <w:color w:val="auto"/>
                <w:sz w:val="24"/>
                <w:szCs w:val="24"/>
                <w:lang w:val="en-US" w:eastAsia="zh-CN"/>
                <w:highlight w:val="none"/>
              </w:rPr>
              <w:t>新乡市延津县化工园区纬一路与榆林排交叉口东南角</w:t>
            </w:r>
            <w:r>
              <w:rPr>
                <w:rFonts w:ascii="宋体" w:cs="宋体" w:hAnsi="宋体" w:hint="eastAsia"/>
                <w:color w:val="000000"/>
                <w:sz w:val="24"/>
                <w:szCs w:val="24"/>
                <w14:textFill>
                  <w14:solidFill>
                    <w14:srgbClr w14:val="000000"/>
                  </w14:solidFill>
                </w14:textFill>
                <w:lang w:eastAsia="zh-CN"/>
                <w:highlight w:val="none"/>
              </w:rPr>
              <w:t>，</w:t>
            </w:r>
            <w:r>
              <w:rPr>
                <w:rFonts w:ascii="Times New Roman" w:cs="Times New Roman" w:hAnsi="Times New Roman"/>
                <w:bCs/>
                <w:color w:val="000000"/>
                <w:sz w:val="24"/>
                <w:szCs w:val="20"/>
                <w14:textFill>
                  <w14:solidFill>
                    <w14:srgbClr w14:val="000000"/>
                  </w14:solidFill>
                </w14:textFill>
                <w:highlight w:val="none"/>
              </w:rPr>
              <w:t>项目</w:t>
            </w:r>
            <w:r>
              <w:rPr>
                <w:rFonts w:ascii="Times New Roman" w:cs="Times New Roman" w:hAnsi="Times New Roman"/>
                <w:color w:val="000000"/>
                <w:sz w:val="24"/>
                <w:szCs w:val="20"/>
                <w14:textFill>
                  <w14:solidFill>
                    <w14:srgbClr w14:val="000000"/>
                  </w14:solidFill>
                </w14:textFill>
                <w:highlight w:val="none"/>
              </w:rPr>
              <w:t>周围无重点保护的野生动植物、风景名胜区、自然保护区及文化遗产等特殊保护目标</w:t>
            </w:r>
            <w:r>
              <w:rPr>
                <w:rFonts w:ascii="Times New Roman" w:cs="Times New Roman" w:hAnsi="Times New Roman" w:hint="eastAsia"/>
                <w:color w:val="000000"/>
                <w:sz w:val="24"/>
                <w:szCs w:val="20"/>
                <w14:textFill>
                  <w14:solidFill>
                    <w14:srgbClr w14:val="000000"/>
                  </w14:solidFill>
                </w14:textFill>
                <w:lang w:eastAsia="zh-CN"/>
                <w:highlight w:val="none"/>
              </w:rPr>
              <w:t>。</w:t>
            </w:r>
            <w:r>
              <w:rPr>
                <w:rFonts w:ascii="Times New Roman" w:cs="Times New Roman" w:hAnsi="Times New Roman" w:hint="eastAsia"/>
                <w:sz w:val="24"/>
                <w:szCs w:val="20"/>
                <w:highlight w:val="none"/>
              </w:rPr>
              <w:t>本项目涉及大气环境的环境保护目标。</w:t>
            </w:r>
          </w:p>
          <w:p>
            <w:pPr>
              <w:keepNext w:val="0"/>
              <w:keepLines w:val="0"/>
              <w:suppressLineNumbers w:val="0"/>
              <w:adjustRightInd w:val="0"/>
              <w:snapToGrid w:val="0"/>
              <w:spacing w:before="0" w:beforeAutospacing="0" w:after="0" w:afterAutospacing="0" w:line="460" w:lineRule="exact"/>
              <w:ind w:left="0" w:right="0" w:firstLineChars="200" w:firstLine="480"/>
              <w:jc w:val="both"/>
              <w:rPr>
                <w:rFonts w:hint="eastAsia"/>
                <w:color w:val="auto"/>
                <w:sz w:val="24"/>
                <w:lang w:eastAsia="zh-CN"/>
                <w:highlight w:val="red"/>
              </w:rPr>
            </w:pPr>
            <w:r>
              <w:rPr>
                <w:rFonts w:ascii="Times New Roman" w:cs="Times New Roman" w:hAnsi="Times New Roman"/>
                <w:sz w:val="24"/>
                <w:szCs w:val="20"/>
                <w:highlight w:val="none"/>
              </w:rPr>
              <w:t>本项目厂界周围环境保护目标和保护级别见</w:t>
            </w:r>
            <w:r>
              <w:rPr>
                <w:rFonts w:ascii="Times New Roman" w:cs="Times New Roman" w:hAnsi="Times New Roman" w:hint="eastAsia"/>
                <w:color w:val="auto"/>
                <w:sz w:val="24"/>
                <w:szCs w:val="20"/>
                <w:lang w:val="en-US" w:eastAsia="zh-CN"/>
                <w:highlight w:val="none"/>
              </w:rPr>
              <w:t>下表</w:t>
            </w:r>
            <w:r>
              <w:rPr>
                <w:rFonts w:ascii="Times New Roman" w:cs="Times New Roman" w:hAnsi="Times New Roman" w:hint="eastAsia"/>
                <w:color w:val="auto"/>
                <w:sz w:val="24"/>
                <w:szCs w:val="20"/>
                <w:lang w:eastAsia="zh-CN"/>
                <w:highlight w:val="none"/>
              </w:rPr>
              <w:t>：</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sz w:val="24"/>
                <w:szCs w:val="20"/>
                <w:lang w:val="en-US" w:eastAsia="zh-CN"/>
              </w:rPr>
              <w:t xml:space="preserve">  </w:t>
            </w:r>
            <w:r>
              <w:rPr>
                <w:rFonts w:ascii="Times New Roman" w:cs="Times New Roman" w:hAnsi="Times New Roman"/>
                <w:sz w:val="24"/>
                <w:szCs w:val="20"/>
              </w:rPr>
              <w:t>本项目周围环境保护目标概况</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10"/>
              <w:gridCol w:w="1033"/>
              <w:gridCol w:w="1004"/>
              <w:gridCol w:w="1247"/>
              <w:gridCol w:w="1037"/>
              <w:gridCol w:w="1044"/>
              <w:gridCol w:w="2075"/>
            </w:tblGrid>
            <w:tr>
              <w:trPr>
                <w:trHeight w:val="397"/>
              </w:trPr>
              <w:tc>
                <w:tcPr>
                  <w:tcW w:w="260"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b/>
                      <w:color w:val="000000"/>
                      <w:sz w:val="21"/>
                      <w:szCs w:val="21"/>
                      <w14:textFill>
                        <w14:solidFill>
                          <w14:srgbClr w14:val="000000"/>
                        </w14:solidFill>
                      </w14:textFill>
                      <w:highlight w:val="none"/>
                    </w:rPr>
                  </w:pPr>
                  <w:r>
                    <w:rPr>
                      <w:rFonts w:ascii="Times New Roman" w:cs="Times New Roman" w:hAnsi="宋体"/>
                      <w:b/>
                      <w:color w:val="000000"/>
                      <w:sz w:val="21"/>
                      <w:szCs w:val="21"/>
                      <w14:textFill>
                        <w14:solidFill>
                          <w14:srgbClr w14:val="000000"/>
                        </w14:solidFill>
                      </w14:textFill>
                      <w:highlight w:val="none"/>
                    </w:rPr>
                    <w:t>环境要素</w:t>
                  </w:r>
                </w:p>
              </w:tc>
              <w:tc>
                <w:tcPr>
                  <w:tcW w:w="242"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b/>
                      <w:color w:val="000000"/>
                      <w:sz w:val="21"/>
                      <w:szCs w:val="21"/>
                      <w14:textFill>
                        <w14:solidFill>
                          <w14:srgbClr w14:val="000000"/>
                        </w14:solidFill>
                      </w14:textFill>
                      <w:highlight w:val="none"/>
                    </w:rPr>
                  </w:pPr>
                  <w:r>
                    <w:rPr>
                      <w:rFonts w:ascii="Times New Roman" w:cs="Times New Roman" w:hAnsi="宋体"/>
                      <w:b/>
                      <w:color w:val="000000"/>
                      <w:sz w:val="21"/>
                      <w:szCs w:val="21"/>
                      <w14:textFill>
                        <w14:solidFill>
                          <w14:srgbClr w14:val="000000"/>
                        </w14:solidFill>
                      </w14:textFill>
                      <w:highlight w:val="none"/>
                    </w:rPr>
                    <w:t>环境保护目标</w:t>
                  </w:r>
                </w:p>
              </w:tc>
              <w:tc>
                <w:tcPr>
                  <w:tcW w:w="235"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b/>
                      <w:color w:val="000000"/>
                      <w:sz w:val="21"/>
                      <w:szCs w:val="21"/>
                      <w14:textFill>
                        <w14:solidFill>
                          <w14:srgbClr w14:val="000000"/>
                        </w14:solidFill>
                      </w14:textFill>
                      <w:highlight w:val="none"/>
                    </w:rPr>
                  </w:pPr>
                  <w:r>
                    <w:rPr>
                      <w:rFonts w:ascii="Times New Roman" w:cs="Times New Roman" w:hAnsi="宋体"/>
                      <w:b/>
                      <w:color w:val="000000"/>
                      <w:sz w:val="21"/>
                      <w:szCs w:val="21"/>
                      <w14:textFill>
                        <w14:solidFill>
                          <w14:srgbClr w14:val="000000"/>
                        </w14:solidFill>
                      </w14:textFill>
                      <w:highlight w:val="none"/>
                    </w:rPr>
                    <w:t>方向</w:t>
                  </w:r>
                </w:p>
              </w:tc>
              <w:tc>
                <w:tcPr>
                  <w:tcW w:w="292"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b/>
                      <w:color w:val="000000"/>
                      <w:sz w:val="21"/>
                      <w:szCs w:val="21"/>
                      <w14:textFill>
                        <w14:solidFill>
                          <w14:srgbClr w14:val="000000"/>
                        </w14:solidFill>
                      </w14:textFill>
                      <w:highlight w:val="none"/>
                    </w:rPr>
                  </w:pPr>
                  <w:r>
                    <w:rPr>
                      <w:rFonts w:ascii="Times New Roman" w:cs="Times New Roman" w:hAnsi="宋体"/>
                      <w:b/>
                      <w:color w:val="000000"/>
                      <w:sz w:val="21"/>
                      <w:szCs w:val="21"/>
                      <w14:textFill>
                        <w14:solidFill>
                          <w14:srgbClr w14:val="000000"/>
                        </w14:solidFill>
                      </w14:textFill>
                      <w:highlight w:val="none"/>
                    </w:rPr>
                    <w:t>距离</w:t>
                  </w:r>
                </w:p>
              </w:tc>
              <w:tc>
                <w:tcPr>
                  <w:tcW w:w="242"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eastAsia="宋体" w:hAnsi="宋体"/>
                      <w:b/>
                      <w:color w:val="000000"/>
                      <w:sz w:val="21"/>
                      <w:szCs w:val="21"/>
                      <w14:textFill>
                        <w14:solidFill>
                          <w14:srgbClr w14:val="000000"/>
                        </w14:solidFill>
                      </w14:textFill>
                      <w:lang w:val="en-US" w:eastAsia="zh-CN"/>
                      <w:highlight w:val="none"/>
                    </w:rPr>
                  </w:pPr>
                  <w:r>
                    <w:rPr>
                      <w:rFonts w:ascii="Times New Roman" w:cs="Times New Roman" w:hAnsi="宋体" w:hint="eastAsia"/>
                      <w:b/>
                      <w:color w:val="000000"/>
                      <w:sz w:val="21"/>
                      <w:szCs w:val="21"/>
                      <w14:textFill>
                        <w14:solidFill>
                          <w14:srgbClr w14:val="000000"/>
                        </w14:solidFill>
                      </w14:textFill>
                      <w:lang w:val="en-US" w:eastAsia="zh-CN"/>
                      <w:highlight w:val="none"/>
                    </w:rPr>
                    <w:t>规模</w:t>
                  </w:r>
                </w:p>
              </w:tc>
              <w:tc>
                <w:tcPr>
                  <w:tcW w:w="244"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eastAsia="宋体" w:hAnsi="宋体" w:hint="eastAsia"/>
                      <w:b/>
                      <w:color w:val="000000"/>
                      <w:sz w:val="21"/>
                      <w:szCs w:val="21"/>
                      <w14:textFill>
                        <w14:solidFill>
                          <w14:srgbClr w14:val="000000"/>
                        </w14:solidFill>
                      </w14:textFill>
                      <w:lang w:val="en-US" w:eastAsia="zh-CN"/>
                      <w:highlight w:val="none"/>
                    </w:rPr>
                  </w:pPr>
                  <w:r>
                    <w:rPr>
                      <w:rFonts w:ascii="Times New Roman" w:cs="Times New Roman" w:hAnsi="宋体" w:hint="eastAsia"/>
                      <w:b/>
                      <w:color w:val="000000"/>
                      <w:sz w:val="21"/>
                      <w:szCs w:val="21"/>
                      <w14:textFill>
                        <w14:solidFill>
                          <w14:srgbClr w14:val="000000"/>
                        </w14:solidFill>
                      </w14:textFill>
                      <w:lang w:val="en-US" w:eastAsia="zh-CN"/>
                      <w:highlight w:val="none"/>
                    </w:rPr>
                    <w:t>功能</w:t>
                  </w:r>
                </w:p>
              </w:tc>
              <w:tc>
                <w:tcPr>
                  <w:tcW w:w="485"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b/>
                      <w:color w:val="000000"/>
                      <w:sz w:val="21"/>
                      <w:szCs w:val="21"/>
                      <w14:textFill>
                        <w14:solidFill>
                          <w14:srgbClr w14:val="000000"/>
                        </w14:solidFill>
                      </w14:textFill>
                      <w:highlight w:val="none"/>
                    </w:rPr>
                  </w:pPr>
                  <w:r>
                    <w:rPr>
                      <w:rFonts w:ascii="Times New Roman" w:cs="Times New Roman" w:hAnsi="宋体"/>
                      <w:b/>
                      <w:color w:val="000000"/>
                      <w:sz w:val="21"/>
                      <w:szCs w:val="21"/>
                      <w14:textFill>
                        <w14:solidFill>
                          <w14:srgbClr w14:val="000000"/>
                        </w14:solidFill>
                      </w14:textFill>
                      <w:highlight w:val="none"/>
                    </w:rPr>
                    <w:t>保护级别</w:t>
                  </w:r>
                </w:p>
              </w:tc>
            </w:tr>
            <w:tr>
              <w:trPr>
                <w:trHeight w:val="397"/>
              </w:trPr>
              <w:tc>
                <w:tcPr>
                  <w:tcW w:w="260" w:type="dxa"/>
                  <w:vMerge w:val="restart"/>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hint="eastAsia"/>
                      <w:color w:val="000000"/>
                      <w:sz w:val="21"/>
                      <w:szCs w:val="21"/>
                      <w14:textFill>
                        <w14:solidFill>
                          <w14:srgbClr w14:val="000000"/>
                        </w14:solidFill>
                      </w14:textFill>
                      <w:highlight w:val="none"/>
                    </w:rPr>
                  </w:pPr>
                  <w:r>
                    <w:rPr>
                      <w:rFonts w:ascii="Times New Roman" w:cs="Times New Roman" w:hAnsi="宋体"/>
                      <w:color w:val="000000"/>
                      <w:sz w:val="21"/>
                      <w:szCs w:val="21"/>
                      <w14:textFill>
                        <w14:solidFill>
                          <w14:srgbClr w14:val="000000"/>
                        </w14:solidFill>
                      </w14:textFill>
                      <w:highlight w:val="none"/>
                    </w:rPr>
                    <w:t>环境空气</w:t>
                  </w:r>
                </w:p>
              </w:tc>
              <w:tc>
                <w:tcPr>
                  <w:tcW w:w="242"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ascii="Times New Roman" w:eastAsia="宋体" w:cs="Times New Roman" w:hAnsi="宋体"/>
                      <w:color w:val="000000"/>
                      <w:sz w:val="21"/>
                      <w:szCs w:val="21"/>
                      <w14:textFill>
                        <w14:solidFill>
                          <w14:srgbClr w14:val="000000"/>
                        </w14:solidFill>
                      </w14:textFill>
                      <w:lang w:val="en-US" w:eastAsia="zh-CN"/>
                      <w:highlight w:val="none"/>
                    </w:rPr>
                  </w:pPr>
                  <w:r>
                    <w:rPr>
                      <w:rFonts w:ascii="Times New Roman" w:cs="Times New Roman" w:hAnsi="宋体" w:hint="eastAsia"/>
                      <w:color w:val="000000"/>
                      <w:sz w:val="21"/>
                      <w:szCs w:val="21"/>
                      <w14:textFill>
                        <w14:solidFill>
                          <w14:srgbClr w14:val="000000"/>
                        </w14:solidFill>
                      </w14:textFill>
                      <w:lang w:val="en-US" w:eastAsia="zh-CN"/>
                      <w:highlight w:val="none"/>
                    </w:rPr>
                    <w:t>小杨庄</w:t>
                  </w:r>
                </w:p>
              </w:tc>
              <w:tc>
                <w:tcPr>
                  <w:tcW w:w="235"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ascii="Times New Roman" w:eastAsia="宋体" w:cs="Times New Roman" w:hAnsi="宋体"/>
                      <w:color w:val="000000"/>
                      <w:sz w:val="21"/>
                      <w:szCs w:val="21"/>
                      <w14:textFill>
                        <w14:solidFill>
                          <w14:srgbClr w14:val="000000"/>
                        </w14:solidFill>
                      </w14:textFill>
                      <w:lang w:val="en-US" w:eastAsia="zh-CN"/>
                      <w:highlight w:val="none"/>
                    </w:rPr>
                  </w:pPr>
                  <w:r>
                    <w:rPr>
                      <w:rFonts w:ascii="Times New Roman" w:cs="Times New Roman" w:hAnsi="宋体" w:hint="eastAsia"/>
                      <w:color w:val="000000"/>
                      <w:sz w:val="21"/>
                      <w:szCs w:val="21"/>
                      <w14:textFill>
                        <w14:solidFill>
                          <w14:srgbClr w14:val="000000"/>
                        </w14:solidFill>
                      </w14:textFill>
                      <w:lang w:val="en-US" w:eastAsia="zh-CN"/>
                      <w:highlight w:val="none"/>
                    </w:rPr>
                    <w:t>南</w:t>
                  </w:r>
                </w:p>
              </w:tc>
              <w:tc>
                <w:tcPr>
                  <w:tcW w:w="29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308m</w:t>
                  </w:r>
                </w:p>
              </w:tc>
              <w:tc>
                <w:tcPr>
                  <w:tcW w:w="24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500人</w:t>
                  </w:r>
                </w:p>
              </w:tc>
              <w:tc>
                <w:tcPr>
                  <w:tcW w:w="244" w:type="dxa"/>
                  <w:vMerge w:val="restar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村庄</w:t>
                  </w:r>
                </w:p>
              </w:tc>
              <w:tc>
                <w:tcPr>
                  <w:tcW w:w="485" w:type="dxa"/>
                  <w:vMerge w:val="restart"/>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sz w:val="21"/>
                      <w:szCs w:val="21"/>
                      <w:highlight w:val="none"/>
                    </w:rPr>
                    <w:t>《环境空气质量标准》（GB3095-20</w:t>
                  </w:r>
                  <w:r>
                    <w:rPr>
                      <w:rFonts w:ascii="Times New Roman" w:cs="Times New Roman" w:hAnsi="Times New Roman" w:hint="eastAsia"/>
                      <w:sz w:val="21"/>
                      <w:szCs w:val="21"/>
                      <w:lang w:val="en-US" w:eastAsia="zh-CN"/>
                      <w:highlight w:val="none"/>
                    </w:rPr>
                    <w:t>26</w:t>
                  </w:r>
                  <w:r>
                    <w:rPr>
                      <w:rFonts w:ascii="Times New Roman" w:cs="Times New Roman" w:hAnsi="Times New Roman"/>
                      <w:sz w:val="21"/>
                      <w:szCs w:val="21"/>
                      <w:highlight w:val="none"/>
                    </w:rPr>
                    <w:t>）</w:t>
                  </w:r>
                  <w:r>
                    <w:rPr>
                      <w:rFonts w:ascii="Times New Roman" w:cs="Times New Roman" w:hAnsi="Times New Roman"/>
                      <w:sz w:val="21"/>
                      <w:szCs w:val="21"/>
                      <w:lang w:val="en-US" w:eastAsia="zh-CN"/>
                      <w:highlight w:val="none"/>
                    </w:rPr>
                    <w:t>过度阶段浓度限制</w:t>
                  </w:r>
                  <w:r>
                    <w:rPr>
                      <w:rFonts w:ascii="Times New Roman" w:cs="Times New Roman" w:hAnsi="Times New Roman"/>
                      <w:sz w:val="21"/>
                      <w:szCs w:val="21"/>
                      <w:highlight w:val="none"/>
                    </w:rPr>
                    <w:t>二级标准</w:t>
                  </w:r>
                </w:p>
              </w:tc>
            </w:tr>
            <w:tr>
              <w:trPr>
                <w:trHeight w:val="397"/>
              </w:trPr>
              <w:tc>
                <w:tcPr>
                  <w:tcW w:w="260" w:type="dxa"/>
                  <w:vMerge/>
                  <w:tcBorders>
                    <w:tl2br w:val="nil"/>
                    <w:tr2bl w:val="nil"/>
                  </w:tcBorders>
                  <w:vAlign w:val="center"/>
                </w:tcPr>
                <w:p/>
              </w:tc>
              <w:tc>
                <w:tcPr>
                  <w:tcW w:w="242"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cs="Times New Roman" w:hAnsi="宋体"/>
                      <w:color w:val="000000"/>
                      <w:sz w:val="21"/>
                      <w:szCs w:val="21"/>
                      <w14:textFill>
                        <w14:solidFill>
                          <w14:srgbClr w14:val="000000"/>
                        </w14:solidFill>
                      </w14:textFill>
                      <w:lang w:val="en-US" w:eastAsia="zh-CN"/>
                      <w:highlight w:val="none"/>
                    </w:rPr>
                  </w:pPr>
                  <w:r>
                    <w:rPr>
                      <w:rFonts w:ascii="Times New Roman" w:cs="Times New Roman" w:hAnsi="宋体" w:hint="eastAsia"/>
                      <w:color w:val="000000"/>
                      <w:sz w:val="21"/>
                      <w:szCs w:val="21"/>
                      <w14:textFill>
                        <w14:solidFill>
                          <w14:srgbClr w14:val="000000"/>
                        </w14:solidFill>
                      </w14:textFill>
                      <w:lang w:val="en-US" w:eastAsia="zh-CN"/>
                      <w:highlight w:val="none"/>
                    </w:rPr>
                    <w:t>大杨庄</w:t>
                  </w:r>
                </w:p>
              </w:tc>
              <w:tc>
                <w:tcPr>
                  <w:tcW w:w="235"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cs="Times New Roman" w:hAnsi="宋体"/>
                      <w:color w:val="000000"/>
                      <w:sz w:val="21"/>
                      <w:szCs w:val="21"/>
                      <w14:textFill>
                        <w14:solidFill>
                          <w14:srgbClr w14:val="000000"/>
                        </w14:solidFill>
                      </w14:textFill>
                      <w:lang w:val="en-US" w:eastAsia="zh-CN"/>
                      <w:highlight w:val="none"/>
                    </w:rPr>
                  </w:pPr>
                  <w:r>
                    <w:rPr>
                      <w:rFonts w:ascii="Times New Roman" w:cs="Times New Roman" w:hAnsi="宋体" w:hint="eastAsia"/>
                      <w:color w:val="000000"/>
                      <w:sz w:val="21"/>
                      <w:szCs w:val="21"/>
                      <w14:textFill>
                        <w14:solidFill>
                          <w14:srgbClr w14:val="000000"/>
                        </w14:solidFill>
                      </w14:textFill>
                      <w:lang w:val="en-US" w:eastAsia="zh-CN"/>
                      <w:highlight w:val="none"/>
                    </w:rPr>
                    <w:t>西北</w:t>
                  </w:r>
                </w:p>
              </w:tc>
              <w:tc>
                <w:tcPr>
                  <w:tcW w:w="29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920m</w:t>
                  </w:r>
                </w:p>
              </w:tc>
              <w:tc>
                <w:tcPr>
                  <w:tcW w:w="24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1500人</w:t>
                  </w:r>
                </w:p>
              </w:tc>
              <w:tc>
                <w:tcPr>
                  <w:tcW w:w="244" w:type="dxa"/>
                  <w:vMerge/>
                  <w:tcBorders>
                    <w:tl2br w:val="nil"/>
                    <w:tr2bl w:val="nil"/>
                  </w:tcBorders>
                  <w:vAlign w:val="center"/>
                </w:tcPr>
                <w:p/>
              </w:tc>
              <w:tc>
                <w:tcPr>
                  <w:tcW w:w="485" w:type="dxa"/>
                  <w:vMerge/>
                  <w:tcBorders>
                    <w:tl2br w:val="nil"/>
                    <w:tr2bl w:val="nil"/>
                  </w:tcBorders>
                  <w:vAlign w:val="center"/>
                </w:tcPr>
                <w:p/>
              </w:tc>
            </w:tr>
            <w:tr>
              <w:trPr>
                <w:trHeight w:val="397"/>
              </w:trPr>
              <w:tc>
                <w:tcPr>
                  <w:tcW w:w="260" w:type="dxa"/>
                  <w:vMerge/>
                  <w:tcBorders>
                    <w:tl2br w:val="nil"/>
                    <w:tr2bl w:val="nil"/>
                  </w:tcBorders>
                  <w:vAlign w:val="center"/>
                </w:tcPr>
                <w:p/>
              </w:tc>
              <w:tc>
                <w:tcPr>
                  <w:tcW w:w="242"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cs="Times New Roman" w:hAnsi="宋体"/>
                      <w:color w:val="000000"/>
                      <w:sz w:val="21"/>
                      <w:szCs w:val="21"/>
                      <w14:textFill>
                        <w14:solidFill>
                          <w14:srgbClr w14:val="000000"/>
                        </w14:solidFill>
                      </w14:textFill>
                      <w:lang w:val="en-US" w:eastAsia="zh-CN"/>
                      <w:highlight w:val="none"/>
                    </w:rPr>
                  </w:pPr>
                  <w:r>
                    <w:rPr>
                      <w:rFonts w:ascii="Times New Roman" w:cs="Times New Roman" w:hAnsi="宋体" w:hint="eastAsia"/>
                      <w:color w:val="000000"/>
                      <w:sz w:val="21"/>
                      <w:szCs w:val="21"/>
                      <w14:textFill>
                        <w14:solidFill>
                          <w14:srgbClr w14:val="000000"/>
                        </w14:solidFill>
                      </w14:textFill>
                      <w:lang w:val="en-US" w:eastAsia="zh-CN"/>
                      <w:highlight w:val="none"/>
                    </w:rPr>
                    <w:t>龙王庙社区</w:t>
                  </w:r>
                </w:p>
              </w:tc>
              <w:tc>
                <w:tcPr>
                  <w:tcW w:w="235"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cs="Times New Roman" w:hAnsi="宋体"/>
                      <w:color w:val="000000"/>
                      <w:sz w:val="21"/>
                      <w:szCs w:val="21"/>
                      <w14:textFill>
                        <w14:solidFill>
                          <w14:srgbClr w14:val="000000"/>
                        </w14:solidFill>
                      </w14:textFill>
                      <w:lang w:val="en-US" w:eastAsia="zh-CN"/>
                      <w:highlight w:val="none"/>
                    </w:rPr>
                  </w:pPr>
                  <w:r>
                    <w:rPr>
                      <w:rFonts w:ascii="Times New Roman" w:cs="Times New Roman" w:hAnsi="宋体" w:hint="eastAsia"/>
                      <w:color w:val="000000"/>
                      <w:sz w:val="21"/>
                      <w:szCs w:val="21"/>
                      <w14:textFill>
                        <w14:solidFill>
                          <w14:srgbClr w14:val="000000"/>
                        </w14:solidFill>
                      </w14:textFill>
                      <w:lang w:val="en-US" w:eastAsia="zh-CN"/>
                      <w:highlight w:val="none"/>
                    </w:rPr>
                    <w:t>西北</w:t>
                  </w:r>
                </w:p>
              </w:tc>
              <w:tc>
                <w:tcPr>
                  <w:tcW w:w="29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550m</w:t>
                  </w:r>
                </w:p>
              </w:tc>
              <w:tc>
                <w:tcPr>
                  <w:tcW w:w="24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2000人</w:t>
                  </w:r>
                </w:p>
              </w:tc>
              <w:tc>
                <w:tcPr>
                  <w:tcW w:w="244" w:type="dxa"/>
                  <w:vMerge/>
                  <w:tcBorders>
                    <w:tl2br w:val="nil"/>
                    <w:tr2bl w:val="nil"/>
                  </w:tcBorders>
                  <w:vAlign w:val="center"/>
                </w:tcPr>
                <w:p/>
              </w:tc>
              <w:tc>
                <w:tcPr>
                  <w:tcW w:w="485" w:type="dxa"/>
                  <w:vMerge/>
                  <w:tcBorders>
                    <w:tl2br w:val="nil"/>
                    <w:tr2bl w:val="nil"/>
                  </w:tcBorders>
                  <w:vAlign w:val="center"/>
                </w:tcPr>
                <w:p/>
              </w:tc>
            </w:tr>
            <w:tr>
              <w:trPr>
                <w:trHeight w:val="397"/>
              </w:trPr>
              <w:tc>
                <w:tcPr>
                  <w:tcW w:w="260"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eastAsia="宋体" w:hint="eastAsia"/>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声环境</w:t>
                  </w:r>
                </w:p>
              </w:tc>
              <w:tc>
                <w:tcPr>
                  <w:tcW w:w="1254" w:type="dxa"/>
                  <w:gridSpan w:val="5"/>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eastAsia="宋体" w:hint="eastAsia"/>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无</w:t>
                  </w:r>
                </w:p>
              </w:tc>
              <w:tc>
                <w:tcPr>
                  <w:tcW w:w="485"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hint="eastAsia"/>
                      <w:color w:val="000000"/>
                      <w:sz w:val="21"/>
                      <w:szCs w:val="21"/>
                      <w14:textFill>
                        <w14:solidFill>
                          <w14:srgbClr w14:val="000000"/>
                        </w14:solidFill>
                      </w14:textFill>
                      <w:lang w:val="en-US" w:eastAsia="zh-CN"/>
                      <w:highlight w:val="none"/>
                    </w:rPr>
                  </w:pPr>
                </w:p>
              </w:tc>
            </w:tr>
            <w:tr>
              <w:trPr>
                <w:trHeight w:val="397"/>
              </w:trPr>
              <w:tc>
                <w:tcPr>
                  <w:tcW w:w="260"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highlight w:val="none"/>
                    </w:rPr>
                  </w:pPr>
                  <w:r>
                    <w:rPr>
                      <w:rFonts w:ascii="Times New Roman" w:cs="Times New Roman" w:hAnsi="宋体"/>
                      <w:color w:val="000000"/>
                      <w:sz w:val="21"/>
                      <w:szCs w:val="21"/>
                      <w14:textFill>
                        <w14:solidFill>
                          <w14:srgbClr w14:val="000000"/>
                        </w14:solidFill>
                      </w14:textFill>
                      <w:highlight w:val="none"/>
                    </w:rPr>
                    <w:t>生态环境</w:t>
                  </w:r>
                </w:p>
              </w:tc>
              <w:tc>
                <w:tcPr>
                  <w:tcW w:w="1254" w:type="dxa"/>
                  <w:gridSpan w:val="5"/>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无</w:t>
                  </w:r>
                </w:p>
              </w:tc>
              <w:tc>
                <w:tcPr>
                  <w:tcW w:w="485"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hint="eastAsia"/>
                      <w:color w:val="000000"/>
                      <w:sz w:val="21"/>
                      <w:szCs w:val="21"/>
                      <w14:textFill>
                        <w14:solidFill>
                          <w14:srgbClr w14:val="000000"/>
                        </w14:solidFill>
                      </w14:textFill>
                      <w:lang w:val="en-US" w:eastAsia="zh-CN"/>
                      <w:highlight w:val="none"/>
                    </w:rPr>
                  </w:pPr>
                </w:p>
              </w:tc>
            </w:tr>
            <w:tr>
              <w:trPr>
                <w:trHeight w:val="397"/>
              </w:trPr>
              <w:tc>
                <w:tcPr>
                  <w:tcW w:w="260"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hAnsi="宋体"/>
                      <w:color w:val="000000"/>
                      <w:sz w:val="21"/>
                      <w:szCs w:val="21"/>
                      <w14:textFill>
                        <w14:solidFill>
                          <w14:srgbClr w14:val="000000"/>
                        </w14:solidFill>
                      </w14:textFill>
                      <w:highlight w:val="none"/>
                    </w:rPr>
                  </w:pPr>
                  <w:r>
                    <w:rPr>
                      <w:rFonts w:ascii="Times New Roman" w:cs="Times New Roman" w:hAnsi="宋体" w:hint="eastAsia"/>
                      <w:color w:val="auto"/>
                      <w:sz w:val="21"/>
                      <w:szCs w:val="21"/>
                      <w:lang w:val="en-US" w:eastAsia="zh-CN"/>
                      <w:highlight w:val="none"/>
                    </w:rPr>
                    <w:t>地下水环境</w:t>
                  </w:r>
                </w:p>
              </w:tc>
              <w:tc>
                <w:tcPr>
                  <w:tcW w:w="1254" w:type="dxa"/>
                  <w:gridSpan w:val="5"/>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无</w:t>
                  </w:r>
                </w:p>
              </w:tc>
              <w:tc>
                <w:tcPr>
                  <w:tcW w:w="485" w:type="dxa"/>
                  <w:tcBorders>
                    <w:tl2br w:val="nil"/>
                    <w:tr2bl w:val="nil"/>
                  </w:tcBorders>
                  <w:vAlign w:val="center"/>
                </w:tcPr>
                <w:p>
                  <w:pPr>
                    <w:keepNext w:val="0"/>
                    <w:keepLines w:val="0"/>
                    <w:suppressLineNumbers w:val="0"/>
                    <w:tabs>
                      <w:tab w:val="left" w:pos="3230"/>
                    </w:tabs>
                    <w:adjustRightInd w:val="0"/>
                    <w:snapToGrid w:val="0"/>
                    <w:spacing w:before="0" w:beforeAutospacing="0" w:after="0" w:afterAutospacing="0" w:line="240" w:lineRule="auto"/>
                    <w:ind w:left="0" w:right="0"/>
                    <w:jc w:val="center"/>
                    <w:rPr>
                      <w:rFonts w:hint="eastAsia"/>
                      <w:color w:val="000000"/>
                      <w:sz w:val="21"/>
                      <w:szCs w:val="21"/>
                      <w14:textFill>
                        <w14:solidFill>
                          <w14:srgbClr w14:val="000000"/>
                        </w14:solidFill>
                      </w14:textFill>
                      <w:lang w:val="en-US" w:eastAsia="zh-CN"/>
                      <w:highlight w:val="none"/>
                    </w:rPr>
                  </w:pPr>
                </w:p>
              </w:tc>
            </w:tr>
          </w:tbl>
          <w:p>
            <w:pPr>
              <w:keepNext w:val="0"/>
              <w:keepLines w:val="0"/>
              <w:suppressLineNumbers w:val="0"/>
              <w:tabs>
                <w:tab w:val="left" w:pos="3230"/>
              </w:tabs>
              <w:adjustRightInd w:val="0"/>
              <w:snapToGrid w:val="0"/>
              <w:spacing w:before="0" w:beforeAutospacing="0" w:after="0" w:afterAutospacing="0" w:line="440" w:lineRule="exact"/>
              <w:ind w:left="0" w:right="0"/>
              <w:rPr>
                <w:rFonts w:eastAsia="宋体" w:hint="eastAsia"/>
                <w:sz w:val="24"/>
                <w:lang w:val="en-US" w:eastAsia="zh-CN"/>
                <w:highlight w:val="red"/>
              </w:rPr>
            </w:pPr>
          </w:p>
          <w:p>
            <w:pPr>
              <w:pStyle w:val="1"/>
              <w:keepNext/>
              <w:keepLines w:val="0"/>
              <w:suppressLineNumbers w:val="0"/>
              <w:spacing w:beforeAutospacing="0" w:afterAutospacing="0"/>
              <w:ind w:right="0"/>
              <w:rPr>
                <w:rFonts w:eastAsia="宋体" w:hint="eastAsia"/>
                <w:sz w:val="24"/>
                <w:lang w:val="en-US" w:eastAsia="zh-CN"/>
                <w:highlight w:val="red"/>
              </w:rPr>
            </w:pPr>
          </w:p>
          <w:p>
            <w:pPr>
              <w:pStyle w:val="1"/>
              <w:keepNext/>
              <w:keepLines w:val="0"/>
              <w:suppressLineNumbers w:val="0"/>
              <w:spacing w:beforeAutospacing="0" w:afterAutospacing="0"/>
              <w:ind w:right="0"/>
              <w:rPr>
                <w:rFonts w:hint="eastAsia"/>
                <w:lang w:val="en-US" w:eastAsia="zh-CN"/>
              </w:rPr>
            </w:pPr>
          </w:p>
        </w:tc>
      </w:tr>
      <w:tr>
        <w:trPr>
          <w:trHeight w:val="7080"/>
        </w:trPr>
        <w:tc>
          <w:tcPr>
            <w:tcW w:w="8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 w:val="24"/>
                <w:szCs w:val="24"/>
              </w:rPr>
            </w:pPr>
            <w:r>
              <w:rPr>
                <w:rFonts w:ascii="Times New Roman" w:cs="Times New Roman" w:hAnsi="宋体"/>
                <w:kern w:val="0"/>
                <w:sz w:val="24"/>
                <w:szCs w:val="24"/>
              </w:rPr>
              <w:t>污染</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 w:val="24"/>
                <w:szCs w:val="24"/>
              </w:rPr>
            </w:pPr>
            <w:r>
              <w:rPr>
                <w:rFonts w:ascii="Times New Roman" w:cs="Times New Roman" w:hAnsi="宋体"/>
                <w:kern w:val="0"/>
                <w:sz w:val="24"/>
                <w:szCs w:val="24"/>
              </w:rPr>
              <w:t>物排</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 w:val="24"/>
                <w:szCs w:val="24"/>
              </w:rPr>
            </w:pPr>
            <w:r>
              <w:rPr>
                <w:rFonts w:ascii="Times New Roman" w:cs="Times New Roman" w:hAnsi="宋体"/>
                <w:kern w:val="0"/>
                <w:sz w:val="24"/>
                <w:szCs w:val="24"/>
              </w:rPr>
              <w:t>放控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 w:val="24"/>
                <w:szCs w:val="24"/>
              </w:rPr>
            </w:pPr>
            <w:r>
              <w:rPr>
                <w:rFonts w:ascii="Times New Roman" w:cs="Times New Roman" w:hAnsi="宋体"/>
                <w:kern w:val="0"/>
                <w:sz w:val="24"/>
                <w:szCs w:val="24"/>
              </w:rPr>
              <w:t>制标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Ansi="宋体"/>
                <w:kern w:val="0"/>
                <w:sz w:val="24"/>
                <w:szCs w:val="24"/>
              </w:rPr>
            </w:pPr>
            <w:r>
              <w:rPr>
                <w:rFonts w:ascii="Times New Roman" w:cs="Times New Roman" w:hAnsi="宋体"/>
                <w:kern w:val="0"/>
                <w:sz w:val="24"/>
                <w:szCs w:val="24"/>
              </w:rPr>
              <w:t>准</w:t>
            </w:r>
          </w:p>
        </w:tc>
        <w:tc>
          <w:tcPr>
            <w:tcW w:w="8781" w:type="dxa"/>
          </w:tcPr>
          <w:p>
            <w:pPr>
              <w:keepNext w:val="0"/>
              <w:keepLines w:val="0"/>
              <w:suppressLineNumbers w:val="0"/>
              <w:adjustRightInd w:val="0"/>
              <w:snapToGrid w:val="0"/>
              <w:spacing w:before="0" w:beforeAutospacing="0" w:after="0" w:afterAutospacing="0" w:line="440" w:lineRule="exact"/>
              <w:ind w:left="0" w:right="0" w:firstLineChars="200" w:firstLine="480"/>
              <w:jc w:val="both"/>
              <w:textAlignment w:val="baseline"/>
              <w:rPr>
                <w:rFonts w:hint="eastAsia"/>
                <w:b/>
                <w:color w:val="000000"/>
                <w:sz w:val="24"/>
                <w14:textFill>
                  <w14:solidFill>
                    <w14:srgbClr w14:val="000000"/>
                  </w14:solidFill>
                </w14:textFill>
              </w:rPr>
            </w:pPr>
            <w:r>
              <w:rPr>
                <w:rFonts w:ascii="Times New Roman" w:cs="Times New Roman" w:hAnsi="Times New Roman" w:hint="eastAsia"/>
                <w:b/>
                <w:color w:val="000000"/>
                <w:sz w:val="24"/>
                <w:szCs w:val="20"/>
                <w14:textFill>
                  <w14:solidFill>
                    <w14:srgbClr w14:val="000000"/>
                  </w14:solidFill>
                </w14:textFill>
              </w:rPr>
              <w:t>1、废气</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cs="Times New Roman" w:hAnsi="Times New Roman"/>
                <w:sz w:val="24"/>
              </w:rPr>
            </w:pPr>
            <w:r>
              <w:rPr>
                <w:rFonts w:ascii="Times New Roman" w:cs="Times New Roman" w:hAnsi="Times New Roman" w:hint="eastAsia"/>
                <w:sz w:val="24"/>
                <w:szCs w:val="20"/>
                <w:lang w:val="en-US" w:eastAsia="zh-CN"/>
              </w:rPr>
              <w:t>本项目</w:t>
            </w:r>
            <w:r>
              <w:rPr>
                <w:rFonts w:ascii="Times New Roman" w:cs="Times New Roman" w:hAnsi="Times New Roman" w:hint="eastAsia"/>
                <w:sz w:val="24"/>
                <w:szCs w:val="20"/>
                <w:lang w:eastAsia="zh-CN"/>
              </w:rPr>
              <w:t>运营</w:t>
            </w:r>
            <w:r>
              <w:rPr>
                <w:rFonts w:ascii="Times New Roman" w:cs="Times New Roman" w:hAnsi="Times New Roman"/>
                <w:sz w:val="24"/>
                <w:szCs w:val="20"/>
              </w:rPr>
              <w:t>过程中</w:t>
            </w:r>
            <w:r>
              <w:rPr>
                <w:rFonts w:ascii="Times New Roman" w:cs="Times New Roman" w:hAnsi="Times New Roman" w:hint="eastAsia"/>
                <w:sz w:val="24"/>
                <w:szCs w:val="20"/>
                <w:lang w:val="en-US" w:eastAsia="zh-CN"/>
                <w:highlight w:val="none"/>
              </w:rPr>
              <w:t>无组织废气</w:t>
            </w:r>
            <w:r>
              <w:rPr>
                <w:rFonts w:ascii="Times New Roman" w:cs="Times New Roman" w:hAnsi="Times New Roman" w:hint="eastAsia"/>
                <w:sz w:val="24"/>
                <w:szCs w:val="20"/>
                <w:lang w:val="en-US" w:eastAsia="zh-CN"/>
              </w:rPr>
              <w:t>（以非甲烷总烃计）</w:t>
            </w:r>
            <w:r>
              <w:rPr>
                <w:rFonts w:ascii="Times New Roman" w:cs="Times New Roman" w:hAnsi="Times New Roman"/>
                <w:sz w:val="24"/>
                <w:szCs w:val="20"/>
              </w:rPr>
              <w:t>排放执行《关于全省开展工业企业挥发性有机物专项治理工作中排放建议值的通知》（豫环攻坚办</w:t>
            </w:r>
            <w:r>
              <w:rPr>
                <w:rFonts w:ascii="Times New Roman" w:cs="Times New Roman" w:hAnsi="Times New Roman" w:hint="eastAsia"/>
                <w:sz w:val="24"/>
                <w:szCs w:val="20"/>
                <w:lang w:eastAsia="zh-CN"/>
              </w:rPr>
              <w:t>〔</w:t>
            </w:r>
            <w:r>
              <w:rPr>
                <w:rFonts w:ascii="Times New Roman" w:cs="Times New Roman" w:hAnsi="Times New Roman"/>
                <w:sz w:val="24"/>
                <w:szCs w:val="20"/>
              </w:rPr>
              <w:t>2017</w:t>
            </w:r>
            <w:r>
              <w:rPr>
                <w:rFonts w:ascii="Times New Roman" w:cs="Times New Roman" w:hAnsi="Times New Roman" w:hint="eastAsia"/>
                <w:sz w:val="24"/>
                <w:szCs w:val="20"/>
                <w:lang w:eastAsia="zh-CN"/>
              </w:rPr>
              <w:t>〕</w:t>
            </w:r>
            <w:r>
              <w:rPr>
                <w:rFonts w:ascii="Times New Roman" w:cs="Times New Roman" w:hAnsi="Times New Roman"/>
                <w:sz w:val="24"/>
                <w:szCs w:val="20"/>
              </w:rPr>
              <w:t>162号）</w:t>
            </w:r>
            <w:r>
              <w:rPr>
                <w:rFonts w:ascii="Times New Roman" w:cs="Times New Roman" w:hAnsi="Times New Roman" w:hint="eastAsia"/>
                <w:sz w:val="24"/>
                <w:szCs w:val="20"/>
                <w:lang w:val="en-US" w:eastAsia="zh-CN"/>
              </w:rPr>
              <w:t>和</w:t>
            </w:r>
            <w:r>
              <w:rPr>
                <w:rFonts w:ascii="Times New Roman" w:cs="Times New Roman" w:hAnsi="Times New Roman"/>
                <w:sz w:val="24"/>
                <w:szCs w:val="20"/>
              </w:rPr>
              <w:t>《加油站大气污染物排放标准》（GB20952-20</w:t>
            </w:r>
            <w:r>
              <w:rPr>
                <w:rFonts w:ascii="Times New Roman" w:cs="Times New Roman" w:hAnsi="Times New Roman" w:hint="eastAsia"/>
                <w:sz w:val="24"/>
                <w:szCs w:val="20"/>
                <w:lang w:val="en-US" w:eastAsia="zh-CN"/>
              </w:rPr>
              <w:t>20</w:t>
            </w:r>
            <w:r>
              <w:rPr>
                <w:rFonts w:ascii="Times New Roman" w:cs="Times New Roman" w:hAnsi="Times New Roman"/>
                <w:sz w:val="24"/>
                <w:szCs w:val="20"/>
              </w:rPr>
              <w:t>）中油气浓度排放标准限值中非甲烷总烃相关标准限值。</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Chars="200" w:firstLine="480"/>
              <w:jc w:val="both"/>
              <w:textAlignment w:val="baseline"/>
              <w:rPr>
                <w:rFonts w:hint="eastAsia"/>
                <w:b/>
                <w:color w:val="000000"/>
                <w:sz w:val="24"/>
                <w14:textFill>
                  <w14:solidFill>
                    <w14:srgbClr w14:val="000000"/>
                  </w14:solidFill>
                </w14:textFill>
                <w:lang w:val="en-US" w:eastAsia="zh-CN"/>
              </w:rPr>
            </w:pPr>
            <w:r>
              <w:rPr>
                <w:rFonts w:ascii="Times New Roman" w:cs="Times New Roman" w:hAnsi="Times New Roman" w:hint="eastAsia"/>
                <w:b/>
                <w:color w:val="000000"/>
                <w:sz w:val="24"/>
                <w:szCs w:val="20"/>
                <w14:textFill>
                  <w14:solidFill>
                    <w14:srgbClr w14:val="000000"/>
                  </w14:solidFill>
                </w14:textFill>
                <w:lang w:val="en-US" w:eastAsia="zh-CN"/>
              </w:rPr>
              <w:t>2</w:t>
            </w:r>
            <w:r>
              <w:rPr>
                <w:rFonts w:ascii="Times New Roman" w:cs="Times New Roman" w:hAnsi="Times New Roman" w:hint="eastAsia"/>
                <w:b/>
                <w:color w:val="000000"/>
                <w:sz w:val="24"/>
                <w:szCs w:val="20"/>
                <w14:textFill>
                  <w14:solidFill>
                    <w14:srgbClr w14:val="000000"/>
                  </w14:solidFill>
                </w14:textFill>
              </w:rPr>
              <w:t>、废</w:t>
            </w:r>
            <w:r>
              <w:rPr>
                <w:rFonts w:ascii="Times New Roman" w:cs="Times New Roman" w:hAnsi="Times New Roman" w:hint="eastAsia"/>
                <w:b/>
                <w:color w:val="000000"/>
                <w:sz w:val="24"/>
                <w:szCs w:val="20"/>
                <w14:textFill>
                  <w14:solidFill>
                    <w14:srgbClr w14:val="000000"/>
                  </w14:solidFill>
                </w14:textFill>
                <w:lang w:val="en-US" w:eastAsia="zh-CN"/>
              </w:rPr>
              <w:t>水</w:t>
            </w:r>
          </w:p>
          <w:p>
            <w:pPr>
              <w:pStyle w:val="21"/>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kern w:val="2"/>
                <w:sz w:val="24"/>
                <w:szCs w:val="24"/>
                <w:lang w:val="en-US" w:eastAsia="zh-CN" w:bidi="ar-SA"/>
              </w:rPr>
            </w:pPr>
            <w:r>
              <w:rPr>
                <w:rFonts w:ascii="Times New Roman" w:eastAsia="宋体" w:cs="Times New Roman" w:hAnsi="Times New Roman" w:hint="eastAsia"/>
                <w:kern w:val="2"/>
                <w:sz w:val="24"/>
                <w:szCs w:val="24"/>
                <w:lang w:val="en-US" w:eastAsia="zh-CN" w:bidi="ar-SA"/>
              </w:rPr>
              <w:t>本项目生活污水经化粪池处理后</w:t>
            </w:r>
            <w:r>
              <w:rPr>
                <w:rFonts w:ascii="Times New Roman" w:cs="Times New Roman" w:hAnsi="Times New Roman" w:hint="eastAsia"/>
                <w:sz w:val="24"/>
                <w:szCs w:val="20"/>
              </w:rPr>
              <w:t>由管网排入延津县第二污水处理厂进行处理</w:t>
            </w:r>
            <w:r>
              <w:rPr>
                <w:rFonts w:ascii="Times New Roman" w:cs="Times New Roman" w:hAnsi="Times New Roman" w:hint="eastAsia"/>
                <w:sz w:val="24"/>
                <w:szCs w:val="20"/>
                <w:lang w:eastAsia="zh-CN"/>
              </w:rPr>
              <w:t>，</w:t>
            </w:r>
            <w:r>
              <w:rPr>
                <w:rFonts w:ascii="Times New Roman" w:cs="Times New Roman" w:hAnsi="Times New Roman" w:hint="eastAsia"/>
                <w:sz w:val="24"/>
                <w:szCs w:val="20"/>
                <w:lang w:val="en-US" w:eastAsia="zh-CN"/>
              </w:rPr>
              <w:t>经化粪池处理后的生活污水满足延津县第二污水处理厂进水要求</w:t>
            </w:r>
            <w:r>
              <w:rPr>
                <w:rFonts w:ascii="Times New Roman" w:eastAsia="宋体" w:cs="Times New Roman" w:hAnsi="Times New Roman" w:hint="eastAsia"/>
                <w:kern w:val="2"/>
                <w:sz w:val="24"/>
                <w:szCs w:val="24"/>
                <w:lang w:val="en-US" w:eastAsia="zh-CN" w:bidi="ar-SA"/>
              </w:rPr>
              <w:t>。</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40" w:lineRule="exact"/>
              <w:ind w:left="0" w:right="0" w:firstLineChars="200" w:firstLine="480"/>
              <w:jc w:val="both"/>
              <w:textAlignment w:val="auto"/>
              <w:rPr>
                <w:rFonts w:ascii="Times New Roman" w:cs="Times New Roman" w:hAnsi="Times New Roman"/>
                <w:b/>
                <w:bCs/>
                <w:color w:val="auto"/>
                <w:sz w:val="24"/>
                <w:szCs w:val="24"/>
              </w:rPr>
            </w:pPr>
            <w:r>
              <w:rPr>
                <w:rFonts w:ascii="Times New Roman" w:cs="Times New Roman" w:hAnsi="Times New Roman" w:hint="eastAsia"/>
                <w:b/>
                <w:bCs/>
                <w:color w:val="auto"/>
                <w:sz w:val="24"/>
                <w:szCs w:val="24"/>
                <w:lang w:val="en-US" w:eastAsia="zh-CN"/>
              </w:rPr>
              <w:t>3</w:t>
            </w:r>
            <w:r>
              <w:rPr>
                <w:rFonts w:ascii="Times New Roman" w:cs="Times New Roman" w:hAnsi="Times New Roman"/>
                <w:b/>
                <w:bCs/>
                <w:color w:val="auto"/>
                <w:sz w:val="24"/>
                <w:szCs w:val="24"/>
              </w:rPr>
              <w:t>、噪声</w:t>
            </w:r>
          </w:p>
          <w:p>
            <w:pPr>
              <w:pStyle w:val="21"/>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firstLineChars="200" w:firstLine="480"/>
              <w:jc w:val="both"/>
              <w:rPr>
                <w:rFonts w:ascii="Times New Roman" w:cs="Times New Roman" w:hAnsi="Times New Roman"/>
                <w:bCs/>
                <w:color w:val="auto"/>
                <w:sz w:val="24"/>
                <w:highlight w:val="none"/>
              </w:rPr>
            </w:pPr>
            <w:r>
              <w:rPr>
                <w:rFonts w:ascii="Times New Roman" w:cs="Times New Roman" w:hAnsi="Times New Roman"/>
                <w:bCs/>
                <w:color w:val="auto"/>
                <w:sz w:val="24"/>
                <w:szCs w:val="20"/>
                <w:highlight w:val="none"/>
              </w:rPr>
              <w:t>营运期厂界噪声执行《工业企业厂界环境噪声排放标准》（GB12348-2008）中</w:t>
            </w:r>
            <w:r>
              <w:rPr>
                <w:rFonts w:ascii="Times New Roman" w:cs="Times New Roman" w:hAnsi="Times New Roman" w:hint="eastAsia"/>
                <w:bCs/>
                <w:color w:val="auto"/>
                <w:sz w:val="24"/>
                <w:szCs w:val="20"/>
                <w:lang w:val="en-US" w:eastAsia="zh-CN"/>
                <w:highlight w:val="none"/>
              </w:rPr>
              <w:t>2类</w:t>
            </w:r>
            <w:r>
              <w:rPr>
                <w:rFonts w:ascii="Times New Roman" w:cs="Times New Roman" w:hAnsi="Times New Roman"/>
                <w:bCs/>
                <w:color w:val="auto"/>
                <w:sz w:val="24"/>
                <w:szCs w:val="20"/>
                <w:highlight w:val="none"/>
              </w:rPr>
              <w:t>标准</w:t>
            </w:r>
            <w:r>
              <w:rPr>
                <w:rFonts w:ascii="Times New Roman" w:cs="Times New Roman" w:hAnsi="Times New Roman" w:hint="eastAsia"/>
                <w:bCs/>
                <w:color w:val="auto"/>
                <w:sz w:val="24"/>
                <w:szCs w:val="20"/>
                <w:lang w:eastAsia="zh-CN"/>
                <w:highlight w:val="none"/>
              </w:rPr>
              <w:t>；</w:t>
            </w:r>
            <w:r>
              <w:rPr>
                <w:rFonts w:ascii="Times New Roman" w:cs="Times New Roman" w:hAnsi="Times New Roman" w:hint="eastAsia"/>
                <w:bCs/>
                <w:color w:val="auto"/>
                <w:sz w:val="24"/>
                <w:szCs w:val="20"/>
                <w:lang w:val="en-US" w:eastAsia="zh-CN"/>
                <w:highlight w:val="none"/>
              </w:rPr>
              <w:t>施工期执行《</w:t>
            </w:r>
            <w:r>
              <w:rPr>
                <w:rFonts w:ascii="Times New Roman" w:cs="Times New Roman" w:hAnsi="Times New Roman" w:hint="eastAsia"/>
                <w:bCs/>
                <w:color w:val="auto"/>
                <w:sz w:val="24"/>
                <w:szCs w:val="20"/>
                <w:lang w:val="en-US" w:eastAsia="zh-CN"/>
                <w:highlight w:val="none"/>
              </w:rPr>
              <w:fldChar w:fldCharType="begin"/>
            </w:r>
            <w:r>
              <w:instrText>HYPERLINK "https://www.mee.gov.cn/ywgz/fgbz/bz/bzwb/wlhj/hjzspfbz/202512/W020251211372008803765.pdf"</w:instrText>
            </w:r>
            <w:r>
              <w:rPr>
                <w:rFonts w:ascii="Times New Roman" w:cs="Times New Roman" w:hAnsi="Times New Roman" w:hint="eastAsia"/>
                <w:bCs/>
                <w:color w:val="auto"/>
                <w:sz w:val="24"/>
                <w:szCs w:val="20"/>
                <w:lang w:val="en-US" w:eastAsia="zh-CN"/>
                <w:highlight w:val="none"/>
              </w:rPr>
              <w:fldChar w:fldCharType="separate"/>
            </w:r>
            <w:r>
              <w:rPr>
                <w:rFonts w:ascii="Times New Roman" w:cs="Times New Roman" w:hAnsi="Times New Roman" w:hint="eastAsia"/>
                <w:bCs/>
                <w:color w:val="auto"/>
                <w:sz w:val="24"/>
                <w:szCs w:val="20"/>
                <w:lang w:val="en-US" w:eastAsia="zh-CN"/>
                <w:highlight w:val="none"/>
              </w:rPr>
              <w:t>建筑施工噪声排放标准》（GB 12523—2025</w:t>
            </w:r>
            <w:r>
              <w:rPr>
                <w:rFonts w:ascii="Times New Roman" w:cs="Times New Roman" w:hAnsi="Times New Roman" w:hint="eastAsia"/>
                <w:bCs/>
                <w:color w:val="auto"/>
                <w:sz w:val="24"/>
                <w:szCs w:val="20"/>
                <w:lang w:val="en-US" w:eastAsia="zh-CN"/>
                <w:highlight w:val="none"/>
              </w:rPr>
              <w:fldChar w:fldCharType="end"/>
            </w:r>
            <w:r>
              <w:rPr>
                <w:rFonts w:ascii="Times New Roman" w:cs="Times New Roman" w:hAnsi="Times New Roman" w:hint="eastAsia"/>
                <w:bCs/>
                <w:color w:val="auto"/>
                <w:sz w:val="24"/>
                <w:szCs w:val="20"/>
                <w:lang w:val="en-US" w:eastAsia="zh-CN"/>
                <w:highlight w:val="none"/>
              </w:rPr>
              <w:t>）</w:t>
            </w:r>
            <w:r>
              <w:rPr>
                <w:rFonts w:ascii="Times New Roman" w:cs="Times New Roman" w:hAnsi="Times New Roman"/>
                <w:bCs/>
                <w:color w:val="auto"/>
                <w:sz w:val="24"/>
                <w:szCs w:val="20"/>
                <w:highlight w:val="none"/>
              </w:rPr>
              <w:t>。</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40" w:lineRule="exact"/>
              <w:ind w:left="0" w:right="0" w:firstLineChars="200" w:firstLine="480"/>
              <w:jc w:val="both"/>
              <w:textAlignment w:val="auto"/>
              <w:rPr>
                <w:rFonts w:ascii="Times New Roman" w:cs="Times New Roman" w:hAnsi="Times New Roman"/>
                <w:b/>
                <w:bCs/>
                <w:color w:val="auto"/>
                <w:sz w:val="24"/>
                <w:szCs w:val="24"/>
                <w:highlight w:val="none"/>
              </w:rPr>
            </w:pPr>
            <w:r>
              <w:rPr>
                <w:rFonts w:ascii="Times New Roman" w:cs="Times New Roman" w:hAnsi="Times New Roman"/>
                <w:b/>
                <w:bCs/>
                <w:color w:val="auto"/>
                <w:sz w:val="24"/>
                <w:szCs w:val="24"/>
                <w:lang w:val="en-US" w:eastAsia="zh-CN"/>
                <w:highlight w:val="none"/>
              </w:rPr>
              <w:t>4</w:t>
            </w:r>
            <w:r>
              <w:rPr>
                <w:rFonts w:ascii="Times New Roman" w:cs="Times New Roman" w:hAnsi="Times New Roman"/>
                <w:b/>
                <w:bCs/>
                <w:color w:val="auto"/>
                <w:sz w:val="24"/>
                <w:szCs w:val="24"/>
                <w:highlight w:val="none"/>
              </w:rPr>
              <w:t>、固废</w:t>
            </w:r>
          </w:p>
          <w:p>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firstLineChars="200" w:firstLine="480"/>
              <w:jc w:val="both"/>
              <w:rPr>
                <w:rFonts w:ascii="Times New Roman" w:eastAsia="宋体" w:cs="Times New Roman" w:hAnsi="Times New Roman"/>
                <w:bCs/>
                <w:color w:val="auto"/>
                <w:sz w:val="24"/>
                <w:highlight w:val="none"/>
              </w:rPr>
            </w:pPr>
            <w:r>
              <w:rPr>
                <w:rFonts w:ascii="Times New Roman" w:eastAsia="宋体" w:cs="Times New Roman" w:hAnsi="Times New Roman"/>
                <w:bCs/>
                <w:color w:val="auto"/>
                <w:sz w:val="24"/>
                <w:szCs w:val="20"/>
                <w:highlight w:val="none"/>
              </w:rPr>
              <w:t>本项目</w:t>
            </w:r>
            <w:r>
              <w:rPr>
                <w:rFonts w:ascii="Times New Roman" w:eastAsia="宋体" w:cs="Times New Roman" w:hAnsi="Times New Roman"/>
                <w:bCs/>
                <w:color w:val="auto"/>
                <w:sz w:val="24"/>
                <w:szCs w:val="20"/>
                <w:lang w:val="en-US" w:eastAsia="zh-CN"/>
                <w:highlight w:val="none"/>
              </w:rPr>
              <w:t>危险废物执行</w:t>
            </w:r>
            <w:r>
              <w:rPr>
                <w:rFonts w:ascii="Times New Roman" w:cs="Times New Roman" w:hAnsi="Times New Roman" w:hint="eastAsia"/>
                <w:sz w:val="24"/>
                <w:szCs w:val="20"/>
                <w:lang w:val="en-US" w:eastAsia="zh-CN"/>
                <w:highlight w:val="none"/>
              </w:rPr>
              <w:t>《危险废物贮存污染控制标准》（GB18597-2023）</w:t>
            </w:r>
            <w:r>
              <w:rPr>
                <w:rFonts w:ascii="Times New Roman" w:eastAsia="宋体" w:cs="Times New Roman" w:hAnsi="Times New Roman"/>
                <w:bCs/>
                <w:color w:val="auto"/>
                <w:sz w:val="24"/>
                <w:szCs w:val="20"/>
                <w:highlight w:val="none"/>
              </w:rPr>
              <w:t>。</w:t>
            </w:r>
          </w:p>
          <w:p>
            <w:pPr>
              <w:pStyle w:val="21"/>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firstLineChars="200" w:firstLine="480"/>
              <w:jc w:val="both"/>
              <w:rPr>
                <w:rFonts w:eastAsia="宋体"/>
                <w:lang w:val="en-US" w:eastAsia="zh-CN"/>
              </w:rPr>
            </w:pPr>
            <w:r>
              <w:rPr>
                <w:rFonts w:ascii="Times New Roman" w:cs="Times New Roman" w:hAnsi="Times New Roman" w:hint="eastAsia"/>
                <w:bCs/>
                <w:color w:val="auto"/>
                <w:sz w:val="24"/>
                <w:szCs w:val="20"/>
                <w:lang w:val="en-US" w:eastAsia="zh-CN"/>
              </w:rPr>
              <w:t>本项目污染物排放控制标准见下表。</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hint="eastAsia"/>
                <w:sz w:val="24"/>
                <w:szCs w:val="20"/>
                <w:lang w:val="en-US" w:eastAsia="zh-CN"/>
              </w:rPr>
              <w:t xml:space="preserve"> 污染物</w:t>
            </w:r>
            <w:r>
              <w:rPr>
                <w:rFonts w:ascii="Times New Roman" w:cs="Times New Roman" w:hAnsi="Times New Roman"/>
                <w:sz w:val="24"/>
                <w:szCs w:val="20"/>
              </w:rPr>
              <w:t>排放限值一览表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80"/>
              <w:gridCol w:w="2765"/>
              <w:gridCol w:w="1288"/>
              <w:gridCol w:w="1909"/>
              <w:gridCol w:w="2"/>
              <w:gridCol w:w="1911"/>
            </w:tblGrid>
            <w:tr>
              <w:trPr>
                <w:trHeight w:val="397"/>
              </w:trPr>
              <w:tc>
                <w:tcPr>
                  <w:tcW w:w="680" w:type="dxa"/>
                  <w:tcBorders>
                    <w:bottom w:val="single" w:sz="8"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
                      <w:color w:val="auto"/>
                      <w:sz w:val="21"/>
                      <w:szCs w:val="21"/>
                      <w:highlight w:val="none"/>
                    </w:rPr>
                  </w:pPr>
                  <w:r>
                    <w:rPr>
                      <w:rFonts w:ascii="Times New Roman" w:cs="Times New Roman" w:hAnsi="Times New Roman"/>
                      <w:b/>
                      <w:color w:val="auto"/>
                      <w:sz w:val="21"/>
                      <w:szCs w:val="21"/>
                      <w:highlight w:val="none"/>
                    </w:rPr>
                    <w:t>污染类别</w:t>
                  </w:r>
                </w:p>
              </w:tc>
              <w:tc>
                <w:tcPr>
                  <w:tcW w:w="2765" w:type="dxa"/>
                  <w:tcBorders>
                    <w:left w:val="single" w:sz="4" w:space="0" w:color="auto"/>
                    <w:bottom w:val="single" w:sz="8"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
                      <w:color w:val="auto"/>
                      <w:sz w:val="21"/>
                      <w:szCs w:val="21"/>
                      <w:highlight w:val="none"/>
                    </w:rPr>
                  </w:pPr>
                  <w:r>
                    <w:rPr>
                      <w:rFonts w:ascii="Times New Roman" w:cs="Times New Roman" w:hAnsi="Times New Roman"/>
                      <w:b/>
                      <w:color w:val="auto"/>
                      <w:sz w:val="21"/>
                      <w:szCs w:val="21"/>
                      <w:highlight w:val="none"/>
                    </w:rPr>
                    <w:t>标准名称及级（类）别</w:t>
                  </w:r>
                </w:p>
              </w:tc>
              <w:tc>
                <w:tcPr>
                  <w:tcW w:w="1288" w:type="dxa"/>
                  <w:tcBorders>
                    <w:left w:val="single" w:sz="4" w:space="0" w:color="auto"/>
                    <w:bottom w:val="single" w:sz="8" w:space="0" w:color="auto"/>
                    <w:right w:val="single" w:sz="4"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
                      <w:color w:val="auto"/>
                      <w:sz w:val="21"/>
                      <w:szCs w:val="21"/>
                      <w:highlight w:val="none"/>
                    </w:rPr>
                  </w:pPr>
                  <w:r>
                    <w:rPr>
                      <w:rFonts w:ascii="Times New Roman" w:cs="Times New Roman" w:hAnsi="Times New Roman"/>
                      <w:b/>
                      <w:color w:val="auto"/>
                      <w:sz w:val="21"/>
                      <w:szCs w:val="21"/>
                      <w:highlight w:val="none"/>
                    </w:rPr>
                    <w:t>污染因子</w:t>
                  </w:r>
                </w:p>
              </w:tc>
              <w:tc>
                <w:tcPr>
                  <w:tcW w:w="3822" w:type="dxa"/>
                  <w:gridSpan w:val="3"/>
                  <w:tcBorders>
                    <w:left w:val="single" w:sz="4" w:space="0" w:color="auto"/>
                    <w:bottom w:val="single" w:sz="8"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b/>
                      <w:color w:val="auto"/>
                      <w:sz w:val="21"/>
                      <w:szCs w:val="21"/>
                      <w:highlight w:val="none"/>
                    </w:rPr>
                  </w:pPr>
                  <w:r>
                    <w:rPr>
                      <w:rFonts w:ascii="Times New Roman" w:cs="Times New Roman" w:hAnsi="Times New Roman"/>
                      <w:b/>
                      <w:color w:val="auto"/>
                      <w:sz w:val="21"/>
                      <w:szCs w:val="21"/>
                      <w:highlight w:val="none"/>
                    </w:rPr>
                    <w:t>标准限值</w:t>
                  </w:r>
                </w:p>
              </w:tc>
            </w:tr>
            <w:tr>
              <w:trPr>
                <w:trHeight w:val="397"/>
              </w:trPr>
              <w:tc>
                <w:tcPr>
                  <w:tcW w:w="680" w:type="dxa"/>
                  <w:vMerge w:val="restart"/>
                  <w:tcBorders>
                    <w:top w:val="single" w:sz="8" w:space="0" w:color="auto"/>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废气</w:t>
                  </w:r>
                </w:p>
              </w:tc>
              <w:tc>
                <w:tcPr>
                  <w:tcW w:w="2765" w:type="dxa"/>
                  <w:tcBorders>
                    <w:top w:val="single" w:sz="8" w:space="0" w:color="auto"/>
                  </w:tcBorders>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b w:val="0"/>
                      <w:bCs/>
                      <w:color w:val="auto"/>
                      <w:kern w:val="2"/>
                      <w:sz w:val="21"/>
                      <w:szCs w:val="21"/>
                      <w:lang w:val="en-US" w:eastAsia="zh-CN" w:bidi="ar-SA"/>
                      <w:highlight w:val="none"/>
                    </w:rPr>
                  </w:pPr>
                  <w:r>
                    <w:rPr>
                      <w:rFonts w:ascii="Times New Roman" w:cs="Times New Roman" w:hAnsi="Times New Roman"/>
                      <w:bCs/>
                      <w:sz w:val="21"/>
                      <w:szCs w:val="21"/>
                      <w:highlight w:val="none"/>
                    </w:rPr>
                    <w:t>《关于全省开展工业企业挥发性有机物专项治理工作中排放建议值的通知》（豫环攻坚办</w:t>
                  </w:r>
                  <w:r>
                    <w:rPr>
                      <w:rFonts w:ascii="Times New Roman" w:cs="Times New Roman" w:hAnsi="Times New Roman"/>
                      <w:bCs/>
                      <w:sz w:val="21"/>
                      <w:szCs w:val="21"/>
                      <w:lang w:eastAsia="zh-CN"/>
                      <w:highlight w:val="none"/>
                    </w:rPr>
                    <w:t>〔</w:t>
                  </w:r>
                  <w:r>
                    <w:rPr>
                      <w:rFonts w:ascii="Times New Roman" w:cs="Times New Roman" w:hAnsi="Times New Roman"/>
                      <w:bCs/>
                      <w:sz w:val="21"/>
                      <w:szCs w:val="21"/>
                      <w:highlight w:val="none"/>
                    </w:rPr>
                    <w:t>2017</w:t>
                  </w:r>
                  <w:r>
                    <w:rPr>
                      <w:rFonts w:ascii="Times New Roman" w:cs="Times New Roman" w:hAnsi="Times New Roman"/>
                      <w:bCs/>
                      <w:sz w:val="21"/>
                      <w:szCs w:val="21"/>
                      <w:lang w:eastAsia="zh-CN"/>
                      <w:highlight w:val="none"/>
                    </w:rPr>
                    <w:t>〕</w:t>
                  </w:r>
                  <w:r>
                    <w:rPr>
                      <w:rFonts w:ascii="Times New Roman" w:cs="Times New Roman" w:hAnsi="Times New Roman"/>
                      <w:bCs/>
                      <w:sz w:val="21"/>
                      <w:szCs w:val="21"/>
                      <w:highlight w:val="none"/>
                    </w:rPr>
                    <w:t>162号）</w:t>
                  </w:r>
                </w:p>
              </w:tc>
              <w:tc>
                <w:tcPr>
                  <w:tcW w:w="1288" w:type="dxa"/>
                  <w:tcBorders>
                    <w:top w:val="single" w:sz="8" w:space="0" w:color="auto"/>
                  </w:tcBorders>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cs="Times New Roman" w:hAnsi="Times New Roman"/>
                      <w:color w:val="auto"/>
                      <w:sz w:val="21"/>
                      <w:szCs w:val="21"/>
                      <w:shd w:val="clear" w:color="auto" w:fill="FFFFFF"/>
                      <w:lang w:val="en-US" w:eastAsia="zh-CN"/>
                      <w:highlight w:val="none"/>
                    </w:rPr>
                  </w:pPr>
                  <w:r>
                    <w:rPr>
                      <w:rFonts w:ascii="Times New Roman" w:cs="Times New Roman" w:hAnsi="Times New Roman"/>
                      <w:bCs/>
                      <w:sz w:val="21"/>
                      <w:szCs w:val="21"/>
                      <w:highlight w:val="none"/>
                    </w:rPr>
                    <w:t>非甲烷总烃</w:t>
                  </w:r>
                </w:p>
              </w:tc>
              <w:tc>
                <w:tcPr>
                  <w:tcW w:w="3822" w:type="dxa"/>
                  <w:gridSpan w:val="3"/>
                  <w:tcBorders>
                    <w:top w:val="single" w:sz="8" w:space="0" w:color="auto"/>
                  </w:tcBorders>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left"/>
                    <w:textAlignment w:val="auto"/>
                    <w:rPr>
                      <w:rFonts w:ascii="Times New Roman" w:eastAsia="宋体" w:cs="Times New Roman" w:hAnsi="Times New Roman"/>
                      <w:b w:val="0"/>
                      <w:bCs/>
                      <w:color w:val="auto"/>
                      <w:sz w:val="21"/>
                      <w:szCs w:val="21"/>
                      <w:highlight w:val="none"/>
                    </w:rPr>
                  </w:pPr>
                  <w:r>
                    <w:rPr>
                      <w:rFonts w:ascii="Times New Roman" w:cs="Times New Roman" w:hAnsi="Times New Roman"/>
                      <w:sz w:val="21"/>
                      <w:szCs w:val="21"/>
                      <w:highlight w:val="none"/>
                    </w:rPr>
                    <w:t>工业企业边界挥发性有机物排放建议值其他企业非甲烷总烃2.0mg/m</w:t>
                  </w:r>
                  <w:r>
                    <w:rPr>
                      <w:rFonts w:ascii="Times New Roman" w:cs="Times New Roman" w:hAnsi="Times New Roman"/>
                      <w:sz w:val="21"/>
                      <w:szCs w:val="21"/>
                      <w:vertAlign w:val="superscript"/>
                      <w:highlight w:val="none"/>
                    </w:rPr>
                    <w:t>3</w:t>
                  </w:r>
                </w:p>
              </w:tc>
            </w:tr>
            <w:tr>
              <w:trPr>
                <w:trHeight w:val="397"/>
              </w:trPr>
              <w:tc>
                <w:tcPr>
                  <w:tcW w:w="680" w:type="dxa"/>
                  <w:vMerge/>
                  <w:vAlign w:val="center"/>
                </w:tcPr>
                <w:p/>
              </w:tc>
              <w:tc>
                <w:tcPr>
                  <w:tcW w:w="2765" w:type="dxa"/>
                  <w:vMerge w:val="restart"/>
                  <w:vAlign w:val="center"/>
                </w:tcPr>
                <w:p>
                  <w:pPr>
                    <w:keepNext w:val="0"/>
                    <w:keepLines w:val="0"/>
                    <w:suppressLineNumbers w:val="0"/>
                    <w:adjustRightInd w:val="0"/>
                    <w:snapToGrid w:val="0"/>
                    <w:spacing w:before="0" w:beforeAutospacing="0" w:after="0" w:afterAutospacing="0" w:line="240" w:lineRule="auto"/>
                    <w:ind w:left="0" w:right="0"/>
                    <w:jc w:val="left"/>
                    <w:rPr>
                      <w:rFonts w:ascii="Times New Roman" w:eastAsia="宋体" w:cs="Times New Roman" w:hAnsi="Times New Roman"/>
                      <w:color w:val="auto"/>
                      <w:sz w:val="21"/>
                      <w:szCs w:val="21"/>
                      <w:lang w:val="en-US" w:eastAsia="zh-CN"/>
                      <w:highlight w:val="none"/>
                    </w:rPr>
                  </w:pPr>
                  <w:r>
                    <w:rPr>
                      <w:rFonts w:ascii="Times New Roman" w:cs="Times New Roman" w:hAnsi="Times New Roman"/>
                      <w:bCs/>
                      <w:sz w:val="21"/>
                      <w:szCs w:val="21"/>
                      <w:highlight w:val="none"/>
                    </w:rPr>
                    <w:t>《加油站大气污染物排放标准》（GB20952-20</w:t>
                  </w:r>
                  <w:r>
                    <w:rPr>
                      <w:rFonts w:ascii="Times New Roman" w:cs="Times New Roman" w:hAnsi="Times New Roman"/>
                      <w:bCs/>
                      <w:sz w:val="21"/>
                      <w:szCs w:val="21"/>
                      <w:lang w:val="en-US" w:eastAsia="zh-CN"/>
                      <w:highlight w:val="none"/>
                    </w:rPr>
                    <w:t>20</w:t>
                  </w:r>
                  <w:r>
                    <w:rPr>
                      <w:rFonts w:ascii="Times New Roman" w:cs="Times New Roman" w:hAnsi="Times New Roman"/>
                      <w:bCs/>
                      <w:sz w:val="21"/>
                      <w:szCs w:val="21"/>
                      <w:highlight w:val="none"/>
                    </w:rPr>
                    <w:t>）</w:t>
                  </w:r>
                </w:p>
              </w:tc>
              <w:tc>
                <w:tcPr>
                  <w:tcW w:w="1288" w:type="dxa"/>
                  <w:vMerge w:val="restart"/>
                  <w:vAlign w:val="center"/>
                </w:tcPr>
                <w:p>
                  <w:pPr>
                    <w:keepNext w:val="0"/>
                    <w:keepLines w:val="0"/>
                    <w:suppressLineNumbers w:val="0"/>
                    <w:adjustRightInd w:val="0"/>
                    <w:snapToGrid w:val="0"/>
                    <w:spacing w:before="0" w:beforeAutospacing="0" w:after="0" w:afterAutospacing="0" w:line="240" w:lineRule="auto"/>
                    <w:ind w:left="0" w:right="0"/>
                    <w:jc w:val="left"/>
                    <w:rPr>
                      <w:rFonts w:ascii="Times New Roman" w:eastAsia="宋体" w:cs="Times New Roman" w:hAnsi="Times New Roman"/>
                      <w:color w:val="000000"/>
                      <w:kern w:val="0"/>
                      <w:sz w:val="21"/>
                      <w:szCs w:val="21"/>
                      <w:lang w:val="en-US" w:eastAsia="zh-CN" w:bidi="ar-SA"/>
                      <w:highlight w:val="none"/>
                    </w:rPr>
                  </w:pPr>
                  <w:r>
                    <w:rPr>
                      <w:rFonts w:ascii="Times New Roman" w:cs="Times New Roman" w:hAnsi="Times New Roman"/>
                      <w:bCs/>
                      <w:sz w:val="21"/>
                      <w:szCs w:val="21"/>
                      <w:highlight w:val="none"/>
                    </w:rPr>
                    <w:t>非甲烷总烃</w:t>
                  </w:r>
                </w:p>
              </w:tc>
              <w:tc>
                <w:tcPr>
                  <w:tcW w:w="3822" w:type="dxa"/>
                  <w:gridSpan w:val="3"/>
                  <w:vAlign w:val="center"/>
                </w:tcPr>
                <w:p>
                  <w:pPr>
                    <w:keepNext w:val="0"/>
                    <w:keepLines w:val="0"/>
                    <w:widowControl/>
                    <w:suppressLineNumbers w:val="0"/>
                    <w:spacing w:before="0" w:beforeAutospacing="0" w:after="0" w:afterAutospacing="0" w:line="240" w:lineRule="auto"/>
                    <w:ind w:left="0" w:right="0"/>
                    <w:jc w:val="left"/>
                    <w:rPr>
                      <w:rFonts w:ascii="Times New Roman" w:cs="Times New Roman" w:hAnsi="Times New Roman"/>
                      <w:color w:val="000000"/>
                      <w:kern w:val="0"/>
                      <w:sz w:val="21"/>
                      <w:szCs w:val="21"/>
                      <w:lang w:val="en-US" w:eastAsia="zh-CN" w:bidi="ar-SA"/>
                      <w:highlight w:val="none"/>
                    </w:rPr>
                  </w:pPr>
                  <w:r>
                    <w:rPr>
                      <w:rFonts w:ascii="Times New Roman" w:cs="Times New Roman" w:hAnsi="Times New Roman"/>
                      <w:bCs/>
                      <w:sz w:val="21"/>
                      <w:szCs w:val="21"/>
                      <w:highlight w:val="none"/>
                    </w:rPr>
                    <w:t>处理装置油气排放浓度</w:t>
                  </w:r>
                  <w:r>
                    <w:rPr>
                      <w:rFonts w:ascii="Times New Roman" w:eastAsia="宋体" w:cs="Times New Roman" w:hAnsi="Times New Roman"/>
                      <w:color w:val="000000"/>
                      <w:kern w:val="0"/>
                      <w:sz w:val="21"/>
                      <w:szCs w:val="21"/>
                      <w:lang w:val="en-US" w:eastAsia="zh-CN" w:bidi="ar-SA"/>
                      <w:highlight w:val="none"/>
                    </w:rPr>
                    <w:t>1小时平均浓度值</w:t>
                  </w:r>
                  <w:r>
                    <w:rPr>
                      <w:rFonts w:ascii="Times New Roman" w:cs="Times New Roman" w:hAnsi="Times New Roman"/>
                      <w:bCs/>
                      <w:sz w:val="21"/>
                      <w:szCs w:val="21"/>
                      <w:highlight w:val="none"/>
                    </w:rPr>
                    <w:t>≤25g/m</w:t>
                  </w:r>
                  <w:r>
                    <w:rPr>
                      <w:rFonts w:ascii="Times New Roman" w:cs="Times New Roman" w:hAnsi="Times New Roman"/>
                      <w:bCs/>
                      <w:sz w:val="21"/>
                      <w:szCs w:val="21"/>
                      <w:vertAlign w:val="superscript"/>
                      <w:highlight w:val="none"/>
                    </w:rPr>
                    <w:t>3</w:t>
                  </w:r>
                  <w:r>
                    <w:rPr>
                      <w:rFonts w:ascii="Times New Roman" w:cs="Times New Roman" w:hAnsi="Times New Roman"/>
                      <w:bCs/>
                      <w:sz w:val="21"/>
                      <w:szCs w:val="21"/>
                      <w:highlight w:val="none"/>
                    </w:rPr>
                    <w:t>，排放口距地平面高度不低于4m</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3822" w:type="dxa"/>
                  <w:gridSpan w:val="3"/>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both"/>
                    <w:textAlignment w:val="auto"/>
                    <w:rPr>
                      <w:rFonts w:ascii="Times New Roman" w:eastAsia="宋体" w:cs="Times New Roman" w:hAnsi="Times New Roman"/>
                      <w:b w:val="0"/>
                      <w:bCs/>
                      <w:sz w:val="21"/>
                      <w:szCs w:val="21"/>
                      <w:lang w:val="en-US" w:eastAsia="zh-CN"/>
                      <w:highlight w:val="none"/>
                    </w:rPr>
                  </w:pPr>
                  <w:r>
                    <w:rPr>
                      <w:rFonts w:ascii="Times New Roman" w:cs="Times New Roman" w:hAnsi="Times New Roman"/>
                      <w:bCs/>
                      <w:sz w:val="21"/>
                      <w:szCs w:val="21"/>
                      <w:lang w:val="en-US" w:eastAsia="zh-CN"/>
                      <w:highlight w:val="none"/>
                    </w:rPr>
                    <w:t>加油站边界非甲烷总烃1小时平均浓度值4.0</w:t>
                  </w:r>
                  <w:r>
                    <w:rPr>
                      <w:rFonts w:ascii="Times New Roman" w:cs="Times New Roman" w:hAnsi="Times New Roman"/>
                      <w:color w:val="000000"/>
                      <w:sz w:val="21"/>
                      <w:szCs w:val="21"/>
                      <w:highlight w:val="none"/>
                    </w:rPr>
                    <w:t>mg/m</w:t>
                  </w:r>
                  <w:r>
                    <w:rPr>
                      <w:rFonts w:ascii="Times New Roman" w:cs="Times New Roman" w:hAnsi="Times New Roman"/>
                      <w:color w:val="000000"/>
                      <w:sz w:val="21"/>
                      <w:szCs w:val="21"/>
                      <w:vertAlign w:val="superscript"/>
                      <w:highlight w:val="none"/>
                    </w:rPr>
                    <w:t>3</w:t>
                  </w:r>
                </w:p>
              </w:tc>
            </w:tr>
            <w:tr>
              <w:trPr>
                <w:trHeight w:val="397"/>
              </w:trPr>
              <w:tc>
                <w:tcPr>
                  <w:tcW w:w="680" w:type="dxa"/>
                  <w:vMerge/>
                  <w:vAlign w:val="center"/>
                </w:tcPr>
                <w:p/>
              </w:tc>
              <w:tc>
                <w:tcPr>
                  <w:tcW w:w="2765" w:type="dxa"/>
                  <w:vMerge/>
                  <w:vAlign w:val="center"/>
                </w:tcPr>
                <w:p/>
              </w:tc>
              <w:tc>
                <w:tcPr>
                  <w:tcW w:w="1288" w:type="dxa"/>
                  <w:vMerge w:val="restart"/>
                  <w:vAlign w:val="center"/>
                </w:tcPr>
                <w:p>
                  <w:pPr>
                    <w:pStyle w:val="1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液阻</w:t>
                  </w:r>
                </w:p>
              </w:tc>
              <w:tc>
                <w:tcPr>
                  <w:tcW w:w="1909" w:type="dxa"/>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通入氮气流量（L/min）</w:t>
                  </w:r>
                </w:p>
              </w:tc>
              <w:tc>
                <w:tcPr>
                  <w:tcW w:w="1913" w:type="dxa"/>
                  <w:gridSpan w:val="2"/>
                  <w:vAlign w:val="center"/>
                </w:tcPr>
                <w:p>
                  <w:pPr>
                    <w:keepNext w:val="0"/>
                    <w:keepLines w:val="0"/>
                    <w:widowControl/>
                    <w:suppressLineNumbers w:val="0"/>
                    <w:spacing w:before="0" w:beforeAutospacing="0" w:after="0" w:afterAutospacing="0" w:line="240" w:lineRule="auto"/>
                    <w:ind w:left="0" w:right="0"/>
                    <w:jc w:val="center"/>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highlight w:val="none"/>
                    </w:rPr>
                    <w:t>最大压力（Pa）</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09" w:type="dxa"/>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18</w:t>
                  </w:r>
                </w:p>
              </w:tc>
              <w:tc>
                <w:tcPr>
                  <w:tcW w:w="1913" w:type="dxa"/>
                  <w:gridSpan w:val="2"/>
                  <w:vAlign w:val="center"/>
                </w:tcPr>
                <w:p>
                  <w:pPr>
                    <w:keepNext w:val="0"/>
                    <w:keepLines w:val="0"/>
                    <w:widowControl/>
                    <w:suppressLineNumbers w:val="0"/>
                    <w:spacing w:before="0" w:beforeAutospacing="0" w:after="0" w:afterAutospacing="0" w:line="240" w:lineRule="auto"/>
                    <w:ind w:left="0" w:right="0"/>
                    <w:jc w:val="center"/>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highlight w:val="none"/>
                    </w:rPr>
                    <w:t>40</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09" w:type="dxa"/>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28</w:t>
                  </w:r>
                </w:p>
              </w:tc>
              <w:tc>
                <w:tcPr>
                  <w:tcW w:w="1913" w:type="dxa"/>
                  <w:gridSpan w:val="2"/>
                  <w:vAlign w:val="center"/>
                </w:tcPr>
                <w:p>
                  <w:pPr>
                    <w:keepNext w:val="0"/>
                    <w:keepLines w:val="0"/>
                    <w:widowControl/>
                    <w:suppressLineNumbers w:val="0"/>
                    <w:spacing w:before="0" w:beforeAutospacing="0" w:after="0" w:afterAutospacing="0" w:line="240" w:lineRule="auto"/>
                    <w:ind w:left="0" w:right="0"/>
                    <w:jc w:val="center"/>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highlight w:val="none"/>
                    </w:rPr>
                    <w:t>90</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09" w:type="dxa"/>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38</w:t>
                  </w:r>
                </w:p>
              </w:tc>
              <w:tc>
                <w:tcPr>
                  <w:tcW w:w="1913" w:type="dxa"/>
                  <w:gridSpan w:val="2"/>
                  <w:vAlign w:val="center"/>
                </w:tcPr>
                <w:p>
                  <w:pPr>
                    <w:keepNext w:val="0"/>
                    <w:keepLines w:val="0"/>
                    <w:widowControl/>
                    <w:suppressLineNumbers w:val="0"/>
                    <w:spacing w:before="0" w:beforeAutospacing="0" w:after="0" w:afterAutospacing="0" w:line="240" w:lineRule="auto"/>
                    <w:ind w:left="0" w:right="0"/>
                    <w:jc w:val="center"/>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highlight w:val="none"/>
                    </w:rPr>
                    <w:t>155</w:t>
                  </w:r>
                </w:p>
              </w:tc>
            </w:tr>
            <w:tr>
              <w:trPr>
                <w:trHeight w:val="397"/>
              </w:trPr>
              <w:tc>
                <w:tcPr>
                  <w:tcW w:w="680" w:type="dxa"/>
                  <w:vMerge/>
                  <w:vAlign w:val="center"/>
                </w:tcPr>
                <w:p/>
              </w:tc>
              <w:tc>
                <w:tcPr>
                  <w:tcW w:w="2765" w:type="dxa"/>
                  <w:vMerge/>
                  <w:vAlign w:val="center"/>
                </w:tcPr>
                <w:p/>
              </w:tc>
              <w:tc>
                <w:tcPr>
                  <w:tcW w:w="1288" w:type="dxa"/>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auto"/>
                      <w:sz w:val="21"/>
                      <w:szCs w:val="21"/>
                      <w:lang w:val="en-US" w:eastAsia="zh-CN"/>
                      <w:highlight w:val="none"/>
                    </w:rPr>
                    <w:t>气液比</w:t>
                  </w:r>
                </w:p>
              </w:tc>
              <w:tc>
                <w:tcPr>
                  <w:tcW w:w="3822" w:type="dxa"/>
                  <w:gridSpan w:val="3"/>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lang w:val="en-US" w:eastAsia="zh-CN"/>
                    </w:rPr>
                  </w:pPr>
                  <w:r>
                    <w:rPr>
                      <w:rFonts w:ascii="Times New Roman" w:eastAsia="宋体" w:cs="Times New Roman" w:hAnsi="Times New Roman"/>
                      <w:color w:val="000000"/>
                      <w:kern w:val="0"/>
                      <w:sz w:val="21"/>
                      <w:szCs w:val="21"/>
                      <w:lang w:val="en-US" w:eastAsia="zh-CN"/>
                    </w:rPr>
                    <w:t>加油油气回收系统的气液比均应在大于等于1.0和小于等于1.2范围内</w:t>
                  </w:r>
                </w:p>
              </w:tc>
            </w:tr>
            <w:tr>
              <w:trPr>
                <w:trHeight w:val="397"/>
              </w:trPr>
              <w:tc>
                <w:tcPr>
                  <w:tcW w:w="680" w:type="dxa"/>
                  <w:vMerge/>
                  <w:vAlign w:val="center"/>
                </w:tcPr>
                <w:p/>
              </w:tc>
              <w:tc>
                <w:tcPr>
                  <w:tcW w:w="2765" w:type="dxa"/>
                  <w:vMerge/>
                  <w:vAlign w:val="center"/>
                </w:tcPr>
                <w:p/>
              </w:tc>
              <w:tc>
                <w:tcPr>
                  <w:tcW w:w="1288" w:type="dxa"/>
                  <w:vMerge w:val="restart"/>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密闭性（1-6枪）</w:t>
                  </w: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储罐油气空间（L）</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kern w:val="2"/>
                      <w:sz w:val="21"/>
                      <w:szCs w:val="21"/>
                      <w:lang w:val="en-US" w:eastAsia="zh-CN" w:bidi="ar-SA"/>
                    </w:rPr>
                  </w:pPr>
                  <w:r>
                    <w:rPr>
                      <w:rFonts w:ascii="Times New Roman" w:eastAsia="宋体" w:cs="Times New Roman" w:hAnsi="Times New Roman"/>
                      <w:color w:val="000000"/>
                      <w:kern w:val="0"/>
                      <w:sz w:val="21"/>
                      <w:szCs w:val="21"/>
                      <w:lang w:val="en-US" w:eastAsia="zh-CN" w:bidi="ar-SA"/>
                      <w:highlight w:val="none"/>
                    </w:rPr>
                    <w:t>压力限值（Pa）</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1893</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182</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2082</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199</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2271</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217</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2460</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232</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2650</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244</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2839</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257</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3028</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267</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3217</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277</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3407</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286</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3596</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294</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3785</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301</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4542</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329</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5299</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349</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6056</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364</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6813</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376</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7570</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389</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8327</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396</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highlight w:val="none"/>
                    </w:rPr>
                    <w:t>9084</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404</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color w:val="000000"/>
                      <w:kern w:val="0"/>
                      <w:sz w:val="21"/>
                      <w:szCs w:val="21"/>
                      <w:lang w:val="en-US" w:eastAsia="zh-CN" w:bidi="ar-SA"/>
                    </w:rPr>
                    <w:t>9841</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411</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10598</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416</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11355</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421</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13248</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431</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15140</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438</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17033</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446</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18925</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451</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22710</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458</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26495</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463</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30280</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468</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34065</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471</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37850</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473</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56775</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481</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75700</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486</w:t>
                  </w:r>
                </w:p>
              </w:tc>
            </w:tr>
            <w:tr>
              <w:trPr>
                <w:trHeight w:val="397"/>
              </w:trPr>
              <w:tc>
                <w:tcPr>
                  <w:tcW w:w="680" w:type="dxa"/>
                  <w:vMerge/>
                  <w:vAlign w:val="center"/>
                </w:tcPr>
                <w:p/>
              </w:tc>
              <w:tc>
                <w:tcPr>
                  <w:tcW w:w="2765" w:type="dxa"/>
                  <w:vMerge/>
                  <w:vAlign w:val="center"/>
                </w:tcPr>
                <w:p/>
              </w:tc>
              <w:tc>
                <w:tcPr>
                  <w:tcW w:w="1288" w:type="dxa"/>
                  <w:vMerge/>
                  <w:vAlign w:val="center"/>
                </w:tcPr>
                <w:p/>
              </w:tc>
              <w:tc>
                <w:tcPr>
                  <w:tcW w:w="1911" w:type="dxa"/>
                  <w:gridSpan w:val="2"/>
                  <w:shd w:val="clear" w:color="auto" w:fill="auto"/>
                  <w:vAlign w:val="center"/>
                </w:tcPr>
                <w:p>
                  <w:pPr>
                    <w:keepNext w:val="0"/>
                    <w:keepLines w:val="0"/>
                    <w:widowControl/>
                    <w:suppressLineNumbers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eastAsia="宋体" w:cs="Times New Roman" w:hAnsi="Times New Roman"/>
                      <w:color w:val="000000"/>
                      <w:kern w:val="0"/>
                      <w:sz w:val="21"/>
                      <w:szCs w:val="21"/>
                      <w:lang w:val="en-US" w:eastAsia="zh-CN" w:bidi="ar-SA"/>
                    </w:rPr>
                    <w:t>94625</w:t>
                  </w:r>
                </w:p>
              </w:tc>
              <w:tc>
                <w:tcPr>
                  <w:tcW w:w="1911" w:type="dxa"/>
                  <w:shd w:val="clear" w:color="auto" w:fill="auto"/>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hint="eastAsia"/>
                      <w:color w:val="000000"/>
                      <w:kern w:val="0"/>
                      <w:sz w:val="21"/>
                      <w:szCs w:val="21"/>
                      <w:lang w:val="en-US" w:eastAsia="zh-CN" w:bidi="ar-SA"/>
                      <w:highlight w:val="none"/>
                    </w:rPr>
                    <w:t>488</w:t>
                  </w:r>
                </w:p>
              </w:tc>
            </w:tr>
            <w:tr>
              <w:trPr>
                <w:trHeight w:val="397"/>
              </w:trPr>
              <w:tc>
                <w:tcPr>
                  <w:tcW w:w="680" w:type="dxa"/>
                  <w:vMerge w:val="restart"/>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cs="Times New Roman" w:hAnsi="Times New Roman"/>
                      <w:color w:val="auto"/>
                      <w:sz w:val="21"/>
                      <w:szCs w:val="21"/>
                      <w:lang w:val="en-US" w:eastAsia="zh-CN"/>
                      <w:highlight w:val="none"/>
                    </w:rPr>
                  </w:pPr>
                  <w:r>
                    <w:rPr>
                      <w:rFonts w:ascii="Times New Roman" w:cs="Times New Roman" w:hAnsi="Times New Roman" w:hint="eastAsia"/>
                      <w:color w:val="auto"/>
                      <w:sz w:val="21"/>
                      <w:szCs w:val="21"/>
                      <w:lang w:val="en-US" w:eastAsia="zh-CN"/>
                      <w:highlight w:val="none"/>
                    </w:rPr>
                    <w:t>废水</w:t>
                  </w:r>
                </w:p>
              </w:tc>
              <w:tc>
                <w:tcPr>
                  <w:tcW w:w="2765" w:type="dxa"/>
                  <w:vMerge w:val="restart"/>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cs="Times New Roman" w:hAnsi="Times New Roman"/>
                      <w:color w:val="auto"/>
                      <w:sz w:val="21"/>
                      <w:szCs w:val="21"/>
                      <w:highlight w:val="none"/>
                    </w:rPr>
                  </w:pPr>
                  <w:r>
                    <w:rPr>
                      <w:rFonts w:ascii="Times New Roman" w:cs="Times New Roman" w:hAnsi="Times New Roman"/>
                      <w:bCs/>
                      <w:color w:val="auto"/>
                      <w:sz w:val="21"/>
                      <w:szCs w:val="21"/>
                    </w:rPr>
                    <w:t>延津县第二污水处理厂进水要求</w:t>
                  </w:r>
                </w:p>
              </w:tc>
              <w:tc>
                <w:tcPr>
                  <w:tcW w:w="1288" w:type="dxa"/>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1"/>
                      <w:szCs w:val="21"/>
                      <w:lang w:val="en-US" w:eastAsia="zh-CN" w:bidi="ar-SA"/>
                    </w:rPr>
                  </w:pPr>
                  <w:r>
                    <w:rPr>
                      <w:rFonts w:ascii="Times New Roman" w:cs="Times New Roman" w:hAnsi="Times New Roman"/>
                      <w:bCs/>
                      <w:color w:val="auto"/>
                      <w:kern w:val="0"/>
                      <w:sz w:val="21"/>
                      <w:szCs w:val="21"/>
                    </w:rPr>
                    <w:t>pH</w:t>
                  </w:r>
                </w:p>
              </w:tc>
              <w:tc>
                <w:tcPr>
                  <w:tcW w:w="3822" w:type="dxa"/>
                  <w:gridSpan w:val="3"/>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1"/>
                      <w:szCs w:val="21"/>
                      <w:lang w:val="en-US" w:eastAsia="zh-CN" w:bidi="ar-SA"/>
                      <w:highlight w:val="yellow"/>
                    </w:rPr>
                  </w:pPr>
                  <w:r>
                    <w:rPr>
                      <w:rFonts w:ascii="Times New Roman" w:cs="Times New Roman" w:hAnsi="Times New Roman"/>
                      <w:bCs/>
                      <w:color w:val="auto"/>
                      <w:sz w:val="21"/>
                      <w:szCs w:val="21"/>
                    </w:rPr>
                    <w:t>6~9</w:t>
                  </w:r>
                </w:p>
              </w:tc>
            </w:tr>
            <w:tr>
              <w:trPr>
                <w:trHeight w:val="397"/>
              </w:trPr>
              <w:tc>
                <w:tcPr>
                  <w:tcW w:w="680" w:type="dxa"/>
                  <w:vMerge/>
                  <w:vAlign w:val="center"/>
                </w:tcPr>
                <w:p/>
              </w:tc>
              <w:tc>
                <w:tcPr>
                  <w:tcW w:w="2765" w:type="dxa"/>
                  <w:vMerge/>
                  <w:vAlign w:val="center"/>
                </w:tcPr>
                <w:p/>
              </w:tc>
              <w:tc>
                <w:tcPr>
                  <w:tcW w:w="1288" w:type="dxa"/>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1"/>
                      <w:szCs w:val="21"/>
                      <w:lang w:val="en-US" w:eastAsia="zh-CN" w:bidi="ar-SA"/>
                    </w:rPr>
                  </w:pPr>
                  <w:r>
                    <w:rPr>
                      <w:rFonts w:ascii="Times New Roman" w:cs="Times New Roman" w:hAnsi="Times New Roman"/>
                      <w:bCs/>
                      <w:color w:val="auto"/>
                      <w:kern w:val="0"/>
                      <w:sz w:val="21"/>
                      <w:szCs w:val="21"/>
                    </w:rPr>
                    <w:t>COD</w:t>
                  </w:r>
                </w:p>
              </w:tc>
              <w:tc>
                <w:tcPr>
                  <w:tcW w:w="3822" w:type="dxa"/>
                  <w:gridSpan w:val="3"/>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1"/>
                      <w:szCs w:val="21"/>
                      <w:lang w:val="en-US" w:eastAsia="zh-CN" w:bidi="ar-SA"/>
                      <w:highlight w:val="yellow"/>
                    </w:rPr>
                  </w:pPr>
                  <w:r>
                    <w:rPr>
                      <w:rFonts w:ascii="Times New Roman" w:cs="Times New Roman" w:hAnsi="Times New Roman"/>
                      <w:bCs/>
                      <w:color w:val="auto"/>
                      <w:sz w:val="21"/>
                      <w:szCs w:val="21"/>
                    </w:rPr>
                    <w:t>260 mg/L</w:t>
                  </w:r>
                </w:p>
              </w:tc>
            </w:tr>
            <w:tr>
              <w:trPr>
                <w:trHeight w:val="397"/>
              </w:trPr>
              <w:tc>
                <w:tcPr>
                  <w:tcW w:w="680" w:type="dxa"/>
                  <w:vMerge/>
                  <w:vAlign w:val="center"/>
                </w:tcPr>
                <w:p/>
              </w:tc>
              <w:tc>
                <w:tcPr>
                  <w:tcW w:w="2765" w:type="dxa"/>
                  <w:vMerge/>
                  <w:vAlign w:val="center"/>
                </w:tcPr>
                <w:p/>
              </w:tc>
              <w:tc>
                <w:tcPr>
                  <w:tcW w:w="1288" w:type="dxa"/>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0"/>
                      <w:szCs w:val="20"/>
                      <w:lang w:val="en-US" w:eastAsia="zh-CN" w:bidi="ar-SA"/>
                    </w:rPr>
                  </w:pPr>
                  <w:r>
                    <w:rPr>
                      <w:rFonts w:ascii="Times New Roman" w:cs="Times New Roman" w:hAnsi="Times New Roman"/>
                      <w:bCs/>
                      <w:color w:val="auto"/>
                      <w:sz w:val="21"/>
                      <w:szCs w:val="21"/>
                    </w:rPr>
                    <w:t>SS</w:t>
                  </w:r>
                </w:p>
              </w:tc>
              <w:tc>
                <w:tcPr>
                  <w:tcW w:w="3822" w:type="dxa"/>
                  <w:gridSpan w:val="3"/>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1"/>
                      <w:szCs w:val="21"/>
                      <w:lang w:val="en-US" w:eastAsia="zh-CN" w:bidi="ar-SA"/>
                      <w:highlight w:val="yellow"/>
                    </w:rPr>
                  </w:pPr>
                  <w:r>
                    <w:rPr>
                      <w:rFonts w:ascii="Times New Roman" w:cs="Times New Roman" w:hAnsi="Times New Roman"/>
                      <w:bCs/>
                      <w:color w:val="auto"/>
                      <w:sz w:val="21"/>
                      <w:szCs w:val="21"/>
                    </w:rPr>
                    <w:t>190 mg/L</w:t>
                  </w:r>
                </w:p>
              </w:tc>
            </w:tr>
            <w:tr>
              <w:trPr>
                <w:trHeight w:val="397"/>
              </w:trPr>
              <w:tc>
                <w:tcPr>
                  <w:tcW w:w="680" w:type="dxa"/>
                  <w:vMerge/>
                  <w:vAlign w:val="center"/>
                </w:tcPr>
                <w:p/>
              </w:tc>
              <w:tc>
                <w:tcPr>
                  <w:tcW w:w="2765" w:type="dxa"/>
                  <w:vMerge/>
                  <w:vAlign w:val="center"/>
                </w:tcPr>
                <w:p/>
              </w:tc>
              <w:tc>
                <w:tcPr>
                  <w:tcW w:w="1288" w:type="dxa"/>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1"/>
                      <w:szCs w:val="21"/>
                      <w:lang w:val="en-US" w:eastAsia="zh-CN" w:bidi="ar-SA"/>
                    </w:rPr>
                  </w:pPr>
                  <w:r>
                    <w:rPr>
                      <w:rFonts w:ascii="Times New Roman" w:cs="Times New Roman" w:hAnsi="Times New Roman"/>
                      <w:bCs/>
                      <w:color w:val="auto"/>
                      <w:sz w:val="21"/>
                      <w:szCs w:val="21"/>
                    </w:rPr>
                    <w:t>氨氮</w:t>
                  </w:r>
                </w:p>
              </w:tc>
              <w:tc>
                <w:tcPr>
                  <w:tcW w:w="3822" w:type="dxa"/>
                  <w:gridSpan w:val="3"/>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1"/>
                      <w:szCs w:val="21"/>
                      <w:lang w:val="en-US" w:eastAsia="zh-CN" w:bidi="ar-SA"/>
                      <w:highlight w:val="yellow"/>
                    </w:rPr>
                  </w:pPr>
                  <w:r>
                    <w:rPr>
                      <w:rFonts w:ascii="Times New Roman" w:cs="Times New Roman" w:hAnsi="Times New Roman"/>
                      <w:bCs/>
                      <w:color w:val="auto"/>
                      <w:sz w:val="21"/>
                      <w:szCs w:val="21"/>
                    </w:rPr>
                    <w:t>35 mg/L</w:t>
                  </w:r>
                </w:p>
              </w:tc>
            </w:tr>
            <w:tr>
              <w:trPr>
                <w:trHeight w:val="397"/>
              </w:trPr>
              <w:tc>
                <w:tcPr>
                  <w:tcW w:w="680" w:type="dxa"/>
                  <w:vMerge/>
                  <w:vAlign w:val="center"/>
                </w:tcPr>
                <w:p/>
              </w:tc>
              <w:tc>
                <w:tcPr>
                  <w:tcW w:w="2765" w:type="dxa"/>
                  <w:vMerge/>
                  <w:vAlign w:val="center"/>
                </w:tcPr>
                <w:p/>
              </w:tc>
              <w:tc>
                <w:tcPr>
                  <w:tcW w:w="1288" w:type="dxa"/>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1"/>
                      <w:szCs w:val="21"/>
                      <w:lang w:val="en-US" w:eastAsia="zh-CN" w:bidi="ar-SA"/>
                    </w:rPr>
                  </w:pPr>
                  <w:r>
                    <w:rPr>
                      <w:rFonts w:ascii="Times New Roman" w:cs="Times New Roman" w:hAnsi="Times New Roman"/>
                      <w:bCs/>
                      <w:color w:val="auto"/>
                      <w:sz w:val="21"/>
                      <w:szCs w:val="21"/>
                    </w:rPr>
                    <w:t>总磷</w:t>
                  </w:r>
                </w:p>
              </w:tc>
              <w:tc>
                <w:tcPr>
                  <w:tcW w:w="3822" w:type="dxa"/>
                  <w:gridSpan w:val="3"/>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ascii="Times New Roman" w:eastAsia="宋体" w:cs="Times New Roman" w:hAnsi="Times New Roman"/>
                      <w:color w:val="auto"/>
                      <w:kern w:val="2"/>
                      <w:sz w:val="21"/>
                      <w:szCs w:val="21"/>
                      <w:lang w:val="en-US" w:eastAsia="zh-CN" w:bidi="ar-SA"/>
                      <w:highlight w:val="yellow"/>
                    </w:rPr>
                  </w:pPr>
                  <w:r>
                    <w:rPr>
                      <w:rFonts w:ascii="Times New Roman" w:cs="Times New Roman" w:hAnsi="Times New Roman"/>
                      <w:bCs/>
                      <w:color w:val="auto"/>
                      <w:sz w:val="21"/>
                      <w:szCs w:val="21"/>
                    </w:rPr>
                    <w:t>4 mg/L</w:t>
                  </w:r>
                </w:p>
              </w:tc>
            </w:tr>
            <w:tr>
              <w:trPr>
                <w:trHeight w:val="397"/>
              </w:trPr>
              <w:tc>
                <w:tcPr>
                  <w:tcW w:w="680" w:type="dxa"/>
                  <w:vMerge w:val="restart"/>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噪声</w:t>
                  </w:r>
                </w:p>
              </w:tc>
              <w:tc>
                <w:tcPr>
                  <w:tcW w:w="2765" w:type="dxa"/>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cs="Times New Roman" w:hAnsi="Times New Roman"/>
                      <w:color w:val="auto"/>
                      <w:sz w:val="21"/>
                      <w:szCs w:val="21"/>
                      <w:highlight w:val="none"/>
                    </w:rPr>
                    <w:t>《工业企业厂界环境噪声排放标准》（GB12348-2008）</w:t>
                  </w:r>
                  <w:r>
                    <w:rPr>
                      <w:rFonts w:ascii="Times New Roman" w:cs="Times New Roman" w:hAnsi="Times New Roman"/>
                      <w:color w:val="auto"/>
                      <w:sz w:val="21"/>
                      <w:szCs w:val="21"/>
                      <w:lang w:val="en-US" w:eastAsia="zh-CN"/>
                      <w:highlight w:val="none"/>
                    </w:rPr>
                    <w:t>2</w:t>
                  </w:r>
                  <w:r>
                    <w:rPr>
                      <w:rFonts w:ascii="Times New Roman" w:cs="Times New Roman" w:hAnsi="Times New Roman"/>
                      <w:color w:val="auto"/>
                      <w:sz w:val="21"/>
                      <w:szCs w:val="21"/>
                      <w:highlight w:val="none"/>
                    </w:rPr>
                    <w:t>类标准</w:t>
                  </w:r>
                </w:p>
              </w:tc>
              <w:tc>
                <w:tcPr>
                  <w:tcW w:w="1288" w:type="dxa"/>
                  <w:vMerge w:val="restart"/>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sz w:val="21"/>
                      <w:szCs w:val="21"/>
                      <w:lang w:val="en-US" w:eastAsia="zh-CN"/>
                      <w:highlight w:val="none"/>
                    </w:rPr>
                  </w:pPr>
                  <w:r>
                    <w:rPr>
                      <w:rFonts w:ascii="Times New Roman" w:cs="Times New Roman" w:hAnsi="Times New Roman"/>
                      <w:sz w:val="21"/>
                      <w:szCs w:val="21"/>
                      <w:lang w:val="en-US" w:eastAsia="zh-CN"/>
                      <w:highlight w:val="none"/>
                    </w:rPr>
                    <w:t>各厂界</w:t>
                  </w:r>
                </w:p>
              </w:tc>
              <w:tc>
                <w:tcPr>
                  <w:tcW w:w="3822" w:type="dxa"/>
                  <w:gridSpan w:val="3"/>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sz w:val="21"/>
                      <w:szCs w:val="21"/>
                      <w:highlight w:val="none"/>
                    </w:rPr>
                  </w:pPr>
                  <w:r>
                    <w:rPr>
                      <w:rFonts w:ascii="Times New Roman" w:eastAsia="宋体" w:cs="Times New Roman" w:hAnsi="Times New Roman"/>
                      <w:b w:val="0"/>
                      <w:bCs w:val="0"/>
                      <w:kern w:val="2"/>
                      <w:sz w:val="21"/>
                      <w:szCs w:val="21"/>
                      <w:lang w:val="en-US" w:eastAsia="zh-CN" w:bidi="ar-SA"/>
                      <w:highlight w:val="none"/>
                    </w:rPr>
                    <w:t>昼间6</w:t>
                  </w:r>
                  <w:r>
                    <w:rPr>
                      <w:rFonts w:ascii="Times New Roman" w:cs="Times New Roman" w:hAnsi="Times New Roman"/>
                      <w:b w:val="0"/>
                      <w:bCs w:val="0"/>
                      <w:kern w:val="2"/>
                      <w:sz w:val="21"/>
                      <w:szCs w:val="21"/>
                      <w:lang w:val="en-US" w:eastAsia="zh-CN" w:bidi="ar-SA"/>
                      <w:highlight w:val="none"/>
                    </w:rPr>
                    <w:t>0</w:t>
                  </w:r>
                  <w:r>
                    <w:rPr>
                      <w:rFonts w:ascii="Times New Roman" w:eastAsia="宋体" w:cs="Times New Roman" w:hAnsi="Times New Roman"/>
                      <w:b w:val="0"/>
                      <w:bCs w:val="0"/>
                      <w:kern w:val="2"/>
                      <w:sz w:val="21"/>
                      <w:szCs w:val="21"/>
                      <w:lang w:val="en-US" w:eastAsia="zh-CN" w:bidi="ar-SA"/>
                      <w:highlight w:val="none"/>
                    </w:rPr>
                    <w:t>dB（A），夜间5</w:t>
                  </w:r>
                  <w:r>
                    <w:rPr>
                      <w:rFonts w:ascii="Times New Roman" w:cs="Times New Roman" w:hAnsi="Times New Roman"/>
                      <w:b w:val="0"/>
                      <w:bCs w:val="0"/>
                      <w:kern w:val="2"/>
                      <w:sz w:val="21"/>
                      <w:szCs w:val="21"/>
                      <w:lang w:val="en-US" w:eastAsia="zh-CN" w:bidi="ar-SA"/>
                      <w:highlight w:val="none"/>
                    </w:rPr>
                    <w:t>0</w:t>
                  </w:r>
                  <w:r>
                    <w:rPr>
                      <w:rFonts w:ascii="Times New Roman" w:eastAsia="宋体" w:cs="Times New Roman" w:hAnsi="Times New Roman"/>
                      <w:b w:val="0"/>
                      <w:bCs w:val="0"/>
                      <w:kern w:val="2"/>
                      <w:sz w:val="21"/>
                      <w:szCs w:val="21"/>
                      <w:lang w:val="en-US" w:eastAsia="zh-CN" w:bidi="ar-SA"/>
                      <w:highlight w:val="none"/>
                    </w:rPr>
                    <w:t>dB（A）</w:t>
                  </w:r>
                </w:p>
              </w:tc>
            </w:tr>
            <w:tr>
              <w:trPr>
                <w:trHeight w:val="809"/>
              </w:trPr>
              <w:tc>
                <w:tcPr>
                  <w:tcW w:w="680" w:type="dxa"/>
                  <w:vMerge/>
                  <w:vAlign w:val="center"/>
                </w:tcPr>
                <w:p/>
              </w:tc>
              <w:tc>
                <w:tcPr>
                  <w:tcW w:w="2765" w:type="dxa"/>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cs="Times New Roman" w:hAnsi="Times New Roman"/>
                      <w:color w:val="auto"/>
                      <w:sz w:val="21"/>
                      <w:szCs w:val="21"/>
                      <w:highlight w:val="none"/>
                    </w:rPr>
                  </w:pPr>
                  <w:r>
                    <w:rPr>
                      <w:rFonts w:ascii="Times New Roman" w:cs="Times New Roman" w:hAnsi="Times New Roman"/>
                      <w:color w:val="auto"/>
                      <w:sz w:val="21"/>
                      <w:szCs w:val="21"/>
                      <w:lang w:val="en-US" w:eastAsia="zh-CN"/>
                      <w:highlight w:val="none"/>
                    </w:rPr>
                    <w:t>《</w:t>
                  </w:r>
                  <w:r>
                    <w:rPr>
                      <w:rFonts w:ascii="Times New Roman" w:cs="Times New Roman" w:hAnsi="Times New Roman"/>
                      <w:color w:val="auto"/>
                      <w:sz w:val="21"/>
                      <w:szCs w:val="21"/>
                      <w:lang w:val="en-US" w:eastAsia="zh-CN"/>
                      <w:highlight w:val="none"/>
                    </w:rPr>
                    <w:fldChar w:fldCharType="begin"/>
                  </w:r>
                  <w:r>
                    <w:instrText>HYPERLINK "https://www.mee.gov.cn/ywgz/fgbz/bz/bzwb/wlhj/hjzspfbz/202512/W020251211372008803765.pdf"</w:instrText>
                  </w:r>
                  <w:r>
                    <w:rPr>
                      <w:rFonts w:ascii="Times New Roman" w:cs="Times New Roman" w:hAnsi="Times New Roman"/>
                      <w:color w:val="auto"/>
                      <w:sz w:val="21"/>
                      <w:szCs w:val="21"/>
                      <w:lang w:val="en-US" w:eastAsia="zh-CN"/>
                      <w:highlight w:val="none"/>
                    </w:rPr>
                    <w:fldChar w:fldCharType="separate"/>
                  </w:r>
                  <w:r>
                    <w:rPr>
                      <w:rFonts w:ascii="Times New Roman" w:cs="Times New Roman" w:hAnsi="Times New Roman"/>
                      <w:color w:val="auto"/>
                      <w:sz w:val="21"/>
                      <w:szCs w:val="21"/>
                      <w:lang w:val="en-US" w:eastAsia="zh-CN"/>
                      <w:highlight w:val="none"/>
                    </w:rPr>
                    <w:t>建筑施工噪声排放标准》（GB 12523—2025</w:t>
                  </w:r>
                  <w:r>
                    <w:rPr>
                      <w:rFonts w:ascii="Times New Roman" w:cs="Times New Roman" w:hAnsi="Times New Roman"/>
                      <w:color w:val="auto"/>
                      <w:sz w:val="21"/>
                      <w:szCs w:val="21"/>
                      <w:lang w:val="en-US" w:eastAsia="zh-CN"/>
                      <w:highlight w:val="none"/>
                    </w:rPr>
                    <w:fldChar w:fldCharType="end"/>
                  </w:r>
                  <w:r>
                    <w:rPr>
                      <w:rFonts w:ascii="Times New Roman" w:cs="Times New Roman" w:hAnsi="Times New Roman"/>
                      <w:color w:val="auto"/>
                      <w:sz w:val="21"/>
                      <w:szCs w:val="21"/>
                      <w:lang w:val="en-US" w:eastAsia="zh-CN"/>
                      <w:highlight w:val="none"/>
                    </w:rPr>
                    <w:t>）</w:t>
                  </w:r>
                </w:p>
              </w:tc>
              <w:tc>
                <w:tcPr>
                  <w:tcW w:w="1288" w:type="dxa"/>
                  <w:vMerge/>
                  <w:vAlign w:val="center"/>
                </w:tcPr>
                <w:p/>
              </w:tc>
              <w:tc>
                <w:tcPr>
                  <w:tcW w:w="3822" w:type="dxa"/>
                  <w:gridSpan w:val="3"/>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b w:val="0"/>
                      <w:bCs w:val="0"/>
                      <w:kern w:val="2"/>
                      <w:sz w:val="21"/>
                      <w:szCs w:val="21"/>
                      <w:lang w:val="en-US" w:eastAsia="zh-CN" w:bidi="ar-SA"/>
                      <w:highlight w:val="none"/>
                    </w:rPr>
                  </w:pPr>
                  <w:r>
                    <w:rPr>
                      <w:rFonts w:ascii="Times New Roman" w:eastAsia="宋体" w:cs="Times New Roman" w:hAnsi="Times New Roman"/>
                      <w:b w:val="0"/>
                      <w:bCs w:val="0"/>
                      <w:kern w:val="2"/>
                      <w:sz w:val="21"/>
                      <w:szCs w:val="21"/>
                      <w:lang w:val="en-US" w:eastAsia="zh-CN" w:bidi="ar-SA"/>
                      <w:highlight w:val="none"/>
                    </w:rPr>
                    <w:t>昼间</w:t>
                  </w:r>
                  <w:r>
                    <w:rPr>
                      <w:rFonts w:ascii="Times New Roman" w:eastAsia="宋体" w:cs="Times New Roman" w:hAnsi="Times New Roman" w:hint="eastAsia"/>
                      <w:b w:val="0"/>
                      <w:bCs w:val="0"/>
                      <w:kern w:val="2"/>
                      <w:sz w:val="21"/>
                      <w:szCs w:val="21"/>
                      <w:lang w:val="en-US" w:eastAsia="zh-CN" w:bidi="ar-SA"/>
                      <w:highlight w:val="none"/>
                    </w:rPr>
                    <w:t>7</w:t>
                  </w:r>
                  <w:r>
                    <w:rPr>
                      <w:rFonts w:ascii="Times New Roman" w:cs="Times New Roman" w:hAnsi="Times New Roman"/>
                      <w:b w:val="0"/>
                      <w:bCs w:val="0"/>
                      <w:kern w:val="2"/>
                      <w:sz w:val="21"/>
                      <w:szCs w:val="21"/>
                      <w:lang w:val="en-US" w:eastAsia="zh-CN" w:bidi="ar-SA"/>
                      <w:highlight w:val="none"/>
                    </w:rPr>
                    <w:t>0</w:t>
                  </w:r>
                  <w:r>
                    <w:rPr>
                      <w:rFonts w:ascii="Times New Roman" w:eastAsia="宋体" w:cs="Times New Roman" w:hAnsi="Times New Roman"/>
                      <w:b w:val="0"/>
                      <w:bCs w:val="0"/>
                      <w:kern w:val="2"/>
                      <w:sz w:val="21"/>
                      <w:szCs w:val="21"/>
                      <w:lang w:val="en-US" w:eastAsia="zh-CN" w:bidi="ar-SA"/>
                      <w:highlight w:val="none"/>
                    </w:rPr>
                    <w:t>dB（A），夜间5</w:t>
                  </w:r>
                  <w:r>
                    <w:rPr>
                      <w:rFonts w:ascii="Times New Roman" w:cs="Times New Roman" w:hAnsi="Times New Roman" w:hint="eastAsia"/>
                      <w:b w:val="0"/>
                      <w:bCs w:val="0"/>
                      <w:kern w:val="2"/>
                      <w:sz w:val="21"/>
                      <w:szCs w:val="21"/>
                      <w:lang w:val="en-US" w:eastAsia="zh-CN" w:bidi="ar-SA"/>
                      <w:highlight w:val="none"/>
                    </w:rPr>
                    <w:t>5</w:t>
                  </w:r>
                  <w:r>
                    <w:rPr>
                      <w:rFonts w:ascii="Times New Roman" w:eastAsia="宋体" w:cs="Times New Roman" w:hAnsi="Times New Roman"/>
                      <w:b w:val="0"/>
                      <w:bCs w:val="0"/>
                      <w:kern w:val="2"/>
                      <w:sz w:val="21"/>
                      <w:szCs w:val="21"/>
                      <w:lang w:val="en-US" w:eastAsia="zh-CN" w:bidi="ar-SA"/>
                      <w:highlight w:val="none"/>
                    </w:rPr>
                    <w:t>dB（A）</w:t>
                  </w:r>
                </w:p>
              </w:tc>
            </w:tr>
            <w:tr>
              <w:trPr>
                <w:trHeight w:val="397"/>
              </w:trPr>
              <w:tc>
                <w:tcPr>
                  <w:tcW w:w="680"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auto"/>
                      <w:sz w:val="21"/>
                      <w:szCs w:val="21"/>
                      <w:lang w:val="en-US" w:eastAsia="zh-CN"/>
                      <w:highlight w:val="none"/>
                    </w:rPr>
                  </w:pPr>
                  <w:r>
                    <w:rPr>
                      <w:rFonts w:ascii="Times New Roman" w:cs="Times New Roman" w:hAnsi="Times New Roman"/>
                      <w:color w:val="auto"/>
                      <w:sz w:val="21"/>
                      <w:szCs w:val="21"/>
                      <w:lang w:val="en-US" w:eastAsia="zh-CN"/>
                      <w:highlight w:val="none"/>
                    </w:rPr>
                    <w:t>固废</w:t>
                  </w:r>
                </w:p>
              </w:tc>
              <w:tc>
                <w:tcPr>
                  <w:tcW w:w="2765" w:type="dxa"/>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color w:val="000000"/>
                      <w:kern w:val="0"/>
                      <w:sz w:val="21"/>
                      <w:szCs w:val="21"/>
                      <w:lang w:val="en-US" w:eastAsia="zh-CN" w:bidi="ar-SA"/>
                      <w:highlight w:val="none"/>
                    </w:rPr>
                  </w:pPr>
                  <w:r>
                    <w:rPr>
                      <w:rFonts w:ascii="Times New Roman" w:eastAsia="宋体" w:cs="Times New Roman" w:hAnsi="Times New Roman"/>
                      <w:sz w:val="21"/>
                      <w:szCs w:val="21"/>
                      <w:highlight w:val="none"/>
                    </w:rPr>
                    <w:t>危险废物</w:t>
                  </w:r>
                </w:p>
              </w:tc>
              <w:tc>
                <w:tcPr>
                  <w:tcW w:w="5110" w:type="dxa"/>
                  <w:gridSpan w:val="4"/>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ascii="Times New Roman" w:eastAsia="宋体" w:cs="Times New Roman" w:hAnsi="Times New Roman"/>
                      <w:sz w:val="21"/>
                      <w:szCs w:val="21"/>
                      <w:highlight w:val="none"/>
                    </w:rPr>
                  </w:pPr>
                  <w:r>
                    <w:rPr>
                      <w:rFonts w:ascii="Times New Roman" w:cs="Times New Roman" w:hAnsi="Times New Roman"/>
                      <w:sz w:val="21"/>
                      <w:szCs w:val="21"/>
                      <w:highlight w:val="none"/>
                    </w:rPr>
                    <w:t>《危险废物贮存污染控制标准》（GB18597-2023）</w:t>
                  </w:r>
                </w:p>
              </w:tc>
            </w:tr>
          </w:tbl>
          <w:p>
            <w:pPr>
              <w:keepNext w:val="0"/>
              <w:keepLines w:val="0"/>
              <w:suppressLineNumbers w:val="0"/>
              <w:spacing w:before="0" w:beforeAutospacing="0" w:after="0" w:afterAutospacing="0"/>
              <w:ind w:left="0" w:right="0"/>
              <w:rPr>
                <w:rFonts w:hint="eastAsia"/>
                <w:lang w:val="en-US" w:eastAsia="zh-CN"/>
              </w:rPr>
            </w:pPr>
          </w:p>
        </w:tc>
      </w:tr>
      <w:tr>
        <w:trPr>
          <w:trHeight w:val="5589"/>
        </w:trPr>
        <w:tc>
          <w:tcPr>
            <w:tcW w:w="858"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 w:val="24"/>
                <w:szCs w:val="24"/>
              </w:rPr>
            </w:pPr>
            <w:r>
              <w:rPr>
                <w:rFonts w:ascii="Times New Roman" w:cs="Times New Roman" w:hAnsi="宋体"/>
                <w:kern w:val="0"/>
                <w:sz w:val="24"/>
                <w:szCs w:val="24"/>
              </w:rPr>
              <w:t>总量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 w:val="24"/>
                <w:szCs w:val="24"/>
              </w:rPr>
            </w:pPr>
            <w:r>
              <w:rPr>
                <w:rFonts w:ascii="Times New Roman" w:cs="Times New Roman" w:hAnsi="宋体"/>
                <w:kern w:val="0"/>
                <w:sz w:val="24"/>
                <w:szCs w:val="24"/>
              </w:rPr>
              <w:t>控制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kern w:val="0"/>
                <w:szCs w:val="21"/>
              </w:rPr>
            </w:pPr>
            <w:r>
              <w:rPr>
                <w:rFonts w:ascii="Times New Roman" w:cs="Times New Roman" w:hAnsi="宋体"/>
                <w:kern w:val="0"/>
                <w:sz w:val="24"/>
                <w:szCs w:val="24"/>
              </w:rPr>
              <w:t>指标</w:t>
            </w:r>
          </w:p>
        </w:tc>
        <w:tc>
          <w:tcPr>
            <w:tcW w:w="878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left"/>
              <w:textAlignment w:val="auto"/>
              <w:rPr>
                <w:rFonts w:cs="Times New Roman" w:hint="eastAsia"/>
                <w:color w:val="auto"/>
                <w:lang w:val="en-US" w:eastAsia="zh-CN"/>
                <w:highlight w:val="none"/>
              </w:rPr>
            </w:pPr>
            <w:r>
              <w:rPr>
                <w:rFonts w:ascii="Times New Roman" w:cs="Times New Roman" w:hAnsi="Times New Roman"/>
                <w:color w:val="auto"/>
                <w:sz w:val="24"/>
                <w:szCs w:val="20"/>
                <w:highlight w:val="none"/>
              </w:rPr>
              <w:t>本项目为</w:t>
            </w:r>
            <w:r>
              <w:rPr>
                <w:rFonts w:ascii="Times New Roman" w:cs="Times New Roman" w:hAnsi="Times New Roman"/>
                <w:color w:val="auto"/>
                <w:sz w:val="24"/>
                <w:szCs w:val="20"/>
                <w:lang w:val="en-US" w:eastAsia="zh-CN"/>
                <w:highlight w:val="none"/>
              </w:rPr>
              <w:t>新建</w:t>
            </w:r>
            <w:r>
              <w:rPr>
                <w:rFonts w:ascii="Times New Roman" w:cs="Times New Roman" w:hAnsi="Times New Roman"/>
                <w:color w:val="auto"/>
                <w:sz w:val="24"/>
                <w:szCs w:val="20"/>
                <w:highlight w:val="none"/>
              </w:rPr>
              <w:t>项目，</w:t>
            </w:r>
            <w:r>
              <w:rPr>
                <w:rFonts w:ascii="Times New Roman" w:cs="Times New Roman" w:hAnsi="Times New Roman"/>
                <w:color w:val="auto"/>
                <w:sz w:val="24"/>
                <w:szCs w:val="20"/>
                <w:lang w:val="en-US" w:eastAsia="zh-CN"/>
                <w:highlight w:val="none"/>
              </w:rPr>
              <w:t>项目建成后新增污染物排放量为VOC</w:t>
            </w:r>
            <w:r>
              <w:rPr>
                <w:rFonts w:ascii="Times New Roman" w:cs="Times New Roman" w:hAnsi="Times New Roman"/>
                <w:color w:val="auto"/>
                <w:sz w:val="24"/>
                <w:szCs w:val="20"/>
                <w:vertAlign w:val="subscript"/>
                <w:lang w:val="en-US" w:eastAsia="zh-CN"/>
                <w:highlight w:val="none"/>
              </w:rPr>
              <w:t>S</w:t>
            </w:r>
            <w:r>
              <w:rPr>
                <w:rFonts w:ascii="Times New Roman" w:cs="Times New Roman" w:hAnsi="Times New Roman"/>
                <w:color w:val="auto"/>
                <w:sz w:val="24"/>
                <w:szCs w:val="20"/>
                <w:lang w:val="en-US" w:eastAsia="zh-CN"/>
                <w:highlight w:val="none"/>
              </w:rPr>
              <w:t>：</w:t>
            </w:r>
            <w:r>
              <w:rPr>
                <w:rFonts w:ascii="Times New Roman" w:cs="Times New Roman" w:hAnsi="Times New Roman" w:hint="eastAsia"/>
                <w:color w:val="auto"/>
                <w:sz w:val="24"/>
                <w:szCs w:val="20"/>
                <w:lang w:val="en-US" w:eastAsia="zh-CN"/>
                <w:highlight w:val="none"/>
              </w:rPr>
              <w:t>0.1389t/a</w:t>
            </w:r>
            <w:r>
              <w:rPr>
                <w:rFonts w:ascii="Times New Roman" w:eastAsia="宋体" w:cs="Times New Roman" w:hAnsi="Times New Roman"/>
                <w:color w:val="auto"/>
                <w:sz w:val="24"/>
                <w:szCs w:val="20"/>
                <w:lang w:val="en-US" w:eastAsia="zh-CN"/>
                <w:highlight w:val="none"/>
              </w:rPr>
              <w:t>，</w:t>
            </w:r>
            <w:r>
              <w:rPr>
                <w:rFonts w:ascii="Times New Roman" w:cs="Times New Roman" w:hAnsi="Times New Roman" w:hint="eastAsia"/>
                <w:color w:val="auto"/>
                <w:sz w:val="24"/>
                <w:szCs w:val="20"/>
                <w:lang w:val="en-US" w:eastAsia="zh-CN"/>
                <w:highlight w:val="none"/>
              </w:rPr>
              <w:t>COD0.0030t/a，TP0.00003t/a。</w:t>
            </w:r>
            <w:r>
              <w:rPr>
                <w:rFonts w:ascii="Times New Roman" w:eastAsia="宋体" w:cs="Times New Roman" w:hAnsi="Times New Roman" w:hint="eastAsia"/>
                <w:b w:val="0"/>
                <w:bCs w:val="0"/>
                <w:color w:val="auto"/>
                <w:sz w:val="24"/>
                <w:szCs w:val="20"/>
                <w:u w:val="none"/>
                <w:highlight w:val="none"/>
              </w:rPr>
              <w:t>本项目大气污染物需倍量替代</w:t>
            </w:r>
            <w:r>
              <w:rPr>
                <w:rFonts w:ascii="Times New Roman" w:eastAsia="宋体" w:cs="Times New Roman" w:hAnsi="Times New Roman" w:hint="eastAsia"/>
                <w:color w:val="auto"/>
                <w:sz w:val="24"/>
                <w:szCs w:val="20"/>
                <w:lang w:val="en-US" w:eastAsia="zh-CN"/>
                <w:highlight w:val="none"/>
              </w:rPr>
              <w:t>，所需替代量为</w:t>
            </w:r>
            <w:r>
              <w:rPr>
                <w:rFonts w:ascii="Times New Roman" w:eastAsia="宋体" w:cs="Times New Roman" w:hAnsi="Times New Roman"/>
                <w:color w:val="auto"/>
                <w:sz w:val="24"/>
                <w:szCs w:val="20"/>
                <w:lang w:val="en-US" w:eastAsia="zh-CN"/>
                <w:highlight w:val="none"/>
              </w:rPr>
              <w:t>VOC</w:t>
            </w:r>
            <w:r>
              <w:rPr>
                <w:rFonts w:ascii="Times New Roman" w:eastAsia="宋体" w:cs="Times New Roman" w:hAnsi="Times New Roman" w:hint="eastAsia"/>
                <w:color w:val="auto"/>
                <w:sz w:val="24"/>
                <w:szCs w:val="20"/>
                <w:lang w:val="en-US" w:eastAsia="zh-CN"/>
                <w:highlight w:val="none"/>
              </w:rPr>
              <w:t>s</w:t>
            </w:r>
            <w:r>
              <w:rPr>
                <w:rFonts w:ascii="Times New Roman" w:eastAsia="宋体" w:cs="Times New Roman" w:hAnsi="Times New Roman"/>
                <w:color w:val="auto"/>
                <w:sz w:val="24"/>
                <w:szCs w:val="20"/>
                <w:lang w:val="en-US" w:eastAsia="zh-CN"/>
                <w:highlight w:val="none"/>
              </w:rPr>
              <w:t>：</w:t>
            </w:r>
            <w:r>
              <w:rPr>
                <w:rFonts w:ascii="Times New Roman" w:cs="Times New Roman" w:hAnsi="Times New Roman" w:hint="eastAsia"/>
                <w:color w:val="auto"/>
                <w:sz w:val="24"/>
                <w:szCs w:val="20"/>
                <w:lang w:val="en-US" w:eastAsia="zh-CN"/>
                <w:highlight w:val="none"/>
              </w:rPr>
              <w:t>0.2778</w:t>
            </w:r>
            <w:r>
              <w:rPr>
                <w:rFonts w:ascii="Times New Roman" w:eastAsia="宋体" w:cs="Times New Roman" w:hAnsi="Times New Roman"/>
                <w:color w:val="auto"/>
                <w:sz w:val="24"/>
                <w:szCs w:val="20"/>
                <w:lang w:val="en-US" w:eastAsia="zh-CN"/>
                <w:highlight w:val="none"/>
              </w:rPr>
              <w:t>t/a</w:t>
            </w:r>
            <w:r>
              <w:rPr>
                <w:rFonts w:ascii="Times New Roman" w:cs="Times New Roman" w:hAnsi="Times New Roman" w:hint="eastAsia"/>
                <w:color w:val="auto"/>
                <w:sz w:val="24"/>
                <w:szCs w:val="20"/>
                <w:lang w:val="en-US" w:eastAsia="zh-CN"/>
                <w:highlight w:val="none"/>
              </w:rPr>
              <w:t>；</w:t>
            </w:r>
            <w:r>
              <w:rPr>
                <w:rFonts w:ascii="Times New Roman" w:cs="Times New Roman" w:hAnsi="Times New Roman" w:hint="eastAsia"/>
                <w:b w:val="0"/>
                <w:bCs w:val="0"/>
                <w:color w:val="auto"/>
                <w:sz w:val="24"/>
                <w:szCs w:val="20"/>
                <w:u w:val="none"/>
                <w:lang w:eastAsia="zh-CN"/>
                <w:highlight w:val="none"/>
              </w:rPr>
              <w:t>水污染物需单倍替代，所需替代量：</w:t>
            </w:r>
            <w:r>
              <w:rPr>
                <w:rFonts w:ascii="Times New Roman" w:cs="Times New Roman" w:hAnsi="Times New Roman" w:hint="eastAsia"/>
                <w:b w:val="0"/>
                <w:bCs w:val="0"/>
                <w:color w:val="auto"/>
                <w:sz w:val="24"/>
                <w:szCs w:val="20"/>
                <w:u w:val="none"/>
                <w:lang w:val="en-US" w:eastAsia="zh-CN"/>
                <w:highlight w:val="none"/>
              </w:rPr>
              <w:t>COD：0.0030t/a、</w:t>
            </w:r>
            <w:r>
              <w:rPr>
                <w:rFonts w:ascii="Times New Roman" w:cs="Times New Roman" w:hAnsi="Times New Roman"/>
                <w:color w:val="auto"/>
                <w:kern w:val="0"/>
                <w:sz w:val="24"/>
                <w:szCs w:val="20"/>
                <w:highlight w:val="none"/>
              </w:rPr>
              <w:t>TP0.000</w:t>
            </w:r>
            <w:r>
              <w:rPr>
                <w:rFonts w:ascii="Times New Roman" w:cs="Times New Roman" w:hAnsi="Times New Roman" w:hint="eastAsia"/>
                <w:color w:val="auto"/>
                <w:kern w:val="0"/>
                <w:sz w:val="24"/>
                <w:szCs w:val="20"/>
                <w:lang w:val="en-US" w:eastAsia="zh-CN"/>
                <w:highlight w:val="none"/>
              </w:rPr>
              <w:t>03</w:t>
            </w:r>
            <w:r>
              <w:rPr>
                <w:rFonts w:ascii="Times New Roman" w:cs="Times New Roman" w:hAnsi="Times New Roman" w:hint="eastAsia"/>
                <w:b w:val="0"/>
                <w:bCs w:val="0"/>
                <w:color w:val="auto"/>
                <w:sz w:val="24"/>
                <w:szCs w:val="20"/>
                <w:u w:val="none"/>
                <w:lang w:val="en-US" w:eastAsia="zh-CN"/>
                <w:highlight w:val="none"/>
              </w:rPr>
              <w:t>t/a</w:t>
            </w:r>
            <w:r>
              <w:rPr>
                <w:rFonts w:ascii="Times New Roman" w:cs="Times New Roman" w:hAnsi="Times New Roman" w:hint="eastAsia"/>
                <w:color w:val="auto"/>
                <w:sz w:val="24"/>
                <w:szCs w:val="20"/>
                <w:lang w:val="en-US" w:eastAsia="zh-CN"/>
                <w:highlight w:val="none"/>
              </w:rPr>
              <w:t>。</w:t>
            </w:r>
          </w:p>
          <w:p>
            <w:pPr>
              <w:pStyle w:val="1"/>
              <w:rPr>
                <w:color w:val="auto"/>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left"/>
              <w:textAlignment w:val="auto"/>
              <w:rPr>
                <w:rFonts w:hint="eastAsia"/>
                <w:lang w:val="en-US" w:eastAsia="zh-CN"/>
              </w:rPr>
            </w:pPr>
            <w:r>
              <w:rPr>
                <w:rFonts w:ascii="Times New Roman" w:cs="Times New Roman" w:hAnsi="Times New Roman" w:hint="eastAsia"/>
                <w:color w:val="auto"/>
                <w:sz w:val="24"/>
                <w:szCs w:val="20"/>
                <w:lang w:val="en-US" w:eastAsia="zh-CN"/>
                <w:highlight w:val="none"/>
              </w:rPr>
              <w:t>延津县平延园区运营管理有限公司延津县化工园区危化品智慧停车场一加油站建设项目，建成后新增污染物排放量为化学需氧量0.003吨/年、总磷0.00003吨/年、挥发性有机物0.1389吨/年。本项目大气污染物需倍量替代，所需替代量为挥发性有机物0.2778吨/年，来自河南富源岩棉有限公司2026年关停淘汰形成的减排量2.7186吨/年;水污染物需单倍替代，所需替代量为化学需氧量0.003吨/年、总磷0.00003吨/年，来自新乡市首创环境能源有限公司新乡市生活垃圾焚烧发电掺烧一般工业固体废物技改项目2026年拟形成的减排量0.5097吨/年和0.0051吨/年。</w:t>
            </w:r>
          </w:p>
        </w:tc>
      </w:tr>
    </w:tbl>
    <w:p>
      <w:pPr>
        <w:pStyle w:val="29"/>
        <w:jc w:val="center"/>
        <w:outlineLvl w:val="0"/>
        <w:rPr>
          <w:rFonts w:ascii="黑体" w:eastAsia="黑体" w:cs="黑体" w:hAnsi="黑体" w:hint="eastAsia"/>
          <w:b w:val="0"/>
          <w:bCs w:val="0"/>
          <w:snapToGrid w:val="0"/>
          <w:sz w:val="30"/>
          <w:szCs w:val="30"/>
        </w:rPr>
      </w:pPr>
      <w:r>
        <w:rPr>
          <w:rFonts w:ascii="黑体" w:eastAsia="黑体" w:hAnsi="黑体"/>
          <w:snapToGrid w:val="0"/>
          <w:sz w:val="36"/>
          <w:szCs w:val="36"/>
        </w:rPr>
        <w:br w:type="page"/>
      </w:r>
      <w:r>
        <w:rPr>
          <w:rFonts w:ascii="黑体" w:eastAsia="黑体" w:cs="黑体" w:hAnsi="黑体" w:hint="eastAsia"/>
          <w:b w:val="0"/>
          <w:bCs w:val="0"/>
          <w:snapToGrid w:val="0"/>
          <w:sz w:val="30"/>
          <w:szCs w:val="30"/>
        </w:rPr>
        <w:t>四、主要环境影响和保护措施</w:t>
      </w:r>
    </w:p>
    <w:tbl>
      <w:tblPr>
        <w:jc w:val="center"/>
        <w:tblW w:w="96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07"/>
        <w:gridCol w:w="8832"/>
      </w:tblGrid>
      <w:tr>
        <w:trPr>
          <w:trHeight w:val="1710"/>
        </w:trPr>
        <w:tc>
          <w:tcPr>
            <w:tcW w:w="807" w:type="dxa"/>
            <w:tcMar>
              <w:left w:w="28" w:type="dxa"/>
              <w:right w:w="28" w:type="dxa"/>
            </w:tcMar>
            <w:vAlign w:val="center"/>
          </w:tcPr>
          <w:p>
            <w:pPr>
              <w:pStyle w:val="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kern w:val="2"/>
                <w:sz w:val="24"/>
                <w:szCs w:val="24"/>
                <w:lang w:val="en-US" w:eastAsia="zh-CN"/>
              </w:rPr>
            </w:pPr>
            <w:r>
              <w:rPr>
                <w:rFonts w:ascii="Times New Roman" w:cs="Times New Roman" w:hAnsi="Times New Roman"/>
                <w:kern w:val="2"/>
                <w:sz w:val="24"/>
                <w:szCs w:val="24"/>
                <w:lang w:val="en-US" w:eastAsia="zh-CN"/>
              </w:rPr>
              <w:t>施工</w:t>
            </w:r>
          </w:p>
          <w:p>
            <w:pPr>
              <w:pStyle w:val="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kern w:val="2"/>
                <w:sz w:val="24"/>
                <w:szCs w:val="24"/>
                <w:lang w:val="en-US" w:eastAsia="zh-CN"/>
              </w:rPr>
            </w:pPr>
            <w:r>
              <w:rPr>
                <w:rFonts w:ascii="Times New Roman" w:cs="Times New Roman" w:hAnsi="Times New Roman"/>
                <w:kern w:val="2"/>
                <w:sz w:val="24"/>
                <w:szCs w:val="24"/>
                <w:lang w:val="en-US" w:eastAsia="zh-CN"/>
              </w:rPr>
              <w:t>期环</w:t>
            </w:r>
          </w:p>
          <w:p>
            <w:pPr>
              <w:pStyle w:val="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kern w:val="2"/>
                <w:sz w:val="24"/>
                <w:szCs w:val="24"/>
                <w:lang w:val="en-US" w:eastAsia="zh-CN"/>
              </w:rPr>
            </w:pPr>
            <w:r>
              <w:rPr>
                <w:rFonts w:ascii="Times New Roman" w:cs="Times New Roman" w:hAnsi="Times New Roman"/>
                <w:kern w:val="2"/>
                <w:sz w:val="24"/>
                <w:szCs w:val="24"/>
                <w:lang w:val="en-US" w:eastAsia="zh-CN"/>
              </w:rPr>
              <w:t>境保</w:t>
            </w:r>
          </w:p>
          <w:p>
            <w:pPr>
              <w:pStyle w:val="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kern w:val="2"/>
                <w:sz w:val="24"/>
                <w:szCs w:val="24"/>
                <w:lang w:val="en-US" w:eastAsia="zh-CN"/>
              </w:rPr>
            </w:pPr>
            <w:r>
              <w:rPr>
                <w:rFonts w:ascii="Times New Roman" w:cs="Times New Roman" w:hAnsi="Times New Roman"/>
                <w:kern w:val="2"/>
                <w:sz w:val="24"/>
                <w:szCs w:val="24"/>
                <w:lang w:val="en-US" w:eastAsia="zh-CN"/>
              </w:rPr>
              <w:t>护措</w:t>
            </w:r>
          </w:p>
          <w:p>
            <w:pPr>
              <w:pStyle w:val="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hAnsi="Times New Roman"/>
                <w:bCs/>
                <w:kern w:val="2"/>
                <w:sz w:val="21"/>
                <w:szCs w:val="21"/>
                <w:lang w:val="en-US" w:eastAsia="zh-CN"/>
              </w:rPr>
            </w:pPr>
            <w:r>
              <w:rPr>
                <w:rFonts w:ascii="Times New Roman" w:cs="Times New Roman" w:hAnsi="Times New Roman"/>
                <w:kern w:val="2"/>
                <w:sz w:val="24"/>
                <w:szCs w:val="24"/>
                <w:lang w:val="en-US" w:eastAsia="zh-CN"/>
              </w:rPr>
              <w:t>施</w:t>
            </w:r>
          </w:p>
        </w:tc>
        <w:tc>
          <w:tcPr>
            <w:tcW w:w="8832" w:type="dxa"/>
            <w:vAlign w:val="center"/>
          </w:tcPr>
          <w:p>
            <w:pPr>
              <w:pStyle w:val="74"/>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both"/>
              <w:textAlignment w:val="auto"/>
              <w:rPr>
                <w:rFonts w:ascii="Times New Roman" w:cs="Times New Roman" w:hAnsi="Times New Roman"/>
                <w:bCs/>
                <w:highlight w:val="none"/>
              </w:rPr>
            </w:pPr>
            <w:r>
              <w:rPr>
                <w:rFonts w:ascii="Times New Roman" w:cs="Times New Roman" w:hAnsi="Times New Roman"/>
                <w:sz w:val="24"/>
                <w:szCs w:val="20"/>
                <w:highlight w:val="none"/>
              </w:rPr>
              <w:t>本项目在闲置空场地新建厂房进行生产，因此需要对施工期进行环境影响分析。</w:t>
            </w:r>
            <w:r>
              <w:rPr>
                <w:rFonts w:ascii="Times New Roman" w:cs="Times New Roman" w:hAnsi="Times New Roman"/>
                <w:bCs/>
                <w:sz w:val="24"/>
                <w:szCs w:val="20"/>
                <w:highlight w:val="none"/>
              </w:rPr>
              <w:t>施工期对环境产生影响的主要因素为施工扬尘、施工废水、噪声、建筑与生活垃圾，施工期环境保护措施分析如下。</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
                <w:bCs/>
                <w:sz w:val="24"/>
                <w:highlight w:val="none"/>
              </w:rPr>
            </w:pPr>
            <w:r>
              <w:rPr>
                <w:rFonts w:ascii="Times New Roman" w:cs="Times New Roman" w:hAnsi="Times New Roman"/>
                <w:b/>
                <w:bCs/>
                <w:sz w:val="24"/>
                <w:szCs w:val="20"/>
                <w:highlight w:val="none"/>
              </w:rPr>
              <w:t>1、施工扬尘</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项目施工期对环境空气的影响主要为施工扬尘（TSP），包括土方挖掘、现场堆放、土方回填期间造成的扬尘，人来车往造成的道路扬尘，运土方车辆及施工垃圾堆放和清运过程造成的扬尘。为减少施工期扬尘的产生，结合《建筑施工现场环境与卫生标准》（JGJ146-2004）、《建筑工程安全防护、文明施工措施费用及使用管理规定》（建办</w:t>
            </w:r>
            <w:r>
              <w:rPr>
                <w:rFonts w:ascii="Times New Roman" w:cs="Times New Roman" w:hAnsi="Times New Roman"/>
                <w:bCs/>
                <w:sz w:val="24"/>
                <w:szCs w:val="20"/>
                <w:lang w:eastAsia="zh-CN"/>
                <w:highlight w:val="none"/>
              </w:rPr>
              <w:t>〔</w:t>
            </w:r>
            <w:r>
              <w:rPr>
                <w:rFonts w:ascii="Times New Roman" w:cs="Times New Roman" w:hAnsi="Times New Roman"/>
                <w:bCs/>
                <w:sz w:val="24"/>
                <w:szCs w:val="20"/>
                <w:highlight w:val="none"/>
              </w:rPr>
              <w:t>2005</w:t>
            </w:r>
            <w:r>
              <w:rPr>
                <w:rFonts w:ascii="Times New Roman" w:cs="Times New Roman" w:hAnsi="Times New Roman"/>
                <w:bCs/>
                <w:sz w:val="24"/>
                <w:szCs w:val="20"/>
                <w:lang w:eastAsia="zh-CN"/>
                <w:highlight w:val="none"/>
              </w:rPr>
              <w:t>〕</w:t>
            </w:r>
            <w:r>
              <w:rPr>
                <w:rFonts w:ascii="Times New Roman" w:cs="Times New Roman" w:hAnsi="Times New Roman"/>
                <w:bCs/>
                <w:sz w:val="24"/>
                <w:szCs w:val="20"/>
                <w:highlight w:val="none"/>
              </w:rPr>
              <w:t>89号）、</w:t>
            </w:r>
            <w:r>
              <w:rPr>
                <w:rFonts w:ascii="Times New Roman" w:eastAsia="宋体" w:cs="Times New Roman" w:hAnsi="Times New Roman" w:hint="eastAsia"/>
                <w:b w:val="0"/>
                <w:bCs w:val="0"/>
                <w:color w:val="auto"/>
                <w:kern w:val="0"/>
                <w:sz w:val="24"/>
                <w:szCs w:val="20"/>
                <w:lang w:val="en-US" w:eastAsia="zh-CN"/>
                <w:highlight w:val="none"/>
              </w:rPr>
              <w:t>《新乡市生态环境保护委员会办公室关于印发&lt;新乡市2025年蓝天保卫战实施方案&gt;、&lt;新乡市2025年碧水保卫战实施方案&gt;、&lt;新乡市2025年净土保卫战实施方案&gt;、&lt;新乡市2025年柴油货车污染治理攻坚战实施方案&gt;的通知》</w:t>
            </w:r>
            <w:r>
              <w:rPr>
                <w:rFonts w:ascii="Times New Roman" w:cs="Times New Roman" w:hAnsi="Times New Roman"/>
                <w:bCs/>
                <w:sz w:val="24"/>
                <w:szCs w:val="20"/>
                <w:highlight w:val="none"/>
              </w:rPr>
              <w:t>所提措施，环评提出如下措施：</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（1）施工现场做到八个</w:t>
            </w:r>
            <w:r>
              <w:rPr>
                <w:rFonts w:ascii="Times New Roman" w:cs="Times New Roman" w:hAnsi="Times New Roman" w:hint="eastAsia"/>
                <w:bCs/>
                <w:sz w:val="24"/>
                <w:szCs w:val="20"/>
                <w:lang w:eastAsia="zh-CN"/>
                <w:highlight w:val="none"/>
              </w:rPr>
              <w:t>“</w:t>
            </w:r>
            <w:r>
              <w:rPr>
                <w:rFonts w:ascii="Times New Roman" w:cs="Times New Roman" w:hAnsi="Times New Roman"/>
                <w:bCs/>
                <w:sz w:val="24"/>
                <w:szCs w:val="20"/>
                <w:highlight w:val="none"/>
              </w:rPr>
              <w:t>100</w:t>
            </w:r>
            <w:r>
              <w:rPr>
                <w:rFonts w:ascii="Times New Roman" w:cs="Times New Roman" w:hAnsi="Times New Roman" w:hint="eastAsia"/>
                <w:bCs/>
                <w:sz w:val="24"/>
                <w:szCs w:val="20"/>
                <w:lang w:eastAsia="zh-CN"/>
                <w:highlight w:val="none"/>
              </w:rPr>
              <w:t>”</w:t>
            </w:r>
            <w:r>
              <w:rPr>
                <w:rFonts w:ascii="Times New Roman" w:cs="Times New Roman" w:hAnsi="Times New Roman"/>
                <w:bCs/>
                <w:sz w:val="24"/>
                <w:szCs w:val="20"/>
                <w:highlight w:val="none"/>
              </w:rPr>
              <w:t>，即施工现场100%封闭管理，施工现场100%湿法作业，场区道路100%硬化，渣土物料100%覆盖，物料100%密闭运输，出入车辆100%清洗，远程视频监控100%安装，工地内非道路移动机械100%达标。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（2）施工现场做到</w:t>
            </w:r>
            <w:r>
              <w:rPr>
                <w:rFonts w:ascii="Times New Roman" w:cs="Times New Roman" w:hAnsi="Times New Roman" w:hint="eastAsia"/>
                <w:bCs/>
                <w:sz w:val="24"/>
                <w:szCs w:val="20"/>
                <w:lang w:eastAsia="zh-CN"/>
                <w:highlight w:val="none"/>
              </w:rPr>
              <w:t>“</w:t>
            </w:r>
            <w:r>
              <w:rPr>
                <w:rFonts w:ascii="Times New Roman" w:cs="Times New Roman" w:hAnsi="Times New Roman"/>
                <w:bCs/>
                <w:sz w:val="24"/>
                <w:szCs w:val="20"/>
                <w:highlight w:val="none"/>
              </w:rPr>
              <w:t>两个禁止</w:t>
            </w:r>
            <w:r>
              <w:rPr>
                <w:rFonts w:ascii="Times New Roman" w:cs="Times New Roman" w:hAnsi="Times New Roman" w:hint="eastAsia"/>
                <w:bCs/>
                <w:sz w:val="24"/>
                <w:szCs w:val="20"/>
                <w:lang w:eastAsia="zh-CN"/>
                <w:highlight w:val="none"/>
              </w:rPr>
              <w:t>”</w:t>
            </w:r>
            <w:r>
              <w:rPr>
                <w:rFonts w:ascii="Times New Roman" w:cs="Times New Roman" w:hAnsi="Times New Roman"/>
                <w:bCs/>
                <w:sz w:val="24"/>
                <w:szCs w:val="20"/>
                <w:highlight w:val="none"/>
              </w:rPr>
              <w:t>，禁止现场搅拌混凝土、禁止现场配置砂浆。施工现场混凝土搅拌场所应采取封闭、降尘措施。</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（3）施工现场出入口应标有企业名称或企业标识。主要出入口明显处应设置工程概况牌，大门内应有施工现场总平面图和安全生产、消防保卫、环境保护、文明施工等制度牌。</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（4）四级以上大风天气或市政府发布空气质量预警时，严禁进行土方开挖、回填等可能产生扬尘的施工，同时覆网防尘。</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（5）施工现场的材料和大模板等存放场地必须平整坚实。水泥和其他易飞扬的细颗粒建筑材料应密闭存放或采取覆盖等措施。</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综上，评价要求采取上述措施后，施工扬尘对环境的影响将会大大降低，不会对区域大气环境产生明显的影响。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
                <w:bCs/>
                <w:sz w:val="24"/>
                <w:highlight w:val="none"/>
              </w:rPr>
            </w:pPr>
            <w:r>
              <w:rPr>
                <w:rFonts w:ascii="Times New Roman" w:cs="Times New Roman" w:hAnsi="Times New Roman"/>
                <w:b/>
                <w:bCs/>
                <w:sz w:val="24"/>
                <w:szCs w:val="20"/>
                <w:highlight w:val="none"/>
              </w:rPr>
              <w:t>2、施工废水</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施工期废水主要是建筑施工废水和施工人员生活污水。</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建筑施工废水包括砖块喷淋、混凝土喷洒、车辆冲洗等废水，</w:t>
            </w:r>
            <w:r>
              <w:rPr>
                <w:rFonts w:ascii="Times New Roman" w:cs="Times New Roman" w:hAnsi="Times New Roman"/>
                <w:bCs/>
                <w:sz w:val="24"/>
                <w:szCs w:val="20"/>
                <w:lang w:eastAsia="zh-CN"/>
                <w:highlight w:val="none"/>
              </w:rPr>
              <w:t>其成分</w:t>
            </w:r>
            <w:r>
              <w:rPr>
                <w:rFonts w:ascii="Times New Roman" w:cs="Times New Roman" w:hAnsi="Times New Roman"/>
                <w:bCs/>
                <w:sz w:val="24"/>
                <w:szCs w:val="20"/>
                <w:highlight w:val="none"/>
              </w:rPr>
              <w:t>相对比较简单，主要污染物为SS，经临时沉淀池沉淀后用于施工场地和道路喷洒抑尘，禁止排入地表水体。施工人员生活污水，产生量较小，主要污染因子为COD、氨氮等，生活污水经化粪池处理后</w:t>
            </w:r>
            <w:r>
              <w:rPr>
                <w:rFonts w:ascii="Times New Roman" w:cs="Times New Roman" w:hAnsi="Times New Roman"/>
                <w:bCs/>
                <w:sz w:val="24"/>
                <w:szCs w:val="20"/>
                <w:lang w:val="en-US" w:eastAsia="zh-CN"/>
                <w:highlight w:val="none"/>
              </w:rPr>
              <w:t>定期清运</w:t>
            </w:r>
            <w:r>
              <w:rPr>
                <w:rFonts w:ascii="Times New Roman" w:cs="Times New Roman" w:hAnsi="Times New Roman"/>
                <w:bCs/>
                <w:sz w:val="24"/>
                <w:szCs w:val="20"/>
                <w:highlight w:val="none"/>
              </w:rPr>
              <w:t>。通过采取以上措施，可有效控制施工废水污染，措施是切实可行的，对周围环境影响较小。</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
                <w:bCs/>
                <w:sz w:val="24"/>
                <w:highlight w:val="none"/>
              </w:rPr>
            </w:pPr>
            <w:r>
              <w:rPr>
                <w:rFonts w:ascii="Times New Roman" w:cs="Times New Roman" w:hAnsi="Times New Roman"/>
                <w:b/>
                <w:bCs/>
                <w:sz w:val="24"/>
                <w:szCs w:val="20"/>
                <w:highlight w:val="none"/>
              </w:rPr>
              <w:t>3、施工噪声</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施工期间噪声主要来自运输车辆和各种施工机械如挖掘机、推土机、搅拌机等机械设备产生噪声，建设单位应在施工期采取以下相应措施：</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（1）施工单位应尽量选用先进的低噪声设备，在高噪声设备周围设置屏障以减轻噪声对周围环境的影响，控制施工场界噪声不超过《建筑施工噪声排放标准》（GB12523-20</w:t>
            </w:r>
            <w:r>
              <w:rPr>
                <w:rFonts w:ascii="Times New Roman" w:cs="Times New Roman" w:hAnsi="Times New Roman" w:hint="eastAsia"/>
                <w:bCs/>
                <w:sz w:val="24"/>
                <w:szCs w:val="20"/>
                <w:lang w:val="en-US" w:eastAsia="zh-CN"/>
                <w:highlight w:val="none"/>
              </w:rPr>
              <w:t>25</w:t>
            </w:r>
            <w:r>
              <w:rPr>
                <w:rFonts w:ascii="Times New Roman" w:cs="Times New Roman" w:hAnsi="Times New Roman"/>
                <w:bCs/>
                <w:sz w:val="24"/>
                <w:szCs w:val="20"/>
                <w:highlight w:val="none"/>
              </w:rPr>
              <w:t>）。</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（2）施工单位采用先进的施工工艺，合理选用施工机械。</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（3）加强施工机械的维修、管理，保证施工机械处于低噪声、高效率的状态。</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
                <w:bCs/>
                <w:sz w:val="24"/>
                <w:highlight w:val="none"/>
              </w:rPr>
            </w:pPr>
            <w:r>
              <w:rPr>
                <w:rFonts w:ascii="Times New Roman" w:cs="Times New Roman" w:hAnsi="Times New Roman"/>
                <w:b/>
                <w:bCs/>
                <w:sz w:val="24"/>
                <w:szCs w:val="20"/>
                <w:highlight w:val="none"/>
              </w:rPr>
              <w:t>4、固体废弃物</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建设施工期间需要挖土，运输弃土、运输各种建筑材料如水泥、砖、木材等，工程完成后，会残留不少废弃建筑材料，这些建筑垃圾能回收利用的尽可能二次利用，不能利用的应该及时清运到规定地方堆放好，严禁建筑垃圾随意丢弃；施工人员产生的生活垃圾严禁随意抛弃，袋装收集后交由环卫部门清运。</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
                <w:bCs/>
                <w:sz w:val="24"/>
                <w:highlight w:val="none"/>
              </w:rPr>
            </w:pPr>
            <w:r>
              <w:rPr>
                <w:rFonts w:ascii="Times New Roman" w:cs="Times New Roman" w:hAnsi="Times New Roman"/>
                <w:b/>
                <w:bCs/>
                <w:sz w:val="24"/>
                <w:szCs w:val="20"/>
                <w:highlight w:val="none"/>
              </w:rPr>
              <w:t>5、施工期管理</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Times New Roman" w:cs="Times New Roman" w:hAnsi="Times New Roman"/>
                <w:bCs/>
                <w:sz w:val="24"/>
                <w:highlight w:val="none"/>
              </w:rPr>
            </w:pPr>
            <w:r>
              <w:rPr>
                <w:rFonts w:ascii="Times New Roman" w:cs="Times New Roman" w:hAnsi="Times New Roman"/>
                <w:bCs/>
                <w:sz w:val="24"/>
                <w:szCs w:val="20"/>
                <w:highlight w:val="none"/>
              </w:rPr>
              <w:t>本项目施工期对生态环境的影响主要表现地面硬化等造成植被破坏，遇下雨和刮风天气将会造成水土流失现象。评价要求施工与绿化同步进行，厂区内设置绿化带等来恢复地表植被，并合理堆放物料、厂界处设置隔离护栏等措施来减轻施工期对生态环境的影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rPr>
                <w:rFonts w:ascii="Calibri" w:cs="Calibri" w:hAnsi="Calibri"/>
                <w:bCs/>
                <w:sz w:val="24"/>
                <w:highlight w:val="none"/>
              </w:rPr>
            </w:pPr>
            <w:r>
              <w:rPr>
                <w:rFonts w:ascii="Times New Roman" w:cs="Times New Roman" w:hAnsi="Times New Roman"/>
                <w:bCs/>
                <w:sz w:val="24"/>
                <w:szCs w:val="20"/>
                <w:highlight w:val="none"/>
              </w:rPr>
              <w:t>以上污染因素均伴随施工而产生，且呈间歇式排放。若严格控制作业时间或加强施工管理，可以避免或减缓其对周围环境所产生的不利影响。建设项目完成后，上述环境影响将随之消失。</w:t>
            </w:r>
          </w:p>
          <w:p>
            <w:pPr>
              <w:keepNext w:val="0"/>
              <w:keepLines w:val="0"/>
              <w:suppressLineNumbers w:val="0"/>
              <w:adjustRightInd w:val="0"/>
              <w:snapToGrid w:val="0"/>
              <w:spacing w:before="0" w:beforeAutospacing="0" w:after="0" w:afterAutospacing="0" w:line="440" w:lineRule="exact"/>
              <w:ind w:left="0" w:right="0" w:firstLineChars="200" w:firstLine="440"/>
              <w:rPr>
                <w:rFonts w:eastAsia="宋体" w:hint="eastAsia"/>
                <w:bCs/>
                <w:spacing w:val="-10"/>
                <w:sz w:val="24"/>
                <w:lang w:eastAsia="zh-CN"/>
              </w:rPr>
            </w:pPr>
          </w:p>
          <w:p>
            <w:pPr>
              <w:keepNext w:val="0"/>
              <w:keepLines w:val="0"/>
              <w:suppressLineNumbers w:val="0"/>
              <w:adjustRightInd w:val="0"/>
              <w:snapToGrid w:val="0"/>
              <w:spacing w:before="0" w:beforeAutospacing="0" w:after="0" w:afterAutospacing="0" w:line="440" w:lineRule="exact"/>
              <w:ind w:left="0" w:right="0" w:firstLineChars="200" w:firstLine="440"/>
              <w:rPr>
                <w:rFonts w:eastAsia="宋体" w:hint="eastAsia"/>
                <w:bCs/>
                <w:spacing w:val="-10"/>
                <w:sz w:val="24"/>
                <w:lang w:eastAsia="zh-CN"/>
              </w:rPr>
            </w:pPr>
          </w:p>
          <w:p>
            <w:pPr>
              <w:keepNext w:val="0"/>
              <w:keepLines w:val="0"/>
              <w:suppressLineNumbers w:val="0"/>
              <w:adjustRightInd w:val="0"/>
              <w:snapToGrid w:val="0"/>
              <w:spacing w:before="0" w:beforeAutospacing="0" w:after="0" w:afterAutospacing="0" w:line="440" w:lineRule="exact"/>
              <w:ind w:left="0" w:right="0" w:firstLineChars="200" w:firstLine="440"/>
              <w:rPr>
                <w:rFonts w:eastAsia="宋体" w:hint="eastAsia"/>
                <w:bCs/>
                <w:spacing w:val="-10"/>
                <w:sz w:val="24"/>
                <w:lang w:eastAsia="zh-CN"/>
              </w:rPr>
            </w:pPr>
          </w:p>
          <w:p>
            <w:pPr>
              <w:keepNext w:val="0"/>
              <w:keepLines w:val="0"/>
              <w:suppressLineNumbers w:val="0"/>
              <w:adjustRightInd w:val="0"/>
              <w:snapToGrid w:val="0"/>
              <w:spacing w:before="0" w:beforeAutospacing="0" w:after="0" w:afterAutospacing="0" w:line="440" w:lineRule="exact"/>
              <w:ind w:left="0" w:right="0" w:firstLineChars="200" w:firstLine="440"/>
              <w:rPr>
                <w:rFonts w:eastAsia="宋体" w:hint="eastAsia"/>
                <w:bCs/>
                <w:spacing w:val="-10"/>
                <w:sz w:val="24"/>
                <w:lang w:eastAsia="zh-CN"/>
              </w:rPr>
            </w:pPr>
          </w:p>
        </w:tc>
      </w:tr>
      <w:tr>
        <w:trPr>
          <w:trHeight w:val="1710"/>
        </w:trPr>
        <w:tc>
          <w:tcPr>
            <w:tcW w:w="807" w:type="dxa"/>
            <w:tcMar>
              <w:left w:w="28" w:type="dxa"/>
              <w:right w:w="28"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bCs/>
                <w:sz w:val="24"/>
                <w:szCs w:val="24"/>
              </w:rPr>
            </w:pPr>
            <w:r>
              <w:rPr>
                <w:rFonts w:ascii="Times New Roman" w:cs="Times New Roman" w:hAnsi="Times New Roman"/>
                <w:bCs/>
                <w:sz w:val="24"/>
                <w:szCs w:val="24"/>
              </w:rPr>
              <w:t>运营</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bCs/>
                <w:sz w:val="24"/>
                <w:szCs w:val="24"/>
              </w:rPr>
            </w:pPr>
            <w:r>
              <w:rPr>
                <w:rFonts w:ascii="Times New Roman" w:cs="Times New Roman" w:hAnsi="Times New Roman"/>
                <w:bCs/>
                <w:sz w:val="24"/>
                <w:szCs w:val="24"/>
              </w:rPr>
              <w:t>期环</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bCs/>
                <w:sz w:val="24"/>
                <w:szCs w:val="24"/>
              </w:rPr>
            </w:pPr>
            <w:r>
              <w:rPr>
                <w:rFonts w:ascii="Times New Roman" w:cs="Times New Roman" w:hAnsi="Times New Roman"/>
                <w:bCs/>
                <w:sz w:val="24"/>
                <w:szCs w:val="24"/>
              </w:rPr>
              <w:t>境影</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bCs/>
                <w:sz w:val="24"/>
                <w:szCs w:val="24"/>
              </w:rPr>
            </w:pPr>
            <w:r>
              <w:rPr>
                <w:rFonts w:ascii="Times New Roman" w:cs="Times New Roman" w:hAnsi="Times New Roman"/>
                <w:bCs/>
                <w:sz w:val="24"/>
                <w:szCs w:val="24"/>
              </w:rPr>
              <w:t>响和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bCs/>
                <w:sz w:val="24"/>
                <w:szCs w:val="24"/>
              </w:rPr>
            </w:pPr>
            <w:r>
              <w:rPr>
                <w:rFonts w:ascii="Times New Roman" w:cs="Times New Roman" w:hAnsi="Times New Roman"/>
                <w:bCs/>
                <w:sz w:val="24"/>
                <w:szCs w:val="24"/>
              </w:rPr>
              <w:t>保护</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ascii="Times New Roman" w:hAnsi="Times New Roman"/>
                <w:kern w:val="2"/>
                <w:sz w:val="24"/>
                <w:szCs w:val="24"/>
                <w:lang w:val="en-US" w:eastAsia="zh-CN"/>
              </w:rPr>
            </w:pPr>
            <w:r>
              <w:rPr>
                <w:rFonts w:ascii="Times New Roman" w:cs="Times New Roman" w:hAnsi="Times New Roman"/>
                <w:bCs/>
                <w:sz w:val="24"/>
                <w:szCs w:val="24"/>
              </w:rPr>
              <w:t>措施</w:t>
            </w:r>
          </w:p>
        </w:tc>
        <w:tc>
          <w:tcPr>
            <w:tcW w:w="8832" w:type="dxa"/>
            <w:tcBorders>
              <w:right w:val="single" w:sz="4" w:space="0" w:color="auto"/>
            </w:tcBorders>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sz w:val="24"/>
                <w:szCs w:val="24"/>
                <w:lang w:val="en-US"/>
              </w:rPr>
            </w:pPr>
            <w:r>
              <w:rPr>
                <w:rFonts w:ascii="Times New Roman" w:eastAsia="宋体" w:cs="Times New Roman" w:hAnsi="Times New Roman"/>
                <w:sz w:val="24"/>
                <w:szCs w:val="24"/>
                <w:lang w:val="en-US" w:eastAsia="zh-CN"/>
              </w:rPr>
              <w:t>本项目营运期对环境的影响主要是生产过程中产生的废气、废水、噪声、固废</w:t>
            </w:r>
            <w:r>
              <w:rPr>
                <w:rFonts w:ascii="Times New Roman" w:cs="Times New Roman" w:hAnsi="Times New Roman" w:hint="eastAsia"/>
                <w:sz w:val="24"/>
                <w:szCs w:val="24"/>
                <w:lang w:val="en-US" w:eastAsia="zh-CN"/>
              </w:rPr>
              <w:t>，</w:t>
            </w:r>
            <w:r>
              <w:rPr>
                <w:rFonts w:ascii="Times New Roman" w:cs="Times New Roman" w:hAnsi="Times New Roman"/>
                <w:sz w:val="24"/>
                <w:szCs w:val="20"/>
              </w:rPr>
              <w:t>具体内容详见以下分析</w:t>
            </w:r>
            <w:r>
              <w:rPr>
                <w:rFonts w:ascii="Times New Roman" w:eastAsia="宋体" w:cs="Times New Roman" w:hAnsi="Times New Roman"/>
                <w:sz w:val="24"/>
                <w:szCs w:val="24"/>
                <w:lang w:val="en-US" w:eastAsia="zh-CN"/>
              </w:rPr>
              <w:t>。</w:t>
            </w:r>
          </w:p>
          <w:p>
            <w:pPr>
              <w:keepNext w:val="0"/>
              <w:keepLines w:val="0"/>
              <w:numPr>
                <w:ilvl w:val="0"/>
                <w:numId w:val="2"/>
              </w:numPr>
              <w:suppressLineNumbers w:val="0"/>
              <w:adjustRightInd w:val="0"/>
              <w:snapToGrid w:val="0"/>
              <w:spacing w:before="0" w:beforeAutospacing="0" w:after="0" w:afterAutospacing="0" w:line="440" w:lineRule="exact"/>
              <w:ind w:left="0" w:right="0" w:firstLineChars="200" w:firstLine="480"/>
              <w:rPr>
                <w:rFonts w:ascii="宋体" w:hAnsi="宋体" w:hint="eastAsia"/>
                <w:b/>
                <w:color w:val="auto"/>
                <w:sz w:val="24"/>
              </w:rPr>
            </w:pPr>
            <w:r>
              <w:rPr>
                <w:rFonts w:ascii="宋体" w:cs="Times New Roman" w:hAnsi="宋体" w:hint="eastAsia"/>
                <w:b/>
                <w:color w:val="auto"/>
                <w:sz w:val="24"/>
                <w:szCs w:val="20"/>
              </w:rPr>
              <w:t>废气</w:t>
            </w:r>
          </w:p>
          <w:p>
            <w:pPr>
              <w:pStyle w:val="15"/>
              <w:keepNext w:val="0"/>
              <w:keepLines w:val="0"/>
              <w:pageBreakBefore w:val="0"/>
              <w:widowControl w:val="0"/>
              <w:numPr>
                <w:ilvl w:val="0"/>
                <w:numId w:val="3"/>
              </w:numPr>
              <w:suppressLineNumbers w:val="0"/>
              <w:kinsoku/>
              <w:wordWrap/>
              <w:overflowPunct/>
              <w:topLinePunct w:val="0"/>
              <w:autoSpaceDE/>
              <w:autoSpaceDN/>
              <w:bidi w:val="0"/>
              <w:adjustRightInd w:val="0"/>
              <w:snapToGrid w:val="0"/>
              <w:spacing w:before="0" w:beforeAutospacing="0" w:after="0" w:afterAutospacing="0" w:line="480" w:lineRule="exact"/>
              <w:ind w:left="0" w:right="0" w:firstLineChars="200" w:firstLine="480"/>
              <w:textAlignment w:val="auto"/>
              <w:outlineLvl w:val="9"/>
              <w:rPr>
                <w:b/>
                <w:bCs/>
                <w:sz w:val="24"/>
                <w:szCs w:val="24"/>
                <w:lang w:val="en-US" w:eastAsia="zh-CN"/>
              </w:rPr>
            </w:pPr>
            <w:r>
              <w:rPr>
                <w:rFonts w:ascii="Times New Roman" w:cs="Times New Roman" w:hAnsi="Times New Roman" w:hint="eastAsia"/>
                <w:b/>
                <w:bCs/>
                <w:sz w:val="24"/>
                <w:szCs w:val="24"/>
                <w:lang w:val="en-US" w:eastAsia="zh-CN"/>
              </w:rPr>
              <w:t>大气污染物产排情况见下</w:t>
            </w:r>
            <w:r>
              <w:rPr>
                <w:rFonts w:ascii="Times New Roman" w:cs="Times New Roman" w:hAnsi="Times New Roman"/>
                <w:b/>
                <w:bCs/>
                <w:sz w:val="24"/>
                <w:szCs w:val="24"/>
                <w:lang w:val="en-US" w:eastAsia="zh-CN"/>
              </w:rPr>
              <w:t>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000000"/>
                <w:kern w:val="0"/>
                <w:sz w:val="24"/>
                <w:szCs w:val="24"/>
                <w:lang w:val="en-US" w:eastAsia="zh-CN"/>
              </w:rPr>
            </w:pPr>
            <w:r>
              <w:rPr>
                <w:rFonts w:ascii="Times New Roman" w:eastAsia="宋体" w:cs="Times New Roman" w:hAnsi="Times New Roman" w:hint="eastAsia"/>
                <w:color w:val="auto"/>
                <w:kern w:val="0"/>
                <w:sz w:val="24"/>
                <w:szCs w:val="24"/>
                <w:lang w:val="en-US" w:eastAsia="zh-CN"/>
              </w:rPr>
              <w:t>本项目汽油销售量为</w:t>
            </w:r>
            <w:r>
              <w:rPr>
                <w:rFonts w:ascii="Times New Roman" w:cs="Times New Roman" w:hAnsi="Times New Roman" w:hint="eastAsia"/>
                <w:color w:val="auto"/>
                <w:kern w:val="0"/>
                <w:sz w:val="24"/>
                <w:szCs w:val="24"/>
                <w:lang w:val="en-US" w:eastAsia="zh-CN"/>
              </w:rPr>
              <w:t>400</w:t>
            </w:r>
            <w:r>
              <w:rPr>
                <w:rFonts w:ascii="Times New Roman" w:eastAsia="宋体" w:cs="Times New Roman" w:hAnsi="Times New Roman" w:hint="eastAsia"/>
                <w:color w:val="auto"/>
                <w:kern w:val="0"/>
                <w:sz w:val="24"/>
                <w:szCs w:val="24"/>
                <w:lang w:val="en-US" w:eastAsia="zh-CN"/>
              </w:rPr>
              <w:t>t/a、柴油销售量为</w:t>
            </w:r>
            <w:r>
              <w:rPr>
                <w:rFonts w:ascii="Times New Roman" w:cs="Times New Roman" w:hAnsi="Times New Roman" w:hint="eastAsia"/>
                <w:color w:val="auto"/>
                <w:kern w:val="0"/>
                <w:sz w:val="24"/>
                <w:szCs w:val="24"/>
                <w:lang w:val="en-US" w:eastAsia="zh-CN"/>
              </w:rPr>
              <w:t>1350</w:t>
            </w:r>
            <w:r>
              <w:rPr>
                <w:rFonts w:ascii="Times New Roman" w:eastAsia="宋体" w:cs="Times New Roman" w:hAnsi="Times New Roman" w:hint="eastAsia"/>
                <w:color w:val="auto"/>
                <w:kern w:val="0"/>
                <w:sz w:val="24"/>
                <w:szCs w:val="24"/>
                <w:lang w:val="en-US" w:eastAsia="zh-CN"/>
              </w:rPr>
              <w:t>t/a，</w:t>
            </w:r>
            <w:r>
              <w:rPr>
                <w:rFonts w:ascii="Times New Roman" w:eastAsia="宋体" w:cs="Times New Roman" w:hAnsi="Times New Roman"/>
                <w:color w:val="000000"/>
                <w:kern w:val="0"/>
                <w:sz w:val="24"/>
                <w:szCs w:val="24"/>
                <w:lang w:val="en-US" w:eastAsia="zh-CN"/>
              </w:rPr>
              <w:t>综合上述加油站油料损失，本项目烃类废气产生量见</w:t>
            </w:r>
            <w:r>
              <w:rPr>
                <w:rFonts w:ascii="Times New Roman" w:eastAsia="宋体" w:cs="Times New Roman" w:hAnsi="Times New Roman" w:hint="eastAsia"/>
                <w:color w:val="000000"/>
                <w:kern w:val="0"/>
                <w:sz w:val="24"/>
                <w:szCs w:val="24"/>
                <w:lang w:val="en-US" w:eastAsia="zh-CN"/>
              </w:rPr>
              <w:t>下</w:t>
            </w:r>
            <w:r>
              <w:rPr>
                <w:rFonts w:ascii="Times New Roman" w:eastAsia="宋体" w:cs="Times New Roman" w:hAnsi="Times New Roman"/>
                <w:color w:val="000000"/>
                <w:kern w:val="0"/>
                <w:sz w:val="24"/>
                <w:szCs w:val="24"/>
                <w:lang w:val="en-US" w:eastAsia="zh-CN"/>
              </w:rPr>
              <w:t>表</w:t>
            </w:r>
            <w:r>
              <w:rPr>
                <w:rFonts w:ascii="Times New Roman" w:eastAsia="宋体" w:cs="Times New Roman" w:hAnsi="Times New Roman" w:hint="eastAsia"/>
                <w:color w:val="000000"/>
                <w:kern w:val="0"/>
                <w:sz w:val="24"/>
                <w:szCs w:val="24"/>
                <w:lang w:val="en-US" w:eastAsia="zh-CN"/>
              </w:rPr>
              <w:t>。</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hint="eastAsia"/>
                <w:sz w:val="24"/>
                <w:szCs w:val="20"/>
                <w:lang w:val="en-US" w:eastAsia="zh-CN"/>
              </w:rPr>
              <w:t xml:space="preserve">  </w:t>
            </w:r>
            <w:r>
              <w:rPr>
                <w:rFonts w:ascii="Times New Roman" w:cs="Times New Roman" w:hAnsi="Times New Roman"/>
                <w:sz w:val="24"/>
                <w:szCs w:val="20"/>
              </w:rPr>
              <w:t>本项目</w:t>
            </w:r>
            <w:r>
              <w:rPr>
                <w:rFonts w:ascii="Times New Roman" w:cs="Times New Roman" w:hAnsi="Times New Roman" w:hint="eastAsia"/>
                <w:sz w:val="24"/>
                <w:szCs w:val="20"/>
                <w:lang w:val="en-US" w:eastAsia="zh-CN"/>
              </w:rPr>
              <w:t>非甲烷总烃产排一览表</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27"/>
              <w:gridCol w:w="497"/>
              <w:gridCol w:w="559"/>
              <w:gridCol w:w="765"/>
              <w:gridCol w:w="2521"/>
              <w:gridCol w:w="492"/>
              <w:gridCol w:w="514"/>
              <w:gridCol w:w="2628"/>
            </w:tblGrid>
            <w:tr>
              <w:trPr>
                <w:trHeight w:val="379"/>
              </w:trPr>
              <w:tc>
                <w:tcPr>
                  <w:tcW w:w="723" w:type="dxa"/>
                  <w:gridSpan w:val="3"/>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b/>
                      <w:bCs/>
                      <w:color w:val="000000"/>
                      <w:kern w:val="0"/>
                      <w:sz w:val="21"/>
                      <w:szCs w:val="21"/>
                      <w:vertAlign w:val="baseline"/>
                      <w:lang w:val="en-US" w:eastAsia="zh-CN"/>
                    </w:rPr>
                  </w:pPr>
                  <w:r>
                    <w:rPr>
                      <w:rFonts w:ascii="Times New Roman" w:cs="Times New Roman" w:hAnsi="Times New Roman"/>
                      <w:b/>
                      <w:bCs/>
                      <w:color w:val="000000"/>
                      <w:kern w:val="0"/>
                      <w:sz w:val="21"/>
                      <w:szCs w:val="21"/>
                      <w:vertAlign w:val="baseline"/>
                      <w:lang w:val="en-US" w:eastAsia="zh-CN" w:bidi="ar-SA"/>
                    </w:rPr>
                    <w:t>项目</w:t>
                  </w:r>
                </w:p>
              </w:tc>
              <w:tc>
                <w:tcPr>
                  <w:tcW w:w="33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b/>
                      <w:bCs/>
                      <w:color w:val="000000"/>
                      <w:kern w:val="0"/>
                      <w:sz w:val="21"/>
                      <w:szCs w:val="21"/>
                      <w:vertAlign w:val="baseline"/>
                      <w:lang w:val="en-US" w:eastAsia="zh-CN"/>
                    </w:rPr>
                  </w:pPr>
                  <w:r>
                    <w:rPr>
                      <w:rFonts w:ascii="Times New Roman" w:cs="Times New Roman" w:hAnsi="Times New Roman" w:hint="eastAsia"/>
                      <w:b/>
                      <w:bCs/>
                      <w:color w:val="000000"/>
                      <w:kern w:val="0"/>
                      <w:sz w:val="21"/>
                      <w:szCs w:val="21"/>
                      <w:vertAlign w:val="baseline"/>
                      <w:lang w:val="en-US" w:eastAsia="zh-CN" w:bidi="ar-SA"/>
                    </w:rPr>
                    <w:t>排放系数</w:t>
                  </w:r>
                </w:p>
              </w:tc>
              <w:tc>
                <w:tcPr>
                  <w:tcW w:w="25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b/>
                      <w:bCs/>
                      <w:color w:val="000000"/>
                      <w:kern w:val="0"/>
                      <w:sz w:val="21"/>
                      <w:szCs w:val="21"/>
                      <w:vertAlign w:val="baseline"/>
                      <w:lang w:val="en-US" w:eastAsia="zh-CN"/>
                    </w:rPr>
                  </w:pPr>
                  <w:r>
                    <w:rPr>
                      <w:rFonts w:ascii="Times New Roman" w:cs="Times New Roman" w:hAnsi="Times New Roman" w:hint="eastAsia"/>
                      <w:b/>
                      <w:bCs/>
                      <w:color w:val="000000"/>
                      <w:kern w:val="0"/>
                      <w:sz w:val="21"/>
                      <w:szCs w:val="21"/>
                      <w:vertAlign w:val="baseline"/>
                      <w:lang w:val="en-US" w:eastAsia="zh-CN" w:bidi="ar-SA"/>
                    </w:rPr>
                    <w:t>产生量（</w:t>
                  </w:r>
                  <w:r>
                    <w:rPr>
                      <w:rFonts w:cs="Times New Roman" w:hint="eastAsia"/>
                      <w:b/>
                      <w:bCs/>
                      <w:color w:val="000000"/>
                      <w:kern w:val="0"/>
                      <w:sz w:val="21"/>
                      <w:szCs w:val="21"/>
                      <w:vertAlign w:val="baseline"/>
                      <w:lang w:val="en-US" w:eastAsia="zh-CN" w:bidi="ar-SA"/>
                    </w:rPr>
                    <w:t>t</w:t>
                  </w:r>
                  <w:r>
                    <w:rPr>
                      <w:rFonts w:ascii="Times New Roman" w:cs="Times New Roman" w:hAnsi="Times New Roman" w:hint="eastAsia"/>
                      <w:b/>
                      <w:bCs/>
                      <w:color w:val="000000"/>
                      <w:kern w:val="0"/>
                      <w:sz w:val="21"/>
                      <w:szCs w:val="21"/>
                      <w:vertAlign w:val="baseline"/>
                      <w:lang w:val="en-US" w:eastAsia="zh-CN" w:bidi="ar-SA"/>
                    </w:rPr>
                    <w:t>/a）</w:t>
                  </w:r>
                </w:p>
              </w:tc>
              <w:tc>
                <w:tcPr>
                  <w:tcW w:w="209"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b/>
                      <w:bCs/>
                      <w:color w:val="000000"/>
                      <w:kern w:val="0"/>
                      <w:sz w:val="21"/>
                      <w:szCs w:val="21"/>
                      <w:vertAlign w:val="baseline"/>
                      <w:lang w:val="en-US" w:eastAsia="zh-CN"/>
                    </w:rPr>
                  </w:pPr>
                  <w:r>
                    <w:rPr>
                      <w:rFonts w:ascii="Times New Roman" w:cs="Times New Roman" w:hAnsi="Times New Roman" w:hint="eastAsia"/>
                      <w:b/>
                      <w:bCs/>
                      <w:color w:val="000000"/>
                      <w:kern w:val="0"/>
                      <w:sz w:val="21"/>
                      <w:szCs w:val="21"/>
                      <w:vertAlign w:val="baseline"/>
                      <w:lang w:val="en-US" w:eastAsia="zh-CN" w:bidi="ar-SA"/>
                    </w:rPr>
                    <w:t>回收率</w:t>
                  </w:r>
                </w:p>
              </w:tc>
              <w:tc>
                <w:tcPr>
                  <w:tcW w:w="22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b/>
                      <w:bCs/>
                      <w:color w:val="000000"/>
                      <w:kern w:val="0"/>
                      <w:sz w:val="21"/>
                      <w:szCs w:val="21"/>
                      <w:vertAlign w:val="baseline"/>
                      <w:lang w:val="en-US" w:eastAsia="zh-CN"/>
                    </w:rPr>
                  </w:pPr>
                  <w:r>
                    <w:rPr>
                      <w:rFonts w:cs="Times New Roman" w:hint="eastAsia"/>
                      <w:b/>
                      <w:bCs/>
                      <w:color w:val="000000"/>
                      <w:kern w:val="0"/>
                      <w:sz w:val="21"/>
                      <w:szCs w:val="21"/>
                      <w:vertAlign w:val="baseline"/>
                      <w:lang w:val="en-US" w:eastAsia="zh-CN" w:bidi="ar-SA"/>
                    </w:rPr>
                    <w:t>冷凝效率</w:t>
                  </w:r>
                </w:p>
              </w:tc>
              <w:tc>
                <w:tcPr>
                  <w:tcW w:w="263"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b/>
                      <w:bCs/>
                      <w:color w:val="000000"/>
                      <w:kern w:val="0"/>
                      <w:sz w:val="21"/>
                      <w:szCs w:val="21"/>
                      <w:vertAlign w:val="baseline"/>
                      <w:lang w:val="en-US" w:eastAsia="zh-CN"/>
                    </w:rPr>
                  </w:pPr>
                  <w:r>
                    <w:rPr>
                      <w:rFonts w:ascii="Times New Roman" w:cs="Times New Roman" w:hAnsi="Times New Roman" w:hint="eastAsia"/>
                      <w:b/>
                      <w:bCs/>
                      <w:color w:val="000000"/>
                      <w:kern w:val="0"/>
                      <w:sz w:val="21"/>
                      <w:szCs w:val="21"/>
                      <w:vertAlign w:val="baseline"/>
                      <w:lang w:val="en-US" w:eastAsia="zh-CN" w:bidi="ar-SA"/>
                    </w:rPr>
                    <w:t>排放量（t/a）</w:t>
                  </w:r>
                </w:p>
              </w:tc>
            </w:tr>
            <w:tr>
              <w:trPr>
                <w:trHeight w:val="507"/>
              </w:trPr>
              <w:tc>
                <w:tcPr>
                  <w:tcW w:w="270" w:type="dxa"/>
                  <w:vMerge w:val="restart"/>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ascii="Times New Roman" w:cs="Times New Roman" w:hAnsi="Times New Roman"/>
                      <w:color w:val="000000"/>
                      <w:kern w:val="0"/>
                      <w:sz w:val="21"/>
                      <w:szCs w:val="21"/>
                      <w:vertAlign w:val="baseline"/>
                      <w:lang w:val="en-US" w:eastAsia="zh-CN" w:bidi="ar-SA"/>
                    </w:rPr>
                    <w:t>汽油</w:t>
                  </w:r>
                  <w:r>
                    <w:rPr>
                      <w:rFonts w:cs="Times New Roman" w:hint="eastAsia"/>
                      <w:color w:val="000000"/>
                      <w:kern w:val="0"/>
                      <w:sz w:val="21"/>
                      <w:szCs w:val="21"/>
                      <w:vertAlign w:val="baseline"/>
                      <w:lang w:val="en-US" w:eastAsia="zh-CN" w:bidi="ar-SA"/>
                    </w:rPr>
                    <w:t>400t（533.33m</w:t>
                  </w:r>
                  <w:r>
                    <w:rPr>
                      <w:rFonts w:cs="Times New Roman" w:hint="eastAsia"/>
                      <w:color w:val="000000"/>
                      <w:kern w:val="0"/>
                      <w:sz w:val="21"/>
                      <w:szCs w:val="21"/>
                      <w:vertAlign w:val="superscript"/>
                      <w:lang w:val="en-US" w:eastAsia="zh-CN" w:bidi="ar-SA"/>
                    </w:rPr>
                    <w:t>3</w:t>
                  </w:r>
                  <w:r>
                    <w:rPr>
                      <w:rFonts w:cs="Times New Roman" w:hint="eastAsia"/>
                      <w:color w:val="000000"/>
                      <w:kern w:val="0"/>
                      <w:sz w:val="21"/>
                      <w:szCs w:val="21"/>
                      <w:vertAlign w:val="baseline"/>
                      <w:lang w:val="en-US" w:eastAsia="zh-CN" w:bidi="ar-SA"/>
                    </w:rPr>
                    <w:t>/a）</w:t>
                  </w:r>
                </w:p>
              </w:tc>
              <w:tc>
                <w:tcPr>
                  <w:tcW w:w="21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ascii="Times New Roman" w:cs="Times New Roman" w:hAnsi="Times New Roman" w:hint="eastAsia"/>
                      <w:color w:val="000000"/>
                      <w:kern w:val="0"/>
                      <w:sz w:val="21"/>
                      <w:szCs w:val="21"/>
                      <w:vertAlign w:val="baseline"/>
                      <w:lang w:val="en-US" w:eastAsia="zh-CN" w:bidi="ar-SA"/>
                    </w:rPr>
                    <w:t>卸油损失</w:t>
                  </w:r>
                </w:p>
              </w:tc>
              <w:tc>
                <w:tcPr>
                  <w:tcW w:w="24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ascii="Times New Roman" w:cs="Times New Roman" w:hAnsi="Times New Roman"/>
                      <w:color w:val="000000"/>
                      <w:kern w:val="0"/>
                      <w:sz w:val="21"/>
                      <w:szCs w:val="21"/>
                      <w:vertAlign w:val="baseline"/>
                      <w:lang w:val="en-US" w:eastAsia="zh-CN" w:bidi="ar-SA"/>
                    </w:rPr>
                    <w:t>大呼吸损失</w:t>
                  </w:r>
                </w:p>
              </w:tc>
              <w:tc>
                <w:tcPr>
                  <w:tcW w:w="330" w:type="dxa"/>
                  <w:vAlign w:val="center"/>
                </w:tcPr>
                <w:p>
                  <w:pPr>
                    <w:keepNext w:val="0"/>
                    <w:keepLines w:val="0"/>
                    <w:pageBreakBefore w:val="0"/>
                    <w:suppressLineNumbers w:val="0"/>
                    <w:kinsoku/>
                    <w:wordWrap/>
                    <w:topLinePunct w:val="0"/>
                    <w:autoSpaceDE/>
                    <w:autoSpaceDN/>
                    <w:bidi w:val="0"/>
                    <w:snapToGrid w:val="0"/>
                    <w:spacing w:before="0" w:beforeAutospacing="0" w:after="0" w:afterAutospacing="0"/>
                    <w:ind w:left="0" w:right="0" w:firstLine="0"/>
                    <w:jc w:val="center"/>
                    <w:textAlignment w:val="auto"/>
                    <w:outlineLvl w:val="9"/>
                    <w:rPr>
                      <w:sz w:val="21"/>
                      <w:szCs w:val="21"/>
                      <w:lang w:val="en-US" w:eastAsia="zh-CN"/>
                    </w:rPr>
                  </w:pPr>
                  <w:r>
                    <w:rPr>
                      <w:rFonts w:hint="eastAsia"/>
                      <w:sz w:val="21"/>
                      <w:szCs w:val="21"/>
                      <w:lang w:val="en-US" w:eastAsia="zh-CN" w:bidi="ar-SA"/>
                    </w:rPr>
                    <w:t>0.88</w:t>
                  </w:r>
                  <w:r>
                    <w:rPr>
                      <w:rFonts w:cs="Times New Roman" w:hint="eastAsia"/>
                      <w:color w:val="000000"/>
                      <w:kern w:val="0"/>
                      <w:sz w:val="21"/>
                      <w:szCs w:val="21"/>
                      <w:lang w:val="en-US" w:eastAsia="zh-CN" w:bidi="ar-SA"/>
                    </w:rPr>
                    <w:t>kg/m</w:t>
                  </w:r>
                  <w:r>
                    <w:rPr>
                      <w:rFonts w:cs="Times New Roman" w:hint="eastAsia"/>
                      <w:color w:val="000000"/>
                      <w:kern w:val="0"/>
                      <w:sz w:val="21"/>
                      <w:szCs w:val="21"/>
                      <w:vertAlign w:val="superscript"/>
                      <w:lang w:val="en-US" w:eastAsia="zh-CN" w:bidi="ar-SA"/>
                    </w:rPr>
                    <w:t>3</w:t>
                  </w:r>
                </w:p>
              </w:tc>
              <w:tc>
                <w:tcPr>
                  <w:tcW w:w="108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000000"/>
                      <w:kern w:val="0"/>
                      <w:sz w:val="21"/>
                      <w:szCs w:val="21"/>
                      <w:vertAlign w:val="baseline"/>
                      <w:lang w:val="en-US" w:eastAsia="zh-CN"/>
                    </w:rPr>
                  </w:pPr>
                  <w:r>
                    <w:rPr>
                      <w:rFonts w:ascii="Times New Roman" w:eastAsia="宋体" w:cs="Times New Roman" w:hAnsi="Times New Roman"/>
                      <w:i w:val="0"/>
                      <w:iCs w:val="0"/>
                      <w:color w:val="000000"/>
                      <w:kern w:val="0"/>
                      <w:sz w:val="21"/>
                      <w:szCs w:val="21"/>
                      <w:u w:val="none"/>
                      <w:lang w:val="en-US" w:eastAsia="zh-CN" w:bidi="ar-SA"/>
                    </w:rPr>
                    <w:t>0.4693</w:t>
                  </w:r>
                </w:p>
              </w:tc>
              <w:tc>
                <w:tcPr>
                  <w:tcW w:w="209"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FF"/>
                      <w:kern w:val="0"/>
                      <w:sz w:val="21"/>
                      <w:szCs w:val="21"/>
                      <w:vertAlign w:val="baseline"/>
                      <w:lang w:val="en-US" w:eastAsia="zh-CN"/>
                    </w:rPr>
                  </w:pPr>
                  <w:r>
                    <w:rPr>
                      <w:rFonts w:ascii="Times New Roman" w:cs="Times New Roman" w:hAnsi="Times New Roman" w:hint="eastAsia"/>
                      <w:color w:val="000000"/>
                      <w:kern w:val="0"/>
                      <w:sz w:val="21"/>
                      <w:szCs w:val="21"/>
                      <w:vertAlign w:val="baseline"/>
                      <w:lang w:val="en-US" w:eastAsia="zh-CN" w:bidi="ar-SA"/>
                    </w:rPr>
                    <w:t>9</w:t>
                  </w:r>
                  <w:r>
                    <w:rPr>
                      <w:rFonts w:cs="Times New Roman" w:hint="eastAsia"/>
                      <w:color w:val="000000"/>
                      <w:kern w:val="0"/>
                      <w:sz w:val="21"/>
                      <w:szCs w:val="21"/>
                      <w:vertAlign w:val="baseline"/>
                      <w:lang w:val="en-US" w:eastAsia="zh-CN" w:bidi="ar-SA"/>
                    </w:rPr>
                    <w:t>7</w:t>
                  </w:r>
                  <w:r>
                    <w:rPr>
                      <w:rFonts w:ascii="Times New Roman" w:cs="Times New Roman" w:hAnsi="Times New Roman" w:hint="eastAsia"/>
                      <w:color w:val="000000"/>
                      <w:kern w:val="0"/>
                      <w:sz w:val="21"/>
                      <w:szCs w:val="21"/>
                      <w:vertAlign w:val="baseline"/>
                      <w:lang w:val="en-US" w:eastAsia="zh-CN" w:bidi="ar-SA"/>
                    </w:rPr>
                    <w:t>%</w:t>
                  </w:r>
                </w:p>
              </w:tc>
              <w:tc>
                <w:tcPr>
                  <w:tcW w:w="22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cs="Times New Roman" w:hint="eastAsia"/>
                      <w:color w:val="000000"/>
                      <w:kern w:val="0"/>
                      <w:sz w:val="21"/>
                      <w:szCs w:val="21"/>
                      <w:vertAlign w:val="baseline"/>
                      <w:lang w:val="en-US" w:eastAsia="zh-CN" w:bidi="ar-SA"/>
                    </w:rPr>
                    <w:t>/</w:t>
                  </w:r>
                </w:p>
              </w:tc>
              <w:tc>
                <w:tcPr>
                  <w:tcW w:w="113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i w:val="0"/>
                      <w:iCs w:val="0"/>
                      <w:color w:val="000000"/>
                      <w:kern w:val="0"/>
                      <w:sz w:val="21"/>
                      <w:szCs w:val="21"/>
                      <w:u w:val="none"/>
                      <w:lang w:val="en-US" w:eastAsia="zh-CN"/>
                    </w:rPr>
                  </w:pPr>
                  <w:r>
                    <w:rPr>
                      <w:rFonts w:ascii="Times New Roman" w:eastAsia="宋体" w:cs="Times New Roman" w:hAnsi="Times New Roman" w:hint="eastAsia"/>
                      <w:i w:val="0"/>
                      <w:iCs w:val="0"/>
                      <w:color w:val="000000"/>
                      <w:kern w:val="0"/>
                      <w:sz w:val="21"/>
                      <w:szCs w:val="21"/>
                      <w:u w:val="none"/>
                      <w:lang w:val="en-US" w:eastAsia="zh-CN" w:bidi="ar-SA"/>
                    </w:rPr>
                    <w:t>0.0141</w:t>
                  </w:r>
                </w:p>
              </w:tc>
            </w:tr>
            <w:tr>
              <w:trPr>
                <w:trHeight w:val="507"/>
              </w:trPr>
              <w:tc>
                <w:tcPr>
                  <w:tcW w:w="270" w:type="dxa"/>
                  <w:vMerge/>
                  <w:vAlign w:val="center"/>
                </w:tcPr>
                <w:p/>
              </w:tc>
              <w:tc>
                <w:tcPr>
                  <w:tcW w:w="21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ascii="Times New Roman" w:cs="Times New Roman" w:hAnsi="Times New Roman" w:hint="eastAsia"/>
                      <w:color w:val="000000"/>
                      <w:kern w:val="0"/>
                      <w:sz w:val="21"/>
                      <w:szCs w:val="21"/>
                      <w:vertAlign w:val="baseline"/>
                      <w:lang w:val="en-US" w:eastAsia="zh-CN" w:bidi="ar-SA"/>
                    </w:rPr>
                    <w:t>储油损失</w:t>
                  </w:r>
                </w:p>
              </w:tc>
              <w:tc>
                <w:tcPr>
                  <w:tcW w:w="24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color w:val="000000"/>
                      <w:kern w:val="0"/>
                      <w:sz w:val="21"/>
                      <w:szCs w:val="21"/>
                      <w:vertAlign w:val="baseline"/>
                      <w:lang w:val="en-US" w:eastAsia="zh-CN"/>
                    </w:rPr>
                  </w:pPr>
                  <w:r>
                    <w:rPr>
                      <w:rFonts w:ascii="Times New Roman" w:cs="Times New Roman" w:hAnsi="Times New Roman"/>
                      <w:color w:val="000000"/>
                      <w:kern w:val="0"/>
                      <w:sz w:val="21"/>
                      <w:szCs w:val="21"/>
                      <w:vertAlign w:val="baseline"/>
                      <w:lang w:val="en-US" w:eastAsia="zh-CN" w:bidi="ar-SA"/>
                    </w:rPr>
                    <w:t>小呼吸损失</w:t>
                  </w:r>
                </w:p>
              </w:tc>
              <w:tc>
                <w:tcPr>
                  <w:tcW w:w="33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color w:val="000000"/>
                      <w:kern w:val="0"/>
                      <w:sz w:val="21"/>
                      <w:szCs w:val="21"/>
                      <w:vertAlign w:val="baseline"/>
                      <w:lang w:val="en-US" w:eastAsia="zh-CN"/>
                    </w:rPr>
                  </w:pPr>
                  <w:r>
                    <w:rPr>
                      <w:rFonts w:cs="Times New Roman" w:hint="eastAsia"/>
                      <w:color w:val="000000"/>
                      <w:kern w:val="0"/>
                      <w:sz w:val="21"/>
                      <w:szCs w:val="21"/>
                      <w:vertAlign w:val="baseline"/>
                      <w:lang w:val="en-US" w:eastAsia="zh-CN" w:bidi="ar-SA"/>
                    </w:rPr>
                    <w:t>0.12</w:t>
                  </w:r>
                  <w:r>
                    <w:rPr>
                      <w:rFonts w:cs="Times New Roman" w:hint="eastAsia"/>
                      <w:color w:val="000000"/>
                      <w:kern w:val="0"/>
                      <w:sz w:val="21"/>
                      <w:szCs w:val="21"/>
                      <w:lang w:val="en-US" w:eastAsia="zh-CN" w:bidi="ar-SA"/>
                    </w:rPr>
                    <w:t>kg/m</w:t>
                  </w:r>
                  <w:r>
                    <w:rPr>
                      <w:rFonts w:cs="Times New Roman" w:hint="eastAsia"/>
                      <w:color w:val="000000"/>
                      <w:kern w:val="0"/>
                      <w:sz w:val="21"/>
                      <w:szCs w:val="21"/>
                      <w:vertAlign w:val="superscript"/>
                      <w:lang w:val="en-US" w:eastAsia="zh-CN" w:bidi="ar-SA"/>
                    </w:rPr>
                    <w:t>3</w:t>
                  </w:r>
                </w:p>
              </w:tc>
              <w:tc>
                <w:tcPr>
                  <w:tcW w:w="108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000000"/>
                      <w:kern w:val="0"/>
                      <w:sz w:val="21"/>
                      <w:szCs w:val="21"/>
                      <w:vertAlign w:val="baseline"/>
                      <w:lang w:val="en-US" w:eastAsia="zh-CN"/>
                    </w:rPr>
                  </w:pPr>
                  <w:r>
                    <w:rPr>
                      <w:rFonts w:ascii="Times New Roman" w:eastAsia="宋体" w:cs="Times New Roman" w:hAnsi="Times New Roman"/>
                      <w:i w:val="0"/>
                      <w:iCs w:val="0"/>
                      <w:color w:val="000000"/>
                      <w:kern w:val="0"/>
                      <w:sz w:val="21"/>
                      <w:szCs w:val="21"/>
                      <w:u w:val="none"/>
                      <w:lang w:val="en-US" w:eastAsia="zh-CN" w:bidi="ar-SA"/>
                    </w:rPr>
                    <w:t>0.064</w:t>
                  </w:r>
                </w:p>
              </w:tc>
              <w:tc>
                <w:tcPr>
                  <w:tcW w:w="209"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cs="Times New Roman" w:hint="eastAsia"/>
                      <w:color w:val="000000"/>
                      <w:kern w:val="0"/>
                      <w:sz w:val="21"/>
                      <w:szCs w:val="21"/>
                      <w:vertAlign w:val="baseline"/>
                      <w:lang w:val="en-US" w:eastAsia="zh-CN" w:bidi="ar-SA"/>
                    </w:rPr>
                    <w:t>/</w:t>
                  </w:r>
                </w:p>
              </w:tc>
              <w:tc>
                <w:tcPr>
                  <w:tcW w:w="22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cs="Times New Roman" w:hint="eastAsia"/>
                      <w:color w:val="000000"/>
                      <w:kern w:val="0"/>
                      <w:sz w:val="21"/>
                      <w:szCs w:val="21"/>
                      <w:vertAlign w:val="baseline"/>
                      <w:lang w:val="en-US" w:eastAsia="zh-CN"/>
                    </w:rPr>
                  </w:pPr>
                  <w:r>
                    <w:rPr>
                      <w:rFonts w:cs="Times New Roman" w:hint="eastAsia"/>
                      <w:color w:val="000000"/>
                      <w:kern w:val="0"/>
                      <w:sz w:val="21"/>
                      <w:szCs w:val="21"/>
                      <w:vertAlign w:val="baseline"/>
                      <w:lang w:val="en-US" w:eastAsia="zh-CN" w:bidi="ar-SA"/>
                    </w:rPr>
                    <w:t>95%</w:t>
                  </w:r>
                </w:p>
              </w:tc>
              <w:tc>
                <w:tcPr>
                  <w:tcW w:w="113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i w:val="0"/>
                      <w:iCs w:val="0"/>
                      <w:color w:val="000000"/>
                      <w:kern w:val="0"/>
                      <w:sz w:val="21"/>
                      <w:szCs w:val="21"/>
                      <w:u w:val="none"/>
                      <w:lang w:val="en-US" w:eastAsia="zh-CN"/>
                    </w:rPr>
                  </w:pPr>
                  <w:r>
                    <w:rPr>
                      <w:rFonts w:ascii="Times New Roman" w:eastAsia="宋体" w:cs="Times New Roman" w:hAnsi="Times New Roman" w:hint="eastAsia"/>
                      <w:i w:val="0"/>
                      <w:iCs w:val="0"/>
                      <w:color w:val="000000"/>
                      <w:kern w:val="0"/>
                      <w:sz w:val="21"/>
                      <w:szCs w:val="21"/>
                      <w:u w:val="none"/>
                      <w:lang w:val="en-US" w:eastAsia="zh-CN" w:bidi="ar-SA"/>
                    </w:rPr>
                    <w:t>0.0032</w:t>
                  </w:r>
                </w:p>
              </w:tc>
            </w:tr>
            <w:tr>
              <w:trPr>
                <w:trHeight w:val="507"/>
              </w:trPr>
              <w:tc>
                <w:tcPr>
                  <w:tcW w:w="270" w:type="dxa"/>
                  <w:vMerge/>
                  <w:vAlign w:val="center"/>
                </w:tcPr>
                <w:p/>
              </w:tc>
              <w:tc>
                <w:tcPr>
                  <w:tcW w:w="212" w:type="dxa"/>
                  <w:vMerge w:val="restart"/>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ascii="Times New Roman" w:cs="Times New Roman" w:hAnsi="Times New Roman"/>
                      <w:color w:val="000000"/>
                      <w:kern w:val="0"/>
                      <w:sz w:val="21"/>
                      <w:szCs w:val="21"/>
                      <w:vertAlign w:val="baseline"/>
                      <w:lang w:val="en-US" w:eastAsia="zh-CN" w:bidi="ar-SA"/>
                    </w:rPr>
                    <w:t>加油</w:t>
                  </w:r>
                  <w:r>
                    <w:rPr>
                      <w:rFonts w:ascii="Times New Roman" w:cs="Times New Roman" w:hAnsi="Times New Roman" w:hint="eastAsia"/>
                      <w:color w:val="000000"/>
                      <w:kern w:val="0"/>
                      <w:sz w:val="21"/>
                      <w:szCs w:val="21"/>
                      <w:vertAlign w:val="baseline"/>
                      <w:lang w:val="en-US" w:eastAsia="zh-CN" w:bidi="ar-SA"/>
                    </w:rPr>
                    <w:t>损失</w:t>
                  </w:r>
                </w:p>
              </w:tc>
              <w:tc>
                <w:tcPr>
                  <w:tcW w:w="24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ascii="Times New Roman" w:cs="Times New Roman" w:hAnsi="Times New Roman"/>
                      <w:color w:val="000000"/>
                      <w:kern w:val="0"/>
                      <w:sz w:val="21"/>
                      <w:szCs w:val="21"/>
                      <w:vertAlign w:val="baseline"/>
                      <w:lang w:val="en-US" w:eastAsia="zh-CN" w:bidi="ar-SA"/>
                    </w:rPr>
                    <w:t>加油机作业损失</w:t>
                  </w:r>
                </w:p>
              </w:tc>
              <w:tc>
                <w:tcPr>
                  <w:tcW w:w="33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sz w:val="21"/>
                      <w:szCs w:val="21"/>
                      <w:lang w:val="en-US" w:eastAsia="zh-CN"/>
                    </w:rPr>
                  </w:pPr>
                  <w:r>
                    <w:rPr>
                      <w:rFonts w:hint="eastAsia"/>
                      <w:sz w:val="21"/>
                      <w:szCs w:val="21"/>
                      <w:lang w:val="en-US" w:eastAsia="zh-CN" w:bidi="ar-SA"/>
                    </w:rPr>
                    <w:t>0.11</w:t>
                  </w:r>
                  <w:r>
                    <w:rPr>
                      <w:rFonts w:cs="Times New Roman" w:hint="eastAsia"/>
                      <w:color w:val="000000"/>
                      <w:kern w:val="0"/>
                      <w:sz w:val="21"/>
                      <w:szCs w:val="21"/>
                      <w:lang w:val="en-US" w:eastAsia="zh-CN" w:bidi="ar-SA"/>
                    </w:rPr>
                    <w:t>kg/m</w:t>
                  </w:r>
                  <w:r>
                    <w:rPr>
                      <w:rFonts w:cs="Times New Roman" w:hint="eastAsia"/>
                      <w:color w:val="000000"/>
                      <w:kern w:val="0"/>
                      <w:sz w:val="21"/>
                      <w:szCs w:val="21"/>
                      <w:vertAlign w:val="superscript"/>
                      <w:lang w:val="en-US" w:eastAsia="zh-CN" w:bidi="ar-SA"/>
                    </w:rPr>
                    <w:t>3</w:t>
                  </w:r>
                </w:p>
              </w:tc>
              <w:tc>
                <w:tcPr>
                  <w:tcW w:w="108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000000"/>
                      <w:kern w:val="0"/>
                      <w:sz w:val="21"/>
                      <w:szCs w:val="21"/>
                      <w:vertAlign w:val="baseline"/>
                      <w:lang w:val="en-US" w:eastAsia="zh-CN"/>
                    </w:rPr>
                  </w:pPr>
                  <w:r>
                    <w:rPr>
                      <w:rFonts w:ascii="Times New Roman" w:eastAsia="宋体" w:cs="Times New Roman" w:hAnsi="Times New Roman"/>
                      <w:i w:val="0"/>
                      <w:iCs w:val="0"/>
                      <w:color w:val="000000"/>
                      <w:kern w:val="0"/>
                      <w:sz w:val="21"/>
                      <w:szCs w:val="21"/>
                      <w:u w:val="none"/>
                      <w:lang w:val="en-US" w:eastAsia="zh-CN" w:bidi="ar-SA"/>
                    </w:rPr>
                    <w:t>0.0587</w:t>
                  </w:r>
                </w:p>
              </w:tc>
              <w:tc>
                <w:tcPr>
                  <w:tcW w:w="209"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ascii="Times New Roman" w:cs="Times New Roman" w:hAnsi="Times New Roman" w:hint="eastAsia"/>
                      <w:color w:val="000000"/>
                      <w:kern w:val="0"/>
                      <w:sz w:val="21"/>
                      <w:szCs w:val="21"/>
                      <w:vertAlign w:val="baseline"/>
                      <w:lang w:val="en-US" w:eastAsia="zh-CN" w:bidi="ar-SA"/>
                    </w:rPr>
                    <w:t>95%</w:t>
                  </w:r>
                </w:p>
              </w:tc>
              <w:tc>
                <w:tcPr>
                  <w:tcW w:w="22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cs="Times New Roman" w:hint="eastAsia"/>
                      <w:color w:val="000000"/>
                      <w:kern w:val="0"/>
                      <w:sz w:val="21"/>
                      <w:szCs w:val="21"/>
                      <w:vertAlign w:val="baseline"/>
                      <w:lang w:val="en-US" w:eastAsia="zh-CN" w:bidi="ar-SA"/>
                    </w:rPr>
                    <w:t>/</w:t>
                  </w:r>
                </w:p>
              </w:tc>
              <w:tc>
                <w:tcPr>
                  <w:tcW w:w="113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i w:val="0"/>
                      <w:iCs w:val="0"/>
                      <w:color w:val="000000"/>
                      <w:kern w:val="0"/>
                      <w:sz w:val="21"/>
                      <w:szCs w:val="21"/>
                      <w:u w:val="none"/>
                      <w:lang w:val="en-US" w:eastAsia="zh-CN"/>
                    </w:rPr>
                  </w:pPr>
                  <w:r>
                    <w:rPr>
                      <w:rFonts w:ascii="Times New Roman" w:eastAsia="宋体" w:cs="Times New Roman" w:hAnsi="Times New Roman" w:hint="eastAsia"/>
                      <w:i w:val="0"/>
                      <w:iCs w:val="0"/>
                      <w:color w:val="000000"/>
                      <w:kern w:val="0"/>
                      <w:sz w:val="21"/>
                      <w:szCs w:val="21"/>
                      <w:u w:val="none"/>
                      <w:lang w:val="en-US" w:eastAsia="zh-CN" w:bidi="ar-SA"/>
                    </w:rPr>
                    <w:t>0.0029</w:t>
                  </w:r>
                </w:p>
              </w:tc>
            </w:tr>
            <w:tr>
              <w:trPr>
                <w:trHeight w:val="507"/>
              </w:trPr>
              <w:tc>
                <w:tcPr>
                  <w:tcW w:w="270" w:type="dxa"/>
                  <w:vMerge/>
                  <w:vAlign w:val="center"/>
                </w:tcPr>
                <w:p/>
              </w:tc>
              <w:tc>
                <w:tcPr>
                  <w:tcW w:w="212" w:type="dxa"/>
                  <w:vMerge/>
                  <w:vAlign w:val="center"/>
                </w:tcPr>
                <w:p/>
              </w:tc>
              <w:tc>
                <w:tcPr>
                  <w:tcW w:w="24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cs="Times New Roman" w:hint="eastAsia"/>
                      <w:color w:val="000000"/>
                      <w:kern w:val="0"/>
                      <w:sz w:val="21"/>
                      <w:szCs w:val="21"/>
                      <w:vertAlign w:val="baseline"/>
                      <w:lang w:val="en-US" w:eastAsia="zh-CN" w:bidi="ar-SA"/>
                    </w:rPr>
                    <w:t>跑冒滴漏</w:t>
                  </w:r>
                </w:p>
              </w:tc>
              <w:tc>
                <w:tcPr>
                  <w:tcW w:w="33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cs="Times New Roman" w:hint="eastAsia"/>
                      <w:color w:val="000000"/>
                      <w:kern w:val="0"/>
                      <w:sz w:val="21"/>
                      <w:szCs w:val="21"/>
                      <w:vertAlign w:val="baseline"/>
                      <w:lang w:val="en-US" w:eastAsia="zh-CN" w:bidi="ar-SA"/>
                    </w:rPr>
                    <w:t>0.0084</w:t>
                  </w:r>
                  <w:r>
                    <w:rPr>
                      <w:rFonts w:cs="Times New Roman" w:hint="eastAsia"/>
                      <w:color w:val="000000"/>
                      <w:kern w:val="0"/>
                      <w:sz w:val="21"/>
                      <w:szCs w:val="21"/>
                      <w:lang w:val="en-US" w:eastAsia="zh-CN" w:bidi="ar-SA"/>
                    </w:rPr>
                    <w:t>kg/m</w:t>
                  </w:r>
                  <w:r>
                    <w:rPr>
                      <w:rFonts w:cs="Times New Roman" w:hint="eastAsia"/>
                      <w:color w:val="000000"/>
                      <w:kern w:val="0"/>
                      <w:sz w:val="21"/>
                      <w:szCs w:val="21"/>
                      <w:vertAlign w:val="superscript"/>
                      <w:lang w:val="en-US" w:eastAsia="zh-CN" w:bidi="ar-SA"/>
                    </w:rPr>
                    <w:t>3</w:t>
                  </w:r>
                </w:p>
              </w:tc>
              <w:tc>
                <w:tcPr>
                  <w:tcW w:w="1086"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000000"/>
                      <w:kern w:val="0"/>
                      <w:sz w:val="21"/>
                      <w:szCs w:val="21"/>
                      <w:vertAlign w:val="baseline"/>
                      <w:lang w:val="en-US" w:eastAsia="zh-CN"/>
                    </w:rPr>
                  </w:pPr>
                  <w:r>
                    <w:rPr>
                      <w:rFonts w:ascii="Times New Roman" w:eastAsia="宋体" w:cs="Times New Roman" w:hAnsi="Times New Roman"/>
                      <w:i w:val="0"/>
                      <w:iCs w:val="0"/>
                      <w:color w:val="000000"/>
                      <w:kern w:val="0"/>
                      <w:sz w:val="21"/>
                      <w:szCs w:val="21"/>
                      <w:u w:val="none"/>
                      <w:lang w:val="en-US" w:eastAsia="zh-CN" w:bidi="ar-SA"/>
                    </w:rPr>
                    <w:t>0.0045</w:t>
                  </w:r>
                </w:p>
              </w:tc>
              <w:tc>
                <w:tcPr>
                  <w:tcW w:w="209"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cs="Times New Roman" w:hint="eastAsia"/>
                      <w:color w:val="000000"/>
                      <w:kern w:val="0"/>
                      <w:sz w:val="21"/>
                      <w:szCs w:val="21"/>
                      <w:vertAlign w:val="baseline"/>
                      <w:lang w:val="en-US" w:eastAsia="zh-CN" w:bidi="ar-SA"/>
                    </w:rPr>
                    <w:t>/</w:t>
                  </w:r>
                </w:p>
              </w:tc>
              <w:tc>
                <w:tcPr>
                  <w:tcW w:w="22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cs="Times New Roman" w:hint="eastAsia"/>
                      <w:color w:val="000000"/>
                      <w:kern w:val="0"/>
                      <w:sz w:val="21"/>
                      <w:szCs w:val="21"/>
                      <w:vertAlign w:val="baseline"/>
                      <w:lang w:val="en-US" w:eastAsia="zh-CN"/>
                    </w:rPr>
                  </w:pPr>
                </w:p>
              </w:tc>
              <w:tc>
                <w:tcPr>
                  <w:tcW w:w="1132"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i w:val="0"/>
                      <w:iCs w:val="0"/>
                      <w:color w:val="000000"/>
                      <w:kern w:val="0"/>
                      <w:sz w:val="21"/>
                      <w:szCs w:val="21"/>
                      <w:u w:val="none"/>
                      <w:lang w:val="en-US" w:eastAsia="zh-CN"/>
                    </w:rPr>
                  </w:pPr>
                  <w:r>
                    <w:rPr>
                      <w:rFonts w:ascii="Times New Roman" w:eastAsia="宋体" w:cs="Times New Roman" w:hAnsi="Times New Roman" w:hint="eastAsia"/>
                      <w:i w:val="0"/>
                      <w:iCs w:val="0"/>
                      <w:color w:val="000000"/>
                      <w:kern w:val="0"/>
                      <w:sz w:val="21"/>
                      <w:szCs w:val="21"/>
                      <w:u w:val="none"/>
                      <w:lang w:val="en-US" w:eastAsia="zh-CN" w:bidi="ar-SA"/>
                    </w:rPr>
                    <w:t>0.0045</w:t>
                  </w:r>
                </w:p>
              </w:tc>
            </w:tr>
            <w:tr>
              <w:trPr>
                <w:trHeight w:val="507"/>
              </w:trPr>
              <w:tc>
                <w:tcPr>
                  <w:tcW w:w="270" w:type="dxa"/>
                  <w:vMerge w:val="restart"/>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hint="eastAsia"/>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柴油</w:t>
                  </w:r>
                </w:p>
                <w:p>
                  <w:pPr>
                    <w:keepNext/>
                    <w:keepLines w:val="0"/>
                    <w:pageBreakBefore w:val="0"/>
                    <w:widowControl w:val="0"/>
                    <w:suppressLineNumbers w:val="0"/>
                    <w:kinsoku/>
                    <w:wordWrap/>
                    <w:overflowPunct w:val="0"/>
                    <w:topLinePunct w:val="0"/>
                    <w:autoSpaceDE/>
                    <w:autoSpaceDN/>
                    <w:bidi w:val="0"/>
                    <w:adjustRightInd/>
                    <w:snapToGrid w:val="0"/>
                    <w:spacing w:before="0" w:beforeAutospacing="0" w:after="0" w:afterAutospacing="0"/>
                    <w:ind w:left="0" w:right="0" w:firstLine="0"/>
                    <w:jc w:val="center"/>
                    <w:textAlignment w:val="auto"/>
                    <w:outlineLvl w:val="9"/>
                    <w:rPr>
                      <w:color w:val="auto"/>
                      <w:sz w:val="21"/>
                      <w:szCs w:val="21"/>
                      <w:lang w:val="en-US" w:eastAsia="zh-CN"/>
                    </w:rPr>
                  </w:pPr>
                  <w:r>
                    <w:rPr>
                      <w:rFonts w:cs="Times New Roman" w:hint="eastAsia"/>
                      <w:b w:val="0"/>
                      <w:bCs/>
                      <w:color w:val="auto"/>
                      <w:kern w:val="0"/>
                      <w:sz w:val="21"/>
                      <w:szCs w:val="21"/>
                      <w:vertAlign w:val="baseline"/>
                      <w:lang w:val="en-US" w:eastAsia="zh-CN" w:bidi="ar-SA"/>
                    </w:rPr>
                    <w:t>1350t/a（1534.09</w:t>
                  </w:r>
                  <w:r>
                    <w:rPr>
                      <w:rFonts w:cs="Times New Roman" w:hint="eastAsia"/>
                      <w:color w:val="000000"/>
                      <w:kern w:val="0"/>
                      <w:sz w:val="21"/>
                      <w:szCs w:val="21"/>
                      <w:vertAlign w:val="baseline"/>
                      <w:lang w:val="en-US" w:eastAsia="zh-CN" w:bidi="ar-SA"/>
                    </w:rPr>
                    <w:t>m</w:t>
                  </w:r>
                  <w:r>
                    <w:rPr>
                      <w:rFonts w:cs="Times New Roman" w:hint="eastAsia"/>
                      <w:color w:val="000000"/>
                      <w:kern w:val="0"/>
                      <w:sz w:val="21"/>
                      <w:szCs w:val="21"/>
                      <w:vertAlign w:val="superscript"/>
                      <w:lang w:val="en-US" w:eastAsia="zh-CN" w:bidi="ar-SA"/>
                    </w:rPr>
                    <w:t>3</w:t>
                  </w:r>
                  <w:r>
                    <w:rPr>
                      <w:rFonts w:cs="Times New Roman" w:hint="eastAsia"/>
                      <w:color w:val="000000"/>
                      <w:kern w:val="0"/>
                      <w:sz w:val="21"/>
                      <w:szCs w:val="21"/>
                      <w:vertAlign w:val="baseline"/>
                      <w:lang w:val="en-US" w:eastAsia="zh-CN" w:bidi="ar-SA"/>
                    </w:rPr>
                    <w:t>/a</w:t>
                  </w:r>
                  <w:r>
                    <w:rPr>
                      <w:rFonts w:cs="Times New Roman" w:hint="eastAsia"/>
                      <w:b w:val="0"/>
                      <w:bCs/>
                      <w:color w:val="auto"/>
                      <w:kern w:val="0"/>
                      <w:sz w:val="21"/>
                      <w:szCs w:val="21"/>
                      <w:vertAlign w:val="baseline"/>
                      <w:lang w:val="en-US" w:eastAsia="zh-CN" w:bidi="ar-SA"/>
                    </w:rPr>
                    <w:t>）</w:t>
                  </w:r>
                </w:p>
              </w:tc>
              <w:tc>
                <w:tcPr>
                  <w:tcW w:w="21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卸油损失</w:t>
                  </w:r>
                </w:p>
              </w:tc>
              <w:tc>
                <w:tcPr>
                  <w:tcW w:w="24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ascii="Times New Roman" w:cs="Times New Roman" w:hAnsi="Times New Roman"/>
                      <w:color w:val="auto"/>
                      <w:kern w:val="0"/>
                      <w:sz w:val="21"/>
                      <w:szCs w:val="21"/>
                      <w:vertAlign w:val="baseline"/>
                      <w:lang w:val="en-US" w:eastAsia="zh-CN" w:bidi="ar-SA"/>
                    </w:rPr>
                    <w:t>大呼吸损失</w:t>
                  </w:r>
                </w:p>
              </w:tc>
              <w:tc>
                <w:tcPr>
                  <w:tcW w:w="3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0.027</w:t>
                  </w:r>
                  <w:r>
                    <w:rPr>
                      <w:rFonts w:ascii="Times New Roman" w:cs="Times New Roman" w:hAnsi="Times New Roman"/>
                      <w:color w:val="auto"/>
                      <w:kern w:val="0"/>
                      <w:sz w:val="21"/>
                      <w:szCs w:val="21"/>
                      <w:vertAlign w:val="baseline"/>
                      <w:lang w:val="en-US" w:eastAsia="zh-CN" w:bidi="ar-SA"/>
                    </w:rPr>
                    <w:t>kg/</w:t>
                  </w:r>
                  <w:r>
                    <w:rPr>
                      <w:rFonts w:ascii="Times New Roman" w:cs="Times New Roman" w:hAnsi="Times New Roman" w:hint="eastAsia"/>
                      <w:color w:val="auto"/>
                      <w:kern w:val="0"/>
                      <w:sz w:val="21"/>
                      <w:szCs w:val="21"/>
                      <w:vertAlign w:val="baseline"/>
                      <w:lang w:val="en-US" w:eastAsia="zh-CN" w:bidi="ar-SA"/>
                    </w:rPr>
                    <w:t>t</w:t>
                  </w:r>
                </w:p>
              </w:tc>
              <w:tc>
                <w:tcPr>
                  <w:tcW w:w="1086"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0.0365</w:t>
                  </w:r>
                </w:p>
              </w:tc>
              <w:tc>
                <w:tcPr>
                  <w:tcW w:w="209"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w:t>
                  </w:r>
                </w:p>
              </w:tc>
              <w:tc>
                <w:tcPr>
                  <w:tcW w:w="2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cs="Times New Roman" w:hint="eastAsia"/>
                      <w:color w:val="auto"/>
                      <w:kern w:val="0"/>
                      <w:sz w:val="21"/>
                      <w:szCs w:val="21"/>
                      <w:vertAlign w:val="baseline"/>
                      <w:lang w:val="en-US" w:eastAsia="zh-CN" w:bidi="ar-SA"/>
                    </w:rPr>
                    <w:t>/</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0.0365</w:t>
                  </w:r>
                </w:p>
              </w:tc>
            </w:tr>
            <w:tr>
              <w:trPr>
                <w:trHeight w:val="507"/>
              </w:trPr>
              <w:tc>
                <w:tcPr>
                  <w:tcW w:w="270" w:type="dxa"/>
                  <w:vMerge/>
                  <w:vAlign w:val="center"/>
                </w:tcPr>
                <w:p/>
              </w:tc>
              <w:tc>
                <w:tcPr>
                  <w:tcW w:w="212" w:type="dxa"/>
                  <w:vMerge w:val="restart"/>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ascii="Times New Roman" w:cs="Times New Roman" w:hAnsi="Times New Roman"/>
                      <w:color w:val="auto"/>
                      <w:kern w:val="0"/>
                      <w:sz w:val="21"/>
                      <w:szCs w:val="21"/>
                      <w:vertAlign w:val="baseline"/>
                      <w:lang w:val="en-US" w:eastAsia="zh-CN" w:bidi="ar-SA"/>
                    </w:rPr>
                    <w:t>加油</w:t>
                  </w:r>
                  <w:r>
                    <w:rPr>
                      <w:rFonts w:ascii="Times New Roman" w:cs="Times New Roman" w:hAnsi="Times New Roman" w:hint="eastAsia"/>
                      <w:color w:val="auto"/>
                      <w:kern w:val="0"/>
                      <w:sz w:val="21"/>
                      <w:szCs w:val="21"/>
                      <w:vertAlign w:val="baseline"/>
                      <w:lang w:val="en-US" w:eastAsia="zh-CN" w:bidi="ar-SA"/>
                    </w:rPr>
                    <w:t>损失</w:t>
                  </w:r>
                </w:p>
              </w:tc>
              <w:tc>
                <w:tcPr>
                  <w:tcW w:w="24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ascii="Times New Roman" w:cs="Times New Roman" w:hAnsi="Times New Roman"/>
                      <w:color w:val="auto"/>
                      <w:kern w:val="0"/>
                      <w:sz w:val="21"/>
                      <w:szCs w:val="21"/>
                      <w:vertAlign w:val="baseline"/>
                      <w:lang w:val="en-US" w:eastAsia="zh-CN" w:bidi="ar-SA"/>
                    </w:rPr>
                    <w:t>加油机作业损失</w:t>
                  </w:r>
                </w:p>
              </w:tc>
              <w:tc>
                <w:tcPr>
                  <w:tcW w:w="3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hint="eastAsia"/>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0.048</w:t>
                  </w:r>
                  <w:r>
                    <w:rPr>
                      <w:rFonts w:ascii="Times New Roman" w:cs="Times New Roman" w:hAnsi="Times New Roman"/>
                      <w:color w:val="auto"/>
                      <w:kern w:val="0"/>
                      <w:sz w:val="21"/>
                      <w:szCs w:val="21"/>
                      <w:vertAlign w:val="baseline"/>
                      <w:lang w:val="en-US" w:eastAsia="zh-CN" w:bidi="ar-SA"/>
                    </w:rPr>
                    <w:t>kg/</w:t>
                  </w:r>
                  <w:r>
                    <w:rPr>
                      <w:rFonts w:ascii="Times New Roman" w:cs="Times New Roman" w:hAnsi="Times New Roman" w:hint="eastAsia"/>
                      <w:color w:val="auto"/>
                      <w:kern w:val="0"/>
                      <w:sz w:val="21"/>
                      <w:szCs w:val="21"/>
                      <w:vertAlign w:val="baseline"/>
                      <w:lang w:val="en-US" w:eastAsia="zh-CN" w:bidi="ar-SA"/>
                    </w:rPr>
                    <w:t>t</w:t>
                  </w:r>
                </w:p>
              </w:tc>
              <w:tc>
                <w:tcPr>
                  <w:tcW w:w="1086"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0.0648</w:t>
                  </w:r>
                </w:p>
              </w:tc>
              <w:tc>
                <w:tcPr>
                  <w:tcW w:w="209"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w:t>
                  </w:r>
                </w:p>
              </w:tc>
              <w:tc>
                <w:tcPr>
                  <w:tcW w:w="2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cs="Times New Roman" w:hint="eastAsia"/>
                      <w:color w:val="auto"/>
                      <w:kern w:val="0"/>
                      <w:sz w:val="21"/>
                      <w:szCs w:val="21"/>
                      <w:vertAlign w:val="baseline"/>
                      <w:lang w:val="en-US" w:eastAsia="zh-CN" w:bidi="ar-SA"/>
                    </w:rPr>
                    <w:t>/</w:t>
                  </w: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eastAsia="宋体" w:cs="Times New Roman" w:hAnsi="Times New Roman"/>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0.0648</w:t>
                  </w:r>
                </w:p>
              </w:tc>
            </w:tr>
            <w:tr>
              <w:trPr>
                <w:trHeight w:val="507"/>
              </w:trPr>
              <w:tc>
                <w:tcPr>
                  <w:tcW w:w="270" w:type="dxa"/>
                  <w:vMerge/>
                  <w:vAlign w:val="center"/>
                </w:tcPr>
                <w:p/>
              </w:tc>
              <w:tc>
                <w:tcPr>
                  <w:tcW w:w="212" w:type="dxa"/>
                  <w:vMerge/>
                  <w:vAlign w:val="center"/>
                </w:tcPr>
                <w:p/>
              </w:tc>
              <w:tc>
                <w:tcPr>
                  <w:tcW w:w="24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cs="Times New Roman" w:hint="eastAsia"/>
                      <w:color w:val="000000"/>
                      <w:kern w:val="0"/>
                      <w:sz w:val="21"/>
                      <w:szCs w:val="21"/>
                      <w:vertAlign w:val="baseline"/>
                      <w:lang w:val="en-US" w:eastAsia="zh-CN" w:bidi="ar-SA"/>
                    </w:rPr>
                    <w:t>跑冒滴漏</w:t>
                  </w:r>
                </w:p>
              </w:tc>
              <w:tc>
                <w:tcPr>
                  <w:tcW w:w="33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cs="Times New Roman" w:hint="eastAsia"/>
                      <w:color w:val="auto"/>
                      <w:kern w:val="0"/>
                      <w:sz w:val="21"/>
                      <w:szCs w:val="21"/>
                      <w:vertAlign w:val="baseline"/>
                      <w:lang w:val="en-US" w:eastAsia="zh-CN" w:bidi="ar-SA"/>
                    </w:rPr>
                    <w:t>0.0084</w:t>
                  </w:r>
                  <w:r>
                    <w:rPr>
                      <w:rFonts w:cs="Times New Roman" w:hint="eastAsia"/>
                      <w:color w:val="000000"/>
                      <w:kern w:val="0"/>
                      <w:sz w:val="21"/>
                      <w:szCs w:val="21"/>
                      <w:lang w:val="en-US" w:eastAsia="zh-CN" w:bidi="ar-SA"/>
                    </w:rPr>
                    <w:t>kg/m</w:t>
                  </w:r>
                  <w:r>
                    <w:rPr>
                      <w:rFonts w:cs="Times New Roman" w:hint="eastAsia"/>
                      <w:color w:val="000000"/>
                      <w:kern w:val="0"/>
                      <w:sz w:val="21"/>
                      <w:szCs w:val="21"/>
                      <w:vertAlign w:val="superscript"/>
                      <w:lang w:val="en-US" w:eastAsia="zh-CN" w:bidi="ar-SA"/>
                    </w:rPr>
                    <w:t>3</w:t>
                  </w:r>
                </w:p>
              </w:tc>
              <w:tc>
                <w:tcPr>
                  <w:tcW w:w="1086"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0.0129</w:t>
                  </w:r>
                </w:p>
              </w:tc>
              <w:tc>
                <w:tcPr>
                  <w:tcW w:w="209"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hint="eastAsia"/>
                      <w:color w:val="auto"/>
                      <w:kern w:val="0"/>
                      <w:sz w:val="21"/>
                      <w:szCs w:val="21"/>
                      <w:vertAlign w:val="baseline"/>
                      <w:lang w:val="en-US" w:eastAsia="zh-CN"/>
                    </w:rPr>
                  </w:pPr>
                </w:p>
              </w:tc>
              <w:tc>
                <w:tcPr>
                  <w:tcW w:w="22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cs="Times New Roman" w:hint="eastAsia"/>
                      <w:color w:val="auto"/>
                      <w:kern w:val="0"/>
                      <w:sz w:val="21"/>
                      <w:szCs w:val="21"/>
                      <w:vertAlign w:val="baseline"/>
                      <w:lang w:val="en-US" w:eastAsia="zh-CN"/>
                    </w:rPr>
                  </w:pPr>
                </w:p>
              </w:tc>
              <w:tc>
                <w:tcPr>
                  <w:tcW w:w="11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cs="Times New Roman"/>
                      <w:color w:val="auto"/>
                      <w:kern w:val="0"/>
                      <w:sz w:val="21"/>
                      <w:szCs w:val="21"/>
                      <w:vertAlign w:val="baseline"/>
                      <w:lang w:val="en-US" w:eastAsia="zh-CN"/>
                    </w:rPr>
                  </w:pPr>
                  <w:r>
                    <w:rPr>
                      <w:rFonts w:ascii="Times New Roman" w:cs="Times New Roman" w:hAnsi="Times New Roman" w:hint="eastAsia"/>
                      <w:color w:val="auto"/>
                      <w:kern w:val="0"/>
                      <w:sz w:val="21"/>
                      <w:szCs w:val="21"/>
                      <w:vertAlign w:val="baseline"/>
                      <w:lang w:val="en-US" w:eastAsia="zh-CN" w:bidi="ar-SA"/>
                    </w:rPr>
                    <w:t>0.0129</w:t>
                  </w:r>
                </w:p>
              </w:tc>
            </w:tr>
            <w:tr>
              <w:trPr>
                <w:trHeight w:val="507"/>
              </w:trPr>
              <w:tc>
                <w:tcPr>
                  <w:tcW w:w="723" w:type="dxa"/>
                  <w:gridSpan w:val="3"/>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ascii="Times New Roman" w:cs="Times New Roman" w:hAnsi="Times New Roman" w:hint="eastAsia"/>
                      <w:color w:val="000000"/>
                      <w:kern w:val="0"/>
                      <w:sz w:val="21"/>
                      <w:szCs w:val="21"/>
                      <w:vertAlign w:val="baseline"/>
                      <w:lang w:val="en-US" w:eastAsia="zh-CN" w:bidi="ar-SA"/>
                    </w:rPr>
                    <w:t>合计</w:t>
                  </w:r>
                </w:p>
              </w:tc>
              <w:tc>
                <w:tcPr>
                  <w:tcW w:w="330"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ascii="Times New Roman" w:cs="Times New Roman" w:hAnsi="Times New Roman" w:hint="eastAsia"/>
                      <w:color w:val="000000"/>
                      <w:kern w:val="0"/>
                      <w:sz w:val="21"/>
                      <w:szCs w:val="21"/>
                      <w:vertAlign w:val="baseline"/>
                      <w:lang w:val="en-US" w:eastAsia="zh-CN" w:bidi="ar-SA"/>
                    </w:rPr>
                    <w:t>-</w:t>
                  </w:r>
                </w:p>
              </w:tc>
              <w:tc>
                <w:tcPr>
                  <w:tcW w:w="25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p>
              </w:tc>
              <w:tc>
                <w:tcPr>
                  <w:tcW w:w="209"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ascii="Times New Roman" w:cs="Times New Roman" w:hAnsi="Times New Roman"/>
                      <w:color w:val="000000"/>
                      <w:kern w:val="0"/>
                      <w:sz w:val="21"/>
                      <w:szCs w:val="21"/>
                      <w:vertAlign w:val="baseline"/>
                      <w:lang w:val="en-US" w:eastAsia="zh-CN"/>
                    </w:rPr>
                  </w:pPr>
                  <w:r>
                    <w:rPr>
                      <w:rFonts w:cs="Times New Roman" w:hint="eastAsia"/>
                      <w:color w:val="000000"/>
                      <w:kern w:val="0"/>
                      <w:sz w:val="21"/>
                      <w:szCs w:val="21"/>
                      <w:vertAlign w:val="baseline"/>
                      <w:lang w:val="en-US" w:eastAsia="zh-CN" w:bidi="ar-SA"/>
                    </w:rPr>
                    <w:t>/</w:t>
                  </w:r>
                </w:p>
              </w:tc>
              <w:tc>
                <w:tcPr>
                  <w:tcW w:w="222"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cs="Times New Roman"/>
                      <w:b/>
                      <w:bCs/>
                      <w:color w:val="000000"/>
                      <w:kern w:val="0"/>
                      <w:sz w:val="21"/>
                      <w:szCs w:val="21"/>
                      <w:vertAlign w:val="baseline"/>
                      <w:lang w:val="en-US" w:eastAsia="zh-CN"/>
                    </w:rPr>
                  </w:pPr>
                  <w:r>
                    <w:rPr>
                      <w:rFonts w:cs="Times New Roman" w:hint="eastAsia"/>
                      <w:b/>
                      <w:bCs/>
                      <w:color w:val="000000"/>
                      <w:kern w:val="0"/>
                      <w:sz w:val="21"/>
                      <w:szCs w:val="21"/>
                      <w:vertAlign w:val="baseline"/>
                      <w:lang w:val="en-US" w:eastAsia="zh-CN" w:bidi="ar-SA"/>
                    </w:rPr>
                    <w:t>/</w:t>
                  </w:r>
                </w:p>
              </w:tc>
              <w:tc>
                <w:tcPr>
                  <w:tcW w:w="263" w:type="dxa"/>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outlineLvl w:val="9"/>
                    <w:rPr>
                      <w:rFonts w:cs="Times New Roman"/>
                      <w:b/>
                      <w:bCs/>
                      <w:color w:val="000000"/>
                      <w:kern w:val="0"/>
                      <w:sz w:val="21"/>
                      <w:szCs w:val="21"/>
                      <w:vertAlign w:val="baseline"/>
                      <w:lang w:val="en-US" w:eastAsia="zh-CN"/>
                    </w:rPr>
                  </w:pPr>
                  <w:r>
                    <w:rPr>
                      <w:rFonts w:cs="Times New Roman" w:hint="eastAsia"/>
                      <w:b/>
                      <w:bCs/>
                      <w:color w:val="000000"/>
                      <w:kern w:val="0"/>
                      <w:sz w:val="21"/>
                      <w:szCs w:val="21"/>
                      <w:vertAlign w:val="baseline"/>
                      <w:lang w:val="en-US" w:eastAsia="zh-CN" w:bidi="ar-SA"/>
                    </w:rPr>
                    <w:t>0.1389</w:t>
                  </w:r>
                </w:p>
              </w:tc>
            </w:tr>
          </w:tbl>
          <w:p>
            <w:pPr>
              <w:pStyle w:val="3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0"/>
              <w:jc w:val="both"/>
              <w:textAlignment w:val="auto"/>
            </w:pPr>
            <w:r>
              <w:rPr>
                <w:rFonts w:ascii="Times New Roman" w:cs="Times New Roman" w:hAnsi="Times New Roman"/>
                <w:b/>
                <w:bCs/>
                <w:color w:val="000000"/>
                <w:sz w:val="24"/>
                <w:szCs w:val="24"/>
                <w:lang w:val="en-US" w:eastAsia="zh-CN"/>
              </w:rPr>
              <w:t>注：根据</w:t>
            </w:r>
            <w:r>
              <w:rPr>
                <w:rFonts w:ascii="Times New Roman" w:cs="Times New Roman" w:hAnsi="Times New Roman"/>
                <w:b/>
                <w:bCs/>
                <w:color w:val="000000"/>
                <w:sz w:val="24"/>
                <w:szCs w:val="24"/>
              </w:rPr>
              <w:t>《散装液态石油产品损耗》（GB11085-89）</w:t>
            </w:r>
            <w:r>
              <w:rPr>
                <w:rFonts w:ascii="Times New Roman" w:cs="Times New Roman" w:hAnsi="Times New Roman"/>
                <w:b/>
                <w:bCs/>
                <w:color w:val="000000"/>
                <w:sz w:val="24"/>
                <w:szCs w:val="24"/>
                <w:lang w:val="en-US" w:eastAsia="zh-CN"/>
              </w:rPr>
              <w:t>中表1贮存损耗率，卧式罐的贮存损耗率可忽略不计，本项目柴油储油的损耗率可忽略不计</w:t>
            </w:r>
            <w:r>
              <w:rPr>
                <w:rFonts w:ascii="Times New Roman" w:cs="Times New Roman" w:hAnsi="Times New Roman" w:hint="eastAsia"/>
                <w:b/>
                <w:bCs/>
                <w:color w:val="000000"/>
                <w:sz w:val="24"/>
                <w:szCs w:val="24"/>
                <w:lang w:val="en-US" w:eastAsia="zh-CN"/>
              </w:rPr>
              <w:t>。</w:t>
            </w:r>
          </w:p>
          <w:p>
            <w:pPr>
              <w:pStyle w:val="3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Chars="200" w:firstLine="480"/>
              <w:jc w:val="both"/>
              <w:textAlignment w:val="auto"/>
              <w:rPr>
                <w:bCs/>
                <w:color w:val="000000"/>
                <w:spacing w:val="-10"/>
                <w:sz w:val="24"/>
              </w:rPr>
            </w:pPr>
            <w:r>
              <w:rPr>
                <w:rFonts w:ascii="Times New Roman" w:cs="Times New Roman" w:hAnsi="Times New Roman"/>
                <w:sz w:val="24"/>
                <w:szCs w:val="24"/>
                <w:lang w:val="en-US" w:eastAsia="zh-CN"/>
              </w:rPr>
              <w:t>根据</w:t>
            </w:r>
            <w:r>
              <w:rPr>
                <w:rFonts w:ascii="Times New Roman" w:cs="Times New Roman" w:hAnsi="Times New Roman"/>
                <w:bCs/>
                <w:color w:val="000000"/>
                <w:spacing w:val="-10"/>
                <w:sz w:val="24"/>
                <w:szCs w:val="20"/>
              </w:rPr>
              <w:t>《排污许可证申请与核发技术规范——储油库、加油站》（HJ1118-2020）附录F，表F.1加油站排污单位废气治理可行技术参照表，本项目采用</w:t>
            </w:r>
            <w:r>
              <w:rPr>
                <w:rFonts w:ascii="Times New Roman" w:cs="Times New Roman" w:hAnsi="Times New Roman"/>
                <w:color w:val="000000"/>
                <w:kern w:val="0"/>
                <w:sz w:val="24"/>
                <w:szCs w:val="20"/>
              </w:rPr>
              <w:t>卸油油气回收系统（一次油气回收）、加油油气回收系统（二次油气回收）和</w:t>
            </w:r>
            <w:r>
              <w:rPr>
                <w:rFonts w:ascii="Times New Roman" w:cs="Times New Roman" w:hAnsi="Times New Roman"/>
                <w:color w:val="000000"/>
                <w:kern w:val="0"/>
                <w:sz w:val="24"/>
                <w:szCs w:val="20"/>
                <w:lang w:eastAsia="zh-CN"/>
              </w:rPr>
              <w:t>油气处置装置</w:t>
            </w:r>
            <w:r>
              <w:rPr>
                <w:rFonts w:ascii="Times New Roman" w:cs="Times New Roman" w:hAnsi="Times New Roman"/>
                <w:color w:val="000000"/>
                <w:kern w:val="0"/>
                <w:sz w:val="24"/>
                <w:szCs w:val="20"/>
              </w:rPr>
              <w:t>（冷凝装置）的废气治理措施</w:t>
            </w:r>
            <w:r>
              <w:rPr>
                <w:rFonts w:ascii="Times New Roman" w:cs="Times New Roman" w:hAnsi="Times New Roman"/>
                <w:bCs/>
                <w:color w:val="000000"/>
                <w:spacing w:val="-10"/>
                <w:sz w:val="24"/>
                <w:szCs w:val="20"/>
              </w:rPr>
              <w:t>属于废气治理可行性技术。</w:t>
            </w:r>
          </w:p>
          <w:p>
            <w:pPr>
              <w:pStyle w:val="3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Chars="200" w:firstLine="440"/>
              <w:jc w:val="both"/>
              <w:textAlignment w:val="auto"/>
              <w:rPr>
                <w:bCs/>
                <w:color w:val="000000"/>
                <w:spacing w:val="-10"/>
                <w:sz w:val="24"/>
              </w:rPr>
            </w:pPr>
          </w:p>
          <w:p>
            <w:pPr>
              <w:pStyle w:val="3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Chars="200" w:firstLine="440"/>
              <w:jc w:val="both"/>
              <w:textAlignment w:val="auto"/>
              <w:rPr>
                <w:bCs/>
                <w:color w:val="000000"/>
                <w:spacing w:val="-10"/>
                <w:sz w:val="24"/>
              </w:rPr>
            </w:pPr>
          </w:p>
          <w:p>
            <w:pPr>
              <w:pStyle w:val="3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Chars="200" w:firstLine="440"/>
              <w:jc w:val="both"/>
              <w:textAlignment w:val="auto"/>
              <w:rPr>
                <w:bCs/>
                <w:color w:val="000000"/>
                <w:spacing w:val="-10"/>
                <w:sz w:val="24"/>
              </w:rPr>
            </w:pPr>
          </w:p>
          <w:p>
            <w:pPr>
              <w:pStyle w:val="39"/>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80" w:lineRule="exact"/>
              <w:ind w:left="0" w:right="0" w:firstLineChars="200" w:firstLine="440"/>
              <w:jc w:val="both"/>
              <w:textAlignment w:val="auto"/>
              <w:rPr>
                <w:bCs/>
                <w:color w:val="000000"/>
                <w:spacing w:val="-10"/>
                <w:sz w:val="24"/>
              </w:rPr>
            </w:pPr>
          </w:p>
          <w:p>
            <w:pPr>
              <w:pStyle w:val="75"/>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center"/>
              <w:textAlignment w:val="center"/>
              <w:rPr>
                <w:lang w:eastAsia="zh-CN"/>
              </w:rPr>
            </w:pPr>
            <w:r>
              <w:rPr>
                <w:rFonts w:ascii="Times New Roman" w:cs="Times New Roman" w:hAnsi="Times New Roman" w:hint="eastAsia"/>
                <w:sz w:val="24"/>
                <w:szCs w:val="20"/>
                <w:lang w:val="en-US" w:eastAsia="zh-CN"/>
              </w:rPr>
              <w:t xml:space="preserve">   废气污染物排放执行标准</w:t>
            </w:r>
            <w:r>
              <w:rPr>
                <w:rFonts w:ascii="Times New Roman" w:cs="Times New Roman" w:hAnsi="Times New Roman"/>
                <w:sz w:val="24"/>
                <w:szCs w:val="20"/>
                <w:lang w:val="en-US" w:eastAsia="zh-CN"/>
              </w:rPr>
              <w:t>情况表</w:t>
            </w:r>
          </w:p>
          <w:tbl>
            <w:tblPr>
              <w:jc w:val="center"/>
              <w:tblW w:w="4997"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top w:w="0" w:type="dxa"/>
                <w:left w:w="0" w:type="dxa"/>
                <w:bottom w:w="0" w:type="dxa"/>
                <w:right w:w="0" w:type="dxa"/>
              </w:tblCellMar>
              <w:tblLook w:val="0600" w:firstRow="0" w:lastRow="0" w:firstColumn="0" w:lastColumn="0" w:noHBand="1" w:noVBand="1"/>
            </w:tblPr>
            <w:tblGrid>
              <w:gridCol w:w="1115"/>
              <w:gridCol w:w="1175"/>
              <w:gridCol w:w="3428"/>
              <w:gridCol w:w="1806"/>
              <w:gridCol w:w="1075"/>
            </w:tblGrid>
            <w:tr>
              <w:trPr>
                <w:trHeight w:val="382"/>
              </w:trPr>
              <w:tc>
                <w:tcPr>
                  <w:tcW w:w="648" w:type="pct"/>
                  <w:vMerge w:val="restar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bCs/>
                      <w:color w:val="auto"/>
                      <w:sz w:val="21"/>
                      <w:szCs w:val="21"/>
                    </w:rPr>
                  </w:pPr>
                  <w:r>
                    <w:rPr>
                      <w:rFonts w:ascii="Times New Roman" w:cs="Times New Roman" w:hAnsi="Times New Roman" w:hint="eastAsia"/>
                      <w:b/>
                      <w:bCs/>
                      <w:color w:val="auto"/>
                      <w:sz w:val="21"/>
                      <w:szCs w:val="21"/>
                      <w:lang w:eastAsia="zh-CN"/>
                    </w:rPr>
                    <w:t>排放口</w:t>
                  </w:r>
                </w:p>
              </w:tc>
              <w:tc>
                <w:tcPr>
                  <w:tcW w:w="683" w:type="pct"/>
                  <w:vMerge w:val="restar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eastAsia="宋体" w:cs="Times New Roman" w:hAnsi="Times New Roman" w:hint="eastAsia"/>
                      <w:b/>
                      <w:bCs/>
                      <w:color w:val="auto"/>
                      <w:sz w:val="21"/>
                      <w:szCs w:val="21"/>
                      <w:lang w:eastAsia="zh-CN"/>
                    </w:rPr>
                  </w:pPr>
                  <w:r>
                    <w:rPr>
                      <w:rFonts w:ascii="Times New Roman" w:cs="Times New Roman" w:hAnsi="Times New Roman" w:hint="eastAsia"/>
                      <w:b/>
                      <w:bCs/>
                      <w:color w:val="auto"/>
                      <w:sz w:val="21"/>
                      <w:szCs w:val="21"/>
                      <w:lang w:eastAsia="zh-CN"/>
                    </w:rPr>
                    <w:t>污染物种类</w:t>
                  </w:r>
                </w:p>
              </w:tc>
              <w:tc>
                <w:tcPr>
                  <w:tcW w:w="3668" w:type="pct"/>
                  <w:gridSpan w:val="3"/>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bCs/>
                      <w:color w:val="auto"/>
                      <w:sz w:val="21"/>
                      <w:szCs w:val="21"/>
                    </w:rPr>
                  </w:pPr>
                  <w:r>
                    <w:rPr>
                      <w:rFonts w:ascii="Times New Roman" w:cs="Times New Roman" w:hAnsi="Times New Roman"/>
                      <w:b/>
                      <w:bCs/>
                      <w:color w:val="auto"/>
                      <w:sz w:val="21"/>
                      <w:szCs w:val="21"/>
                    </w:rPr>
                    <w:t>国家或地方污染物排放标准</w:t>
                  </w:r>
                </w:p>
              </w:tc>
            </w:tr>
            <w:tr>
              <w:trPr>
                <w:trHeight w:val="549"/>
              </w:trPr>
              <w:tc>
                <w:tcPr>
                  <w:tcW w:w="648" w:type="pct"/>
                  <w:vMerge/>
                  <w:tcBorders>
                    <w:tl2br w:val="nil"/>
                    <w:tr2bl w:val="nil"/>
                  </w:tcBorders>
                  <w:vAlign w:val="center"/>
                </w:tcPr>
                <w:p/>
              </w:tc>
              <w:tc>
                <w:tcPr>
                  <w:tcW w:w="683" w:type="pct"/>
                  <w:vMerge/>
                  <w:tcBorders>
                    <w:tl2br w:val="nil"/>
                    <w:tr2bl w:val="nil"/>
                  </w:tcBorders>
                  <w:vAlign w:val="center"/>
                </w:tcPr>
                <w:p/>
              </w:tc>
              <w:tc>
                <w:tcPr>
                  <w:tcW w:w="1993"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bCs/>
                      <w:color w:val="auto"/>
                      <w:sz w:val="21"/>
                      <w:szCs w:val="21"/>
                    </w:rPr>
                  </w:pPr>
                  <w:r>
                    <w:rPr>
                      <w:rFonts w:ascii="Times New Roman" w:cs="Times New Roman" w:hAnsi="Times New Roman"/>
                      <w:b/>
                      <w:bCs/>
                      <w:color w:val="auto"/>
                      <w:sz w:val="21"/>
                      <w:szCs w:val="21"/>
                    </w:rPr>
                    <w:t>标准名称</w:t>
                  </w:r>
                </w:p>
              </w:tc>
              <w:tc>
                <w:tcPr>
                  <w:tcW w:w="1050"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bCs/>
                      <w:color w:val="auto"/>
                      <w:sz w:val="21"/>
                      <w:szCs w:val="21"/>
                    </w:rPr>
                  </w:pPr>
                  <w:r>
                    <w:rPr>
                      <w:rFonts w:ascii="Times New Roman" w:cs="Times New Roman" w:hAnsi="Times New Roman"/>
                      <w:b/>
                      <w:bCs/>
                      <w:color w:val="auto"/>
                      <w:sz w:val="21"/>
                      <w:szCs w:val="21"/>
                    </w:rPr>
                    <w:t>浓度限值/</w:t>
                  </w:r>
                </w:p>
                <w:p>
                  <w:pPr>
                    <w:keepNext w:val="0"/>
                    <w:keepLines w:val="0"/>
                    <w:suppressLineNumbers w:val="0"/>
                    <w:snapToGrid w:val="0"/>
                    <w:spacing w:before="0" w:beforeAutospacing="0" w:after="0" w:afterAutospacing="0"/>
                    <w:ind w:left="0" w:right="0"/>
                    <w:jc w:val="center"/>
                    <w:rPr>
                      <w:rFonts w:ascii="Times New Roman" w:eastAsia="宋体" w:cs="Times New Roman" w:hAnsi="Times New Roman" w:hint="eastAsia"/>
                      <w:b/>
                      <w:bCs/>
                      <w:color w:val="auto"/>
                      <w:sz w:val="21"/>
                      <w:szCs w:val="21"/>
                      <w:lang w:eastAsia="zh-CN"/>
                    </w:rPr>
                  </w:pPr>
                  <w:r>
                    <w:rPr>
                      <w:rFonts w:ascii="Times New Roman" w:cs="Times New Roman" w:hAnsi="Times New Roman"/>
                      <w:b/>
                      <w:bCs/>
                      <w:color w:val="auto"/>
                      <w:sz w:val="21"/>
                      <w:szCs w:val="21"/>
                    </w:rPr>
                    <w:t>（mg/m</w:t>
                  </w:r>
                  <w:r>
                    <w:rPr>
                      <w:rFonts w:ascii="Times New Roman" w:cs="Times New Roman" w:hAnsi="Times New Roman"/>
                      <w:b/>
                      <w:bCs/>
                      <w:color w:val="auto"/>
                      <w:sz w:val="21"/>
                      <w:szCs w:val="21"/>
                      <w:vertAlign w:val="superscript"/>
                    </w:rPr>
                    <w:t>3</w:t>
                  </w:r>
                  <w:r>
                    <w:rPr>
                      <w:rFonts w:ascii="Times New Roman" w:cs="Times New Roman" w:hAnsi="Times New Roman"/>
                      <w:b/>
                      <w:bCs/>
                      <w:color w:val="auto"/>
                      <w:sz w:val="21"/>
                      <w:szCs w:val="21"/>
                    </w:rPr>
                    <w:t>）</w:t>
                  </w:r>
                </w:p>
              </w:tc>
              <w:tc>
                <w:tcPr>
                  <w:tcW w:w="624"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bCs/>
                      <w:color w:val="auto"/>
                      <w:sz w:val="21"/>
                      <w:szCs w:val="21"/>
                    </w:rPr>
                  </w:pPr>
                  <w:r>
                    <w:rPr>
                      <w:rFonts w:ascii="Times New Roman" w:cs="Times New Roman" w:hAnsi="Times New Roman" w:hint="eastAsia"/>
                      <w:b/>
                      <w:bCs/>
                      <w:color w:val="auto"/>
                      <w:sz w:val="21"/>
                      <w:szCs w:val="21"/>
                      <w:lang w:eastAsia="zh-CN"/>
                    </w:rPr>
                    <w:t>速率</w:t>
                  </w:r>
                  <w:r>
                    <w:rPr>
                      <w:rFonts w:ascii="Times New Roman" w:cs="Times New Roman" w:hAnsi="Times New Roman"/>
                      <w:b/>
                      <w:bCs/>
                      <w:color w:val="auto"/>
                      <w:sz w:val="21"/>
                      <w:szCs w:val="21"/>
                    </w:rPr>
                    <w:t>限值/</w:t>
                  </w:r>
                </w:p>
                <w:p>
                  <w:pPr>
                    <w:keepNext w:val="0"/>
                    <w:keepLines w:val="0"/>
                    <w:suppressLineNumbers w:val="0"/>
                    <w:snapToGrid w:val="0"/>
                    <w:spacing w:before="0" w:beforeAutospacing="0" w:after="0" w:afterAutospacing="0"/>
                    <w:ind w:left="0" w:right="0"/>
                    <w:jc w:val="center"/>
                    <w:rPr>
                      <w:rFonts w:ascii="Times New Roman" w:cs="Times New Roman" w:hAnsi="Times New Roman"/>
                      <w:b/>
                      <w:bCs/>
                      <w:color w:val="auto"/>
                      <w:sz w:val="21"/>
                      <w:szCs w:val="21"/>
                    </w:rPr>
                  </w:pPr>
                  <w:r>
                    <w:rPr>
                      <w:rFonts w:ascii="Times New Roman" w:cs="Times New Roman" w:hAnsi="Times New Roman"/>
                      <w:b/>
                      <w:bCs/>
                      <w:color w:val="auto"/>
                      <w:sz w:val="21"/>
                      <w:szCs w:val="21"/>
                    </w:rPr>
                    <w:t>（</w:t>
                  </w:r>
                  <w:r>
                    <w:rPr>
                      <w:rFonts w:ascii="Times New Roman" w:eastAsia="宋体" w:cs="Times New Roman" w:hAnsi="Times New Roman"/>
                      <w:b/>
                      <w:bCs/>
                      <w:color w:val="auto"/>
                      <w:sz w:val="21"/>
                      <w:szCs w:val="21"/>
                      <w:vertAlign w:val="baseline"/>
                      <w:lang w:val="en-US" w:eastAsia="zh-CN"/>
                    </w:rPr>
                    <w:t>kg/h</w:t>
                  </w:r>
                  <w:r>
                    <w:rPr>
                      <w:rFonts w:ascii="Times New Roman" w:cs="Times New Roman" w:hAnsi="Times New Roman"/>
                      <w:b/>
                      <w:bCs/>
                      <w:color w:val="auto"/>
                      <w:sz w:val="21"/>
                      <w:szCs w:val="21"/>
                    </w:rPr>
                    <w:t>）</w:t>
                  </w:r>
                </w:p>
              </w:tc>
            </w:tr>
            <w:tr>
              <w:trPr>
                <w:trHeight w:val="680"/>
              </w:trPr>
              <w:tc>
                <w:tcPr>
                  <w:tcW w:w="648" w:type="pct"/>
                  <w:vMerge w:val="restar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color w:val="auto"/>
                      <w:sz w:val="21"/>
                      <w:szCs w:val="21"/>
                      <w:lang w:val="en-US" w:eastAsia="zh-CN"/>
                    </w:rPr>
                  </w:pPr>
                  <w:r>
                    <w:rPr>
                      <w:rFonts w:ascii="Times New Roman" w:cs="Times New Roman" w:hAnsi="Times New Roman"/>
                      <w:color w:val="auto"/>
                      <w:sz w:val="21"/>
                      <w:szCs w:val="21"/>
                      <w:lang w:val="en-US" w:eastAsia="zh-CN"/>
                    </w:rPr>
                    <w:t>厂界</w:t>
                  </w:r>
                </w:p>
              </w:tc>
              <w:tc>
                <w:tcPr>
                  <w:tcW w:w="683" w:type="pct"/>
                  <w:vMerge w:val="restar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val="0"/>
                      <w:bCs/>
                      <w:color w:val="auto"/>
                      <w:sz w:val="21"/>
                      <w:szCs w:val="21"/>
                      <w:lang w:eastAsia="zh-CN"/>
                    </w:rPr>
                  </w:pPr>
                  <w:r>
                    <w:rPr>
                      <w:rFonts w:ascii="Times New Roman" w:cs="Times New Roman" w:hAnsi="Times New Roman"/>
                      <w:b w:val="0"/>
                      <w:bCs/>
                      <w:color w:val="auto"/>
                      <w:sz w:val="21"/>
                      <w:szCs w:val="21"/>
                      <w:lang w:eastAsia="zh-CN"/>
                    </w:rPr>
                    <w:t>非甲烷总烃</w:t>
                  </w:r>
                </w:p>
              </w:tc>
              <w:tc>
                <w:tcPr>
                  <w:tcW w:w="1993"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eastAsia="宋体" w:cs="Times New Roman" w:hAnsi="Times New Roman"/>
                      <w:color w:val="auto"/>
                      <w:sz w:val="21"/>
                      <w:szCs w:val="21"/>
                      <w:lang w:val="en-US" w:eastAsia="zh-CN"/>
                    </w:rPr>
                  </w:pPr>
                  <w:r>
                    <w:rPr>
                      <w:rFonts w:ascii="Times New Roman" w:eastAsia="宋体" w:cs="Times New Roman" w:hAnsi="Times New Roman"/>
                      <w:sz w:val="21"/>
                      <w:szCs w:val="21"/>
                      <w:highlight w:val="none"/>
                    </w:rPr>
                    <w:t>《关于全省开展工业企业挥发性有机物专项治理工作中排放建议值的通知》豫环攻坚办</w:t>
                  </w:r>
                  <w:r>
                    <w:rPr>
                      <w:rFonts w:ascii="Times New Roman" w:eastAsia="宋体" w:cs="Times New Roman" w:hAnsi="Times New Roman"/>
                      <w:sz w:val="21"/>
                      <w:szCs w:val="21"/>
                      <w:lang w:eastAsia="zh-CN"/>
                      <w:highlight w:val="none"/>
                    </w:rPr>
                    <w:t>[2017]</w:t>
                  </w:r>
                  <w:r>
                    <w:rPr>
                      <w:rFonts w:ascii="Times New Roman" w:eastAsia="宋体" w:cs="Times New Roman" w:hAnsi="Times New Roman"/>
                      <w:sz w:val="21"/>
                      <w:szCs w:val="21"/>
                      <w:highlight w:val="none"/>
                    </w:rPr>
                    <w:t>162号文</w:t>
                  </w:r>
                </w:p>
              </w:tc>
              <w:tc>
                <w:tcPr>
                  <w:tcW w:w="1050"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val="0"/>
                      <w:bCs/>
                      <w:color w:val="auto"/>
                      <w:sz w:val="21"/>
                      <w:szCs w:val="21"/>
                      <w:lang w:val="en-US" w:eastAsia="zh-CN"/>
                    </w:rPr>
                  </w:pPr>
                  <w:r>
                    <w:rPr>
                      <w:rFonts w:ascii="Times New Roman" w:cs="Times New Roman" w:hAnsi="Times New Roman"/>
                      <w:b w:val="0"/>
                      <w:bCs/>
                      <w:color w:val="auto"/>
                      <w:sz w:val="21"/>
                      <w:szCs w:val="21"/>
                      <w:lang w:val="en-US" w:eastAsia="zh-CN"/>
                    </w:rPr>
                    <w:t>2</w:t>
                  </w:r>
                </w:p>
              </w:tc>
              <w:tc>
                <w:tcPr>
                  <w:tcW w:w="624"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val="0"/>
                      <w:bCs/>
                      <w:color w:val="auto"/>
                      <w:sz w:val="21"/>
                      <w:szCs w:val="21"/>
                      <w:lang w:val="en-US" w:eastAsia="zh-CN"/>
                    </w:rPr>
                  </w:pPr>
                  <w:r>
                    <w:rPr>
                      <w:rFonts w:ascii="Times New Roman" w:cs="Times New Roman" w:hAnsi="Times New Roman"/>
                      <w:b w:val="0"/>
                      <w:bCs/>
                      <w:color w:val="auto"/>
                      <w:sz w:val="21"/>
                      <w:szCs w:val="21"/>
                      <w:lang w:val="en-US" w:eastAsia="zh-CN"/>
                    </w:rPr>
                    <w:t>/</w:t>
                  </w:r>
                </w:p>
              </w:tc>
            </w:tr>
            <w:tr>
              <w:trPr>
                <w:trHeight w:val="1477"/>
              </w:trPr>
              <w:tc>
                <w:tcPr>
                  <w:tcW w:w="648" w:type="pct"/>
                  <w:vMerge/>
                  <w:tcBorders>
                    <w:tl2br w:val="nil"/>
                    <w:tr2bl w:val="nil"/>
                  </w:tcBorders>
                  <w:vAlign w:val="center"/>
                </w:tcPr>
                <w:p/>
              </w:tc>
              <w:tc>
                <w:tcPr>
                  <w:tcW w:w="683" w:type="pct"/>
                  <w:vMerge/>
                  <w:tcBorders>
                    <w:tl2br w:val="nil"/>
                    <w:tr2bl w:val="nil"/>
                  </w:tcBorders>
                  <w:vAlign w:val="center"/>
                </w:tcPr>
                <w:p/>
              </w:tc>
              <w:tc>
                <w:tcPr>
                  <w:tcW w:w="1993"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eastAsia="宋体" w:cs="Times New Roman" w:hAnsi="Times New Roman"/>
                      <w:sz w:val="21"/>
                      <w:szCs w:val="21"/>
                      <w:highlight w:val="none"/>
                    </w:rPr>
                  </w:pPr>
                  <w:r>
                    <w:rPr>
                      <w:rFonts w:ascii="Times New Roman" w:eastAsia="宋体" w:cs="Times New Roman" w:hAnsi="Times New Roman" w:hint="eastAsia"/>
                      <w:b w:val="0"/>
                      <w:bCs/>
                      <w:color w:val="auto"/>
                      <w:kern w:val="2"/>
                      <w:sz w:val="21"/>
                      <w:szCs w:val="21"/>
                      <w:lang w:val="en-US" w:eastAsia="zh-CN" w:bidi="ar-SA"/>
                    </w:rPr>
                    <w:t>《加油站大气污染物排放标准》（GB20952-2020）</w:t>
                  </w:r>
                </w:p>
              </w:tc>
              <w:tc>
                <w:tcPr>
                  <w:tcW w:w="1675" w:type="pct"/>
                  <w:gridSpan w:val="2"/>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val="0"/>
                      <w:bCs/>
                      <w:color w:val="auto"/>
                      <w:sz w:val="21"/>
                      <w:szCs w:val="21"/>
                      <w:lang w:val="en-US" w:eastAsia="zh-CN"/>
                    </w:rPr>
                  </w:pPr>
                  <w:r>
                    <w:rPr>
                      <w:rFonts w:ascii="Times New Roman" w:cs="Times New Roman" w:hAnsi="Times New Roman"/>
                      <w:b w:val="0"/>
                      <w:bCs/>
                      <w:color w:val="auto"/>
                      <w:sz w:val="21"/>
                      <w:szCs w:val="21"/>
                      <w:lang w:val="en-US" w:eastAsia="zh-CN"/>
                    </w:rPr>
                    <w:t>加油站企业边界油气</w:t>
                  </w:r>
                </w:p>
                <w:p>
                  <w:pPr>
                    <w:keepNext w:val="0"/>
                    <w:keepLines w:val="0"/>
                    <w:suppressLineNumbers w:val="0"/>
                    <w:snapToGrid w:val="0"/>
                    <w:spacing w:before="0" w:beforeAutospacing="0" w:after="0" w:afterAutospacing="0"/>
                    <w:ind w:left="0" w:right="0"/>
                    <w:jc w:val="center"/>
                    <w:rPr>
                      <w:rFonts w:ascii="Times New Roman" w:cs="Times New Roman" w:hAnsi="Times New Roman"/>
                      <w:b w:val="0"/>
                      <w:bCs/>
                      <w:color w:val="auto"/>
                      <w:sz w:val="21"/>
                      <w:szCs w:val="21"/>
                      <w:lang w:val="en-US" w:eastAsia="zh-CN"/>
                    </w:rPr>
                  </w:pPr>
                  <w:r>
                    <w:rPr>
                      <w:rFonts w:ascii="Times New Roman" w:cs="Times New Roman" w:hAnsi="Times New Roman"/>
                      <w:b w:val="0"/>
                      <w:bCs/>
                      <w:color w:val="auto"/>
                      <w:sz w:val="21"/>
                      <w:szCs w:val="21"/>
                      <w:lang w:val="en-US" w:eastAsia="zh-CN"/>
                    </w:rPr>
                    <w:t>浓度无组织排放限值</w:t>
                  </w:r>
                  <w:r>
                    <w:rPr>
                      <w:rFonts w:ascii="Times New Roman" w:cs="Times New Roman" w:hAnsi="Times New Roman" w:hint="eastAsia"/>
                      <w:b w:val="0"/>
                      <w:bCs/>
                      <w:color w:val="auto"/>
                      <w:sz w:val="21"/>
                      <w:szCs w:val="21"/>
                      <w:lang w:val="en-US" w:eastAsia="zh-CN"/>
                    </w:rPr>
                    <w:t>：</w:t>
                  </w:r>
                  <w:r>
                    <w:rPr>
                      <w:rFonts w:ascii="Times New Roman" w:cs="Times New Roman" w:hAnsi="Times New Roman"/>
                      <w:b w:val="0"/>
                      <w:bCs/>
                      <w:color w:val="auto"/>
                      <w:sz w:val="21"/>
                      <w:szCs w:val="21"/>
                      <w:lang w:val="en-US" w:eastAsia="zh-CN"/>
                    </w:rPr>
                    <w:t>监控点处1小时平均浓度4.0mg/m</w:t>
                  </w:r>
                  <w:r>
                    <w:rPr>
                      <w:rFonts w:ascii="Times New Roman" w:cs="Times New Roman" w:hAnsi="Times New Roman" w:hint="eastAsia"/>
                      <w:b w:val="0"/>
                      <w:bCs/>
                      <w:color w:val="auto"/>
                      <w:sz w:val="21"/>
                      <w:szCs w:val="21"/>
                      <w:vertAlign w:val="superscript"/>
                      <w:lang w:val="en-US" w:eastAsia="zh-CN"/>
                    </w:rPr>
                    <w:t>3</w:t>
                  </w:r>
                </w:p>
              </w:tc>
            </w:tr>
            <w:tr>
              <w:trPr>
                <w:trHeight w:val="680"/>
              </w:trPr>
              <w:tc>
                <w:tcPr>
                  <w:tcW w:w="648"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color w:val="auto"/>
                      <w:sz w:val="21"/>
                      <w:szCs w:val="21"/>
                      <w:lang w:val="en-US" w:eastAsia="zh-CN"/>
                    </w:rPr>
                  </w:pPr>
                  <w:r>
                    <w:rPr>
                      <w:rFonts w:ascii="Times New Roman" w:cs="Times New Roman" w:hAnsi="Times New Roman" w:hint="eastAsia"/>
                      <w:color w:val="auto"/>
                      <w:sz w:val="21"/>
                      <w:szCs w:val="21"/>
                      <w:lang w:val="en-US" w:eastAsia="zh-CN"/>
                    </w:rPr>
                    <w:t>油气处理装置排放口</w:t>
                  </w:r>
                </w:p>
              </w:tc>
              <w:tc>
                <w:tcPr>
                  <w:tcW w:w="683" w:type="pct"/>
                  <w:vMerge/>
                  <w:tcBorders>
                    <w:tl2br w:val="nil"/>
                    <w:tr2bl w:val="nil"/>
                  </w:tcBorders>
                  <w:vAlign w:val="center"/>
                </w:tcPr>
                <w:p/>
              </w:tc>
              <w:tc>
                <w:tcPr>
                  <w:tcW w:w="1993" w:type="pct"/>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eastAsia="宋体" w:cs="Times New Roman" w:hAnsi="Times New Roman" w:hint="eastAsia"/>
                      <w:b w:val="0"/>
                      <w:bCs/>
                      <w:color w:val="auto"/>
                      <w:kern w:val="2"/>
                      <w:sz w:val="21"/>
                      <w:szCs w:val="21"/>
                      <w:lang w:val="en-US" w:eastAsia="zh-CN" w:bidi="ar-SA"/>
                    </w:rPr>
                  </w:pPr>
                  <w:r>
                    <w:rPr>
                      <w:rFonts w:ascii="Times New Roman" w:eastAsia="宋体" w:cs="Times New Roman" w:hAnsi="Times New Roman" w:hint="eastAsia"/>
                      <w:b w:val="0"/>
                      <w:bCs/>
                      <w:color w:val="auto"/>
                      <w:kern w:val="2"/>
                      <w:sz w:val="21"/>
                      <w:szCs w:val="21"/>
                      <w:lang w:val="en-US" w:eastAsia="zh-CN" w:bidi="ar-SA"/>
                    </w:rPr>
                    <w:t>《加油站大气污染物排放标准》（GB20952-2020）</w:t>
                  </w:r>
                </w:p>
              </w:tc>
              <w:tc>
                <w:tcPr>
                  <w:tcW w:w="1675" w:type="pct"/>
                  <w:gridSpan w:val="2"/>
                  <w:tcBorders>
                    <w:tl2br w:val="nil"/>
                    <w:tr2bl w:val="nil"/>
                  </w:tcBorders>
                  <w:vAlign w:val="center"/>
                </w:tcPr>
                <w:p>
                  <w:pPr>
                    <w:keepNext w:val="0"/>
                    <w:keepLines w:val="0"/>
                    <w:suppressLineNumbers w:val="0"/>
                    <w:snapToGrid w:val="0"/>
                    <w:spacing w:before="0" w:beforeAutospacing="0" w:after="0" w:afterAutospacing="0"/>
                    <w:ind w:left="0" w:right="0"/>
                    <w:jc w:val="center"/>
                    <w:rPr>
                      <w:rFonts w:ascii="Times New Roman" w:cs="Times New Roman" w:hAnsi="Times New Roman"/>
                      <w:b w:val="0"/>
                      <w:bCs/>
                      <w:color w:val="auto"/>
                      <w:sz w:val="21"/>
                      <w:szCs w:val="21"/>
                      <w:lang w:val="en-US" w:eastAsia="zh-CN"/>
                    </w:rPr>
                  </w:pPr>
                  <w:r>
                    <w:rPr>
                      <w:rFonts w:ascii="Times New Roman" w:cs="Times New Roman" w:hAnsi="Times New Roman"/>
                      <w:b w:val="0"/>
                      <w:bCs/>
                      <w:color w:val="auto"/>
                      <w:sz w:val="21"/>
                      <w:szCs w:val="21"/>
                      <w:lang w:val="en-US" w:eastAsia="zh-CN"/>
                    </w:rPr>
                    <w:t>处理装置的油气排放浓度≤25g/m</w:t>
                  </w:r>
                  <w:r>
                    <w:rPr>
                      <w:rFonts w:ascii="Times New Roman" w:cs="Times New Roman" w:hAnsi="Times New Roman"/>
                      <w:b w:val="0"/>
                      <w:bCs/>
                      <w:color w:val="auto"/>
                      <w:sz w:val="21"/>
                      <w:szCs w:val="21"/>
                      <w:vertAlign w:val="superscript"/>
                      <w:lang w:val="en-US" w:eastAsia="zh-CN"/>
                    </w:rPr>
                    <w:t>3</w:t>
                  </w:r>
                  <w:r>
                    <w:rPr>
                      <w:rFonts w:ascii="Times New Roman" w:cs="Times New Roman" w:hAnsi="Times New Roman"/>
                      <w:b w:val="0"/>
                      <w:bCs/>
                      <w:color w:val="auto"/>
                      <w:sz w:val="21"/>
                      <w:szCs w:val="21"/>
                      <w:lang w:val="en-US" w:eastAsia="zh-CN"/>
                    </w:rPr>
                    <w:t>，油气处理装置排气口距离地平面高度≥4m</w:t>
                  </w:r>
                </w:p>
              </w:tc>
            </w:tr>
          </w:tbl>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Chars="200" w:firstLine="480"/>
              <w:jc w:val="both"/>
              <w:textAlignment w:val="auto"/>
              <w:rPr>
                <w:rFonts w:eastAsia="宋体"/>
                <w:lang w:val="en-US" w:eastAsia="zh-CN"/>
              </w:rPr>
            </w:pPr>
            <w:r>
              <w:rPr>
                <w:rFonts w:ascii="Times New Roman" w:cs="Times New Roman" w:hAnsi="Times New Roman" w:hint="eastAsia"/>
                <w:bCs/>
                <w:color w:val="000000"/>
                <w:sz w:val="24"/>
                <w:szCs w:val="20"/>
                <w14:textFill>
                  <w14:solidFill>
                    <w14:srgbClr w14:val="000000"/>
                  </w14:solidFill>
                </w14:textFill>
                <w:highlight w:val="none"/>
              </w:rPr>
              <w:t>根据</w:t>
            </w:r>
            <w:r>
              <w:rPr>
                <w:rFonts w:ascii="Times New Roman" w:cs="Times New Roman" w:hAnsi="Times New Roman" w:hint="eastAsia"/>
                <w:sz w:val="24"/>
                <w:szCs w:val="20"/>
                <w:highlight w:val="none"/>
              </w:rPr>
              <w:t>《</w:t>
            </w:r>
            <w:r>
              <w:rPr>
                <w:rFonts w:ascii="Times New Roman" w:eastAsia="宋体" w:cs="Times New Roman" w:hAnsi="Times New Roman" w:hint="eastAsia"/>
                <w:sz w:val="24"/>
                <w:szCs w:val="20"/>
                <w:lang w:val="en-US" w:eastAsia="zh-CN"/>
                <w:highlight w:val="none"/>
              </w:rPr>
              <w:t>排污许可证申请与核发技术规范储油库、加油站</w:t>
            </w:r>
            <w:r>
              <w:rPr>
                <w:rFonts w:ascii="Times New Roman" w:cs="Times New Roman" w:hAnsi="Times New Roman" w:hint="eastAsia"/>
                <w:sz w:val="24"/>
                <w:szCs w:val="20"/>
                <w:highlight w:val="none"/>
              </w:rPr>
              <w:t>》（</w:t>
            </w:r>
            <w:r>
              <w:rPr>
                <w:rFonts w:ascii="Times New Roman" w:cs="Times New Roman" w:hAnsi="Times New Roman"/>
                <w:sz w:val="24"/>
                <w:szCs w:val="20"/>
                <w:highlight w:val="none"/>
              </w:rPr>
              <w:t xml:space="preserve">HJ </w:t>
            </w:r>
            <w:r>
              <w:rPr>
                <w:rFonts w:ascii="Times New Roman" w:cs="Times New Roman" w:hAnsi="Times New Roman" w:hint="eastAsia"/>
                <w:sz w:val="24"/>
                <w:szCs w:val="20"/>
                <w:lang w:val="en-US" w:eastAsia="zh-CN"/>
                <w:highlight w:val="none"/>
              </w:rPr>
              <w:t>1118</w:t>
            </w:r>
            <w:r>
              <w:rPr>
                <w:rFonts w:ascii="Times New Roman" w:cs="Times New Roman" w:hAnsi="Times New Roman"/>
                <w:sz w:val="24"/>
                <w:szCs w:val="20"/>
                <w:highlight w:val="none"/>
              </w:rPr>
              <w:t>-20</w:t>
            </w:r>
            <w:r>
              <w:rPr>
                <w:rFonts w:ascii="Times New Roman" w:cs="Times New Roman" w:hAnsi="Times New Roman" w:hint="eastAsia"/>
                <w:sz w:val="24"/>
                <w:szCs w:val="20"/>
                <w:lang w:val="en-US" w:eastAsia="zh-CN"/>
                <w:highlight w:val="none"/>
              </w:rPr>
              <w:t>20</w:t>
            </w:r>
            <w:r>
              <w:rPr>
                <w:rFonts w:ascii="Times New Roman" w:cs="Times New Roman" w:hAnsi="Times New Roman" w:hint="eastAsia"/>
                <w:sz w:val="24"/>
                <w:szCs w:val="20"/>
                <w:highlight w:val="none"/>
              </w:rPr>
              <w:t>）</w:t>
            </w:r>
            <w:r>
              <w:rPr>
                <w:rFonts w:ascii="Times New Roman" w:cs="Times New Roman" w:hAnsi="Times New Roman" w:hint="eastAsia"/>
                <w:sz w:val="24"/>
                <w:szCs w:val="20"/>
                <w:lang w:eastAsia="zh-CN"/>
                <w:highlight w:val="none"/>
              </w:rPr>
              <w:t>、《</w:t>
            </w:r>
            <w:r>
              <w:rPr>
                <w:rFonts w:ascii="Times New Roman" w:eastAsia="宋体" w:cs="Times New Roman" w:hAnsi="Times New Roman" w:hint="eastAsia"/>
                <w:sz w:val="24"/>
                <w:szCs w:val="20"/>
                <w:lang w:val="en-US" w:eastAsia="zh-CN"/>
                <w:highlight w:val="none"/>
              </w:rPr>
              <w:t>排污单位自行监测技术指南</w:t>
            </w:r>
            <w:r>
              <w:rPr>
                <w:rFonts w:ascii="Times New Roman" w:eastAsia="宋体" w:cs="Times New Roman" w:hAnsi="Times New Roman"/>
                <w:sz w:val="24"/>
                <w:szCs w:val="20"/>
                <w:lang w:val="en-US" w:eastAsia="zh-CN"/>
                <w:highlight w:val="none"/>
              </w:rPr>
              <w:t>储油库、加油站</w:t>
            </w:r>
            <w:r>
              <w:rPr>
                <w:rFonts w:ascii="Times New Roman" w:cs="Times New Roman" w:hAnsi="Times New Roman" w:hint="eastAsia"/>
                <w:sz w:val="24"/>
                <w:szCs w:val="20"/>
                <w:lang w:eastAsia="zh-CN"/>
                <w:highlight w:val="none"/>
              </w:rPr>
              <w:t>》</w:t>
            </w:r>
            <w:r>
              <w:rPr>
                <w:rFonts w:ascii="Times New Roman" w:cs="Times New Roman" w:hAnsi="Times New Roman" w:hint="eastAsia"/>
                <w:sz w:val="24"/>
                <w:szCs w:val="20"/>
                <w:highlight w:val="none"/>
              </w:rPr>
              <w:t>（</w:t>
            </w:r>
            <w:r>
              <w:rPr>
                <w:rFonts w:ascii="Times New Roman" w:cs="Times New Roman" w:hAnsi="Times New Roman"/>
                <w:sz w:val="24"/>
                <w:szCs w:val="20"/>
                <w:highlight w:val="none"/>
              </w:rPr>
              <w:t xml:space="preserve">HJ </w:t>
            </w:r>
            <w:r>
              <w:rPr>
                <w:rFonts w:ascii="Times New Roman" w:cs="Times New Roman" w:hAnsi="Times New Roman" w:hint="eastAsia"/>
                <w:sz w:val="24"/>
                <w:szCs w:val="20"/>
                <w:lang w:val="en-US" w:eastAsia="zh-CN"/>
                <w:highlight w:val="none"/>
              </w:rPr>
              <w:t>1249</w:t>
            </w:r>
            <w:r>
              <w:rPr>
                <w:rFonts w:ascii="Times New Roman" w:cs="Times New Roman" w:hAnsi="Times New Roman"/>
                <w:sz w:val="24"/>
                <w:szCs w:val="20"/>
                <w:highlight w:val="none"/>
              </w:rPr>
              <w:t>-20</w:t>
            </w:r>
            <w:r>
              <w:rPr>
                <w:rFonts w:ascii="Times New Roman" w:cs="Times New Roman" w:hAnsi="Times New Roman" w:hint="eastAsia"/>
                <w:sz w:val="24"/>
                <w:szCs w:val="20"/>
                <w:lang w:val="en-US" w:eastAsia="zh-CN"/>
                <w:highlight w:val="none"/>
              </w:rPr>
              <w:t>22</w:t>
            </w:r>
            <w:r>
              <w:rPr>
                <w:rFonts w:ascii="Times New Roman" w:cs="Times New Roman" w:hAnsi="Times New Roman" w:hint="eastAsia"/>
                <w:sz w:val="24"/>
                <w:szCs w:val="20"/>
                <w:highlight w:val="none"/>
              </w:rPr>
              <w:t>）</w:t>
            </w:r>
            <w:r>
              <w:rPr>
                <w:rFonts w:ascii="Times New Roman" w:cs="Times New Roman" w:hAnsi="宋体" w:hint="eastAsia"/>
                <w:color w:val="000000"/>
                <w:sz w:val="24"/>
                <w:szCs w:val="20"/>
                <w14:textFill>
                  <w14:solidFill>
                    <w14:srgbClr w14:val="000000"/>
                  </w14:solidFill>
                </w14:textFill>
                <w:highlight w:val="none"/>
              </w:rPr>
              <w:t>，</w:t>
            </w:r>
            <w:r>
              <w:rPr>
                <w:rFonts w:ascii="Times New Roman" w:cs="Times New Roman" w:hAnsi="宋体"/>
                <w:color w:val="000000"/>
                <w:sz w:val="24"/>
                <w:szCs w:val="20"/>
                <w14:textFill>
                  <w14:solidFill>
                    <w14:srgbClr w14:val="000000"/>
                  </w14:solidFill>
                </w14:textFill>
                <w:lang w:val="en-GB"/>
                <w:highlight w:val="none"/>
              </w:rPr>
              <w:t>本项目</w:t>
            </w:r>
            <w:r>
              <w:rPr>
                <w:rFonts w:ascii="Times New Roman" w:cs="Times New Roman" w:hAnsi="宋体" w:hint="eastAsia"/>
                <w:color w:val="000000"/>
                <w:sz w:val="24"/>
                <w:szCs w:val="20"/>
                <w14:textFill>
                  <w14:solidFill>
                    <w14:srgbClr w14:val="000000"/>
                  </w14:solidFill>
                </w14:textFill>
                <w:lang w:val="en-US" w:eastAsia="zh-CN"/>
                <w:highlight w:val="none"/>
              </w:rPr>
              <w:t>自行</w:t>
            </w:r>
            <w:r>
              <w:rPr>
                <w:rFonts w:ascii="Times New Roman" w:cs="Times New Roman" w:hAnsi="宋体"/>
                <w:color w:val="000000"/>
                <w:sz w:val="24"/>
                <w:szCs w:val="20"/>
                <w14:textFill>
                  <w14:solidFill>
                    <w14:srgbClr w14:val="000000"/>
                  </w14:solidFill>
                </w14:textFill>
                <w:lang w:val="en-GB"/>
                <w:highlight w:val="none"/>
              </w:rPr>
              <w:t>监测要求</w:t>
            </w:r>
            <w:r>
              <w:rPr>
                <w:rFonts w:ascii="Times New Roman" w:cs="Times New Roman" w:hAnsi="Times New Roman"/>
                <w:sz w:val="24"/>
                <w:szCs w:val="20"/>
                <w:highlight w:val="none"/>
              </w:rPr>
              <w:t>见</w:t>
            </w:r>
            <w:r>
              <w:rPr>
                <w:rFonts w:ascii="Times New Roman" w:cs="Times New Roman" w:hAnsi="Times New Roman" w:hint="eastAsia"/>
                <w:color w:val="auto"/>
                <w:sz w:val="24"/>
                <w:szCs w:val="20"/>
                <w:lang w:val="en-US" w:eastAsia="zh-CN"/>
                <w:highlight w:val="none"/>
              </w:rPr>
              <w:t>下表</w:t>
            </w:r>
            <w:r>
              <w:rPr>
                <w:rFonts w:ascii="Times New Roman" w:cs="Times New Roman" w:hAnsi="Times New Roman" w:hint="eastAsia"/>
                <w:color w:val="auto"/>
                <w:sz w:val="24"/>
                <w:szCs w:val="20"/>
                <w:lang w:eastAsia="zh-CN"/>
                <w:highlight w:val="none"/>
              </w:rPr>
              <w:t>：</w:t>
            </w:r>
          </w:p>
          <w:p>
            <w:pPr>
              <w:pStyle w:val="75"/>
              <w:keepNext/>
              <w:keepLines w:val="0"/>
              <w:suppressLineNumbers w:val="0"/>
              <w:bidi w:val="0"/>
              <w:spacing w:before="0" w:beforeAutospacing="0" w:after="0" w:afterAutospacing="0"/>
              <w:ind w:left="0" w:right="0" w:firstLine="420"/>
              <w:rPr>
                <w:u w:val="single"/>
                <w:lang w:val="en-US" w:eastAsia="zh-CN"/>
              </w:rPr>
            </w:pPr>
            <w:r>
              <w:rPr>
                <w:rFonts w:ascii="Times New Roman" w:cs="Times New Roman" w:hAnsi="Times New Roman"/>
                <w:sz w:val="24"/>
                <w:szCs w:val="20"/>
                <w:lang w:val="en-US" w:eastAsia="zh-CN"/>
              </w:rPr>
              <w:t xml:space="preserve">  </w:t>
            </w:r>
            <w:r>
              <w:rPr>
                <w:rFonts w:ascii="Times New Roman" w:cs="Times New Roman" w:hAnsi="Times New Roman" w:hint="eastAsia"/>
                <w:sz w:val="24"/>
                <w:szCs w:val="20"/>
                <w:lang w:val="en-US" w:eastAsia="zh-CN"/>
              </w:rPr>
              <w:t xml:space="preserve">     </w:t>
            </w:r>
            <w:r>
              <w:rPr>
                <w:rFonts w:ascii="Times New Roman" w:cs="Times New Roman" w:hAnsi="Times New Roman" w:hint="eastAsia"/>
                <w:sz w:val="24"/>
                <w:szCs w:val="20"/>
                <w:u w:val="single"/>
                <w:lang w:val="en-US" w:eastAsia="zh-CN"/>
              </w:rPr>
              <w:t>废气</w:t>
            </w:r>
            <w:r>
              <w:rPr>
                <w:rFonts w:ascii="Times New Roman" w:cs="Times New Roman" w:hAnsi="Times New Roman"/>
                <w:sz w:val="24"/>
                <w:szCs w:val="20"/>
                <w:u w:val="single"/>
                <w:lang w:val="en-US" w:eastAsia="zh-CN"/>
              </w:rPr>
              <w:t>监测计划一览表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388"/>
              <w:gridCol w:w="1671"/>
              <w:gridCol w:w="1579"/>
              <w:gridCol w:w="3961"/>
            </w:tblGrid>
            <w:tr>
              <w:trPr>
                <w:trHeight w:val="340"/>
              </w:trPr>
              <w:tc>
                <w:tcPr>
                  <w:tcW w:w="807"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b/>
                      <w:snapToGrid w:val="0"/>
                      <w:color w:val="000000"/>
                      <w:kern w:val="0"/>
                      <w:sz w:val="21"/>
                      <w:szCs w:val="21"/>
                    </w:rPr>
                  </w:pPr>
                  <w:r>
                    <w:rPr>
                      <w:rFonts w:ascii="Times New Roman" w:eastAsia="宋体" w:cs="Times New Roman" w:hAnsi="Times New Roman"/>
                      <w:b/>
                      <w:snapToGrid w:val="0"/>
                      <w:color w:val="000000"/>
                      <w:kern w:val="0"/>
                      <w:sz w:val="21"/>
                      <w:szCs w:val="21"/>
                    </w:rPr>
                    <w:t>监测点位</w:t>
                  </w:r>
                </w:p>
              </w:tc>
              <w:tc>
                <w:tcPr>
                  <w:tcW w:w="971"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b/>
                      <w:snapToGrid w:val="0"/>
                      <w:color w:val="000000"/>
                      <w:kern w:val="0"/>
                      <w:sz w:val="21"/>
                      <w:szCs w:val="21"/>
                    </w:rPr>
                  </w:pPr>
                  <w:r>
                    <w:rPr>
                      <w:rFonts w:ascii="Times New Roman" w:eastAsia="宋体" w:cs="Times New Roman" w:hAnsi="Times New Roman"/>
                      <w:b/>
                      <w:snapToGrid w:val="0"/>
                      <w:color w:val="000000"/>
                      <w:kern w:val="0"/>
                      <w:sz w:val="21"/>
                      <w:szCs w:val="21"/>
                    </w:rPr>
                    <w:t>监测项目</w:t>
                  </w:r>
                </w:p>
              </w:tc>
              <w:tc>
                <w:tcPr>
                  <w:tcW w:w="918"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b/>
                      <w:snapToGrid w:val="0"/>
                      <w:color w:val="000000"/>
                      <w:kern w:val="0"/>
                      <w:sz w:val="21"/>
                      <w:szCs w:val="21"/>
                    </w:rPr>
                  </w:pPr>
                  <w:r>
                    <w:rPr>
                      <w:rFonts w:ascii="Times New Roman" w:eastAsia="宋体" w:cs="Times New Roman" w:hAnsi="Times New Roman"/>
                      <w:b/>
                      <w:snapToGrid w:val="0"/>
                      <w:color w:val="000000"/>
                      <w:kern w:val="0"/>
                      <w:sz w:val="21"/>
                      <w:szCs w:val="21"/>
                    </w:rPr>
                    <w:t>监测频次</w:t>
                  </w:r>
                </w:p>
              </w:tc>
              <w:tc>
                <w:tcPr>
                  <w:tcW w:w="2302"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hint="eastAsia"/>
                      <w:b/>
                      <w:snapToGrid w:val="0"/>
                      <w:color w:val="000000"/>
                      <w:kern w:val="0"/>
                      <w:sz w:val="21"/>
                      <w:szCs w:val="21"/>
                      <w:lang w:val="en-US" w:eastAsia="zh-CN"/>
                    </w:rPr>
                  </w:pPr>
                  <w:r>
                    <w:rPr>
                      <w:rFonts w:ascii="Times New Roman" w:cs="Times New Roman" w:hAnsi="Times New Roman" w:hint="eastAsia"/>
                      <w:b/>
                      <w:snapToGrid w:val="0"/>
                      <w:color w:val="000000"/>
                      <w:kern w:val="0"/>
                      <w:sz w:val="21"/>
                      <w:szCs w:val="21"/>
                      <w:lang w:val="en-US" w:eastAsia="zh-CN"/>
                    </w:rPr>
                    <w:t>执行标准</w:t>
                  </w:r>
                </w:p>
              </w:tc>
            </w:tr>
            <w:tr>
              <w:trPr>
                <w:trHeight w:val="340"/>
              </w:trPr>
              <w:tc>
                <w:tcPr>
                  <w:tcW w:w="807"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Fonts w:ascii="Times New Roman" w:eastAsia="宋体" w:cs="Times New Roman" w:hAnsi="Times New Roman"/>
                      <w:snapToGrid w:val="0"/>
                      <w:color w:val="000000"/>
                      <w:kern w:val="0"/>
                      <w:sz w:val="21"/>
                      <w:szCs w:val="21"/>
                      <w:u w:val="single"/>
                    </w:rPr>
                    <w:t>油气处理装置排气筒</w:t>
                  </w:r>
                </w:p>
              </w:tc>
              <w:tc>
                <w:tcPr>
                  <w:tcW w:w="971"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lang w:val="en-US" w:eastAsia="zh-CN"/>
                    </w:rPr>
                  </w:pPr>
                  <w:r>
                    <w:rPr>
                      <w:rFonts w:ascii="Times New Roman" w:eastAsia="宋体" w:cs="Times New Roman" w:hAnsi="Times New Roman"/>
                      <w:snapToGrid w:val="0"/>
                      <w:color w:val="000000"/>
                      <w:kern w:val="0"/>
                      <w:sz w:val="21"/>
                      <w:szCs w:val="21"/>
                      <w:u w:val="single"/>
                      <w:lang w:val="en-US" w:eastAsia="zh-CN"/>
                    </w:rPr>
                    <w:t>非甲烷总烃</w:t>
                  </w:r>
                </w:p>
              </w:tc>
              <w:tc>
                <w:tcPr>
                  <w:tcW w:w="918"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hint="eastAsia"/>
                      <w:snapToGrid w:val="0"/>
                      <w:color w:val="000000"/>
                      <w:kern w:val="0"/>
                      <w:sz w:val="21"/>
                      <w:szCs w:val="21"/>
                      <w:u w:val="single"/>
                      <w:lang w:eastAsia="zh-CN"/>
                    </w:rPr>
                  </w:pPr>
                  <w:r>
                    <w:rPr>
                      <w:rFonts w:ascii="Times New Roman" w:eastAsia="宋体" w:cs="Times New Roman" w:hAnsi="Times New Roman"/>
                      <w:snapToGrid w:val="0"/>
                      <w:color w:val="000000"/>
                      <w:kern w:val="0"/>
                      <w:sz w:val="21"/>
                      <w:szCs w:val="21"/>
                      <w:u w:val="single"/>
                    </w:rPr>
                    <w:t>1次</w:t>
                  </w:r>
                  <w:r>
                    <w:rPr>
                      <w:rFonts w:ascii="Times New Roman" w:cs="Times New Roman" w:hAnsi="Times New Roman" w:hint="eastAsia"/>
                      <w:snapToGrid w:val="0"/>
                      <w:color w:val="000000"/>
                      <w:kern w:val="0"/>
                      <w:sz w:val="21"/>
                      <w:szCs w:val="21"/>
                      <w:u w:val="single"/>
                      <w:lang w:val="en-US" w:eastAsia="zh-CN"/>
                    </w:rPr>
                    <w:t>/年</w:t>
                  </w:r>
                </w:p>
              </w:tc>
              <w:tc>
                <w:tcPr>
                  <w:tcW w:w="2302"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hint="eastAsia"/>
                      <w:snapToGrid w:val="0"/>
                      <w:color w:val="000000"/>
                      <w:kern w:val="0"/>
                      <w:sz w:val="21"/>
                      <w:szCs w:val="21"/>
                      <w:u w:val="single"/>
                      <w:lang w:eastAsia="zh-CN"/>
                    </w:rPr>
                  </w:pPr>
                  <w:r>
                    <w:rPr>
                      <w:rFonts w:ascii="Times New Roman" w:eastAsia="宋体" w:cs="Times New Roman" w:hAnsi="Times New Roman"/>
                      <w:sz w:val="21"/>
                      <w:szCs w:val="21"/>
                      <w:u w:val="single"/>
                      <w:highlight w:val="none"/>
                    </w:rPr>
                    <w:t>《关于全省开展工业企业挥发性有机物专项治理工作中排放建议值的通知》豫环攻坚办</w:t>
                  </w:r>
                  <w:r>
                    <w:rPr>
                      <w:rFonts w:ascii="Times New Roman" w:eastAsia="宋体" w:cs="Times New Roman" w:hAnsi="Times New Roman"/>
                      <w:sz w:val="21"/>
                      <w:szCs w:val="21"/>
                      <w:u w:val="single"/>
                      <w:lang w:eastAsia="zh-CN"/>
                      <w:highlight w:val="none"/>
                    </w:rPr>
                    <w:t>[2017]</w:t>
                  </w:r>
                  <w:r>
                    <w:rPr>
                      <w:rFonts w:ascii="Times New Roman" w:eastAsia="宋体" w:cs="Times New Roman" w:hAnsi="Times New Roman"/>
                      <w:sz w:val="21"/>
                      <w:szCs w:val="21"/>
                      <w:u w:val="single"/>
                      <w:highlight w:val="none"/>
                    </w:rPr>
                    <w:t>162号文</w:t>
                  </w:r>
                  <w:r>
                    <w:rPr>
                      <w:rFonts w:ascii="Times New Roman" w:eastAsia="宋体" w:cs="Times New Roman" w:hAnsi="Times New Roman" w:hint="eastAsia"/>
                      <w:sz w:val="21"/>
                      <w:szCs w:val="21"/>
                      <w:u w:val="single"/>
                      <w:lang w:eastAsia="zh-CN"/>
                      <w:highlight w:val="none"/>
                    </w:rPr>
                    <w:t>、</w:t>
                  </w:r>
                  <w:r>
                    <w:rPr>
                      <w:rFonts w:ascii="Times New Roman" w:eastAsia="宋体" w:cs="Times New Roman" w:hAnsi="Times New Roman" w:hint="eastAsia"/>
                      <w:b w:val="0"/>
                      <w:bCs/>
                      <w:color w:val="auto"/>
                      <w:kern w:val="2"/>
                      <w:sz w:val="21"/>
                      <w:szCs w:val="21"/>
                      <w:u w:val="single"/>
                      <w:lang w:val="en-US" w:eastAsia="zh-CN" w:bidi="ar-SA"/>
                    </w:rPr>
                    <w:t>《加油站大气污染物排放标准》（GB20952-2020）</w:t>
                  </w:r>
                </w:p>
              </w:tc>
            </w:tr>
            <w:tr>
              <w:trPr>
                <w:trHeight w:val="340"/>
              </w:trPr>
              <w:tc>
                <w:tcPr>
                  <w:tcW w:w="807"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Style w:val="10"/>
                      <w:rFonts w:ascii="Times New Roman" w:eastAsia="宋体" w:cs="Times New Roman" w:hAnsi="Times New Roman"/>
                      <w:color w:val="000000"/>
                      <w:kern w:val="2"/>
                      <w:sz w:val="21"/>
                      <w:szCs w:val="21"/>
                      <w:u w:val="single"/>
                      <w:lang w:val="en-US" w:eastAsia="zh-CN" w:bidi="ar-SA"/>
                    </w:rPr>
                    <w:t>加油枪喷管</w:t>
                  </w:r>
                </w:p>
              </w:tc>
              <w:tc>
                <w:tcPr>
                  <w:tcW w:w="971"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lang w:val="en-US" w:eastAsia="zh-CN"/>
                    </w:rPr>
                  </w:pPr>
                  <w:r>
                    <w:rPr>
                      <w:rStyle w:val="10"/>
                      <w:rFonts w:ascii="Times New Roman" w:eastAsia="宋体" w:cs="Times New Roman" w:hAnsi="Times New Roman"/>
                      <w:color w:val="000000"/>
                      <w:kern w:val="2"/>
                      <w:sz w:val="21"/>
                      <w:szCs w:val="21"/>
                      <w:u w:val="single"/>
                      <w:lang w:val="en-US" w:eastAsia="zh-CN" w:bidi="ar-SA"/>
                    </w:rPr>
                    <w:t>气液比</w:t>
                  </w:r>
                </w:p>
              </w:tc>
              <w:tc>
                <w:tcPr>
                  <w:tcW w:w="918"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Fonts w:ascii="Times New Roman" w:eastAsia="宋体" w:cs="Times New Roman" w:hAnsi="Times New Roman"/>
                      <w:snapToGrid w:val="0"/>
                      <w:color w:val="000000"/>
                      <w:kern w:val="0"/>
                      <w:sz w:val="21"/>
                      <w:szCs w:val="21"/>
                      <w:u w:val="single"/>
                    </w:rPr>
                    <w:t>1次/</w:t>
                  </w:r>
                  <w:r>
                    <w:rPr>
                      <w:rFonts w:ascii="Times New Roman" w:cs="Times New Roman" w:hAnsi="Times New Roman" w:hint="eastAsia"/>
                      <w:snapToGrid w:val="0"/>
                      <w:color w:val="000000"/>
                      <w:kern w:val="0"/>
                      <w:sz w:val="21"/>
                      <w:szCs w:val="21"/>
                      <w:u w:val="single"/>
                      <w:lang w:val="en-US" w:eastAsia="zh-CN"/>
                    </w:rPr>
                    <w:t>年</w:t>
                  </w:r>
                </w:p>
              </w:tc>
              <w:tc>
                <w:tcPr>
                  <w:tcW w:w="2302" w:type="pct"/>
                  <w:vMerge w:val="restar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Fonts w:ascii="Times New Roman" w:eastAsia="宋体" w:cs="Times New Roman" w:hAnsi="Times New Roman" w:hint="eastAsia"/>
                      <w:b w:val="0"/>
                      <w:bCs/>
                      <w:color w:val="auto"/>
                      <w:kern w:val="2"/>
                      <w:sz w:val="21"/>
                      <w:szCs w:val="21"/>
                      <w:u w:val="single"/>
                      <w:lang w:val="en-US" w:eastAsia="zh-CN" w:bidi="ar-SA"/>
                    </w:rPr>
                    <w:t>《加油站大气污染物排放标准》（GB20952-2020）</w:t>
                  </w:r>
                </w:p>
              </w:tc>
            </w:tr>
            <w:tr>
              <w:trPr>
                <w:trHeight w:val="340"/>
              </w:trPr>
              <w:tc>
                <w:tcPr>
                  <w:tcW w:w="807"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Style w:val="10"/>
                      <w:rFonts w:ascii="Times New Roman" w:eastAsia="宋体" w:cs="Times New Roman" w:hAnsi="Times New Roman"/>
                      <w:color w:val="000000"/>
                      <w:kern w:val="2"/>
                      <w:sz w:val="21"/>
                      <w:szCs w:val="21"/>
                      <w:u w:val="single"/>
                      <w:lang w:val="en-US" w:eastAsia="zh-CN" w:bidi="ar-SA"/>
                    </w:rPr>
                    <w:t>加油油气回收立管</w:t>
                  </w:r>
                </w:p>
              </w:tc>
              <w:tc>
                <w:tcPr>
                  <w:tcW w:w="971"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lang w:val="en-US" w:eastAsia="zh-CN"/>
                    </w:rPr>
                  </w:pPr>
                  <w:r>
                    <w:rPr>
                      <w:rStyle w:val="10"/>
                      <w:rFonts w:ascii="Times New Roman" w:eastAsia="宋体" w:cs="Times New Roman" w:hAnsi="Times New Roman"/>
                      <w:color w:val="000000"/>
                      <w:kern w:val="2"/>
                      <w:sz w:val="21"/>
                      <w:szCs w:val="21"/>
                      <w:u w:val="single"/>
                      <w:lang w:val="en-US" w:eastAsia="zh-CN" w:bidi="ar-SA"/>
                    </w:rPr>
                    <w:t>密闭性、液阻</w:t>
                  </w:r>
                </w:p>
              </w:tc>
              <w:tc>
                <w:tcPr>
                  <w:tcW w:w="918"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Fonts w:ascii="Times New Roman" w:eastAsia="宋体" w:cs="Times New Roman" w:hAnsi="Times New Roman"/>
                      <w:snapToGrid w:val="0"/>
                      <w:color w:val="000000"/>
                      <w:kern w:val="0"/>
                      <w:sz w:val="21"/>
                      <w:szCs w:val="21"/>
                      <w:u w:val="single"/>
                    </w:rPr>
                    <w:t>1次/</w:t>
                  </w:r>
                  <w:r>
                    <w:rPr>
                      <w:rFonts w:ascii="Times New Roman" w:cs="Times New Roman" w:hAnsi="Times New Roman" w:hint="eastAsia"/>
                      <w:snapToGrid w:val="0"/>
                      <w:color w:val="000000"/>
                      <w:kern w:val="0"/>
                      <w:sz w:val="21"/>
                      <w:szCs w:val="21"/>
                      <w:u w:val="single"/>
                      <w:lang w:val="en-US" w:eastAsia="zh-CN"/>
                    </w:rPr>
                    <w:t>年</w:t>
                  </w:r>
                </w:p>
              </w:tc>
              <w:tc>
                <w:tcPr>
                  <w:tcW w:w="2302" w:type="pct"/>
                  <w:vMerge/>
                  <w:tcBorders>
                    <w:tl2br w:val="nil"/>
                    <w:tr2bl w:val="nil"/>
                  </w:tcBorders>
                  <w:vAlign w:val="center"/>
                </w:tcPr>
                <w:p/>
              </w:tc>
            </w:tr>
            <w:tr>
              <w:trPr>
                <w:trHeight w:val="340"/>
              </w:trPr>
              <w:tc>
                <w:tcPr>
                  <w:tcW w:w="807"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Style w:val="10"/>
                      <w:rFonts w:ascii="Times New Roman" w:eastAsia="宋体" w:cs="Times New Roman" w:hAnsi="Times New Roman"/>
                      <w:color w:val="000000"/>
                      <w:kern w:val="2"/>
                      <w:sz w:val="21"/>
                      <w:szCs w:val="21"/>
                      <w:u w:val="single"/>
                      <w:lang w:val="en-US" w:eastAsia="zh-CN" w:bidi="ar-SA"/>
                    </w:rPr>
                  </w:pPr>
                  <w:r>
                    <w:rPr>
                      <w:rStyle w:val="10"/>
                      <w:rFonts w:ascii="Times New Roman" w:eastAsia="宋体" w:cs="Times New Roman" w:hAnsi="Times New Roman"/>
                      <w:color w:val="000000"/>
                      <w:kern w:val="2"/>
                      <w:sz w:val="21"/>
                      <w:szCs w:val="21"/>
                      <w:u w:val="single"/>
                      <w:lang w:val="en-US" w:eastAsia="zh-CN" w:bidi="ar-SA"/>
                    </w:rPr>
                    <w:t>加油站油气回收系统密闭点</w:t>
                  </w:r>
                </w:p>
              </w:tc>
              <w:tc>
                <w:tcPr>
                  <w:tcW w:w="971"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Style w:val="10"/>
                      <w:rFonts w:ascii="Times New Roman" w:eastAsia="宋体" w:cs="Times New Roman" w:hAnsi="Times New Roman"/>
                      <w:color w:val="000000"/>
                      <w:kern w:val="2"/>
                      <w:sz w:val="21"/>
                      <w:szCs w:val="21"/>
                      <w:u w:val="single"/>
                      <w:lang w:val="en-US" w:eastAsia="zh-CN" w:bidi="ar-SA"/>
                    </w:rPr>
                  </w:pPr>
                  <w:r>
                    <w:rPr>
                      <w:rStyle w:val="10"/>
                      <w:rFonts w:ascii="Times New Roman" w:eastAsia="宋体" w:cs="Times New Roman" w:hAnsi="Times New Roman"/>
                      <w:color w:val="000000"/>
                      <w:kern w:val="2"/>
                      <w:sz w:val="21"/>
                      <w:szCs w:val="21"/>
                      <w:u w:val="single"/>
                      <w:lang w:val="en-US" w:eastAsia="zh-CN" w:bidi="ar-SA"/>
                    </w:rPr>
                    <w:t>泄漏检测值</w:t>
                  </w:r>
                </w:p>
              </w:tc>
              <w:tc>
                <w:tcPr>
                  <w:tcW w:w="918"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Fonts w:ascii="Times New Roman" w:eastAsia="宋体" w:cs="Times New Roman" w:hAnsi="Times New Roman"/>
                      <w:snapToGrid w:val="0"/>
                      <w:color w:val="000000"/>
                      <w:kern w:val="0"/>
                      <w:sz w:val="21"/>
                      <w:szCs w:val="21"/>
                      <w:u w:val="single"/>
                    </w:rPr>
                    <w:t>1次/</w:t>
                  </w:r>
                  <w:r>
                    <w:rPr>
                      <w:rFonts w:ascii="Times New Roman" w:cs="Times New Roman" w:hAnsi="Times New Roman" w:hint="eastAsia"/>
                      <w:snapToGrid w:val="0"/>
                      <w:color w:val="000000"/>
                      <w:kern w:val="0"/>
                      <w:sz w:val="21"/>
                      <w:szCs w:val="21"/>
                      <w:u w:val="single"/>
                      <w:lang w:val="en-US" w:eastAsia="zh-CN"/>
                    </w:rPr>
                    <w:t>年</w:t>
                  </w:r>
                </w:p>
              </w:tc>
              <w:tc>
                <w:tcPr>
                  <w:tcW w:w="2302" w:type="pct"/>
                  <w:vMerge/>
                  <w:tcBorders>
                    <w:tl2br w:val="nil"/>
                    <w:tr2bl w:val="nil"/>
                  </w:tcBorders>
                  <w:vAlign w:val="center"/>
                </w:tcPr>
                <w:p/>
              </w:tc>
            </w:tr>
            <w:tr>
              <w:trPr>
                <w:trHeight w:val="340"/>
              </w:trPr>
              <w:tc>
                <w:tcPr>
                  <w:tcW w:w="807"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Fonts w:ascii="Times New Roman" w:eastAsia="宋体" w:cs="Times New Roman" w:hAnsi="Times New Roman"/>
                      <w:snapToGrid w:val="0"/>
                      <w:color w:val="000000"/>
                      <w:kern w:val="0"/>
                      <w:sz w:val="21"/>
                      <w:szCs w:val="21"/>
                      <w:u w:val="single"/>
                    </w:rPr>
                    <w:t>企业边界</w:t>
                  </w:r>
                </w:p>
              </w:tc>
              <w:tc>
                <w:tcPr>
                  <w:tcW w:w="971"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Fonts w:ascii="Times New Roman" w:eastAsia="宋体" w:cs="Times New Roman" w:hAnsi="Times New Roman"/>
                      <w:snapToGrid w:val="0"/>
                      <w:color w:val="000000"/>
                      <w:kern w:val="0"/>
                      <w:sz w:val="21"/>
                      <w:szCs w:val="21"/>
                      <w:u w:val="single"/>
                      <w:lang w:val="en-US" w:eastAsia="zh-CN"/>
                    </w:rPr>
                    <w:t>非甲烷总烃</w:t>
                  </w:r>
                </w:p>
              </w:tc>
              <w:tc>
                <w:tcPr>
                  <w:tcW w:w="918"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Fonts w:ascii="Times New Roman" w:eastAsia="宋体" w:cs="Times New Roman" w:hAnsi="Times New Roman"/>
                      <w:snapToGrid w:val="0"/>
                      <w:color w:val="000000"/>
                      <w:kern w:val="0"/>
                      <w:sz w:val="21"/>
                      <w:szCs w:val="21"/>
                      <w:u w:val="single"/>
                    </w:rPr>
                    <w:t>1次/年</w:t>
                  </w:r>
                </w:p>
              </w:tc>
              <w:tc>
                <w:tcPr>
                  <w:tcW w:w="2302" w:type="pct"/>
                  <w:tcBorders>
                    <w:tl2br w:val="nil"/>
                    <w:tr2bl w:val="nil"/>
                  </w:tcBorders>
                  <w:vAlign w:val="center"/>
                </w:tcPr>
                <w:p>
                  <w:pPr>
                    <w:keepNext w:val="0"/>
                    <w:keepLines w:val="0"/>
                    <w:suppressLineNumbers w:val="0"/>
                    <w:snapToGrid w:val="0"/>
                    <w:spacing w:beforeLines="50" w:before="120" w:beforeAutospacing="0" w:after="0" w:afterAutospacing="0"/>
                    <w:ind w:left="0" w:right="0"/>
                    <w:jc w:val="center"/>
                    <w:rPr>
                      <w:rFonts w:ascii="Times New Roman" w:eastAsia="宋体" w:cs="Times New Roman" w:hAnsi="Times New Roman"/>
                      <w:snapToGrid w:val="0"/>
                      <w:color w:val="000000"/>
                      <w:kern w:val="0"/>
                      <w:sz w:val="21"/>
                      <w:szCs w:val="21"/>
                      <w:u w:val="single"/>
                    </w:rPr>
                  </w:pPr>
                  <w:r>
                    <w:rPr>
                      <w:rFonts w:ascii="Times New Roman" w:eastAsia="宋体" w:cs="Times New Roman" w:hAnsi="Times New Roman"/>
                      <w:sz w:val="21"/>
                      <w:szCs w:val="21"/>
                      <w:u w:val="single"/>
                      <w:highlight w:val="none"/>
                    </w:rPr>
                    <w:t>《关于全省开展工业企业挥发性有机物专项治理工作中排放建议值的通知》豫环攻坚办</w:t>
                  </w:r>
                  <w:r>
                    <w:rPr>
                      <w:rFonts w:ascii="Times New Roman" w:eastAsia="宋体" w:cs="Times New Roman" w:hAnsi="Times New Roman"/>
                      <w:sz w:val="21"/>
                      <w:szCs w:val="21"/>
                      <w:u w:val="single"/>
                      <w:lang w:eastAsia="zh-CN"/>
                      <w:highlight w:val="none"/>
                    </w:rPr>
                    <w:t>[2017]</w:t>
                  </w:r>
                  <w:r>
                    <w:rPr>
                      <w:rFonts w:ascii="Times New Roman" w:eastAsia="宋体" w:cs="Times New Roman" w:hAnsi="Times New Roman"/>
                      <w:sz w:val="21"/>
                      <w:szCs w:val="21"/>
                      <w:u w:val="single"/>
                      <w:highlight w:val="none"/>
                    </w:rPr>
                    <w:t>162号文</w:t>
                  </w:r>
                  <w:r>
                    <w:rPr>
                      <w:rFonts w:ascii="Times New Roman" w:eastAsia="宋体" w:cs="Times New Roman" w:hAnsi="Times New Roman" w:hint="eastAsia"/>
                      <w:sz w:val="21"/>
                      <w:szCs w:val="21"/>
                      <w:u w:val="single"/>
                      <w:lang w:eastAsia="zh-CN"/>
                      <w:highlight w:val="none"/>
                    </w:rPr>
                    <w:t>、</w:t>
                  </w:r>
                  <w:r>
                    <w:rPr>
                      <w:rFonts w:ascii="Times New Roman" w:eastAsia="宋体" w:cs="Times New Roman" w:hAnsi="Times New Roman" w:hint="eastAsia"/>
                      <w:b w:val="0"/>
                      <w:bCs/>
                      <w:color w:val="auto"/>
                      <w:kern w:val="2"/>
                      <w:sz w:val="21"/>
                      <w:szCs w:val="21"/>
                      <w:u w:val="single"/>
                      <w:lang w:val="en-US" w:eastAsia="zh-CN" w:bidi="ar-SA"/>
                    </w:rPr>
                    <w:t>《加油站大气污染物排放标准》（GB20952-2020）</w:t>
                  </w:r>
                </w:p>
              </w:tc>
            </w:tr>
          </w:tbl>
          <w:p>
            <w:pPr>
              <w:keepNext w:val="0"/>
              <w:keepLines w:val="0"/>
              <w:pageBreakBefore w:val="0"/>
              <w:widowControl w:val="0"/>
              <w:suppressLineNumbers w:val="0"/>
              <w:kinsoku/>
              <w:wordWrap/>
              <w:overflowPunct/>
              <w:topLinePunct w:val="0"/>
              <w:autoSpaceDE/>
              <w:autoSpaceDN/>
              <w:bidi w:val="0"/>
              <w:spacing w:before="0" w:beforeAutospacing="0" w:after="0" w:afterAutospacing="0" w:line="480" w:lineRule="exact"/>
              <w:ind w:left="0" w:right="0" w:firstLineChars="200" w:firstLine="480"/>
              <w:rPr>
                <w:rFonts w:ascii="Times New Roman" w:eastAsia="宋体" w:cs="Times New Roman" w:hAnsi="Times New Roman" w:hint="eastAsia"/>
                <w:b/>
                <w:bCs/>
                <w:sz w:val="24"/>
                <w:szCs w:val="24"/>
                <w:lang w:val="en-US" w:eastAsia="zh-CN"/>
              </w:rPr>
            </w:pPr>
            <w:r>
              <w:rPr>
                <w:rFonts w:ascii="Times New Roman" w:cs="Times New Roman" w:hAnsi="Times New Roman"/>
                <w:b/>
                <w:bCs/>
                <w:sz w:val="24"/>
                <w:szCs w:val="24"/>
                <w:lang w:val="en-US" w:eastAsia="zh-CN"/>
              </w:rPr>
              <w:t>2</w:t>
            </w:r>
            <w:r>
              <w:rPr>
                <w:rFonts w:ascii="Times New Roman" w:cs="Times New Roman" w:hAnsi="Times New Roman" w:hint="eastAsia"/>
                <w:b/>
                <w:bCs/>
                <w:sz w:val="24"/>
                <w:szCs w:val="24"/>
                <w:lang w:val="en-US" w:eastAsia="zh-CN"/>
              </w:rPr>
              <w:t>、</w:t>
            </w:r>
            <w:r>
              <w:rPr>
                <w:rFonts w:ascii="Times New Roman" w:eastAsia="宋体" w:cs="Times New Roman" w:hAnsi="Times New Roman"/>
                <w:b/>
                <w:bCs/>
                <w:sz w:val="24"/>
                <w:szCs w:val="24"/>
              </w:rPr>
              <w:t>大气污染源强</w:t>
            </w:r>
            <w:r>
              <w:rPr>
                <w:rFonts w:ascii="Times New Roman" w:cs="Times New Roman" w:hAnsi="Times New Roman" w:hint="eastAsia"/>
                <w:b/>
                <w:bCs/>
                <w:sz w:val="24"/>
                <w:szCs w:val="24"/>
                <w:lang w:val="en-US" w:eastAsia="zh-CN"/>
              </w:rPr>
              <w:t>分析</w:t>
            </w:r>
          </w:p>
          <w:p>
            <w:pPr>
              <w:keepNext w:val="0"/>
              <w:keepLines w:val="0"/>
              <w:suppressLineNumbers w:val="0"/>
              <w:adjustRightInd w:val="0"/>
              <w:snapToGrid w:val="0"/>
              <w:spacing w:before="0" w:beforeAutospacing="0" w:after="0" w:afterAutospacing="0" w:line="440" w:lineRule="exact"/>
              <w:ind w:left="0" w:right="0" w:firstLineChars="200" w:firstLine="480"/>
              <w:jc w:val="both"/>
              <w:rPr>
                <w:rFonts w:cs="Times New Roman" w:hint="eastAsia"/>
                <w:strike w:val="0"/>
                <w:dstrike w:val="0"/>
                <w:color w:val="auto"/>
                <w:sz w:val="24"/>
                <w:lang w:eastAsia="zh-CN"/>
              </w:rPr>
            </w:pPr>
            <w:r>
              <w:rPr>
                <w:rFonts w:ascii="Times New Roman" w:cs="Times New Roman" w:hAnsi="宋体" w:hint="eastAsia"/>
                <w:b w:val="0"/>
                <w:bCs w:val="0"/>
                <w:color w:val="auto"/>
                <w:sz w:val="24"/>
                <w:szCs w:val="20"/>
                <w:lang w:val="en-US" w:eastAsia="zh-CN"/>
              </w:rPr>
              <w:t>本项目运营期间主要产生的废气为卸油、储油和加油过程中的挥发性有机物</w:t>
            </w:r>
            <w:r>
              <w:rPr>
                <w:rFonts w:ascii="Times New Roman" w:cs="Times New Roman" w:hAnsi="Times New Roman" w:hint="eastAsia"/>
                <w:strike w:val="0"/>
                <w:dstrike w:val="0"/>
                <w:color w:val="auto"/>
                <w:sz w:val="24"/>
                <w:szCs w:val="20"/>
                <w:lang w:eastAsia="zh-CN"/>
              </w:rPr>
              <w:t>和</w:t>
            </w:r>
            <w:r>
              <w:rPr>
                <w:rFonts w:ascii="Times New Roman" w:eastAsia="宋体" w:cs="Times New Roman" w:hAnsi="Times New Roman"/>
                <w:strike w:val="0"/>
                <w:dstrike w:val="0"/>
                <w:color w:val="auto"/>
                <w:sz w:val="24"/>
                <w:szCs w:val="20"/>
              </w:rPr>
              <w:t>站区车辆汽车尾气等</w:t>
            </w:r>
            <w:r>
              <w:rPr>
                <w:rFonts w:ascii="Times New Roman" w:cs="Times New Roman" w:hAnsi="Times New Roman" w:hint="eastAsia"/>
                <w:strike w:val="0"/>
                <w:dstrike w:val="0"/>
                <w:color w:val="auto"/>
                <w:sz w:val="24"/>
                <w:szCs w:val="20"/>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000000"/>
                <w:kern w:val="0"/>
                <w:sz w:val="24"/>
                <w:szCs w:val="24"/>
                <w:lang w:val="en-US" w:eastAsia="zh-CN"/>
              </w:rPr>
            </w:pPr>
            <w:r>
              <w:rPr>
                <w:rFonts w:ascii="Times New Roman" w:eastAsia="宋体" w:cs="Times New Roman" w:hAnsi="Times New Roman" w:hint="eastAsia"/>
                <w:color w:val="000000"/>
                <w:kern w:val="0"/>
                <w:sz w:val="24"/>
                <w:szCs w:val="24"/>
                <w:lang w:val="en-US" w:eastAsia="zh-CN"/>
              </w:rPr>
              <w:t>（1）汽车尾气</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000000"/>
                <w:kern w:val="0"/>
                <w:sz w:val="24"/>
                <w:szCs w:val="24"/>
                <w:lang w:val="en-US" w:eastAsia="zh-CN"/>
              </w:rPr>
            </w:pPr>
            <w:r>
              <w:rPr>
                <w:rFonts w:ascii="Times New Roman" w:eastAsia="宋体" w:cs="Times New Roman" w:hAnsi="Times New Roman" w:hint="eastAsia"/>
                <w:color w:val="000000"/>
                <w:kern w:val="0"/>
                <w:sz w:val="24"/>
                <w:szCs w:val="24"/>
                <w:u w:val="single"/>
                <w:lang w:val="en-US" w:eastAsia="zh-CN"/>
              </w:rPr>
              <w:t>本项目为</w:t>
            </w:r>
            <w:r>
              <w:rPr>
                <w:rFonts w:ascii="Times New Roman" w:cs="Times New Roman" w:hAnsi="Times New Roman" w:hint="eastAsia"/>
                <w:color w:val="000000"/>
                <w:kern w:val="0"/>
                <w:sz w:val="24"/>
                <w:szCs w:val="24"/>
                <w:u w:val="single"/>
                <w:lang w:val="en-US" w:eastAsia="zh-CN"/>
              </w:rPr>
              <w:t>新</w:t>
            </w:r>
            <w:r>
              <w:rPr>
                <w:rFonts w:ascii="Times New Roman" w:eastAsia="宋体" w:cs="Times New Roman" w:hAnsi="Times New Roman" w:hint="eastAsia"/>
                <w:color w:val="000000"/>
                <w:kern w:val="0"/>
                <w:sz w:val="24"/>
                <w:szCs w:val="24"/>
                <w:u w:val="single"/>
                <w:lang w:val="en-US" w:eastAsia="zh-CN"/>
              </w:rPr>
              <w:t>建项目，项目站区内新增加油车辆进出时会产生汽车尾气，其主要污染物为</w:t>
            </w:r>
            <w:r>
              <w:rPr>
                <w:rFonts w:ascii="Times New Roman" w:eastAsia="宋体" w:cs="Times New Roman" w:hAnsi="Times New Roman"/>
                <w:color w:val="auto"/>
                <w:sz w:val="24"/>
                <w:szCs w:val="20"/>
                <w:u w:val="single"/>
              </w:rPr>
              <w:t>CO、NOx、THC</w:t>
            </w:r>
            <w:r>
              <w:rPr>
                <w:rFonts w:ascii="Times New Roman" w:eastAsia="宋体" w:cs="Times New Roman" w:hAnsi="Times New Roman" w:hint="eastAsia"/>
                <w:color w:val="000000"/>
                <w:kern w:val="0"/>
                <w:sz w:val="24"/>
                <w:szCs w:val="24"/>
                <w:u w:val="single"/>
                <w:lang w:val="en-US" w:eastAsia="zh-CN"/>
              </w:rPr>
              <w:t>等。由于车辆在站区内行驶距离较短，行驶时间也较短，尾气污染物排放量较少，且排放较分散。本项目周边环境开阔，地面道路空气流动性好、区内道路平坦均有利于尾气的扩散，机动车尾气通过自然扩散排放。通过加强管理，保持交通通畅有序，汽车尾气对周围空气环境影响较小，本次评价不做定量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hint="eastAsia"/>
                <w:sz w:val="24"/>
                <w:szCs w:val="24"/>
                <w:u w:val="single"/>
                <w:lang w:val="en-US" w:eastAsia="zh-CN"/>
              </w:rPr>
            </w:pPr>
            <w:r>
              <w:rPr>
                <w:rFonts w:ascii="Times New Roman" w:eastAsia="宋体" w:cs="Times New Roman" w:hAnsi="Times New Roman" w:hint="eastAsia"/>
                <w:color w:val="000000"/>
                <w:kern w:val="0"/>
                <w:sz w:val="24"/>
                <w:szCs w:val="24"/>
                <w:u w:val="single"/>
                <w:lang w:val="en-US" w:eastAsia="zh-CN"/>
              </w:rPr>
              <w:t>（2）非甲烷总烃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color w:val="000000"/>
                <w:kern w:val="0"/>
                <w:sz w:val="24"/>
                <w:szCs w:val="24"/>
                <w:lang w:val="en-US" w:eastAsia="zh-CN"/>
              </w:rPr>
            </w:pPr>
            <w:r>
              <w:rPr>
                <w:rFonts w:ascii="Times New Roman" w:eastAsia="宋体" w:cs="Times New Roman" w:hAnsi="Times New Roman"/>
                <w:color w:val="000000"/>
                <w:kern w:val="0"/>
                <w:sz w:val="24"/>
                <w:szCs w:val="24"/>
                <w:u w:val="single"/>
                <w:lang w:val="en-US" w:eastAsia="zh-CN"/>
              </w:rPr>
              <w:t>根据《中国加油站VOC排放污染现状及控制》（沈旻嘉.郝吉明.王丽涛，环境科学，2006年第27卷第8期）</w:t>
            </w:r>
            <w:r>
              <w:rPr>
                <w:rFonts w:ascii="Times New Roman" w:cs="Times New Roman" w:hAnsi="Times New Roman" w:hint="eastAsia"/>
                <w:color w:val="000000"/>
                <w:kern w:val="0"/>
                <w:sz w:val="24"/>
                <w:szCs w:val="24"/>
                <w:u w:val="single"/>
                <w:lang w:val="en-US" w:eastAsia="zh-CN"/>
              </w:rPr>
              <w:t>、《社会区域类环境影响评价》（第三版）P221及《美国环保局—空气污染物排放和控制手册2》</w:t>
            </w:r>
            <w:r>
              <w:rPr>
                <w:rFonts w:ascii="Times New Roman" w:eastAsia="宋体" w:cs="Times New Roman" w:hAnsi="Times New Roman"/>
                <w:color w:val="000000"/>
                <w:kern w:val="0"/>
                <w:sz w:val="24"/>
                <w:szCs w:val="24"/>
                <w:u w:val="single"/>
                <w:lang w:val="en-US" w:eastAsia="zh-CN"/>
              </w:rPr>
              <w:t>对我国加油站VOC排放清单的调查情况：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color w:val="auto"/>
                <w:kern w:val="0"/>
                <w:sz w:val="24"/>
                <w:szCs w:val="24"/>
                <w:lang w:val="en-US" w:eastAsia="zh-CN"/>
              </w:rPr>
            </w:pPr>
            <w:r>
              <w:rPr>
                <w:rFonts w:ascii="Times New Roman" w:cs="Times New Roman" w:hAnsi="Times New Roman" w:hint="eastAsia"/>
                <w:b/>
                <w:bCs/>
                <w:color w:val="000000"/>
                <w:kern w:val="0"/>
                <w:sz w:val="24"/>
                <w:szCs w:val="24"/>
                <w:lang w:val="en-US" w:eastAsia="zh-CN"/>
              </w:rPr>
              <w:t>汽油</w:t>
            </w:r>
            <w:r>
              <w:rPr>
                <w:rFonts w:ascii="Times New Roman" w:eastAsia="宋体" w:cs="Times New Roman" w:hAnsi="Times New Roman"/>
                <w:b/>
                <w:bCs/>
                <w:color w:val="000000"/>
                <w:kern w:val="0"/>
                <w:sz w:val="24"/>
                <w:szCs w:val="24"/>
                <w:lang w:val="en-US" w:eastAsia="zh-CN"/>
              </w:rPr>
              <w:t>卸油损失：</w:t>
            </w:r>
            <w:r>
              <w:rPr>
                <w:rFonts w:ascii="Times New Roman" w:eastAsia="宋体" w:cs="Times New Roman" w:hAnsi="Times New Roman"/>
                <w:color w:val="000000"/>
                <w:kern w:val="0"/>
                <w:sz w:val="24"/>
                <w:szCs w:val="24"/>
                <w:lang w:val="en-US" w:eastAsia="zh-CN"/>
              </w:rPr>
              <w:t>储罐大呼吸损失是指油罐进发油时所呼出的油蒸气而造成的油品蒸发损失。油罐进油时，由于油面逐渐升高，气体空间逐渐减小，罐内压力增大，当压力超过呼吸阀控制压力时，一定浓度的油蒸气开始从呼吸阀呼出，直到油罐停止收油。参考《社会区域类环境影响评价》（第三版）P221</w:t>
            </w:r>
            <w:r>
              <w:rPr>
                <w:rFonts w:ascii="Times New Roman" w:cs="Times New Roman" w:hAnsi="Times New Roman" w:hint="eastAsia"/>
                <w:color w:val="000000"/>
                <w:kern w:val="0"/>
                <w:sz w:val="24"/>
                <w:szCs w:val="24"/>
                <w:lang w:val="en-US" w:eastAsia="zh-CN"/>
              </w:rPr>
              <w:t>及《美国环保局—空气污染物排放和控制手册2》汽油储油罐大呼吸时烃类气体平均排放率约 0.88kg/m</w:t>
            </w:r>
            <w:r>
              <w:rPr>
                <w:rFonts w:ascii="Times New Roman" w:cs="Times New Roman" w:hAnsi="Times New Roman" w:hint="eastAsia"/>
                <w:color w:val="000000"/>
                <w:kern w:val="0"/>
                <w:sz w:val="24"/>
                <w:szCs w:val="24"/>
                <w:vertAlign w:val="superscript"/>
                <w:lang w:val="en-US" w:eastAsia="zh-CN"/>
              </w:rPr>
              <w:t>3</w:t>
            </w:r>
            <w:r>
              <w:rPr>
                <w:rFonts w:ascii="Times New Roman" w:cs="Times New Roman" w:hAnsi="Times New Roman" w:hint="eastAsia"/>
                <w:color w:val="000000"/>
                <w:kern w:val="0"/>
                <w:sz w:val="24"/>
                <w:szCs w:val="24"/>
                <w:lang w:val="en-US" w:eastAsia="zh-CN"/>
              </w:rPr>
              <w:t>通过量。</w:t>
            </w:r>
            <w:r>
              <w:rPr>
                <w:rFonts w:ascii="Times New Roman" w:eastAsia="宋体" w:cs="Times New Roman" w:hAnsi="Times New Roman"/>
                <w:color w:val="000000"/>
                <w:kern w:val="0"/>
                <w:sz w:val="24"/>
                <w:szCs w:val="24"/>
                <w:lang w:val="en-US" w:eastAsia="zh-CN"/>
              </w:rPr>
              <w:t>卸油油气回收系统主要是针对汽油逃逸油蒸气而设计，它是指在油罐车卸油时采用密闭式卸油，减少油气向外界逸散，其基本原理就是用导管将逃逸的油气重新输送回油罐车内</w:t>
            </w:r>
            <w:r>
              <w:rPr>
                <w:rFonts w:ascii="Times New Roman" w:eastAsia="宋体" w:cs="Times New Roman" w:hAnsi="Times New Roman"/>
                <w:color w:val="auto"/>
                <w:kern w:val="0"/>
                <w:sz w:val="24"/>
                <w:szCs w:val="24"/>
                <w:lang w:val="en-US" w:eastAsia="zh-CN"/>
              </w:rPr>
              <w:t>，油罐车将油气带回油库进行处理，达到油气回收目的，其油气回收</w:t>
            </w:r>
            <w:r>
              <w:rPr>
                <w:rFonts w:ascii="Times New Roman" w:eastAsia="宋体" w:cs="Times New Roman" w:hAnsi="Times New Roman" w:hint="eastAsia"/>
                <w:color w:val="auto"/>
                <w:kern w:val="0"/>
                <w:sz w:val="24"/>
                <w:szCs w:val="24"/>
                <w:lang w:val="en-US" w:eastAsia="zh-CN"/>
              </w:rPr>
              <w:t>（柴油不涉及）</w:t>
            </w:r>
            <w:r>
              <w:rPr>
                <w:rFonts w:ascii="Times New Roman" w:eastAsia="宋体" w:cs="Times New Roman" w:hAnsi="Times New Roman"/>
                <w:color w:val="auto"/>
                <w:kern w:val="0"/>
                <w:sz w:val="24"/>
                <w:szCs w:val="24"/>
                <w:lang w:val="en-US" w:eastAsia="zh-CN"/>
              </w:rPr>
              <w:t>效率可达9</w:t>
            </w:r>
            <w:r>
              <w:rPr>
                <w:rFonts w:ascii="Times New Roman" w:cs="Times New Roman" w:hAnsi="Times New Roman" w:hint="eastAsia"/>
                <w:color w:val="auto"/>
                <w:kern w:val="0"/>
                <w:sz w:val="24"/>
                <w:szCs w:val="24"/>
                <w:lang w:val="en-US" w:eastAsia="zh-CN"/>
              </w:rPr>
              <w:t>7</w:t>
            </w:r>
            <w:r>
              <w:rPr>
                <w:rFonts w:ascii="Times New Roman" w:eastAsia="宋体" w:cs="Times New Roman" w:hAnsi="Times New Roman"/>
                <w:color w:val="auto"/>
                <w:kern w:val="0"/>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color w:val="auto"/>
                <w:kern w:val="0"/>
                <w:sz w:val="24"/>
                <w:szCs w:val="24"/>
                <w:lang w:val="en-US" w:eastAsia="zh-CN"/>
              </w:rPr>
            </w:pPr>
            <w:r>
              <w:rPr>
                <w:rFonts w:ascii="Times New Roman" w:eastAsia="宋体" w:cs="Times New Roman" w:hAnsi="Times New Roman"/>
                <w:color w:val="auto"/>
                <w:kern w:val="0"/>
                <w:sz w:val="24"/>
                <w:szCs w:val="24"/>
                <w:lang w:val="en-US" w:eastAsia="zh-CN"/>
              </w:rPr>
              <w:t>本项目汽油在卸油时油气产生量为</w:t>
            </w:r>
            <w:r>
              <w:rPr>
                <w:rFonts w:ascii="Times New Roman" w:cs="Times New Roman" w:hAnsi="Times New Roman" w:hint="eastAsia"/>
                <w:color w:val="auto"/>
                <w:kern w:val="0"/>
                <w:sz w:val="24"/>
                <w:szCs w:val="24"/>
                <w:lang w:val="en-US" w:eastAsia="zh-CN"/>
              </w:rPr>
              <w:t>0.4693t</w:t>
            </w:r>
            <w:r>
              <w:rPr>
                <w:rFonts w:ascii="Times New Roman" w:eastAsia="宋体" w:cs="Times New Roman" w:hAnsi="Times New Roman"/>
                <w:color w:val="auto"/>
                <w:kern w:val="0"/>
                <w:sz w:val="24"/>
                <w:szCs w:val="24"/>
                <w:lang w:val="en-US" w:eastAsia="zh-CN"/>
              </w:rPr>
              <w:t>/a</w:t>
            </w:r>
            <w:r>
              <w:rPr>
                <w:rFonts w:ascii="Times New Roman" w:cs="Times New Roman" w:hAnsi="Times New Roman" w:hint="eastAsia"/>
                <w:color w:val="auto"/>
                <w:kern w:val="0"/>
                <w:sz w:val="24"/>
                <w:szCs w:val="24"/>
                <w:lang w:val="en-US" w:eastAsia="zh-CN"/>
              </w:rPr>
              <w:t>，本项目加油站设置密闭卸油口，采取密闭卸油方式，并设置卸油油气回收系统（仅针对汽油）将卸油油气回收至油罐车中。卸油油气回收效率按97%计，则卸油时汽油油气排放量为0.0141t/a，</w:t>
            </w:r>
            <w:r>
              <w:rPr>
                <w:rFonts w:ascii="Times New Roman" w:eastAsia="宋体" w:cs="Times New Roman" w:hAnsi="Times New Roman" w:hint="eastAsia"/>
                <w:color w:val="auto"/>
                <w:kern w:val="0"/>
                <w:sz w:val="24"/>
                <w:szCs w:val="24"/>
                <w:lang w:val="en-US" w:eastAsia="zh-CN"/>
              </w:rPr>
              <w:t>在卸油区无组织排放。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b/>
                <w:bCs/>
                <w:color w:val="auto"/>
                <w:kern w:val="0"/>
                <w:sz w:val="24"/>
                <w:szCs w:val="24"/>
                <w:lang w:val="en-US" w:eastAsia="zh-CN"/>
              </w:rPr>
              <w:t>汽油</w:t>
            </w:r>
            <w:r>
              <w:rPr>
                <w:rFonts w:ascii="Times New Roman" w:eastAsia="宋体" w:cs="Times New Roman" w:hAnsi="Times New Roman"/>
                <w:b/>
                <w:bCs/>
                <w:color w:val="auto"/>
                <w:kern w:val="0"/>
                <w:sz w:val="24"/>
                <w:szCs w:val="24"/>
                <w:lang w:val="en-US" w:eastAsia="zh-CN"/>
              </w:rPr>
              <w:t>加油损失</w:t>
            </w:r>
            <w:r>
              <w:rPr>
                <w:rFonts w:ascii="Times New Roman" w:eastAsia="宋体" w:cs="Times New Roman" w:hAnsi="Times New Roman" w:hint="eastAsia"/>
                <w:b/>
                <w:bCs/>
                <w:color w:val="auto"/>
                <w:kern w:val="0"/>
                <w:sz w:val="24"/>
                <w:szCs w:val="24"/>
                <w:lang w:val="en-US" w:eastAsia="zh-CN"/>
              </w:rPr>
              <w:t>：</w:t>
            </w:r>
            <w:r>
              <w:rPr>
                <w:rFonts w:ascii="Times New Roman" w:eastAsia="宋体" w:cs="Times New Roman" w:hAnsi="Times New Roman"/>
                <w:color w:val="auto"/>
                <w:kern w:val="0"/>
                <w:sz w:val="24"/>
                <w:szCs w:val="24"/>
                <w:lang w:val="en-US" w:eastAsia="zh-CN"/>
              </w:rPr>
              <w:t>加油作业损失主要指为车辆加油时，油品进入汽车油箱，油箱内的烃类气体被油品置换排入大气。参考《社会区域类环境影响评价》（第三版）P221</w:t>
            </w:r>
            <w:r>
              <w:rPr>
                <w:rFonts w:ascii="Times New Roman" w:cs="Times New Roman" w:hAnsi="Times New Roman" w:hint="eastAsia"/>
                <w:color w:val="auto"/>
                <w:kern w:val="0"/>
                <w:sz w:val="24"/>
                <w:szCs w:val="24"/>
                <w:lang w:val="en-US" w:eastAsia="zh-CN"/>
              </w:rPr>
              <w:t>及《美国环保局—空气污染物排放和</w:t>
            </w:r>
            <w:r>
              <w:rPr>
                <w:rFonts w:ascii="Times New Roman" w:cs="Times New Roman" w:hAnsi="Times New Roman" w:hint="eastAsia"/>
                <w:color w:val="000000"/>
                <w:kern w:val="0"/>
                <w:sz w:val="24"/>
                <w:szCs w:val="24"/>
                <w:lang w:val="en-US" w:eastAsia="zh-CN"/>
              </w:rPr>
              <w:t>控制手册2》</w:t>
            </w:r>
            <w:r>
              <w:rPr>
                <w:rFonts w:ascii="Times New Roman" w:eastAsia="宋体" w:cs="Times New Roman" w:hAnsi="Times New Roman"/>
                <w:color w:val="000000"/>
                <w:kern w:val="0"/>
                <w:sz w:val="24"/>
                <w:szCs w:val="24"/>
                <w:lang w:val="en-US" w:eastAsia="zh-CN"/>
              </w:rPr>
              <w:t>，车辆加油时造成的烃类气体排放速率分别为：置换损失未加控制时1.08kg/m</w:t>
            </w:r>
            <w:r>
              <w:rPr>
                <w:rFonts w:ascii="Times New Roman" w:eastAsia="宋体" w:cs="Times New Roman" w:hAnsi="Times New Roman"/>
                <w:color w:val="000000"/>
                <w:kern w:val="0"/>
                <w:sz w:val="24"/>
                <w:szCs w:val="24"/>
                <w:vertAlign w:val="superscript"/>
                <w:lang w:val="en-US" w:eastAsia="zh-CN"/>
              </w:rPr>
              <w:t>3</w:t>
            </w:r>
            <w:r>
              <w:rPr>
                <w:rFonts w:ascii="Times New Roman" w:eastAsia="宋体" w:cs="Times New Roman" w:hAnsi="Times New Roman"/>
                <w:color w:val="000000"/>
                <w:kern w:val="0"/>
                <w:sz w:val="24"/>
                <w:szCs w:val="24"/>
                <w:lang w:val="en-US" w:eastAsia="zh-CN"/>
              </w:rPr>
              <w:t>通过量，置换损失控制时0.11kg/m</w:t>
            </w:r>
            <w:r>
              <w:rPr>
                <w:rFonts w:ascii="Times New Roman" w:eastAsia="宋体" w:cs="Times New Roman" w:hAnsi="Times New Roman"/>
                <w:color w:val="000000"/>
                <w:kern w:val="0"/>
                <w:sz w:val="24"/>
                <w:szCs w:val="24"/>
                <w:vertAlign w:val="superscript"/>
                <w:lang w:val="en-US" w:eastAsia="zh-CN"/>
              </w:rPr>
              <w:t>3</w:t>
            </w:r>
            <w:r>
              <w:rPr>
                <w:rFonts w:ascii="Times New Roman" w:eastAsia="宋体" w:cs="Times New Roman" w:hAnsi="Times New Roman"/>
                <w:color w:val="000000"/>
                <w:kern w:val="0"/>
                <w:sz w:val="24"/>
                <w:szCs w:val="24"/>
                <w:lang w:val="en-US" w:eastAsia="zh-CN"/>
              </w:rPr>
              <w:t>通过量。本项目安装的加油枪都具有自封功能，因此，本次评价加油机作业时烃类气体排放速率以 0.11kg/m</w:t>
            </w:r>
            <w:r>
              <w:rPr>
                <w:rFonts w:ascii="Times New Roman" w:eastAsia="宋体" w:cs="Times New Roman" w:hAnsi="Times New Roman"/>
                <w:color w:val="000000"/>
                <w:kern w:val="0"/>
                <w:sz w:val="24"/>
                <w:szCs w:val="24"/>
                <w:vertAlign w:val="superscript"/>
                <w:lang w:val="en-US" w:eastAsia="zh-CN"/>
              </w:rPr>
              <w:t>3</w:t>
            </w:r>
            <w:r>
              <w:rPr>
                <w:rFonts w:ascii="Times New Roman" w:eastAsia="宋体" w:cs="Times New Roman" w:hAnsi="Times New Roman"/>
                <w:color w:val="000000"/>
                <w:kern w:val="0"/>
                <w:sz w:val="24"/>
                <w:szCs w:val="24"/>
                <w:lang w:val="en-US" w:eastAsia="zh-CN"/>
              </w:rPr>
              <w:t>通过量计。加油机作业过程中，不可避免地有成品油跑、冒、滴、漏现象的发生。跑冒滴漏与加油站的管理、加油工人的操作水平等诸多因素有关，参考《社会区域类 环境影响评价》（第三版），成品油的跑、冒、滴、漏一般平均损失量为0.084kg/m</w:t>
            </w:r>
            <w:r>
              <w:rPr>
                <w:rFonts w:ascii="Times New Roman" w:eastAsia="宋体" w:cs="Times New Roman" w:hAnsi="Times New Roman"/>
                <w:color w:val="000000"/>
                <w:kern w:val="0"/>
                <w:sz w:val="24"/>
                <w:szCs w:val="24"/>
                <w:vertAlign w:val="superscript"/>
                <w:lang w:val="en-US" w:eastAsia="zh-CN"/>
              </w:rPr>
              <w:t>3</w:t>
            </w:r>
            <w:r>
              <w:rPr>
                <w:rFonts w:ascii="Times New Roman" w:eastAsia="宋体" w:cs="Times New Roman" w:hAnsi="Times New Roman"/>
                <w:color w:val="000000"/>
                <w:kern w:val="0"/>
                <w:sz w:val="24"/>
                <w:szCs w:val="24"/>
                <w:lang w:val="en-US" w:eastAsia="zh-CN"/>
              </w:rPr>
              <w:t>。本站以高标准、高科技、科学管理为基础，设计先进设备，通过加强科学管理，本次评价计算加油站汽油加油作业跑冒滴漏损失部分按</w:t>
            </w:r>
            <w:r>
              <w:rPr>
                <w:rFonts w:ascii="Times New Roman" w:cs="Times New Roman" w:hAnsi="Times New Roman" w:hint="eastAsia"/>
                <w:color w:val="000000"/>
                <w:kern w:val="0"/>
                <w:sz w:val="24"/>
                <w:szCs w:val="24"/>
                <w:lang w:val="en-US" w:eastAsia="zh-CN"/>
              </w:rPr>
              <w:t>1</w:t>
            </w:r>
            <w:r>
              <w:rPr>
                <w:rFonts w:ascii="Times New Roman" w:eastAsia="宋体" w:cs="Times New Roman" w:hAnsi="Times New Roman"/>
                <w:color w:val="000000"/>
                <w:kern w:val="0"/>
                <w:sz w:val="24"/>
                <w:szCs w:val="24"/>
                <w:lang w:val="en-US" w:eastAsia="zh-CN"/>
              </w:rPr>
              <w:t>0%计，即0.0</w:t>
            </w:r>
            <w:r>
              <w:rPr>
                <w:rFonts w:ascii="Times New Roman" w:cs="Times New Roman" w:hAnsi="Times New Roman" w:hint="eastAsia"/>
                <w:color w:val="000000"/>
                <w:kern w:val="0"/>
                <w:sz w:val="24"/>
                <w:szCs w:val="24"/>
                <w:lang w:val="en-US" w:eastAsia="zh-CN"/>
              </w:rPr>
              <w:t>084</w:t>
            </w:r>
            <w:r>
              <w:rPr>
                <w:rFonts w:ascii="Times New Roman" w:eastAsia="宋体" w:cs="Times New Roman" w:hAnsi="Times New Roman"/>
                <w:color w:val="000000"/>
                <w:kern w:val="0"/>
                <w:sz w:val="24"/>
                <w:szCs w:val="24"/>
                <w:lang w:val="en-US" w:eastAsia="zh-CN"/>
              </w:rPr>
              <w:t>kg/m</w:t>
            </w:r>
            <w:r>
              <w:rPr>
                <w:rFonts w:ascii="Times New Roman" w:eastAsia="宋体" w:cs="Times New Roman" w:hAnsi="Times New Roman"/>
                <w:color w:val="000000"/>
                <w:kern w:val="0"/>
                <w:sz w:val="24"/>
                <w:szCs w:val="24"/>
                <w:vertAlign w:val="superscript"/>
                <w:lang w:val="en-US" w:eastAsia="zh-CN"/>
              </w:rPr>
              <w:t>3</w:t>
            </w:r>
            <w:r>
              <w:rPr>
                <w:rFonts w:ascii="Times New Roman" w:eastAsia="宋体" w:cs="Times New Roman" w:hAnsi="Times New Roman"/>
                <w:color w:val="000000"/>
                <w:kern w:val="0"/>
                <w:sz w:val="24"/>
                <w:szCs w:val="24"/>
                <w:lang w:val="en-US" w:eastAsia="zh-CN"/>
              </w:rPr>
              <w:t>通过量。</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kern w:val="0"/>
                <w:sz w:val="24"/>
                <w:szCs w:val="24"/>
                <w:lang w:val="en-US" w:eastAsia="zh-CN"/>
              </w:rPr>
            </w:pPr>
            <w:r>
              <w:rPr>
                <w:rFonts w:ascii="Times New Roman" w:eastAsia="宋体" w:cs="Times New Roman" w:hAnsi="Times New Roman"/>
                <w:color w:val="000000"/>
                <w:kern w:val="0"/>
                <w:sz w:val="24"/>
                <w:szCs w:val="24"/>
                <w:lang w:val="en-US" w:eastAsia="zh-CN"/>
              </w:rPr>
              <w:t>本加油站汽油加油枪配有二次油气回收系统，利用油枪上的特殊装置，将油箱的油气通过油气回收胶管</w:t>
            </w:r>
            <w:r>
              <w:rPr>
                <w:rFonts w:ascii="Times New Roman" w:eastAsia="宋体" w:cs="Times New Roman" w:hAnsi="Times New Roman"/>
                <w:color w:val="auto"/>
                <w:kern w:val="0"/>
                <w:sz w:val="24"/>
                <w:szCs w:val="24"/>
                <w:lang w:val="en-US" w:eastAsia="zh-CN"/>
              </w:rPr>
              <w:t>经过油气封存冷凝系统最终回到油罐中，其油气回收效率可达95%以上</w:t>
            </w:r>
            <w:r>
              <w:rPr>
                <w:rFonts w:ascii="Times New Roman" w:eastAsia="宋体" w:cs="Times New Roman" w:hAnsi="Times New Roman" w:hint="eastAsia"/>
                <w:color w:val="auto"/>
                <w:kern w:val="0"/>
                <w:sz w:val="24"/>
                <w:szCs w:val="24"/>
                <w:lang w:val="en-US" w:eastAsia="zh-CN"/>
              </w:rPr>
              <w:t>，</w:t>
            </w:r>
            <w:r>
              <w:rPr>
                <w:rFonts w:ascii="Times New Roman" w:cs="Times New Roman" w:hAnsi="Times New Roman" w:hint="eastAsia"/>
                <w:color w:val="auto"/>
                <w:kern w:val="0"/>
                <w:sz w:val="24"/>
                <w:szCs w:val="24"/>
                <w:lang w:val="en-US" w:eastAsia="zh-CN"/>
              </w:rPr>
              <w:t>汽油跑、冒、滴、漏损失为无组织排放，</w:t>
            </w:r>
            <w:r>
              <w:rPr>
                <w:rFonts w:ascii="Times New Roman" w:eastAsia="宋体" w:cs="Times New Roman" w:hAnsi="Times New Roman" w:hint="eastAsia"/>
                <w:color w:val="auto"/>
                <w:kern w:val="0"/>
                <w:sz w:val="24"/>
                <w:szCs w:val="24"/>
                <w:lang w:val="en-US" w:eastAsia="zh-CN"/>
              </w:rPr>
              <w:t>因此，加油时汽油油气无组织排放量为</w:t>
            </w:r>
            <w:r>
              <w:rPr>
                <w:rFonts w:ascii="Times New Roman" w:cs="Times New Roman" w:hAnsi="Times New Roman" w:hint="eastAsia"/>
                <w:color w:val="auto"/>
                <w:kern w:val="0"/>
                <w:sz w:val="24"/>
                <w:szCs w:val="24"/>
                <w:lang w:val="en-US" w:eastAsia="zh-CN"/>
              </w:rPr>
              <w:t>0.0074</w:t>
            </w:r>
            <w:r>
              <w:rPr>
                <w:rFonts w:ascii="Times New Roman" w:eastAsia="宋体" w:cs="Times New Roman" w:hAnsi="Times New Roman" w:hint="eastAsia"/>
                <w:color w:val="auto"/>
                <w:kern w:val="0"/>
                <w:sz w:val="24"/>
                <w:szCs w:val="24"/>
                <w:lang w:val="en-US" w:eastAsia="zh-CN"/>
              </w:rPr>
              <w:t>t/a。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color w:val="auto"/>
                <w:kern w:val="0"/>
                <w:sz w:val="24"/>
                <w:szCs w:val="24"/>
                <w:lang w:val="en-US" w:eastAsia="zh-CN"/>
              </w:rPr>
            </w:pPr>
            <w:r>
              <w:rPr>
                <w:rFonts w:ascii="Times New Roman" w:cs="Times New Roman" w:hAnsi="Times New Roman" w:hint="eastAsia"/>
                <w:b/>
                <w:bCs/>
                <w:color w:val="auto"/>
                <w:kern w:val="0"/>
                <w:sz w:val="24"/>
                <w:szCs w:val="24"/>
                <w:lang w:val="en-US" w:eastAsia="zh-CN"/>
              </w:rPr>
              <w:t>汽油</w:t>
            </w:r>
            <w:r>
              <w:rPr>
                <w:rFonts w:ascii="Times New Roman" w:eastAsia="宋体" w:cs="Times New Roman" w:hAnsi="Times New Roman"/>
                <w:b/>
                <w:bCs/>
                <w:color w:val="auto"/>
                <w:kern w:val="0"/>
                <w:sz w:val="24"/>
                <w:szCs w:val="24"/>
                <w:lang w:val="en-US" w:eastAsia="zh-CN"/>
              </w:rPr>
              <w:t>储油损失</w:t>
            </w:r>
            <w:r>
              <w:rPr>
                <w:rFonts w:ascii="Times New Roman" w:eastAsia="宋体" w:cs="Times New Roman" w:hAnsi="Times New Roman" w:hint="eastAsia"/>
                <w:b/>
                <w:bCs/>
                <w:color w:val="auto"/>
                <w:kern w:val="0"/>
                <w:sz w:val="24"/>
                <w:szCs w:val="24"/>
                <w:lang w:val="en-US" w:eastAsia="zh-CN"/>
              </w:rPr>
              <w:t>：</w:t>
            </w:r>
            <w:r>
              <w:rPr>
                <w:rFonts w:ascii="Times New Roman" w:eastAsia="宋体" w:cs="Times New Roman" w:hAnsi="Times New Roman"/>
                <w:color w:val="auto"/>
                <w:kern w:val="0"/>
                <w:sz w:val="24"/>
                <w:szCs w:val="24"/>
                <w:lang w:val="en-US" w:eastAsia="zh-CN"/>
              </w:rPr>
              <w:t>油罐在没有收发油作业的情况下，随着外界气温、压力在一天内的升降周期变化，罐内气体空间温度、油品蒸发速度、油气浓度和蒸气压力也随之变化，这种排出油蒸气和吸入空气的过程造成的油气损失，叫小呼吸损失。参考《社会区域类环境影响评价》（第三版）P221</w:t>
            </w:r>
            <w:r>
              <w:rPr>
                <w:rFonts w:ascii="Times New Roman" w:cs="Times New Roman" w:hAnsi="Times New Roman" w:hint="eastAsia"/>
                <w:color w:val="auto"/>
                <w:kern w:val="0"/>
                <w:sz w:val="24"/>
                <w:szCs w:val="24"/>
                <w:lang w:val="en-US" w:eastAsia="zh-CN"/>
              </w:rPr>
              <w:t>及《美国环保局—空气污染物排放和控制手册2》</w:t>
            </w:r>
            <w:r>
              <w:rPr>
                <w:rFonts w:ascii="Times New Roman" w:eastAsia="宋体" w:cs="Times New Roman" w:hAnsi="Times New Roman"/>
                <w:color w:val="auto"/>
                <w:kern w:val="0"/>
                <w:sz w:val="24"/>
                <w:szCs w:val="24"/>
                <w:lang w:val="en-US" w:eastAsia="zh-CN"/>
              </w:rPr>
              <w:t>，油罐车卸油时烃类有机物平均排放率为0.12kg/m</w:t>
            </w:r>
            <w:r>
              <w:rPr>
                <w:rFonts w:ascii="Times New Roman" w:eastAsia="宋体" w:cs="Times New Roman" w:hAnsi="Times New Roman"/>
                <w:color w:val="auto"/>
                <w:kern w:val="0"/>
                <w:sz w:val="24"/>
                <w:szCs w:val="24"/>
                <w:vertAlign w:val="superscript"/>
                <w:lang w:val="en-US" w:eastAsia="zh-CN"/>
              </w:rPr>
              <w:t>3</w:t>
            </w:r>
            <w:r>
              <w:rPr>
                <w:rFonts w:ascii="Times New Roman" w:eastAsia="宋体" w:cs="Times New Roman" w:hAnsi="Times New Roman"/>
                <w:color w:val="auto"/>
                <w:kern w:val="0"/>
                <w:sz w:val="24"/>
                <w:szCs w:val="24"/>
                <w:lang w:val="en-US" w:eastAsia="zh-CN"/>
              </w:rPr>
              <w:t>通过量</w:t>
            </w:r>
            <w:r>
              <w:rPr>
                <w:rFonts w:ascii="Times New Roman" w:cs="Times New Roman" w:hAnsi="Times New Roman" w:hint="eastAsia"/>
                <w:color w:val="auto"/>
                <w:kern w:val="0"/>
                <w:sz w:val="24"/>
                <w:szCs w:val="24"/>
                <w:lang w:val="en-US" w:eastAsia="zh-CN"/>
              </w:rPr>
              <w:t>，本项目设置油气排放处理装置（三次油气回收，采用“冷凝”法工艺，冷凝效率95%）</w:t>
            </w:r>
            <w:r>
              <w:rPr>
                <w:rFonts w:ascii="Times New Roman" w:eastAsia="宋体" w:cs="Times New Roman" w:hAnsi="Times New Roman"/>
                <w:color w:val="auto"/>
                <w:kern w:val="0"/>
                <w:sz w:val="24"/>
                <w:szCs w:val="24"/>
                <w:lang w:val="en-US" w:eastAsia="zh-CN"/>
              </w:rPr>
              <w:t>。</w:t>
            </w:r>
            <w:r>
              <w:rPr>
                <w:rFonts w:ascii="Times New Roman" w:cs="Times New Roman" w:hAnsi="Times New Roman" w:hint="eastAsia"/>
                <w:color w:val="auto"/>
                <w:kern w:val="0"/>
                <w:sz w:val="24"/>
                <w:szCs w:val="24"/>
                <w:lang w:val="en-US" w:eastAsia="zh-CN"/>
              </w:rPr>
              <w:t>经</w:t>
            </w:r>
            <w:r>
              <w:rPr>
                <w:rFonts w:ascii="Times New Roman" w:eastAsia="宋体" w:cs="Times New Roman" w:hAnsi="Times New Roman" w:hint="eastAsia"/>
                <w:color w:val="auto"/>
                <w:kern w:val="0"/>
                <w:sz w:val="24"/>
                <w:szCs w:val="24"/>
                <w:lang w:val="en-US" w:eastAsia="zh-CN"/>
              </w:rPr>
              <w:t>三次油气回收处理后</w:t>
            </w:r>
            <w:r>
              <w:rPr>
                <w:rFonts w:ascii="Times New Roman" w:eastAsia="宋体" w:cs="Times New Roman" w:hAnsi="Times New Roman"/>
                <w:color w:val="auto"/>
                <w:kern w:val="0"/>
                <w:sz w:val="24"/>
                <w:szCs w:val="24"/>
                <w:lang w:val="en-US" w:eastAsia="zh-CN"/>
              </w:rPr>
              <w:t>，经不低于4m的排放口排放</w:t>
            </w:r>
            <w:r>
              <w:rPr>
                <w:rFonts w:ascii="Times New Roman" w:cs="Times New Roman" w:hAnsi="Times New Roman" w:hint="eastAsia"/>
                <w:color w:val="auto"/>
                <w:kern w:val="0"/>
                <w:sz w:val="24"/>
                <w:szCs w:val="24"/>
                <w:lang w:val="en-US" w:eastAsia="zh-CN"/>
              </w:rPr>
              <w:t>，储油汽油油气排放量为0.0032t/a</w:t>
            </w:r>
            <w:r>
              <w:rPr>
                <w:rFonts w:ascii="Times New Roman" w:eastAsia="宋体" w:cs="Times New Roman" w:hAnsi="Times New Roman" w:hint="eastAsia"/>
                <w:color w:val="auto"/>
                <w:kern w:val="0"/>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color w:val="auto"/>
                <w:kern w:val="0"/>
                <w:sz w:val="24"/>
                <w:szCs w:val="24"/>
                <w:lang w:val="en-US" w:eastAsia="zh-CN"/>
              </w:rPr>
            </w:pPr>
            <w:r>
              <w:rPr>
                <w:rFonts w:ascii="Times New Roman" w:eastAsia="宋体" w:cs="Times New Roman" w:hAnsi="Times New Roman" w:hint="eastAsia"/>
                <w:color w:val="auto"/>
                <w:kern w:val="0"/>
                <w:sz w:val="24"/>
                <w:szCs w:val="24"/>
                <w:lang w:val="en-US" w:eastAsia="zh-CN"/>
              </w:rPr>
              <w:t>经查阅相关资料，在25℃时，汽油密度约为0.75g/ml。本项目预计年销售汽油总量为</w:t>
            </w:r>
            <w:r>
              <w:rPr>
                <w:rFonts w:ascii="Times New Roman" w:cs="Times New Roman" w:hAnsi="Times New Roman" w:hint="eastAsia"/>
                <w:color w:val="auto"/>
                <w:kern w:val="0"/>
                <w:sz w:val="24"/>
                <w:szCs w:val="24"/>
                <w:lang w:val="en-US" w:eastAsia="zh-CN"/>
              </w:rPr>
              <w:t>4</w:t>
            </w:r>
            <w:r>
              <w:rPr>
                <w:rFonts w:ascii="Times New Roman" w:eastAsia="宋体" w:cs="Times New Roman" w:hAnsi="Times New Roman" w:hint="eastAsia"/>
                <w:color w:val="auto"/>
                <w:kern w:val="0"/>
                <w:sz w:val="24"/>
                <w:szCs w:val="24"/>
                <w:lang w:val="en-US" w:eastAsia="zh-CN"/>
              </w:rPr>
              <w:t>00t。项目运营后汽油年通过量</w:t>
            </w:r>
            <w:r>
              <w:rPr>
                <w:rFonts w:ascii="Times New Roman" w:cs="Times New Roman" w:hAnsi="Times New Roman" w:hint="eastAsia"/>
                <w:color w:val="auto"/>
                <w:kern w:val="0"/>
                <w:sz w:val="24"/>
                <w:szCs w:val="24"/>
                <w:lang w:val="en-US" w:eastAsia="zh-CN"/>
              </w:rPr>
              <w:t>533.33</w:t>
            </w:r>
            <w:r>
              <w:rPr>
                <w:rFonts w:ascii="Times New Roman" w:eastAsia="宋体" w:cs="Times New Roman" w:hAnsi="Times New Roman" w:hint="eastAsia"/>
                <w:color w:val="auto"/>
                <w:kern w:val="0"/>
                <w:sz w:val="24"/>
                <w:szCs w:val="24"/>
                <w:lang w:val="en-US" w:eastAsia="zh-CN"/>
              </w:rPr>
              <w:t>m</w:t>
            </w:r>
            <w:r>
              <w:rPr>
                <w:rFonts w:ascii="Times New Roman" w:eastAsia="宋体" w:cs="Times New Roman" w:hAnsi="Times New Roman" w:hint="eastAsia"/>
                <w:color w:val="auto"/>
                <w:kern w:val="0"/>
                <w:sz w:val="24"/>
                <w:szCs w:val="24"/>
                <w:vertAlign w:val="superscript"/>
                <w:lang w:val="en-US" w:eastAsia="zh-CN"/>
              </w:rPr>
              <w:t>3</w:t>
            </w:r>
            <w:r>
              <w:rPr>
                <w:rFonts w:ascii="Times New Roman" w:eastAsia="宋体" w:cs="Times New Roman" w:hAnsi="Times New Roman" w:hint="eastAsia"/>
                <w:color w:val="auto"/>
                <w:kern w:val="0"/>
                <w:sz w:val="24"/>
                <w:szCs w:val="24"/>
                <w:lang w:val="en-US" w:eastAsia="zh-CN"/>
              </w:rPr>
              <w:t>/a，</w:t>
            </w:r>
            <w:r>
              <w:rPr>
                <w:rFonts w:ascii="Times New Roman" w:cs="Times New Roman" w:hAnsi="Times New Roman" w:hint="eastAsia"/>
                <w:color w:val="auto"/>
                <w:kern w:val="0"/>
                <w:sz w:val="24"/>
                <w:szCs w:val="24"/>
                <w:lang w:val="en-US" w:eastAsia="zh-CN"/>
              </w:rPr>
              <w:t>则本项目汽油产生的非甲烷总烃量为0.0247t/a。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eastAsia="宋体" w:cs="Times New Roman" w:hAnsi="Times New Roman"/>
                <w:b/>
                <w:bCs/>
                <w:color w:val="auto"/>
                <w:kern w:val="0"/>
                <w:sz w:val="24"/>
                <w:szCs w:val="24"/>
                <w:lang w:val="en-US" w:eastAsia="zh-CN"/>
              </w:rPr>
            </w:pPr>
            <w:r>
              <w:rPr>
                <w:rFonts w:ascii="Times New Roman" w:cs="Times New Roman" w:hAnsi="Times New Roman" w:hint="eastAsia"/>
                <w:b/>
                <w:bCs/>
                <w:color w:val="auto"/>
                <w:kern w:val="0"/>
                <w:sz w:val="24"/>
                <w:szCs w:val="24"/>
                <w:lang w:val="en-US" w:eastAsia="zh-CN"/>
              </w:rPr>
              <w:t>柴油</w:t>
            </w:r>
            <w:r>
              <w:rPr>
                <w:rFonts w:ascii="Times New Roman" w:eastAsia="宋体" w:cs="Times New Roman" w:hAnsi="Times New Roman"/>
                <w:b/>
                <w:bCs/>
                <w:color w:val="auto"/>
                <w:kern w:val="0"/>
                <w:sz w:val="24"/>
                <w:szCs w:val="24"/>
                <w:lang w:val="en-US" w:eastAsia="zh-CN"/>
              </w:rPr>
              <w:t>卸油损失</w:t>
            </w:r>
            <w:r>
              <w:rPr>
                <w:rFonts w:ascii="Times New Roman" w:cs="Times New Roman" w:hAnsi="Times New Roman" w:hint="eastAsia"/>
                <w:b/>
                <w:bCs/>
                <w:color w:val="auto"/>
                <w:kern w:val="0"/>
                <w:sz w:val="24"/>
                <w:szCs w:val="24"/>
                <w:lang w:val="en-US" w:eastAsia="zh-CN"/>
              </w:rPr>
              <w:t>：</w:t>
            </w:r>
            <w:r>
              <w:rPr>
                <w:rFonts w:ascii="Times New Roman" w:cs="Times New Roman" w:hAnsi="Times New Roman" w:hint="eastAsia"/>
                <w:b w:val="0"/>
                <w:bCs w:val="0"/>
                <w:color w:val="auto"/>
                <w:kern w:val="0"/>
                <w:sz w:val="24"/>
                <w:szCs w:val="24"/>
                <w:lang w:val="en-US" w:eastAsia="zh-CN"/>
              </w:rPr>
              <w:t>大呼吸损耗根据《中国加油站VOC排放污染现状及控制》（环境科学·第27卷第8期2006年8月），未安装油气回收系统的柴油储罐呼吸产生的烃类气体排放量为0.027kg/t，则</w:t>
            </w:r>
            <w:r>
              <w:rPr>
                <w:rFonts w:ascii="Times New Roman" w:eastAsia="宋体" w:cs="Times New Roman" w:hAnsi="Times New Roman"/>
                <w:color w:val="auto"/>
                <w:kern w:val="0"/>
                <w:sz w:val="24"/>
                <w:szCs w:val="24"/>
                <w:lang w:val="en-US" w:eastAsia="zh-CN"/>
              </w:rPr>
              <w:t>柴油在卸油时油气</w:t>
            </w:r>
            <w:r>
              <w:rPr>
                <w:rFonts w:ascii="Times New Roman" w:eastAsia="宋体" w:cs="Times New Roman" w:hAnsi="Times New Roman" w:hint="eastAsia"/>
                <w:color w:val="auto"/>
                <w:kern w:val="0"/>
                <w:sz w:val="24"/>
                <w:szCs w:val="24"/>
                <w:lang w:val="en-US" w:eastAsia="zh-CN"/>
              </w:rPr>
              <w:t>排放</w:t>
            </w:r>
            <w:r>
              <w:rPr>
                <w:rFonts w:ascii="Times New Roman" w:eastAsia="宋体" w:cs="Times New Roman" w:hAnsi="Times New Roman"/>
                <w:color w:val="auto"/>
                <w:kern w:val="0"/>
                <w:sz w:val="24"/>
                <w:szCs w:val="24"/>
                <w:lang w:val="en-US" w:eastAsia="zh-CN"/>
              </w:rPr>
              <w:t>量为</w:t>
            </w:r>
            <w:r>
              <w:rPr>
                <w:rFonts w:ascii="Times New Roman" w:cs="Times New Roman" w:hAnsi="Times New Roman" w:hint="eastAsia"/>
                <w:color w:val="auto"/>
                <w:kern w:val="0"/>
                <w:sz w:val="24"/>
                <w:szCs w:val="24"/>
                <w:lang w:val="en-US" w:eastAsia="zh-CN"/>
              </w:rPr>
              <w:t>0.0365t</w:t>
            </w:r>
            <w:r>
              <w:rPr>
                <w:rFonts w:ascii="Times New Roman" w:eastAsia="宋体" w:cs="Times New Roman" w:hAnsi="Times New Roman"/>
                <w:color w:val="auto"/>
                <w:kern w:val="0"/>
                <w:sz w:val="24"/>
                <w:szCs w:val="24"/>
                <w:lang w:val="en-US" w:eastAsia="zh-CN"/>
              </w:rPr>
              <w:t>/a</w:t>
            </w:r>
            <w:r>
              <w:rPr>
                <w:rFonts w:ascii="Times New Roman" w:eastAsia="宋体" w:cs="Times New Roman" w:hAnsi="Times New Roman" w:hint="eastAsia"/>
                <w:color w:val="auto"/>
                <w:kern w:val="0"/>
                <w:sz w:val="24"/>
                <w:szCs w:val="24"/>
                <w:lang w:val="en-US" w:eastAsia="zh-CN"/>
              </w:rPr>
              <w:t>，在卸油区无组织排放</w:t>
            </w:r>
            <w:r>
              <w:rPr>
                <w:rFonts w:ascii="Times New Roman" w:cs="Times New Roman" w:hAnsi="Times New Roman" w:hint="eastAsia"/>
                <w:color w:val="auto"/>
                <w:kern w:val="0"/>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b/>
                <w:bCs/>
                <w:color w:val="auto"/>
                <w:lang w:val="en-US" w:eastAsia="zh-CN"/>
              </w:rPr>
            </w:pPr>
            <w:r>
              <w:rPr>
                <w:rFonts w:ascii="Times New Roman" w:cs="Times New Roman" w:hAnsi="Times New Roman" w:hint="eastAsia"/>
                <w:b/>
                <w:bCs/>
                <w:color w:val="auto"/>
                <w:sz w:val="24"/>
                <w:szCs w:val="20"/>
                <w:lang w:val="en-US" w:eastAsia="zh-CN"/>
              </w:rPr>
              <w:t>柴油加油损失：</w:t>
            </w:r>
            <w:r>
              <w:rPr>
                <w:rFonts w:ascii="Times New Roman" w:cs="Times New Roman" w:hAnsi="Times New Roman" w:hint="eastAsia"/>
                <w:b w:val="0"/>
                <w:bCs w:val="0"/>
                <w:color w:val="auto"/>
                <w:sz w:val="24"/>
                <w:szCs w:val="20"/>
                <w:lang w:val="en-US" w:eastAsia="zh-CN"/>
              </w:rPr>
              <w:t>根据《中国加油站VOC排放污染现状及控制》（环境科学·第27卷第8期2006年8月），未安装油气回收系统的柴油在加油过程中挥发的废气的排放量为0.048kg/t；</w:t>
            </w:r>
            <w:r>
              <w:rPr>
                <w:rFonts w:ascii="Times New Roman" w:eastAsia="宋体" w:cs="Times New Roman" w:hAnsi="Times New Roman"/>
                <w:color w:val="auto"/>
                <w:kern w:val="0"/>
                <w:sz w:val="24"/>
                <w:szCs w:val="24"/>
                <w:lang w:val="en-US" w:eastAsia="zh-CN"/>
              </w:rPr>
              <w:t>加油机作业过程中，不可避免地有成品油跑、冒、滴、漏现象的发生。跑冒滴漏与加油站的管理、加油工人的操作水平等诸多因素有关，参考《社会区域类 环境影响评价》（第三版），成品油的跑、冒、滴</w:t>
            </w:r>
            <w:r>
              <w:rPr>
                <w:rFonts w:ascii="Times New Roman" w:eastAsia="宋体" w:cs="Times New Roman" w:hAnsi="Times New Roman"/>
                <w:color w:val="000000"/>
                <w:kern w:val="0"/>
                <w:sz w:val="24"/>
                <w:szCs w:val="24"/>
                <w:lang w:val="en-US" w:eastAsia="zh-CN"/>
              </w:rPr>
              <w:t>、漏一般平均损失量为0.084kg/m</w:t>
            </w:r>
            <w:r>
              <w:rPr>
                <w:rFonts w:ascii="Times New Roman" w:eastAsia="宋体" w:cs="Times New Roman" w:hAnsi="Times New Roman"/>
                <w:color w:val="000000"/>
                <w:kern w:val="0"/>
                <w:sz w:val="24"/>
                <w:szCs w:val="24"/>
                <w:vertAlign w:val="superscript"/>
                <w:lang w:val="en-US" w:eastAsia="zh-CN"/>
              </w:rPr>
              <w:t>3</w:t>
            </w:r>
            <w:r>
              <w:rPr>
                <w:rFonts w:ascii="Times New Roman" w:eastAsia="宋体" w:cs="Times New Roman" w:hAnsi="Times New Roman"/>
                <w:color w:val="000000"/>
                <w:kern w:val="0"/>
                <w:sz w:val="24"/>
                <w:szCs w:val="24"/>
                <w:lang w:val="en-US" w:eastAsia="zh-CN"/>
              </w:rPr>
              <w:t>。本站以高标准、高科技、科学管理为基础，设计先进设备，通过加强科学管理，本次评价计算加油站汽油加油作业跑冒滴漏损失部分按</w:t>
            </w:r>
            <w:r>
              <w:rPr>
                <w:rFonts w:ascii="Times New Roman" w:cs="Times New Roman" w:hAnsi="Times New Roman" w:hint="eastAsia"/>
                <w:color w:val="000000"/>
                <w:kern w:val="0"/>
                <w:sz w:val="24"/>
                <w:szCs w:val="24"/>
                <w:lang w:val="en-US" w:eastAsia="zh-CN"/>
              </w:rPr>
              <w:t>1</w:t>
            </w:r>
            <w:r>
              <w:rPr>
                <w:rFonts w:ascii="Times New Roman" w:eastAsia="宋体" w:cs="Times New Roman" w:hAnsi="Times New Roman"/>
                <w:color w:val="000000"/>
                <w:kern w:val="0"/>
                <w:sz w:val="24"/>
                <w:szCs w:val="24"/>
                <w:lang w:val="en-US" w:eastAsia="zh-CN"/>
              </w:rPr>
              <w:t>0%计，即0.0</w:t>
            </w:r>
            <w:r>
              <w:rPr>
                <w:rFonts w:ascii="Times New Roman" w:cs="Times New Roman" w:hAnsi="Times New Roman" w:hint="eastAsia"/>
                <w:color w:val="000000"/>
                <w:kern w:val="0"/>
                <w:sz w:val="24"/>
                <w:szCs w:val="24"/>
                <w:lang w:val="en-US" w:eastAsia="zh-CN"/>
              </w:rPr>
              <w:t>084</w:t>
            </w:r>
            <w:r>
              <w:rPr>
                <w:rFonts w:ascii="Times New Roman" w:eastAsia="宋体" w:cs="Times New Roman" w:hAnsi="Times New Roman"/>
                <w:color w:val="000000"/>
                <w:kern w:val="0"/>
                <w:sz w:val="24"/>
                <w:szCs w:val="24"/>
                <w:lang w:val="en-US" w:eastAsia="zh-CN"/>
              </w:rPr>
              <w:t>kg/m</w:t>
            </w:r>
            <w:r>
              <w:rPr>
                <w:rFonts w:ascii="Times New Roman" w:eastAsia="宋体" w:cs="Times New Roman" w:hAnsi="Times New Roman"/>
                <w:color w:val="000000"/>
                <w:kern w:val="0"/>
                <w:sz w:val="24"/>
                <w:szCs w:val="24"/>
                <w:vertAlign w:val="superscript"/>
                <w:lang w:val="en-US" w:eastAsia="zh-CN"/>
              </w:rPr>
              <w:t>3</w:t>
            </w:r>
            <w:r>
              <w:rPr>
                <w:rFonts w:ascii="Times New Roman" w:eastAsia="宋体" w:cs="Times New Roman" w:hAnsi="Times New Roman"/>
                <w:color w:val="000000"/>
                <w:kern w:val="0"/>
                <w:sz w:val="24"/>
                <w:szCs w:val="24"/>
                <w:lang w:val="en-US" w:eastAsia="zh-CN"/>
              </w:rPr>
              <w:t>通</w:t>
            </w:r>
            <w:r>
              <w:rPr>
                <w:rFonts w:ascii="Times New Roman" w:eastAsia="宋体" w:cs="Times New Roman" w:hAnsi="Times New Roman"/>
                <w:color w:val="auto"/>
                <w:kern w:val="0"/>
                <w:sz w:val="24"/>
                <w:szCs w:val="24"/>
                <w:lang w:val="en-US" w:eastAsia="zh-CN"/>
              </w:rPr>
              <w:t>过量。</w:t>
            </w:r>
            <w:r>
              <w:rPr>
                <w:rFonts w:ascii="Times New Roman" w:cs="Times New Roman" w:hAnsi="Times New Roman" w:hint="eastAsia"/>
                <w:b w:val="0"/>
                <w:bCs w:val="0"/>
                <w:color w:val="auto"/>
                <w:kern w:val="0"/>
                <w:sz w:val="24"/>
                <w:szCs w:val="24"/>
                <w:lang w:val="en-US" w:eastAsia="zh-CN"/>
              </w:rPr>
              <w:t>则</w:t>
            </w:r>
            <w:r>
              <w:rPr>
                <w:rFonts w:ascii="Times New Roman" w:eastAsia="宋体" w:cs="Times New Roman" w:hAnsi="Times New Roman"/>
                <w:color w:val="auto"/>
                <w:kern w:val="0"/>
                <w:sz w:val="24"/>
                <w:szCs w:val="24"/>
                <w:lang w:val="en-US" w:eastAsia="zh-CN"/>
              </w:rPr>
              <w:t>柴油在</w:t>
            </w:r>
            <w:r>
              <w:rPr>
                <w:rFonts w:ascii="Times New Roman" w:cs="Times New Roman" w:hAnsi="Times New Roman" w:hint="eastAsia"/>
                <w:color w:val="auto"/>
                <w:kern w:val="0"/>
                <w:sz w:val="24"/>
                <w:szCs w:val="24"/>
                <w:lang w:val="en-US" w:eastAsia="zh-CN"/>
              </w:rPr>
              <w:t>加</w:t>
            </w:r>
            <w:r>
              <w:rPr>
                <w:rFonts w:ascii="Times New Roman" w:eastAsia="宋体" w:cs="Times New Roman" w:hAnsi="Times New Roman"/>
                <w:color w:val="auto"/>
                <w:kern w:val="0"/>
                <w:sz w:val="24"/>
                <w:szCs w:val="24"/>
                <w:lang w:val="en-US" w:eastAsia="zh-CN"/>
              </w:rPr>
              <w:t>油时油气</w:t>
            </w:r>
            <w:r>
              <w:rPr>
                <w:rFonts w:ascii="Times New Roman" w:eastAsia="宋体" w:cs="Times New Roman" w:hAnsi="Times New Roman" w:hint="eastAsia"/>
                <w:color w:val="auto"/>
                <w:kern w:val="0"/>
                <w:sz w:val="24"/>
                <w:szCs w:val="24"/>
                <w:lang w:val="en-US" w:eastAsia="zh-CN"/>
              </w:rPr>
              <w:t>排放</w:t>
            </w:r>
            <w:r>
              <w:rPr>
                <w:rFonts w:ascii="Times New Roman" w:eastAsia="宋体" w:cs="Times New Roman" w:hAnsi="Times New Roman"/>
                <w:color w:val="auto"/>
                <w:kern w:val="0"/>
                <w:sz w:val="24"/>
                <w:szCs w:val="24"/>
                <w:lang w:val="en-US" w:eastAsia="zh-CN"/>
              </w:rPr>
              <w:t>量为</w:t>
            </w:r>
            <w:r>
              <w:rPr>
                <w:rFonts w:ascii="Times New Roman" w:eastAsia="宋体" w:cs="Times New Roman" w:hAnsi="Times New Roman" w:hint="eastAsia"/>
                <w:color w:val="auto"/>
                <w:kern w:val="0"/>
                <w:sz w:val="24"/>
                <w:szCs w:val="24"/>
                <w:lang w:val="en-US" w:eastAsia="zh-CN"/>
              </w:rPr>
              <w:t>0.0</w:t>
            </w:r>
            <w:r>
              <w:rPr>
                <w:rFonts w:ascii="Times New Roman" w:cs="Times New Roman" w:hAnsi="Times New Roman" w:hint="eastAsia"/>
                <w:color w:val="auto"/>
                <w:kern w:val="0"/>
                <w:sz w:val="24"/>
                <w:szCs w:val="24"/>
                <w:lang w:val="en-US" w:eastAsia="zh-CN"/>
              </w:rPr>
              <w:t>777t</w:t>
            </w:r>
            <w:r>
              <w:rPr>
                <w:rFonts w:ascii="Times New Roman" w:eastAsia="宋体" w:cs="Times New Roman" w:hAnsi="Times New Roman"/>
                <w:color w:val="auto"/>
                <w:kern w:val="0"/>
                <w:sz w:val="24"/>
                <w:szCs w:val="24"/>
                <w:lang w:val="en-US" w:eastAsia="zh-CN"/>
              </w:rPr>
              <w:t>/a</w:t>
            </w:r>
            <w:r>
              <w:rPr>
                <w:rFonts w:ascii="Times New Roman" w:cs="Times New Roman" w:hAnsi="Times New Roman" w:hint="eastAsia"/>
                <w:color w:val="auto"/>
                <w:kern w:val="0"/>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hint="eastAsia"/>
                <w:color w:val="auto"/>
                <w:sz w:val="24"/>
                <w:szCs w:val="21"/>
                <w:u w:val="single"/>
                <w:lang w:val="en-US" w:eastAsia="zh-CN"/>
              </w:rPr>
            </w:pPr>
            <w:r>
              <w:rPr>
                <w:rFonts w:ascii="Times New Roman" w:cs="Times New Roman" w:hAnsi="Times New Roman" w:hint="eastAsia"/>
                <w:b/>
                <w:bCs/>
                <w:color w:val="auto"/>
                <w:kern w:val="0"/>
                <w:sz w:val="24"/>
                <w:szCs w:val="24"/>
                <w:u w:val="single"/>
                <w:lang w:val="en-US" w:eastAsia="zh-CN"/>
              </w:rPr>
              <w:t>柴油储油损失：</w:t>
            </w:r>
            <w:r>
              <w:rPr>
                <w:rFonts w:ascii="Times New Roman" w:eastAsia="宋体" w:cs="Times New Roman" w:hAnsi="Times New Roman"/>
                <w:color w:val="auto"/>
                <w:kern w:val="0"/>
                <w:sz w:val="24"/>
                <w:szCs w:val="24"/>
                <w:u w:val="single"/>
                <w:lang w:val="en-US" w:eastAsia="zh-CN"/>
              </w:rPr>
              <w:t>《中国加油站VOC排放污染现状及控制》文中</w:t>
            </w:r>
            <w:r>
              <w:rPr>
                <w:rFonts w:ascii="Times New Roman" w:eastAsia="宋体" w:cs="Times New Roman" w:hAnsi="Times New Roman" w:hint="eastAsia"/>
                <w:color w:val="auto"/>
                <w:kern w:val="0"/>
                <w:sz w:val="24"/>
                <w:szCs w:val="24"/>
                <w:u w:val="single"/>
                <w:lang w:val="en-US" w:eastAsia="zh-CN"/>
              </w:rPr>
              <w:t>柴油储油过程中产生的油气</w:t>
            </w:r>
            <w:r>
              <w:rPr>
                <w:rFonts w:ascii="Times New Roman" w:cs="Times New Roman" w:hAnsi="Times New Roman" w:hint="eastAsia"/>
                <w:color w:val="auto"/>
                <w:kern w:val="0"/>
                <w:sz w:val="24"/>
                <w:szCs w:val="24"/>
                <w:u w:val="single"/>
                <w:lang w:val="en-US" w:eastAsia="zh-CN"/>
              </w:rPr>
              <w:t>为空值</w:t>
            </w:r>
            <w:r>
              <w:rPr>
                <w:rFonts w:ascii="Times New Roman" w:eastAsia="宋体" w:cs="Times New Roman" w:hAnsi="Times New Roman" w:hint="eastAsia"/>
                <w:color w:val="auto"/>
                <w:kern w:val="0"/>
                <w:sz w:val="24"/>
                <w:szCs w:val="24"/>
                <w:u w:val="single"/>
                <w:lang w:val="en-US" w:eastAsia="zh-CN"/>
              </w:rPr>
              <w:t>，</w:t>
            </w:r>
            <w:r>
              <w:rPr>
                <w:rFonts w:ascii="Times New Roman" w:cs="Times New Roman" w:hAnsi="Times New Roman" w:hint="eastAsia"/>
                <w:color w:val="auto"/>
                <w:kern w:val="0"/>
                <w:sz w:val="24"/>
                <w:szCs w:val="24"/>
                <w:u w:val="single"/>
                <w:lang w:val="en-US" w:eastAsia="zh-CN"/>
              </w:rPr>
              <w:t>同时根据</w:t>
            </w:r>
            <w:r>
              <w:rPr>
                <w:rFonts w:ascii="Times New Roman" w:cs="Times New Roman" w:hAnsi="Times New Roman"/>
                <w:color w:val="auto"/>
                <w:sz w:val="24"/>
                <w:szCs w:val="21"/>
                <w:u w:val="single"/>
              </w:rPr>
              <w:t>《散装液态石油产品损耗》（GB11085-89）</w:t>
            </w:r>
            <w:r>
              <w:rPr>
                <w:rFonts w:ascii="Times New Roman" w:cs="Times New Roman" w:hAnsi="Times New Roman" w:hint="eastAsia"/>
                <w:color w:val="auto"/>
                <w:sz w:val="24"/>
                <w:szCs w:val="21"/>
                <w:u w:val="single"/>
                <w:lang w:val="en-US" w:eastAsia="zh-CN"/>
              </w:rPr>
              <w:t>中表1贮存损耗率，卧式罐的贮存损耗率可忽略不计，则柴油储油的损耗率可忽略不计。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cs="Times New Roman" w:hint="eastAsia"/>
                <w:color w:val="auto"/>
                <w:kern w:val="0"/>
                <w:sz w:val="24"/>
                <w:szCs w:val="24"/>
                <w:lang w:val="en-US" w:eastAsia="zh-CN"/>
              </w:rPr>
            </w:pPr>
            <w:r>
              <w:rPr>
                <w:rFonts w:ascii="Times New Roman" w:eastAsia="宋体" w:cs="Times New Roman" w:hAnsi="Times New Roman" w:hint="eastAsia"/>
                <w:color w:val="auto"/>
                <w:kern w:val="0"/>
                <w:sz w:val="24"/>
                <w:szCs w:val="24"/>
                <w:lang w:val="en-US" w:eastAsia="zh-CN"/>
              </w:rPr>
              <w:t>经查阅相关资料，在25℃时，</w:t>
            </w:r>
            <w:r>
              <w:rPr>
                <w:rFonts w:ascii="Times New Roman" w:cs="Times New Roman" w:hAnsi="Times New Roman" w:hint="eastAsia"/>
                <w:color w:val="auto"/>
                <w:kern w:val="0"/>
                <w:sz w:val="24"/>
                <w:szCs w:val="24"/>
                <w:lang w:val="en-US" w:eastAsia="zh-CN"/>
              </w:rPr>
              <w:t>柴</w:t>
            </w:r>
            <w:r>
              <w:rPr>
                <w:rFonts w:ascii="Times New Roman" w:eastAsia="宋体" w:cs="Times New Roman" w:hAnsi="Times New Roman" w:hint="eastAsia"/>
                <w:color w:val="auto"/>
                <w:kern w:val="0"/>
                <w:sz w:val="24"/>
                <w:szCs w:val="24"/>
                <w:lang w:val="en-US" w:eastAsia="zh-CN"/>
              </w:rPr>
              <w:t>油密度约为0.</w:t>
            </w:r>
            <w:r>
              <w:rPr>
                <w:rFonts w:ascii="Times New Roman" w:cs="Times New Roman" w:hAnsi="Times New Roman" w:hint="eastAsia"/>
                <w:color w:val="auto"/>
                <w:kern w:val="0"/>
                <w:sz w:val="24"/>
                <w:szCs w:val="24"/>
                <w:lang w:val="en-US" w:eastAsia="zh-CN"/>
              </w:rPr>
              <w:t>88</w:t>
            </w:r>
            <w:r>
              <w:rPr>
                <w:rFonts w:ascii="Times New Roman" w:eastAsia="宋体" w:cs="Times New Roman" w:hAnsi="Times New Roman" w:hint="eastAsia"/>
                <w:color w:val="auto"/>
                <w:kern w:val="0"/>
                <w:sz w:val="24"/>
                <w:szCs w:val="24"/>
                <w:lang w:val="en-US" w:eastAsia="zh-CN"/>
              </w:rPr>
              <w:t>g/ml。本项目预计年销售汽油总量为</w:t>
            </w:r>
            <w:r>
              <w:rPr>
                <w:rFonts w:ascii="Times New Roman" w:cs="Times New Roman" w:hAnsi="Times New Roman" w:hint="eastAsia"/>
                <w:color w:val="auto"/>
                <w:kern w:val="0"/>
                <w:sz w:val="24"/>
                <w:szCs w:val="24"/>
                <w:lang w:val="en-US" w:eastAsia="zh-CN"/>
              </w:rPr>
              <w:t>1350</w:t>
            </w:r>
            <w:r>
              <w:rPr>
                <w:rFonts w:ascii="Times New Roman" w:eastAsia="宋体" w:cs="Times New Roman" w:hAnsi="Times New Roman" w:hint="eastAsia"/>
                <w:color w:val="auto"/>
                <w:kern w:val="0"/>
                <w:sz w:val="24"/>
                <w:szCs w:val="24"/>
                <w:lang w:val="en-US" w:eastAsia="zh-CN"/>
              </w:rPr>
              <w:t>t。项目运营后汽油年通过量</w:t>
            </w:r>
            <w:r>
              <w:rPr>
                <w:rFonts w:ascii="Times New Roman" w:cs="Times New Roman" w:hAnsi="Times New Roman" w:hint="eastAsia"/>
                <w:color w:val="auto"/>
                <w:kern w:val="0"/>
                <w:sz w:val="24"/>
                <w:szCs w:val="24"/>
                <w:lang w:val="en-US" w:eastAsia="zh-CN"/>
              </w:rPr>
              <w:t>1534.09</w:t>
            </w:r>
            <w:r>
              <w:rPr>
                <w:rFonts w:ascii="Times New Roman" w:eastAsia="宋体" w:cs="Times New Roman" w:hAnsi="Times New Roman" w:hint="eastAsia"/>
                <w:color w:val="auto"/>
                <w:kern w:val="0"/>
                <w:sz w:val="24"/>
                <w:szCs w:val="24"/>
                <w:lang w:val="en-US" w:eastAsia="zh-CN"/>
              </w:rPr>
              <w:t>m</w:t>
            </w:r>
            <w:r>
              <w:rPr>
                <w:rFonts w:ascii="Times New Roman" w:eastAsia="宋体" w:cs="Times New Roman" w:hAnsi="Times New Roman" w:hint="eastAsia"/>
                <w:color w:val="auto"/>
                <w:kern w:val="0"/>
                <w:sz w:val="24"/>
                <w:szCs w:val="24"/>
                <w:vertAlign w:val="superscript"/>
                <w:lang w:val="en-US" w:eastAsia="zh-CN"/>
              </w:rPr>
              <w:t>3</w:t>
            </w:r>
            <w:r>
              <w:rPr>
                <w:rFonts w:ascii="Times New Roman" w:eastAsia="宋体" w:cs="Times New Roman" w:hAnsi="Times New Roman" w:hint="eastAsia"/>
                <w:color w:val="auto"/>
                <w:kern w:val="0"/>
                <w:sz w:val="24"/>
                <w:szCs w:val="24"/>
                <w:lang w:val="en-US" w:eastAsia="zh-CN"/>
              </w:rPr>
              <w:t>/a，</w:t>
            </w:r>
            <w:r>
              <w:rPr>
                <w:rFonts w:ascii="Times New Roman" w:cs="Times New Roman" w:hAnsi="Times New Roman" w:hint="eastAsia"/>
                <w:color w:val="auto"/>
                <w:kern w:val="0"/>
                <w:sz w:val="24"/>
                <w:szCs w:val="24"/>
                <w:lang w:val="en-US" w:eastAsia="zh-CN"/>
              </w:rPr>
              <w:t>则本项目柴油油产生的非甲烷总烃量为0.1142t/a。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cs="Times New Roman"/>
                <w:color w:val="auto"/>
                <w:kern w:val="0"/>
                <w:sz w:val="24"/>
                <w:szCs w:val="24"/>
                <w:lang w:val="en-US" w:eastAsia="zh-CN"/>
              </w:rPr>
            </w:pPr>
            <w:r>
              <w:rPr>
                <w:rFonts w:ascii="Times New Roman" w:cs="Times New Roman" w:hAnsi="Times New Roman" w:hint="eastAsia"/>
                <w:color w:val="auto"/>
                <w:kern w:val="0"/>
                <w:sz w:val="24"/>
                <w:szCs w:val="24"/>
                <w:lang w:val="en-US" w:eastAsia="zh-CN"/>
              </w:rPr>
              <w:t>综上所述，本项目加油过程中产生的非甲烷总烃量为0.1389t/a。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hint="eastAsia"/>
                <w:color w:val="auto"/>
              </w:rPr>
            </w:pPr>
            <w:r>
              <w:rPr>
                <w:rFonts w:ascii="Times New Roman" w:cs="Times New Roman" w:hAnsi="Times New Roman" w:hint="eastAsia"/>
                <w:color w:val="auto"/>
                <w:kern w:val="0"/>
                <w:sz w:val="24"/>
                <w:szCs w:val="24"/>
                <w:lang w:val="en-US" w:eastAsia="zh-CN"/>
              </w:rPr>
              <w:t>根据《石化行业VOC</w:t>
            </w:r>
            <w:r>
              <w:rPr>
                <w:rFonts w:ascii="Times New Roman" w:cs="Times New Roman" w:hAnsi="Times New Roman" w:hint="eastAsia"/>
                <w:color w:val="auto"/>
                <w:sz w:val="24"/>
                <w:szCs w:val="21"/>
                <w:lang w:val="en-US" w:eastAsia="zh-CN"/>
              </w:rPr>
              <w:t>s污染源排查工作指南》，低矮排气筒（高</w:t>
            </w:r>
            <w:r>
              <w:rPr>
                <w:rFonts w:ascii="Times New Roman" w:cs="Times New Roman" w:hAnsi="Times New Roman" w:hint="eastAsia"/>
                <w:color w:val="auto"/>
                <w:sz w:val="24"/>
                <w:szCs w:val="20"/>
              </w:rPr>
              <w:t>度低于15m的排气筒）的排放属有组织但在一定条件下也可造成无组织排放相同的结果，本项目排气筒4m，因此本项目加油站油气处理装置处理后排放的废气以无组织形式计。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rFonts w:ascii="Times New Roman" w:cs="Times New Roman" w:hAnsi="Times New Roman"/>
                <w:u w:val="single"/>
                <w:lang w:eastAsia="zh-CN"/>
              </w:rPr>
            </w:pPr>
            <w:r>
              <w:rPr>
                <w:rFonts w:ascii="Times New Roman" w:cs="Times New Roman" w:hAnsi="Times New Roman"/>
                <w:color w:val="auto"/>
                <w:sz w:val="24"/>
                <w:szCs w:val="20"/>
                <w:u w:val="single"/>
              </w:rPr>
              <w:t>综上，</w:t>
            </w:r>
            <w:r>
              <w:rPr>
                <w:rFonts w:ascii="Times New Roman" w:cs="Times New Roman" w:hAnsi="Times New Roman" w:hint="eastAsia"/>
                <w:color w:val="auto"/>
                <w:sz w:val="24"/>
                <w:szCs w:val="20"/>
                <w:u w:val="single"/>
                <w:lang w:val="en-US" w:eastAsia="zh-CN"/>
              </w:rPr>
              <w:t>本项</w:t>
            </w:r>
            <w:r>
              <w:rPr>
                <w:rFonts w:ascii="Times New Roman" w:cs="Times New Roman" w:hAnsi="Times New Roman" w:hint="eastAsia"/>
                <w:b w:val="0"/>
                <w:bCs/>
                <w:color w:val="auto"/>
                <w:sz w:val="24"/>
                <w:szCs w:val="20"/>
                <w:u w:val="single"/>
              </w:rPr>
              <w:t>目废气经</w:t>
            </w:r>
            <w:r>
              <w:rPr>
                <w:rFonts w:ascii="Times New Roman" w:cs="Times New Roman" w:hAnsi="Times New Roman" w:hint="eastAsia"/>
                <w:color w:val="auto"/>
                <w:kern w:val="0"/>
                <w:sz w:val="24"/>
                <w:szCs w:val="20"/>
                <w:u w:val="single"/>
                <w:lang w:eastAsia="zh-CN"/>
              </w:rPr>
              <w:t>油气处</w:t>
            </w:r>
            <w:r>
              <w:rPr>
                <w:rFonts w:ascii="Times New Roman" w:cs="Times New Roman" w:hAnsi="Times New Roman" w:hint="eastAsia"/>
                <w:color w:val="auto"/>
                <w:kern w:val="0"/>
                <w:sz w:val="24"/>
                <w:szCs w:val="20"/>
                <w:u w:val="single"/>
                <w:lang w:val="en-US" w:eastAsia="zh-CN"/>
              </w:rPr>
              <w:t>理</w:t>
            </w:r>
            <w:r>
              <w:rPr>
                <w:rFonts w:ascii="Times New Roman" w:cs="Times New Roman" w:hAnsi="Times New Roman" w:hint="eastAsia"/>
                <w:color w:val="auto"/>
                <w:kern w:val="0"/>
                <w:sz w:val="24"/>
                <w:szCs w:val="20"/>
                <w:u w:val="single"/>
                <w:lang w:eastAsia="zh-CN"/>
              </w:rPr>
              <w:t>装置</w:t>
            </w:r>
            <w:r>
              <w:rPr>
                <w:rFonts w:ascii="Times New Roman" w:cs="Times New Roman" w:hAnsi="Times New Roman"/>
                <w:b w:val="0"/>
                <w:bCs/>
                <w:color w:val="auto"/>
                <w:sz w:val="24"/>
                <w:szCs w:val="20"/>
                <w:u w:val="single"/>
              </w:rPr>
              <w:t>处理后的废气经高于</w:t>
            </w:r>
            <w:r>
              <w:rPr>
                <w:rFonts w:ascii="Times New Roman" w:cs="Times New Roman" w:hAnsi="Times New Roman"/>
                <w:b w:val="0"/>
                <w:bCs/>
                <w:color w:val="auto"/>
                <w:sz w:val="24"/>
                <w:szCs w:val="21"/>
                <w:u w:val="single"/>
              </w:rPr>
              <w:t>平面</w:t>
            </w:r>
            <w:r>
              <w:rPr>
                <w:rFonts w:ascii="Times New Roman" w:cs="Times New Roman" w:hAnsi="Times New Roman" w:hint="eastAsia"/>
                <w:b w:val="0"/>
                <w:bCs/>
                <w:color w:val="auto"/>
                <w:sz w:val="24"/>
                <w:szCs w:val="21"/>
                <w:u w:val="single"/>
              </w:rPr>
              <w:t>4m的</w:t>
            </w:r>
            <w:r>
              <w:rPr>
                <w:rFonts w:ascii="Times New Roman" w:cs="Times New Roman" w:hAnsi="Times New Roman"/>
                <w:b w:val="0"/>
                <w:bCs/>
                <w:color w:val="auto"/>
                <w:sz w:val="24"/>
                <w:szCs w:val="21"/>
                <w:u w:val="single"/>
              </w:rPr>
              <w:t>排气管排放</w:t>
            </w:r>
            <w:r>
              <w:rPr>
                <w:rFonts w:ascii="Times New Roman" w:cs="Times New Roman" w:hAnsi="Times New Roman" w:hint="eastAsia"/>
                <w:b w:val="0"/>
                <w:bCs/>
                <w:color w:val="auto"/>
                <w:sz w:val="24"/>
                <w:szCs w:val="21"/>
                <w:u w:val="single"/>
              </w:rPr>
              <w:t>，</w:t>
            </w:r>
            <w:r>
              <w:rPr>
                <w:rFonts w:ascii="Times New Roman" w:cs="Times New Roman" w:hAnsi="Times New Roman"/>
                <w:b w:val="0"/>
                <w:bCs/>
                <w:color w:val="auto"/>
                <w:sz w:val="24"/>
                <w:szCs w:val="21"/>
                <w:u w:val="single"/>
              </w:rPr>
              <w:t>属于</w:t>
            </w:r>
            <w:r>
              <w:rPr>
                <w:rFonts w:ascii="Times New Roman" w:cs="Times New Roman" w:hAnsi="Times New Roman" w:hint="eastAsia"/>
                <w:b w:val="0"/>
                <w:bCs/>
                <w:color w:val="auto"/>
                <w:sz w:val="24"/>
                <w:szCs w:val="21"/>
                <w:u w:val="single"/>
              </w:rPr>
              <w:t>无组织</w:t>
            </w:r>
            <w:r>
              <w:rPr>
                <w:rFonts w:ascii="Times New Roman" w:cs="Times New Roman" w:hAnsi="Times New Roman"/>
                <w:b w:val="0"/>
                <w:bCs/>
                <w:color w:val="auto"/>
                <w:sz w:val="24"/>
                <w:szCs w:val="21"/>
                <w:u w:val="single"/>
              </w:rPr>
              <w:t>排放</w:t>
            </w:r>
            <w:r>
              <w:rPr>
                <w:rFonts w:ascii="Times New Roman" w:cs="Times New Roman" w:hAnsi="Times New Roman" w:hint="eastAsia"/>
                <w:color w:val="auto"/>
                <w:sz w:val="24"/>
                <w:szCs w:val="20"/>
                <w:u w:val="single"/>
                <w:lang w:eastAsia="zh-CN"/>
              </w:rPr>
              <w:t>，</w:t>
            </w:r>
            <w:r>
              <w:rPr>
                <w:rFonts w:ascii="Times New Roman" w:cs="Times New Roman" w:hAnsi="Times New Roman" w:hint="eastAsia"/>
                <w:color w:val="auto"/>
                <w:sz w:val="24"/>
                <w:szCs w:val="20"/>
                <w:u w:val="single"/>
                <w:lang w:val="en-US" w:eastAsia="zh-CN"/>
              </w:rPr>
              <w:t>本加油站</w:t>
            </w:r>
            <w:r>
              <w:rPr>
                <w:rFonts w:ascii="Times New Roman" w:cs="Times New Roman" w:hAnsi="Times New Roman"/>
                <w:color w:val="auto"/>
                <w:sz w:val="24"/>
                <w:szCs w:val="20"/>
                <w:u w:val="single"/>
              </w:rPr>
              <w:t>非甲烷总烃</w:t>
            </w:r>
            <w:r>
              <w:rPr>
                <w:rFonts w:ascii="Times New Roman" w:cs="Times New Roman" w:hAnsi="Times New Roman" w:hint="eastAsia"/>
                <w:color w:val="auto"/>
                <w:sz w:val="24"/>
                <w:szCs w:val="20"/>
                <w:u w:val="single"/>
                <w:lang w:val="en-US" w:eastAsia="zh-CN"/>
              </w:rPr>
              <w:t>排放量为</w:t>
            </w:r>
            <w:r>
              <w:rPr>
                <w:rFonts w:ascii="Times New Roman" w:cs="Times New Roman" w:hAnsi="Times New Roman"/>
                <w:color w:val="auto"/>
                <w:sz w:val="24"/>
                <w:szCs w:val="20"/>
                <w:u w:val="single"/>
                <w:lang w:val="en-US" w:eastAsia="zh-CN"/>
              </w:rPr>
              <w:t>0.</w:t>
            </w:r>
            <w:r>
              <w:rPr>
                <w:rFonts w:ascii="Times New Roman" w:cs="Times New Roman" w:hAnsi="Times New Roman" w:hint="eastAsia"/>
                <w:color w:val="auto"/>
                <w:sz w:val="24"/>
                <w:szCs w:val="20"/>
                <w:u w:val="single"/>
                <w:lang w:val="en-US" w:eastAsia="zh-CN"/>
              </w:rPr>
              <w:t>1389</w:t>
            </w:r>
            <w:r>
              <w:rPr>
                <w:rFonts w:ascii="Times New Roman" w:cs="Times New Roman" w:hAnsi="Times New Roman"/>
                <w:color w:val="auto"/>
                <w:sz w:val="24"/>
                <w:szCs w:val="20"/>
                <w:u w:val="single"/>
              </w:rPr>
              <w:t>t/a，加油站年工作时间为365天（8760h/a），则经处理后非甲烷总烃无组织排放速率为0.0</w:t>
            </w:r>
            <w:r>
              <w:rPr>
                <w:rFonts w:ascii="Times New Roman" w:cs="Times New Roman" w:hAnsi="Times New Roman" w:hint="eastAsia"/>
                <w:color w:val="auto"/>
                <w:sz w:val="24"/>
                <w:szCs w:val="20"/>
                <w:u w:val="single"/>
                <w:lang w:val="en-US" w:eastAsia="zh-CN"/>
              </w:rPr>
              <w:t>159</w:t>
            </w:r>
            <w:r>
              <w:rPr>
                <w:rFonts w:ascii="Times New Roman" w:cs="Times New Roman" w:hAnsi="Times New Roman"/>
                <w:color w:val="auto"/>
                <w:sz w:val="24"/>
                <w:szCs w:val="20"/>
                <w:u w:val="single"/>
              </w:rPr>
              <w:t>kg/h</w:t>
            </w:r>
            <w:r>
              <w:rPr>
                <w:rFonts w:ascii="Times New Roman" w:cs="Times New Roman" w:hAnsi="Times New Roman" w:hint="eastAsia"/>
                <w:color w:val="auto"/>
                <w:sz w:val="24"/>
                <w:szCs w:val="20"/>
                <w:u w:val="single"/>
                <w:lang w:eastAsia="zh-CN"/>
              </w:rPr>
              <w:t>，</w:t>
            </w:r>
            <w:r>
              <w:rPr>
                <w:rFonts w:ascii="Times New Roman" w:cs="Times New Roman" w:hAnsi="Times New Roman" w:hint="eastAsia"/>
                <w:color w:val="auto"/>
                <w:sz w:val="24"/>
                <w:szCs w:val="20"/>
                <w:u w:val="single"/>
                <w:lang w:val="en-US" w:eastAsia="zh-CN"/>
              </w:rPr>
              <w:t>本</w:t>
            </w:r>
            <w:r>
              <w:rPr>
                <w:rFonts w:ascii="Times New Roman" w:cs="Times New Roman" w:hAnsi="Times New Roman" w:hint="eastAsia"/>
                <w:color w:val="000000"/>
                <w:sz w:val="24"/>
                <w:szCs w:val="20"/>
                <w:u w:val="single"/>
                <w:lang w:val="en-US" w:eastAsia="zh-CN"/>
              </w:rPr>
              <w:t>项目产生的非甲烷总烃，经</w:t>
            </w:r>
            <w:r>
              <w:rPr>
                <w:rFonts w:ascii="Times New Roman" w:cs="Times New Roman" w:hAnsi="Times New Roman"/>
                <w:color w:val="000000"/>
                <w:sz w:val="24"/>
                <w:szCs w:val="20"/>
                <w:u w:val="single"/>
              </w:rPr>
              <w:t>采取措施后，</w:t>
            </w:r>
            <w:r>
              <w:rPr>
                <w:rFonts w:ascii="Times New Roman" w:cs="Times New Roman" w:hAnsi="Times New Roman" w:hint="eastAsia"/>
                <w:bCs/>
                <w:color w:val="000000"/>
                <w:sz w:val="24"/>
                <w:szCs w:val="20"/>
                <w:u w:val="single"/>
              </w:rPr>
              <w:t>厂界浓度值能够达到</w:t>
            </w:r>
            <w:r>
              <w:rPr>
                <w:rFonts w:ascii="Times New Roman" w:cs="Times New Roman" w:hAnsi="Times New Roman"/>
                <w:bCs/>
                <w:color w:val="000000"/>
                <w:sz w:val="24"/>
                <w:szCs w:val="20"/>
                <w:u w:val="single"/>
              </w:rPr>
              <w:t>《</w:t>
            </w:r>
            <w:r>
              <w:rPr>
                <w:rFonts w:ascii="Times New Roman" w:cs="Times New Roman" w:hAnsi="Times New Roman" w:hint="eastAsia"/>
                <w:bCs/>
                <w:color w:val="000000"/>
                <w:sz w:val="24"/>
                <w:szCs w:val="20"/>
                <w:u w:val="single"/>
              </w:rPr>
              <w:t>加油站</w:t>
            </w:r>
            <w:r>
              <w:rPr>
                <w:rFonts w:ascii="Times New Roman" w:cs="Times New Roman" w:hAnsi="Times New Roman"/>
                <w:bCs/>
                <w:color w:val="000000"/>
                <w:sz w:val="24"/>
                <w:szCs w:val="20"/>
                <w:u w:val="single"/>
              </w:rPr>
              <w:t>大气污染物排放标准》（GB</w:t>
            </w:r>
            <w:r>
              <w:rPr>
                <w:rFonts w:ascii="Times New Roman" w:cs="Times New Roman" w:hAnsi="Times New Roman" w:hint="eastAsia"/>
                <w:bCs/>
                <w:color w:val="000000"/>
                <w:sz w:val="24"/>
                <w:szCs w:val="20"/>
                <w:u w:val="single"/>
              </w:rPr>
              <w:t>20952</w:t>
            </w:r>
            <w:r>
              <w:rPr>
                <w:rFonts w:ascii="Times New Roman" w:cs="Times New Roman" w:hAnsi="Times New Roman"/>
                <w:bCs/>
                <w:color w:val="000000"/>
                <w:sz w:val="24"/>
                <w:szCs w:val="20"/>
                <w:u w:val="single"/>
              </w:rPr>
              <w:t>-</w:t>
            </w:r>
            <w:r>
              <w:rPr>
                <w:rFonts w:ascii="Times New Roman" w:cs="Times New Roman" w:hAnsi="Times New Roman" w:hint="eastAsia"/>
                <w:bCs/>
                <w:color w:val="000000"/>
                <w:sz w:val="24"/>
                <w:szCs w:val="20"/>
                <w:u w:val="single"/>
              </w:rPr>
              <w:t>2020</w:t>
            </w:r>
            <w:r>
              <w:rPr>
                <w:rFonts w:ascii="Times New Roman" w:cs="Times New Roman" w:hAnsi="Times New Roman"/>
                <w:bCs/>
                <w:color w:val="000000"/>
                <w:sz w:val="24"/>
                <w:szCs w:val="20"/>
                <w:u w:val="single"/>
              </w:rPr>
              <w:t>）表</w:t>
            </w:r>
            <w:r>
              <w:rPr>
                <w:rFonts w:ascii="Times New Roman" w:cs="Times New Roman" w:hAnsi="Times New Roman" w:hint="eastAsia"/>
                <w:bCs/>
                <w:color w:val="000000"/>
                <w:sz w:val="24"/>
                <w:szCs w:val="20"/>
                <w:u w:val="single"/>
              </w:rPr>
              <w:t>3标准限值（监控点</w:t>
            </w:r>
            <w:r>
              <w:rPr>
                <w:rFonts w:ascii="Times New Roman" w:cs="Times New Roman" w:hAnsi="Times New Roman"/>
                <w:bCs/>
                <w:color w:val="000000"/>
                <w:sz w:val="24"/>
                <w:szCs w:val="20"/>
                <w:u w:val="single"/>
              </w:rPr>
              <w:t>处</w:t>
            </w:r>
            <w:r>
              <w:rPr>
                <w:rFonts w:ascii="Times New Roman" w:cs="Times New Roman" w:hAnsi="Times New Roman" w:hint="eastAsia"/>
                <w:bCs/>
                <w:color w:val="000000"/>
                <w:sz w:val="24"/>
                <w:szCs w:val="20"/>
                <w:u w:val="single"/>
              </w:rPr>
              <w:t>1小时平均浓度值</w:t>
            </w:r>
            <w:r>
              <w:rPr>
                <w:rFonts w:ascii="Times New Roman" w:cs="Times New Roman" w:hAnsi="Times New Roman"/>
                <w:bCs/>
                <w:color w:val="000000"/>
                <w:sz w:val="24"/>
                <w:szCs w:val="20"/>
                <w:u w:val="single"/>
              </w:rPr>
              <w:t>4.0mg/m</w:t>
            </w:r>
            <w:r>
              <w:rPr>
                <w:rFonts w:ascii="Times New Roman" w:cs="Times New Roman" w:hAnsi="Times New Roman"/>
                <w:bCs/>
                <w:color w:val="000000"/>
                <w:sz w:val="24"/>
                <w:szCs w:val="20"/>
                <w:u w:val="single"/>
                <w:vertAlign w:val="superscript"/>
              </w:rPr>
              <w:t>3</w:t>
            </w:r>
            <w:r>
              <w:rPr>
                <w:rFonts w:ascii="Times New Roman" w:cs="Times New Roman" w:hAnsi="Times New Roman" w:hint="eastAsia"/>
                <w:bCs/>
                <w:color w:val="000000"/>
                <w:sz w:val="24"/>
                <w:szCs w:val="20"/>
                <w:u w:val="single"/>
              </w:rPr>
              <w:t>）及</w:t>
            </w:r>
            <w:r>
              <w:rPr>
                <w:rFonts w:ascii="Times New Roman" w:cs="Times New Roman" w:hAnsi="Times New Roman"/>
                <w:bCs/>
                <w:color w:val="000000"/>
                <w:sz w:val="24"/>
                <w:szCs w:val="20"/>
                <w:u w:val="single"/>
              </w:rPr>
              <w:t>《关于全省开展工业企业挥发性有机物专项治理工作中排放建议值的通知》（豫环攻坚办</w:t>
            </w:r>
            <w:r>
              <w:rPr>
                <w:rFonts w:ascii="Times New Roman" w:cs="Times New Roman" w:hAnsi="Times New Roman" w:hint="eastAsia"/>
                <w:bCs/>
                <w:color w:val="000000"/>
                <w:sz w:val="24"/>
                <w:szCs w:val="20"/>
                <w:u w:val="single"/>
              </w:rPr>
              <w:t>［</w:t>
            </w:r>
            <w:r>
              <w:rPr>
                <w:rFonts w:ascii="Times New Roman" w:cs="Times New Roman" w:hAnsi="Times New Roman"/>
                <w:bCs/>
                <w:color w:val="000000"/>
                <w:sz w:val="24"/>
                <w:szCs w:val="20"/>
                <w:u w:val="single"/>
              </w:rPr>
              <w:t>2017</w:t>
            </w:r>
            <w:r>
              <w:rPr>
                <w:rFonts w:ascii="Times New Roman" w:cs="Times New Roman" w:hAnsi="Times New Roman" w:hint="eastAsia"/>
                <w:bCs/>
                <w:color w:val="000000"/>
                <w:sz w:val="24"/>
                <w:szCs w:val="20"/>
                <w:u w:val="single"/>
              </w:rPr>
              <w:t>］</w:t>
            </w:r>
            <w:r>
              <w:rPr>
                <w:rFonts w:ascii="Times New Roman" w:cs="Times New Roman" w:hAnsi="Times New Roman"/>
                <w:bCs/>
                <w:color w:val="000000"/>
                <w:sz w:val="24"/>
                <w:szCs w:val="20"/>
                <w:u w:val="single"/>
              </w:rPr>
              <w:t>162号）中厂界排放浓度（无组织</w:t>
            </w:r>
            <w:r>
              <w:rPr>
                <w:rFonts w:ascii="Times New Roman" w:cs="Times New Roman" w:hAnsi="Times New Roman" w:hint="eastAsia"/>
                <w:bCs/>
                <w:color w:val="000000"/>
                <w:sz w:val="24"/>
                <w:szCs w:val="20"/>
                <w:u w:val="single"/>
              </w:rPr>
              <w:t>非甲烷总烃</w:t>
            </w:r>
            <w:r>
              <w:rPr>
                <w:rFonts w:ascii="Times New Roman" w:cs="Times New Roman" w:hAnsi="Times New Roman"/>
                <w:bCs/>
                <w:color w:val="000000"/>
                <w:sz w:val="24"/>
                <w:szCs w:val="20"/>
                <w:u w:val="single"/>
              </w:rPr>
              <w:t>周界外浓度最高点≤</w:t>
            </w:r>
            <w:r>
              <w:rPr>
                <w:rFonts w:ascii="Times New Roman" w:cs="Times New Roman" w:hAnsi="Times New Roman" w:hint="eastAsia"/>
                <w:bCs/>
                <w:color w:val="000000"/>
                <w:sz w:val="24"/>
                <w:szCs w:val="20"/>
                <w:u w:val="single"/>
              </w:rPr>
              <w:t>2</w:t>
            </w:r>
            <w:r>
              <w:rPr>
                <w:rFonts w:ascii="Times New Roman" w:cs="Times New Roman" w:hAnsi="Times New Roman"/>
                <w:bCs/>
                <w:color w:val="000000"/>
                <w:sz w:val="24"/>
                <w:szCs w:val="20"/>
                <w:u w:val="single"/>
              </w:rPr>
              <w:t>.0mg/m</w:t>
            </w:r>
            <w:r>
              <w:rPr>
                <w:rFonts w:ascii="Times New Roman" w:cs="Times New Roman" w:hAnsi="Times New Roman"/>
                <w:bCs/>
                <w:color w:val="000000"/>
                <w:sz w:val="24"/>
                <w:szCs w:val="20"/>
                <w:u w:val="single"/>
                <w:vertAlign w:val="superscript"/>
              </w:rPr>
              <w:t>3</w:t>
            </w:r>
            <w:r>
              <w:rPr>
                <w:rFonts w:ascii="Times New Roman" w:cs="Times New Roman" w:hAnsi="Times New Roman"/>
                <w:bCs/>
                <w:color w:val="000000"/>
                <w:sz w:val="24"/>
                <w:szCs w:val="20"/>
                <w:u w:val="single"/>
              </w:rPr>
              <w:t>）</w:t>
            </w:r>
            <w:r>
              <w:rPr>
                <w:rFonts w:ascii="Times New Roman" w:cs="Times New Roman" w:hAnsi="Times New Roman" w:hint="eastAsia"/>
                <w:bCs/>
                <w:color w:val="000000"/>
                <w:sz w:val="24"/>
                <w:szCs w:val="20"/>
                <w:u w:val="single"/>
              </w:rPr>
              <w:t>限值</w:t>
            </w:r>
            <w:r>
              <w:rPr>
                <w:rFonts w:ascii="Times New Roman" w:cs="Times New Roman" w:hAnsi="Times New Roman"/>
                <w:bCs/>
                <w:color w:val="000000"/>
                <w:sz w:val="24"/>
                <w:szCs w:val="20"/>
                <w:u w:val="single"/>
              </w:rPr>
              <w:t>的要求</w:t>
            </w:r>
            <w:r>
              <w:rPr>
                <w:rFonts w:ascii="Times New Roman" w:cs="Times New Roman" w:hAnsi="Times New Roman"/>
                <w:sz w:val="24"/>
                <w:szCs w:val="20"/>
                <w:u w:val="single"/>
                <w:lang w:eastAsia="zh-CN"/>
              </w:rPr>
              <w:t>。</w:t>
            </w:r>
          </w:p>
          <w:p>
            <w:pPr>
              <w:keepNext w:val="0"/>
              <w:keepLines w:val="0"/>
              <w:pageBreakBefore w:val="0"/>
              <w:widowControl w:val="0"/>
              <w:suppressLineNumbers w:val="0"/>
              <w:tabs>
                <w:tab w:val="left" w:pos="3620"/>
              </w:tabs>
              <w:kinsoku/>
              <w:wordWrap/>
              <w:overflowPunct/>
              <w:topLinePunct w:val="0"/>
              <w:autoSpaceDE/>
              <w:autoSpaceDN/>
              <w:bidi w:val="0"/>
              <w:adjustRightInd w:val="0"/>
              <w:snapToGrid w:val="0"/>
              <w:spacing w:before="0" w:beforeAutospacing="0" w:after="0" w:afterAutospacing="0" w:line="440" w:lineRule="exact"/>
              <w:ind w:left="0" w:right="0" w:firstLineChars="200" w:firstLine="480"/>
              <w:rPr>
                <w:b/>
                <w:bCs/>
                <w:color w:val="000000"/>
                <w:sz w:val="24"/>
                <w14:textFill>
                  <w14:solidFill>
                    <w14:srgbClr w14:val="000000"/>
                  </w14:solidFill>
                </w14:textFill>
                <w:highlight w:val="none"/>
              </w:rPr>
            </w:pPr>
            <w:r>
              <w:rPr>
                <w:rFonts w:ascii="Times New Roman" w:cs="Times New Roman" w:hAnsi="宋体" w:hint="eastAsia"/>
                <w:b/>
                <w:bCs/>
                <w:color w:val="auto"/>
                <w:sz w:val="24"/>
                <w:szCs w:val="20"/>
                <w:lang w:val="en-US" w:eastAsia="zh-CN"/>
                <w:highlight w:val="none"/>
              </w:rPr>
              <w:t>3、</w:t>
            </w:r>
            <w:r>
              <w:rPr>
                <w:rFonts w:ascii="Times New Roman" w:cs="Times New Roman" w:hAnsi="宋体"/>
                <w:b/>
                <w:bCs/>
                <w:color w:val="000000"/>
                <w:sz w:val="24"/>
                <w:szCs w:val="20"/>
                <w14:textFill>
                  <w14:solidFill>
                    <w14:srgbClr w14:val="000000"/>
                  </w14:solidFill>
                </w14:textFill>
                <w:highlight w:val="none"/>
              </w:rPr>
              <w:t>非正常工况环境影响分析</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Chars="200" w:firstLine="480"/>
              <w:jc w:val="both"/>
              <w:textAlignment w:val="auto"/>
              <w:rPr>
                <w:rFonts w:hint="eastAsia"/>
                <w:sz w:val="24"/>
                <w:szCs w:val="24"/>
              </w:rPr>
            </w:pPr>
            <w:r>
              <w:rPr>
                <w:rFonts w:ascii="Times New Roman" w:cs="Times New Roman" w:hAnsi="Times New Roman" w:hint="eastAsia"/>
                <w:sz w:val="24"/>
                <w:szCs w:val="24"/>
                <w:lang w:val="en-US" w:eastAsia="zh-CN"/>
              </w:rPr>
              <w:t>非正常工况排放指生产中开停车（工、炉）、设备检修、工艺设备运转异常等非正常工况下的污染物排放，以及污染排放控制措施达不到应有效率等情况下的排放。</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Chars="200" w:firstLine="480"/>
              <w:jc w:val="both"/>
              <w:textAlignment w:val="auto"/>
              <w:rPr>
                <w:rFonts w:hint="eastAsia"/>
                <w:sz w:val="24"/>
                <w:szCs w:val="24"/>
              </w:rPr>
            </w:pPr>
            <w:r>
              <w:rPr>
                <w:rFonts w:ascii="Times New Roman" w:cs="Times New Roman" w:hAnsi="Times New Roman" w:hint="eastAsia"/>
                <w:sz w:val="24"/>
                <w:szCs w:val="24"/>
                <w:lang w:val="en-US" w:eastAsia="zh-CN"/>
              </w:rPr>
              <w:t>本项目将油气回收系统出现故障污染物直接排放定为非正常工况下的废气排放源强。项目非正常工况废气的排放情况见下表。</w:t>
            </w:r>
          </w:p>
          <w:p>
            <w:pPr>
              <w:pStyle w:val="7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outlineLvl w:val="9"/>
              <w:rPr>
                <w:lang w:val="en-US" w:eastAsia="zh-CN"/>
              </w:rPr>
            </w:pPr>
            <w:r>
              <w:rPr>
                <w:rFonts w:ascii="Times New Roman" w:cs="Times New Roman" w:hAnsi="Times New Roman"/>
                <w:sz w:val="24"/>
                <w:szCs w:val="20"/>
                <w:lang w:val="en-US" w:eastAsia="zh-CN"/>
              </w:rPr>
              <w:t xml:space="preserve">      </w:t>
            </w:r>
            <w:r>
              <w:rPr>
                <w:rFonts w:ascii="Times New Roman" w:cs="Times New Roman" w:hAnsi="Times New Roman" w:hint="eastAsia"/>
                <w:sz w:val="24"/>
                <w:szCs w:val="20"/>
                <w:lang w:val="en-US" w:eastAsia="zh-CN"/>
              </w:rPr>
              <w:t xml:space="preserve">    </w:t>
            </w:r>
            <w:r>
              <w:rPr>
                <w:rFonts w:ascii="Times New Roman" w:cs="Times New Roman" w:hAnsi="Times New Roman"/>
                <w:sz w:val="24"/>
                <w:szCs w:val="20"/>
                <w:lang w:val="en-US" w:eastAsia="zh-CN"/>
              </w:rPr>
              <w:t>非正常排放参数表</w:t>
            </w:r>
          </w:p>
          <w:tbl>
            <w:tblPr>
              <w:jc w:val="center"/>
              <w:tblW w:w="4998"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top w:w="0" w:type="dxa"/>
                <w:left w:w="85" w:type="dxa"/>
                <w:bottom w:w="0" w:type="dxa"/>
                <w:right w:w="85" w:type="dxa"/>
              </w:tblCellMar>
              <w:tblLook w:val="0600" w:firstRow="0" w:lastRow="0" w:firstColumn="0" w:lastColumn="0" w:noHBand="1" w:noVBand="1"/>
            </w:tblPr>
            <w:tblGrid>
              <w:gridCol w:w="1230"/>
              <w:gridCol w:w="1099"/>
              <w:gridCol w:w="931"/>
              <w:gridCol w:w="1203"/>
              <w:gridCol w:w="890"/>
              <w:gridCol w:w="816"/>
              <w:gridCol w:w="960"/>
              <w:gridCol w:w="1468"/>
            </w:tblGrid>
            <w:tr>
              <w:trPr>
                <w:trHeight w:val="718"/>
              </w:trPr>
              <w:tc>
                <w:tcPr>
                  <w:tcW w:w="71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sz w:val="21"/>
                      <w:szCs w:val="21"/>
                    </w:rPr>
                  </w:pPr>
                  <w:r>
                    <w:rPr>
                      <w:rFonts w:ascii="Times New Roman" w:cs="Times New Roman" w:hAnsi="Times New Roman" w:hint="eastAsia"/>
                      <w:b/>
                      <w:bCs/>
                      <w:sz w:val="21"/>
                      <w:szCs w:val="21"/>
                    </w:rPr>
                    <w:t>非正常排放源</w:t>
                  </w:r>
                </w:p>
              </w:tc>
              <w:tc>
                <w:tcPr>
                  <w:tcW w:w="639"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sz w:val="21"/>
                      <w:szCs w:val="21"/>
                    </w:rPr>
                  </w:pPr>
                  <w:r>
                    <w:rPr>
                      <w:rFonts w:ascii="Times New Roman" w:cs="Times New Roman" w:hAnsi="Times New Roman" w:hint="eastAsia"/>
                      <w:b/>
                      <w:bCs/>
                      <w:sz w:val="21"/>
                      <w:szCs w:val="21"/>
                    </w:rPr>
                    <w:t>非正常排放原因</w:t>
                  </w:r>
                </w:p>
              </w:tc>
              <w:tc>
                <w:tcPr>
                  <w:tcW w:w="54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sz w:val="21"/>
                      <w:szCs w:val="21"/>
                    </w:rPr>
                  </w:pPr>
                  <w:r>
                    <w:rPr>
                      <w:rFonts w:ascii="Times New Roman" w:cs="Times New Roman" w:hAnsi="Times New Roman" w:hint="eastAsia"/>
                      <w:b/>
                      <w:bCs/>
                      <w:sz w:val="21"/>
                      <w:szCs w:val="21"/>
                    </w:rPr>
                    <w:t>污染物</w:t>
                  </w:r>
                </w:p>
              </w:tc>
              <w:tc>
                <w:tcPr>
                  <w:tcW w:w="699"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sz w:val="21"/>
                      <w:szCs w:val="21"/>
                    </w:rPr>
                  </w:pPr>
                  <w:r>
                    <w:rPr>
                      <w:rFonts w:ascii="Times New Roman" w:cs="Times New Roman" w:hAnsi="Times New Roman" w:hint="eastAsia"/>
                      <w:b/>
                      <w:bCs/>
                      <w:sz w:val="21"/>
                      <w:szCs w:val="21"/>
                    </w:rPr>
                    <w:t>非正常排放速率/（kg/h）</w:t>
                  </w:r>
                </w:p>
              </w:tc>
              <w:tc>
                <w:tcPr>
                  <w:tcW w:w="51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sz w:val="21"/>
                      <w:szCs w:val="21"/>
                    </w:rPr>
                  </w:pPr>
                  <w:r>
                    <w:rPr>
                      <w:rFonts w:ascii="Times New Roman" w:cs="Times New Roman" w:hAnsi="Times New Roman" w:hint="eastAsia"/>
                      <w:b/>
                      <w:bCs/>
                      <w:sz w:val="21"/>
                      <w:szCs w:val="21"/>
                    </w:rPr>
                    <w:t>单次持续时间/h</w:t>
                  </w:r>
                </w:p>
              </w:tc>
              <w:tc>
                <w:tcPr>
                  <w:tcW w:w="4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sz w:val="21"/>
                      <w:szCs w:val="21"/>
                    </w:rPr>
                  </w:pPr>
                  <w:r>
                    <w:rPr>
                      <w:rFonts w:ascii="Times New Roman" w:cs="Times New Roman" w:hAnsi="Times New Roman" w:hint="eastAsia"/>
                      <w:b/>
                      <w:bCs/>
                      <w:sz w:val="21"/>
                      <w:szCs w:val="21"/>
                    </w:rPr>
                    <w:t>年发生频次/次</w:t>
                  </w:r>
                </w:p>
              </w:tc>
              <w:tc>
                <w:tcPr>
                  <w:tcW w:w="5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sz w:val="21"/>
                      <w:szCs w:val="21"/>
                    </w:rPr>
                  </w:pPr>
                  <w:r>
                    <w:rPr>
                      <w:rFonts w:ascii="Times New Roman" w:cs="Times New Roman" w:hAnsi="Times New Roman" w:hint="eastAsia"/>
                      <w:b/>
                      <w:bCs/>
                      <w:sz w:val="21"/>
                      <w:szCs w:val="21"/>
                    </w:rPr>
                    <w:t>非正常排放量/（</w:t>
                  </w:r>
                  <w:r>
                    <w:rPr>
                      <w:rFonts w:ascii="Times New Roman" w:cs="Times New Roman" w:hAnsi="Times New Roman" w:hint="eastAsia"/>
                      <w:b/>
                      <w:bCs/>
                      <w:sz w:val="21"/>
                      <w:szCs w:val="21"/>
                      <w:lang w:val="en-US" w:eastAsia="zh-CN"/>
                    </w:rPr>
                    <w:t>kg/h</w:t>
                  </w:r>
                  <w:r>
                    <w:rPr>
                      <w:rFonts w:ascii="Times New Roman" w:cs="Times New Roman" w:hAnsi="Times New Roman" w:hint="eastAsia"/>
                      <w:b/>
                      <w:bCs/>
                      <w:sz w:val="21"/>
                      <w:szCs w:val="21"/>
                    </w:rPr>
                    <w:t>）</w:t>
                  </w:r>
                </w:p>
              </w:tc>
              <w:tc>
                <w:tcPr>
                  <w:tcW w:w="853"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sz w:val="21"/>
                      <w:szCs w:val="21"/>
                    </w:rPr>
                  </w:pPr>
                  <w:r>
                    <w:rPr>
                      <w:rFonts w:ascii="Times New Roman" w:cs="Times New Roman" w:hAnsi="Times New Roman" w:hint="eastAsia"/>
                      <w:b/>
                      <w:bCs/>
                      <w:sz w:val="21"/>
                      <w:szCs w:val="21"/>
                    </w:rPr>
                    <w:t>采取措施</w:t>
                  </w:r>
                </w:p>
              </w:tc>
            </w:tr>
            <w:tr>
              <w:trPr>
                <w:trHeight w:val="966"/>
              </w:trPr>
              <w:tc>
                <w:tcPr>
                  <w:tcW w:w="71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sz w:val="21"/>
                      <w:szCs w:val="21"/>
                      <w:lang w:val="en-US" w:eastAsia="zh-CN"/>
                    </w:rPr>
                  </w:pPr>
                  <w:r>
                    <w:rPr>
                      <w:rFonts w:ascii="Times New Roman" w:cs="Times New Roman" w:hAnsi="Times New Roman" w:hint="eastAsia"/>
                      <w:sz w:val="21"/>
                      <w:szCs w:val="21"/>
                      <w:lang w:val="en-US" w:eastAsia="zh-CN"/>
                    </w:rPr>
                    <w:t>油气回收系统故障</w:t>
                  </w:r>
                </w:p>
              </w:tc>
              <w:tc>
                <w:tcPr>
                  <w:tcW w:w="639"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rPr>
                  </w:pPr>
                  <w:r>
                    <w:rPr>
                      <w:rFonts w:ascii="Times New Roman" w:cs="Times New Roman" w:hAnsi="Times New Roman" w:hint="eastAsia"/>
                      <w:sz w:val="21"/>
                      <w:szCs w:val="21"/>
                      <w:lang w:val="en-US" w:eastAsia="zh-CN"/>
                    </w:rPr>
                    <w:t>油气回收系统出现故障，导致废气未经回收直接排放</w:t>
                  </w:r>
                </w:p>
              </w:tc>
              <w:tc>
                <w:tcPr>
                  <w:tcW w:w="54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 w:val="21"/>
                      <w:szCs w:val="21"/>
                      <w:lang w:val="pt-BR"/>
                    </w:rPr>
                  </w:pPr>
                  <w:r>
                    <w:rPr>
                      <w:rFonts w:ascii="Times New Roman" w:cs="Times New Roman" w:hAnsi="Times New Roman" w:hint="eastAsia"/>
                      <w:sz w:val="21"/>
                      <w:szCs w:val="21"/>
                      <w:lang w:val="pt-BR"/>
                    </w:rPr>
                    <w:t>非甲烷总烃</w:t>
                  </w:r>
                </w:p>
              </w:tc>
              <w:tc>
                <w:tcPr>
                  <w:tcW w:w="699"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auto"/>
                      <w:sz w:val="21"/>
                      <w:szCs w:val="21"/>
                      <w:lang w:val="en-US" w:eastAsia="zh-CN"/>
                    </w:rPr>
                  </w:pPr>
                  <w:r>
                    <w:rPr>
                      <w:rFonts w:ascii="Times New Roman" w:cs="Times New Roman" w:hAnsi="Times New Roman" w:hint="eastAsia"/>
                      <w:color w:val="auto"/>
                      <w:sz w:val="21"/>
                      <w:szCs w:val="21"/>
                      <w:lang w:val="en-US" w:eastAsia="zh-CN"/>
                    </w:rPr>
                    <w:t>0.0681</w:t>
                  </w:r>
                </w:p>
              </w:tc>
              <w:tc>
                <w:tcPr>
                  <w:tcW w:w="51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color w:val="auto"/>
                      <w:sz w:val="21"/>
                      <w:szCs w:val="21"/>
                      <w:lang w:val="en-US" w:eastAsia="zh-CN"/>
                    </w:rPr>
                  </w:pPr>
                  <w:r>
                    <w:rPr>
                      <w:rFonts w:ascii="Times New Roman" w:cs="Times New Roman" w:hAnsi="Times New Roman" w:hint="eastAsia"/>
                      <w:color w:val="auto"/>
                      <w:sz w:val="21"/>
                      <w:szCs w:val="21"/>
                      <w:lang w:val="en-US" w:eastAsia="zh-CN"/>
                    </w:rPr>
                    <w:t>1</w:t>
                  </w:r>
                </w:p>
              </w:tc>
              <w:tc>
                <w:tcPr>
                  <w:tcW w:w="47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eastAsia="宋体" w:hint="eastAsia"/>
                      <w:color w:val="auto"/>
                      <w:sz w:val="21"/>
                      <w:szCs w:val="21"/>
                      <w:lang w:val="en-US" w:eastAsia="zh-CN"/>
                    </w:rPr>
                  </w:pPr>
                  <w:r>
                    <w:rPr>
                      <w:rFonts w:ascii="Times New Roman" w:cs="Times New Roman" w:hAnsi="Times New Roman" w:hint="eastAsia"/>
                      <w:color w:val="auto"/>
                      <w:sz w:val="21"/>
                      <w:szCs w:val="21"/>
                      <w:lang w:val="en-US" w:eastAsia="zh-CN"/>
                    </w:rPr>
                    <w:t>1</w:t>
                  </w:r>
                </w:p>
              </w:tc>
              <w:tc>
                <w:tcPr>
                  <w:tcW w:w="558"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color w:val="auto"/>
                      <w:sz w:val="21"/>
                      <w:szCs w:val="21"/>
                      <w:lang w:val="en-US" w:eastAsia="zh-CN"/>
                    </w:rPr>
                  </w:pPr>
                  <w:r>
                    <w:rPr>
                      <w:rFonts w:ascii="Times New Roman" w:cs="Times New Roman" w:hAnsi="Times New Roman" w:hint="eastAsia"/>
                      <w:color w:val="auto"/>
                      <w:sz w:val="21"/>
                      <w:szCs w:val="21"/>
                      <w:lang w:val="en-US" w:eastAsia="zh-CN"/>
                    </w:rPr>
                    <w:t>0.0681</w:t>
                  </w:r>
                </w:p>
              </w:tc>
              <w:tc>
                <w:tcPr>
                  <w:tcW w:w="853" w:type="pct"/>
                  <w:tcBorders>
                    <w:tl2br w:val="nil"/>
                    <w:tr2bl w:val="nil"/>
                  </w:tcBorders>
                  <w:vAlign w:val="center"/>
                </w:tcPr>
                <w:p>
                  <w:pPr>
                    <w:keepNext w:val="0"/>
                    <w:keepLines w:val="0"/>
                    <w:widowControl/>
                    <w:suppressLineNumbers w:val="0"/>
                    <w:spacing w:before="0" w:beforeAutospacing="0" w:after="0" w:afterAutospacing="0"/>
                    <w:ind w:left="0" w:right="0"/>
                    <w:jc w:val="left"/>
                    <w:rPr>
                      <w:rFonts w:hint="eastAsia"/>
                      <w:sz w:val="21"/>
                      <w:szCs w:val="21"/>
                    </w:rPr>
                  </w:pPr>
                  <w:r>
                    <w:rPr>
                      <w:rFonts w:ascii="宋体" w:eastAsia="宋体" w:cs="宋体" w:hAnsi="宋体" w:hint="eastAsia"/>
                      <w:color w:val="000000"/>
                      <w:kern w:val="0"/>
                      <w:sz w:val="21"/>
                      <w:szCs w:val="21"/>
                      <w:lang w:val="en-US" w:eastAsia="zh-CN"/>
                    </w:rPr>
                    <w:t>制定油气回收设备例行检查制度，加强定期维护保养检修时应停止生产活动运行，杜绝废气未经回收直接排放</w:t>
                  </w:r>
                </w:p>
              </w:tc>
            </w:tr>
          </w:tbl>
          <w:p>
            <w:pPr>
              <w:pStyle w:val="1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Chars="200" w:firstLine="480"/>
              <w:textAlignment w:val="auto"/>
              <w:outlineLvl w:val="9"/>
              <w:rPr>
                <w:rFonts w:ascii="Times New Roman" w:cs="Times New Roman" w:hAnsi="Times New Roman" w:hint="eastAsia"/>
                <w:b/>
                <w:bCs/>
                <w:color w:val="auto"/>
                <w:sz w:val="24"/>
                <w:szCs w:val="24"/>
                <w:lang w:val="en-US" w:eastAsia="zh-CN"/>
              </w:rPr>
            </w:pPr>
            <w:r>
              <w:rPr>
                <w:rFonts w:ascii="Times New Roman" w:cs="Times New Roman" w:hAnsi="Times New Roman" w:hint="eastAsia"/>
                <w:b/>
                <w:bCs/>
                <w:color w:val="auto"/>
                <w:sz w:val="24"/>
                <w:szCs w:val="24"/>
                <w:lang w:val="en-US" w:eastAsia="zh-CN"/>
              </w:rPr>
              <w:t>4、废气排放的影响</w:t>
            </w:r>
          </w:p>
          <w:p>
            <w:pPr>
              <w:keepNext w:val="0"/>
              <w:keepLines w:val="0"/>
              <w:pageBreakBefore w:val="0"/>
              <w:widowControl w:val="0"/>
              <w:suppressLineNumbers w:val="0"/>
              <w:tabs>
                <w:tab w:val="left" w:pos="3620"/>
              </w:tabs>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rPr>
                <w:rFonts w:ascii="Times New Roman" w:cs="Times New Roman" w:hAnsi="Times New Roman" w:hint="eastAsia"/>
                <w:color w:val="auto"/>
                <w:sz w:val="24"/>
                <w:szCs w:val="24"/>
                <w:lang w:val="en-US" w:eastAsia="zh-CN"/>
              </w:rPr>
            </w:pPr>
            <w:r>
              <w:rPr>
                <w:rFonts w:ascii="Times New Roman" w:cs="Times New Roman" w:hAnsi="Times New Roman"/>
                <w:color w:val="auto"/>
                <w:sz w:val="24"/>
                <w:szCs w:val="24"/>
              </w:rPr>
              <w:t>新乡市</w:t>
            </w:r>
            <w:r>
              <w:rPr>
                <w:rFonts w:ascii="Times New Roman" w:cs="宋体" w:hAnsi="Times New Roman" w:hint="eastAsia"/>
                <w:kern w:val="0"/>
                <w:sz w:val="24"/>
                <w:szCs w:val="20"/>
                <w:lang w:val="en-US" w:eastAsia="zh-CN"/>
              </w:rPr>
              <w:t>2024年</w:t>
            </w:r>
            <w:r>
              <w:rPr>
                <w:rFonts w:ascii="Times New Roman" w:cs="宋体" w:hAnsi="Times New Roman" w:hint="eastAsia"/>
                <w:kern w:val="0"/>
                <w:sz w:val="24"/>
                <w:szCs w:val="20"/>
              </w:rPr>
              <w:t>PM</w:t>
            </w:r>
            <w:r>
              <w:rPr>
                <w:rFonts w:ascii="Times New Roman" w:cs="宋体" w:hAnsi="Times New Roman" w:hint="eastAsia"/>
                <w:kern w:val="0"/>
                <w:sz w:val="24"/>
                <w:szCs w:val="20"/>
                <w:vertAlign w:val="subscript"/>
              </w:rPr>
              <w:t>10</w:t>
            </w:r>
            <w:r>
              <w:rPr>
                <w:rFonts w:ascii="Times New Roman" w:cs="宋体" w:hAnsi="Times New Roman" w:hint="eastAsia"/>
                <w:kern w:val="0"/>
                <w:sz w:val="24"/>
                <w:szCs w:val="20"/>
              </w:rPr>
              <w:t>、PM</w:t>
            </w:r>
            <w:r>
              <w:rPr>
                <w:rFonts w:ascii="Times New Roman" w:cs="宋体" w:hAnsi="Times New Roman" w:hint="eastAsia"/>
                <w:kern w:val="0"/>
                <w:sz w:val="24"/>
                <w:szCs w:val="20"/>
                <w:vertAlign w:val="subscript"/>
              </w:rPr>
              <w:t>2.5</w:t>
            </w:r>
            <w:r>
              <w:rPr>
                <w:rFonts w:ascii="Times New Roman" w:cs="宋体" w:hAnsi="Times New Roman" w:hint="eastAsia"/>
                <w:kern w:val="0"/>
                <w:sz w:val="24"/>
                <w:szCs w:val="20"/>
              </w:rPr>
              <w:t>和O</w:t>
            </w:r>
            <w:r>
              <w:rPr>
                <w:rFonts w:ascii="Times New Roman" w:cs="宋体" w:hAnsi="Times New Roman" w:hint="eastAsia"/>
                <w:kern w:val="0"/>
                <w:sz w:val="24"/>
                <w:szCs w:val="20"/>
                <w:vertAlign w:val="subscript"/>
              </w:rPr>
              <w:t>3</w:t>
            </w:r>
            <w:r>
              <w:rPr>
                <w:rFonts w:ascii="Times New Roman" w:cs="宋体" w:hAnsi="Times New Roman" w:hint="eastAsia"/>
                <w:kern w:val="0"/>
                <w:sz w:val="24"/>
                <w:szCs w:val="20"/>
              </w:rPr>
              <w:t>均不能够满足《环境空气质量标准》（GB3095-20</w:t>
            </w:r>
            <w:r>
              <w:rPr>
                <w:rFonts w:ascii="Times New Roman" w:cs="宋体" w:hAnsi="Times New Roman" w:hint="eastAsia"/>
                <w:kern w:val="0"/>
                <w:sz w:val="24"/>
                <w:szCs w:val="20"/>
                <w:lang w:val="en-US" w:eastAsia="zh-CN"/>
              </w:rPr>
              <w:t>26</w:t>
            </w:r>
            <w:r>
              <w:rPr>
                <w:rFonts w:ascii="Times New Roman" w:cs="宋体" w:hAnsi="Times New Roman" w:hint="eastAsia"/>
                <w:kern w:val="0"/>
                <w:sz w:val="24"/>
                <w:szCs w:val="20"/>
              </w:rPr>
              <w:t>）</w:t>
            </w:r>
            <w:r>
              <w:rPr>
                <w:rFonts w:ascii="Times New Roman" w:cs="Times New Roman" w:hAnsi="Times New Roman" w:hint="eastAsia"/>
                <w:sz w:val="24"/>
                <w:szCs w:val="20"/>
                <w:lang w:val="en-US" w:eastAsia="zh-CN"/>
              </w:rPr>
              <w:t>过渡阶段浓度限值</w:t>
            </w:r>
            <w:r>
              <w:rPr>
                <w:rFonts w:ascii="Times New Roman" w:cs="宋体" w:hAnsi="Times New Roman" w:hint="eastAsia"/>
                <w:kern w:val="0"/>
                <w:sz w:val="24"/>
                <w:szCs w:val="20"/>
              </w:rPr>
              <w:t>二级标准要求。根据《环境影响评价技术导则大气环境》（HJ2.2-2018），本项目所在区域属于未达标区</w:t>
            </w:r>
            <w:r>
              <w:rPr>
                <w:rFonts w:ascii="Times New Roman" w:cs="Times New Roman" w:hAnsi="Times New Roman" w:hint="eastAsia"/>
                <w:color w:val="auto"/>
                <w:sz w:val="24"/>
                <w:szCs w:val="24"/>
                <w:lang w:eastAsia="zh-CN"/>
              </w:rPr>
              <w:t>。</w:t>
            </w:r>
            <w:r>
              <w:rPr>
                <w:rFonts w:ascii="Times New Roman" w:cs="Times New Roman" w:hAnsi="Times New Roman" w:hint="eastAsia"/>
                <w:color w:val="auto"/>
                <w:sz w:val="24"/>
                <w:szCs w:val="24"/>
                <w:lang w:val="en-US" w:eastAsia="zh-CN"/>
              </w:rPr>
              <w:t>本项目为机动车燃油零售项目，通过分析可知，项目建设前后区域环境空气质量变化不大。项目运营期主要的废气污染物是非甲烷总烃，加油站配置有三次油气回收装置，能够有效的进行油气回收，减少非甲烷总烃的排放。</w:t>
            </w:r>
          </w:p>
          <w:p>
            <w:pPr>
              <w:keepNext w:val="0"/>
              <w:keepLines w:val="0"/>
              <w:pageBreakBefore w:val="0"/>
              <w:widowControl w:val="0"/>
              <w:suppressLineNumbers w:val="0"/>
              <w:tabs>
                <w:tab w:val="left" w:pos="3620"/>
              </w:tabs>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rPr>
                <w:rFonts w:ascii="Times New Roman" w:cs="Times New Roman" w:hAnsi="Times New Roman" w:hint="eastAsia"/>
                <w:color w:val="auto"/>
                <w:sz w:val="24"/>
                <w:szCs w:val="24"/>
                <w:lang w:eastAsia="zh-CN"/>
              </w:rPr>
            </w:pPr>
            <w:r>
              <w:rPr>
                <w:rFonts w:ascii="Times New Roman" w:cs="Times New Roman" w:hAnsi="Times New Roman" w:hint="eastAsia"/>
                <w:color w:val="auto"/>
                <w:sz w:val="24"/>
                <w:szCs w:val="24"/>
                <w:lang w:val="en-US" w:eastAsia="zh-CN"/>
              </w:rPr>
              <w:t>综上，项目运营期，对周边环境影响较小。</w:t>
            </w:r>
          </w:p>
          <w:p>
            <w:pPr>
              <w:keepNext w:val="0"/>
              <w:keepLines w:val="0"/>
              <w:pageBreakBefore w:val="0"/>
              <w:widowControl w:val="0"/>
              <w:suppressLineNumbers w:val="0"/>
              <w:tabs>
                <w:tab w:val="left" w:pos="3620"/>
              </w:tabs>
              <w:kinsoku/>
              <w:wordWrap/>
              <w:overflowPunct/>
              <w:topLinePunct w:val="0"/>
              <w:autoSpaceDE/>
              <w:autoSpaceDN/>
              <w:bidi w:val="0"/>
              <w:adjustRightInd w:val="0"/>
              <w:snapToGrid w:val="0"/>
              <w:spacing w:before="0" w:beforeAutospacing="0" w:after="0" w:afterAutospacing="0" w:line="440" w:lineRule="exact"/>
              <w:ind w:left="0" w:right="0" w:firstLineChars="200" w:firstLine="480"/>
              <w:rPr>
                <w:rFonts w:hAnsi="宋体" w:hint="eastAsia"/>
                <w:b/>
                <w:color w:val="000000"/>
                <w:sz w:val="24"/>
                <w14:textFill>
                  <w14:solidFill>
                    <w14:srgbClr w14:val="000000"/>
                  </w14:solidFill>
                </w14:textFill>
                <w:highlight w:val="none"/>
              </w:rPr>
            </w:pPr>
            <w:r>
              <w:rPr>
                <w:rFonts w:ascii="Times New Roman" w:cs="Times New Roman" w:hAnsi="宋体"/>
                <w:b/>
                <w:color w:val="000000"/>
                <w:sz w:val="24"/>
                <w:szCs w:val="20"/>
                <w14:textFill>
                  <w14:solidFill>
                    <w14:srgbClr w14:val="000000"/>
                  </w14:solidFill>
                </w14:textFill>
                <w:highlight w:val="none"/>
              </w:rPr>
              <w:t>二、废水</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both"/>
              <w:textAlignment w:val="auto"/>
            </w:pPr>
            <w:r>
              <w:rPr>
                <w:rFonts w:ascii="Times New Roman" w:cs="Times New Roman" w:hAnsi="Times New Roman" w:hint="eastAsia"/>
                <w:sz w:val="24"/>
                <w:szCs w:val="20"/>
                <w:highlight w:val="none"/>
              </w:rPr>
              <w:t>本</w:t>
            </w:r>
            <w:r>
              <w:rPr>
                <w:rFonts w:ascii="Times New Roman" w:cs="Times New Roman" w:hAnsi="Times New Roman"/>
                <w:sz w:val="24"/>
                <w:szCs w:val="20"/>
                <w:highlight w:val="none"/>
              </w:rPr>
              <w:t>项目</w:t>
            </w:r>
            <w:r>
              <w:rPr>
                <w:rFonts w:ascii="Times New Roman" w:cs="Times New Roman" w:hAnsi="Times New Roman" w:hint="eastAsia"/>
                <w:sz w:val="24"/>
                <w:szCs w:val="20"/>
                <w:lang w:eastAsia="zh-CN"/>
                <w:highlight w:val="none"/>
              </w:rPr>
              <w:t>废水</w:t>
            </w:r>
            <w:r>
              <w:rPr>
                <w:rFonts w:ascii="Times New Roman" w:cs="Times New Roman" w:hAnsi="Times New Roman"/>
                <w:sz w:val="24"/>
                <w:szCs w:val="20"/>
              </w:rPr>
              <w:t>主要为</w:t>
            </w:r>
            <w:r>
              <w:rPr>
                <w:rFonts w:ascii="Times New Roman" w:cs="Times New Roman" w:hAnsi="Times New Roman" w:hint="eastAsia"/>
                <w:sz w:val="24"/>
                <w:szCs w:val="20"/>
                <w:lang w:val="en-US" w:eastAsia="zh-CN"/>
              </w:rPr>
              <w:t>加油站职工和顾客的</w:t>
            </w:r>
            <w:r>
              <w:rPr>
                <w:rFonts w:ascii="Times New Roman" w:cs="Times New Roman" w:hAnsi="Times New Roman" w:hint="eastAsia"/>
                <w:sz w:val="24"/>
                <w:szCs w:val="20"/>
                <w:lang w:eastAsia="zh-CN"/>
              </w:rPr>
              <w:t>生活污水</w:t>
            </w:r>
            <w:r>
              <w:rPr>
                <w:rFonts w:ascii="Times New Roman" w:cs="Times New Roman" w:hAnsi="Times New Roman"/>
                <w:sz w:val="24"/>
                <w:szCs w:val="20"/>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left"/>
              <w:textAlignment w:val="baseline"/>
              <w:rPr>
                <w:rFonts w:ascii="Times New Roman" w:cs="Times New Roman" w:hAnsi="Times New Roman"/>
                <w:color w:val="auto"/>
                <w:sz w:val="24"/>
                <w:szCs w:val="24"/>
              </w:rPr>
            </w:pPr>
            <w:r>
              <w:rPr>
                <w:rFonts w:ascii="Times New Roman" w:cs="Times New Roman" w:hAnsi="Times New Roman" w:hint="eastAsia"/>
                <w:sz w:val="24"/>
                <w:szCs w:val="20"/>
              </w:rPr>
              <w:t>根</w:t>
            </w:r>
            <w:r>
              <w:rPr>
                <w:rFonts w:ascii="Times New Roman" w:cs="Times New Roman" w:hAnsi="Times New Roman"/>
                <w:sz w:val="24"/>
                <w:szCs w:val="24"/>
              </w:rPr>
              <w:t>据建设单位提供资料，</w:t>
            </w:r>
            <w:r>
              <w:rPr>
                <w:rFonts w:ascii="Times New Roman" w:cs="Times New Roman" w:hAnsi="Times New Roman" w:hint="eastAsia"/>
                <w:sz w:val="24"/>
                <w:szCs w:val="24"/>
                <w:lang w:val="en-US" w:eastAsia="zh-CN"/>
              </w:rPr>
              <w:t>本项目年工作365天，</w:t>
            </w:r>
            <w:r>
              <w:rPr>
                <w:rFonts w:ascii="Times New Roman" w:cs="Times New Roman" w:hAnsi="Times New Roman"/>
                <w:sz w:val="24"/>
                <w:szCs w:val="24"/>
              </w:rPr>
              <w:t>本项目</w:t>
            </w:r>
            <w:r>
              <w:rPr>
                <w:rFonts w:ascii="Times New Roman" w:cs="Times New Roman" w:hAnsi="Times New Roman" w:hint="eastAsia"/>
                <w:sz w:val="24"/>
                <w:szCs w:val="24"/>
                <w:lang w:val="en-US" w:eastAsia="zh-CN"/>
              </w:rPr>
              <w:t>劳动定员</w:t>
            </w:r>
            <w:r>
              <w:rPr>
                <w:rFonts w:ascii="Times New Roman" w:cs="Times New Roman" w:hAnsi="Times New Roman"/>
                <w:sz w:val="24"/>
                <w:szCs w:val="24"/>
              </w:rPr>
              <w:t>员工</w:t>
            </w:r>
            <w:r>
              <w:rPr>
                <w:rFonts w:ascii="Times New Roman" w:cs="Times New Roman" w:hAnsi="Times New Roman" w:hint="eastAsia"/>
                <w:sz w:val="24"/>
                <w:szCs w:val="24"/>
                <w:lang w:val="en-US" w:eastAsia="zh-CN"/>
              </w:rPr>
              <w:t>8人</w:t>
            </w:r>
            <w:r>
              <w:rPr>
                <w:rFonts w:ascii="Times New Roman" w:cs="Times New Roman" w:hAnsi="Times New Roman"/>
                <w:sz w:val="24"/>
                <w:szCs w:val="24"/>
              </w:rPr>
              <w:t>，均不提供食宿，用水量以</w:t>
            </w:r>
            <w:r>
              <w:rPr>
                <w:rFonts w:ascii="Times New Roman" w:cs="Times New Roman" w:hAnsi="Times New Roman"/>
                <w:color w:val="auto"/>
                <w:sz w:val="24"/>
                <w:szCs w:val="24"/>
              </w:rPr>
              <w:t>30L/人每天计算，则本项目建成后，员工生活用水约为0.</w:t>
            </w:r>
            <w:r>
              <w:rPr>
                <w:rFonts w:ascii="Times New Roman" w:cs="Times New Roman" w:hAnsi="Times New Roman" w:hint="eastAsia"/>
                <w:color w:val="auto"/>
                <w:sz w:val="24"/>
                <w:szCs w:val="24"/>
                <w:lang w:val="en-US" w:eastAsia="zh-CN"/>
              </w:rPr>
              <w:t>24</w:t>
            </w:r>
            <w:r>
              <w:rPr>
                <w:rFonts w:ascii="Times New Roman" w:cs="Times New Roman" w:hAnsi="Times New Roman"/>
                <w:color w:val="auto"/>
                <w:sz w:val="24"/>
                <w:szCs w:val="24"/>
              </w:rPr>
              <w:t>t/d（</w:t>
            </w:r>
            <w:r>
              <w:rPr>
                <w:rFonts w:ascii="Times New Roman" w:cs="Times New Roman" w:hAnsi="Times New Roman" w:hint="eastAsia"/>
                <w:color w:val="auto"/>
                <w:sz w:val="24"/>
                <w:szCs w:val="24"/>
                <w:lang w:val="en-US" w:eastAsia="zh-CN"/>
              </w:rPr>
              <w:t>87.6</w:t>
            </w:r>
            <w:r>
              <w:rPr>
                <w:rFonts w:ascii="Times New Roman" w:cs="Times New Roman" w:hAnsi="Times New Roman"/>
                <w:color w:val="auto"/>
                <w:sz w:val="24"/>
                <w:szCs w:val="24"/>
              </w:rPr>
              <w:t>t/a），产污系数以0.8计，则项目员工生活用水</w:t>
            </w:r>
            <w:r>
              <w:rPr>
                <w:rFonts w:ascii="Times New Roman" w:cs="Times New Roman" w:hAnsi="Times New Roman"/>
                <w:color w:val="auto"/>
                <w:sz w:val="24"/>
                <w:szCs w:val="24"/>
                <w:lang w:val="en-US" w:eastAsia="zh-CN"/>
              </w:rPr>
              <w:t>排放</w:t>
            </w:r>
            <w:r>
              <w:rPr>
                <w:rFonts w:ascii="Times New Roman" w:cs="Times New Roman" w:hAnsi="Times New Roman"/>
                <w:color w:val="auto"/>
                <w:sz w:val="24"/>
                <w:szCs w:val="24"/>
              </w:rPr>
              <w:t>量为</w:t>
            </w:r>
            <w:r>
              <w:rPr>
                <w:rFonts w:ascii="Times New Roman" w:cs="Times New Roman" w:hAnsi="Times New Roman"/>
                <w:color w:val="auto"/>
                <w:sz w:val="24"/>
                <w:szCs w:val="24"/>
                <w:lang w:val="en-US" w:eastAsia="zh-CN"/>
              </w:rPr>
              <w:t>0.</w:t>
            </w:r>
            <w:r>
              <w:rPr>
                <w:rFonts w:ascii="Times New Roman" w:cs="Times New Roman" w:hAnsi="Times New Roman" w:hint="eastAsia"/>
                <w:color w:val="auto"/>
                <w:sz w:val="24"/>
                <w:szCs w:val="24"/>
                <w:lang w:val="en-US" w:eastAsia="zh-CN"/>
              </w:rPr>
              <w:t>192</w:t>
            </w:r>
            <w:r>
              <w:rPr>
                <w:rFonts w:ascii="Times New Roman" w:cs="Times New Roman" w:hAnsi="Times New Roman"/>
                <w:color w:val="auto"/>
                <w:sz w:val="24"/>
                <w:szCs w:val="24"/>
              </w:rPr>
              <w:t>t/d（</w:t>
            </w:r>
            <w:r>
              <w:rPr>
                <w:rFonts w:ascii="Times New Roman" w:cs="Times New Roman" w:hAnsi="Times New Roman" w:hint="eastAsia"/>
                <w:color w:val="auto"/>
                <w:sz w:val="24"/>
                <w:szCs w:val="24"/>
                <w:lang w:val="en-US" w:eastAsia="zh-CN"/>
              </w:rPr>
              <w:t>70.08</w:t>
            </w:r>
            <w:r>
              <w:rPr>
                <w:rFonts w:ascii="Times New Roman" w:cs="Times New Roman" w:hAnsi="Times New Roman"/>
                <w:color w:val="auto"/>
                <w:sz w:val="24"/>
                <w:szCs w:val="24"/>
              </w:rPr>
              <w:t>t/a）。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baseline"/>
              <w:rPr>
                <w:rFonts w:ascii="Times New Roman" w:eastAsia="宋体" w:cs="Times New Roman" w:hAnsi="Times New Roman"/>
                <w:bCs/>
                <w:color w:val="auto"/>
                <w:sz w:val="24"/>
                <w:lang w:val="en-US" w:eastAsia="zh-CN"/>
              </w:rPr>
            </w:pPr>
            <w:r>
              <w:rPr>
                <w:rFonts w:ascii="Times New Roman" w:cs="Times New Roman" w:hAnsi="Times New Roman" w:hint="eastAsia"/>
                <w:bCs/>
                <w:color w:val="auto"/>
                <w:sz w:val="24"/>
                <w:szCs w:val="20"/>
                <w:lang w:val="en-US" w:eastAsia="zh-CN"/>
              </w:rPr>
              <w:t>顾客生活污水</w:t>
            </w:r>
            <w:r>
              <w:rPr>
                <w:rFonts w:ascii="Times New Roman" w:eastAsia="宋体" w:cs="Times New Roman" w:hAnsi="Times New Roman"/>
                <w:bCs/>
                <w:color w:val="auto"/>
                <w:sz w:val="24"/>
                <w:szCs w:val="20"/>
                <w:lang w:val="en-US" w:eastAsia="zh-CN"/>
              </w:rPr>
              <w:t>：外来司机按最大</w:t>
            </w:r>
            <w:r>
              <w:rPr>
                <w:rFonts w:ascii="Times New Roman" w:cs="Times New Roman" w:hAnsi="Times New Roman" w:hint="eastAsia"/>
                <w:bCs/>
                <w:color w:val="auto"/>
                <w:sz w:val="24"/>
                <w:szCs w:val="20"/>
                <w:lang w:val="en-US" w:eastAsia="zh-CN"/>
              </w:rPr>
              <w:t>5</w:t>
            </w:r>
            <w:r>
              <w:rPr>
                <w:rFonts w:ascii="Times New Roman" w:eastAsia="宋体" w:cs="Times New Roman" w:hAnsi="Times New Roman"/>
                <w:bCs/>
                <w:color w:val="auto"/>
                <w:sz w:val="24"/>
                <w:szCs w:val="20"/>
                <w:lang w:val="en-US" w:eastAsia="zh-CN"/>
              </w:rPr>
              <w:t>0人次/d计，在站内活动</w:t>
            </w:r>
            <w:r>
              <w:rPr>
                <w:rFonts w:ascii="Times New Roman" w:cs="Times New Roman" w:hAnsi="Times New Roman" w:hint="eastAsia"/>
                <w:bCs/>
                <w:color w:val="auto"/>
                <w:sz w:val="24"/>
                <w:szCs w:val="20"/>
                <w:lang w:val="en-US" w:eastAsia="zh-CN"/>
              </w:rPr>
              <w:t>概率</w:t>
            </w:r>
            <w:r>
              <w:rPr>
                <w:rFonts w:ascii="Times New Roman" w:eastAsia="宋体" w:cs="Times New Roman" w:hAnsi="Times New Roman"/>
                <w:bCs/>
                <w:color w:val="auto"/>
                <w:sz w:val="24"/>
                <w:szCs w:val="20"/>
                <w:lang w:val="en-US" w:eastAsia="zh-CN"/>
              </w:rPr>
              <w:t>按照</w:t>
            </w:r>
            <w:r>
              <w:rPr>
                <w:rFonts w:ascii="Times New Roman" w:cs="Times New Roman" w:hAnsi="Times New Roman" w:hint="eastAsia"/>
                <w:bCs/>
                <w:color w:val="auto"/>
                <w:sz w:val="24"/>
                <w:szCs w:val="20"/>
                <w:lang w:val="en-US" w:eastAsia="zh-CN"/>
              </w:rPr>
              <w:t>5</w:t>
            </w:r>
            <w:r>
              <w:rPr>
                <w:rFonts w:ascii="Times New Roman" w:eastAsia="宋体" w:cs="Times New Roman" w:hAnsi="Times New Roman"/>
                <w:bCs/>
                <w:color w:val="auto"/>
                <w:sz w:val="24"/>
                <w:szCs w:val="20"/>
                <w:lang w:val="en-US" w:eastAsia="zh-CN"/>
              </w:rPr>
              <w:t>0%计，在站内活动时会产生盥洗水及厕所冲洗水等，人均用水量按</w:t>
            </w:r>
            <w:r>
              <w:rPr>
                <w:rFonts w:ascii="Times New Roman" w:eastAsia="宋体" w:cs="Times New Roman" w:hAnsi="Times New Roman" w:hint="eastAsia"/>
                <w:bCs/>
                <w:color w:val="auto"/>
                <w:sz w:val="24"/>
                <w:szCs w:val="20"/>
                <w:lang w:val="en-US" w:eastAsia="zh-CN"/>
              </w:rPr>
              <w:t>4</w:t>
            </w:r>
            <w:r>
              <w:rPr>
                <w:rFonts w:ascii="Times New Roman" w:eastAsia="宋体" w:cs="Times New Roman" w:hAnsi="Times New Roman"/>
                <w:bCs/>
                <w:color w:val="auto"/>
                <w:sz w:val="24"/>
                <w:szCs w:val="20"/>
                <w:lang w:val="en-US" w:eastAsia="zh-CN"/>
              </w:rPr>
              <w:t>L/人</w:t>
            </w:r>
            <w:r>
              <w:rPr>
                <w:rFonts w:ascii="Times New Roman" w:cs="Times New Roman" w:hAnsi="Times New Roman" w:hint="eastAsia"/>
                <w:bCs/>
                <w:color w:val="auto"/>
                <w:sz w:val="24"/>
                <w:szCs w:val="20"/>
                <w:lang w:val="en-US" w:eastAsia="zh-CN"/>
              </w:rPr>
              <w:t>次</w:t>
            </w:r>
            <w:r>
              <w:rPr>
                <w:rFonts w:ascii="Times New Roman" w:eastAsia="宋体" w:cs="Times New Roman" w:hAnsi="Times New Roman"/>
                <w:bCs/>
                <w:color w:val="auto"/>
                <w:sz w:val="24"/>
                <w:szCs w:val="20"/>
                <w:lang w:val="en-US" w:eastAsia="zh-CN"/>
              </w:rPr>
              <w:t>计算</w:t>
            </w:r>
            <w:r>
              <w:rPr>
                <w:rFonts w:ascii="Times New Roman" w:eastAsia="宋体" w:cs="Times New Roman" w:hAnsi="Times New Roman" w:hint="eastAsia"/>
                <w:bCs/>
                <w:color w:val="auto"/>
                <w:sz w:val="24"/>
                <w:szCs w:val="20"/>
                <w:lang w:val="en-US" w:eastAsia="zh-CN"/>
              </w:rPr>
              <w:t>，</w:t>
            </w:r>
            <w:r>
              <w:rPr>
                <w:rFonts w:ascii="Times New Roman" w:eastAsia="宋体" w:cs="Times New Roman" w:hAnsi="Times New Roman"/>
                <w:bCs/>
                <w:color w:val="auto"/>
                <w:sz w:val="24"/>
                <w:szCs w:val="20"/>
                <w:lang w:val="en-US" w:eastAsia="zh-CN"/>
              </w:rPr>
              <w:t>则</w:t>
            </w:r>
            <w:r>
              <w:rPr>
                <w:rFonts w:ascii="Times New Roman" w:eastAsia="宋体" w:cs="Times New Roman" w:hAnsi="Times New Roman" w:hint="eastAsia"/>
                <w:bCs/>
                <w:color w:val="auto"/>
                <w:sz w:val="24"/>
                <w:szCs w:val="20"/>
                <w:lang w:val="en-US" w:eastAsia="zh-CN"/>
              </w:rPr>
              <w:t>总的生活</w:t>
            </w:r>
            <w:r>
              <w:rPr>
                <w:rFonts w:ascii="Times New Roman" w:eastAsia="宋体" w:cs="Times New Roman" w:hAnsi="Times New Roman"/>
                <w:bCs/>
                <w:color w:val="auto"/>
                <w:sz w:val="24"/>
                <w:szCs w:val="20"/>
                <w:lang w:val="en-US" w:eastAsia="zh-CN"/>
              </w:rPr>
              <w:t>用水量为0.</w:t>
            </w:r>
            <w:r>
              <w:rPr>
                <w:rFonts w:ascii="Times New Roman" w:eastAsia="宋体" w:cs="Times New Roman" w:hAnsi="Times New Roman" w:hint="eastAsia"/>
                <w:bCs/>
                <w:color w:val="auto"/>
                <w:sz w:val="24"/>
                <w:szCs w:val="20"/>
                <w:lang w:val="en-US" w:eastAsia="zh-CN"/>
              </w:rPr>
              <w:t>1</w:t>
            </w:r>
            <w:r>
              <w:rPr>
                <w:rFonts w:ascii="Times New Roman" w:eastAsia="宋体" w:cs="Times New Roman" w:hAnsi="Times New Roman"/>
                <w:bCs/>
                <w:color w:val="auto"/>
                <w:sz w:val="24"/>
                <w:szCs w:val="20"/>
                <w:lang w:val="en-US" w:eastAsia="zh-CN"/>
              </w:rPr>
              <w:t>t/d</w:t>
            </w:r>
            <w:r>
              <w:rPr>
                <w:rFonts w:ascii="Times New Roman" w:cs="Times New Roman" w:hAnsi="Times New Roman"/>
                <w:color w:val="auto"/>
                <w:sz w:val="24"/>
                <w:szCs w:val="24"/>
              </w:rPr>
              <w:t>（</w:t>
            </w:r>
            <w:r>
              <w:rPr>
                <w:rFonts w:ascii="Times New Roman" w:cs="Times New Roman" w:hAnsi="Times New Roman" w:hint="eastAsia"/>
                <w:color w:val="auto"/>
                <w:sz w:val="24"/>
                <w:szCs w:val="24"/>
                <w:lang w:val="en-US" w:eastAsia="zh-CN"/>
              </w:rPr>
              <w:t>36.5</w:t>
            </w:r>
            <w:r>
              <w:rPr>
                <w:rFonts w:ascii="Times New Roman" w:cs="Times New Roman" w:hAnsi="Times New Roman"/>
                <w:color w:val="auto"/>
                <w:sz w:val="24"/>
                <w:szCs w:val="24"/>
              </w:rPr>
              <w:t>t/a）</w:t>
            </w:r>
            <w:r>
              <w:rPr>
                <w:rFonts w:ascii="Times New Roman" w:eastAsia="宋体" w:cs="Times New Roman" w:hAnsi="Times New Roman"/>
                <w:bCs/>
                <w:color w:val="auto"/>
                <w:sz w:val="24"/>
                <w:szCs w:val="20"/>
                <w:lang w:val="en-US" w:eastAsia="zh-CN"/>
              </w:rPr>
              <w:t>，排放系数以0.8计，则</w:t>
            </w:r>
            <w:r>
              <w:rPr>
                <w:rFonts w:ascii="Times New Roman" w:cs="Times New Roman" w:hAnsi="Times New Roman" w:hint="eastAsia"/>
                <w:bCs/>
                <w:color w:val="auto"/>
                <w:sz w:val="24"/>
                <w:szCs w:val="20"/>
                <w:lang w:val="en-US" w:eastAsia="zh-CN"/>
              </w:rPr>
              <w:t>顾客生活污水</w:t>
            </w:r>
            <w:r>
              <w:rPr>
                <w:rFonts w:ascii="Times New Roman" w:eastAsia="宋体" w:cs="Times New Roman" w:hAnsi="Times New Roman"/>
                <w:bCs/>
                <w:color w:val="auto"/>
                <w:sz w:val="24"/>
                <w:szCs w:val="20"/>
                <w:lang w:val="en-US" w:eastAsia="zh-CN"/>
              </w:rPr>
              <w:t>排放量为0.</w:t>
            </w:r>
            <w:r>
              <w:rPr>
                <w:rFonts w:ascii="Times New Roman" w:eastAsia="宋体" w:cs="Times New Roman" w:hAnsi="Times New Roman" w:hint="eastAsia"/>
                <w:bCs/>
                <w:color w:val="auto"/>
                <w:sz w:val="24"/>
                <w:szCs w:val="20"/>
                <w:lang w:val="en-US" w:eastAsia="zh-CN"/>
              </w:rPr>
              <w:t>0</w:t>
            </w:r>
            <w:r>
              <w:rPr>
                <w:rFonts w:ascii="Times New Roman" w:cs="Times New Roman" w:hAnsi="Times New Roman" w:hint="eastAsia"/>
                <w:bCs/>
                <w:color w:val="auto"/>
                <w:sz w:val="24"/>
                <w:szCs w:val="20"/>
                <w:lang w:val="en-US" w:eastAsia="zh-CN"/>
              </w:rPr>
              <w:t>8</w:t>
            </w:r>
            <w:r>
              <w:rPr>
                <w:rFonts w:ascii="Times New Roman" w:eastAsia="宋体" w:cs="Times New Roman" w:hAnsi="Times New Roman"/>
                <w:bCs/>
                <w:color w:val="auto"/>
                <w:sz w:val="24"/>
                <w:szCs w:val="20"/>
                <w:lang w:val="en-US" w:eastAsia="zh-CN"/>
              </w:rPr>
              <w:t>t/d（</w:t>
            </w:r>
            <w:r>
              <w:rPr>
                <w:rFonts w:ascii="Times New Roman" w:cs="Times New Roman" w:hAnsi="Times New Roman" w:hint="eastAsia"/>
                <w:bCs/>
                <w:color w:val="auto"/>
                <w:sz w:val="24"/>
                <w:szCs w:val="20"/>
                <w:lang w:val="en-US" w:eastAsia="zh-CN"/>
              </w:rPr>
              <w:t>29.2</w:t>
            </w:r>
            <w:r>
              <w:rPr>
                <w:rFonts w:ascii="Times New Roman" w:eastAsia="宋体" w:cs="Times New Roman" w:hAnsi="Times New Roman"/>
                <w:bCs/>
                <w:color w:val="auto"/>
                <w:sz w:val="24"/>
                <w:szCs w:val="20"/>
                <w:lang w:val="en-US" w:eastAsia="zh-CN"/>
              </w:rPr>
              <w:t>t/a）。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baseline"/>
              <w:rPr>
                <w:rFonts w:ascii="Times New Roman" w:cs="Times New Roman" w:hAnsi="Times New Roman"/>
                <w:color w:val="auto"/>
                <w:sz w:val="24"/>
                <w:szCs w:val="24"/>
              </w:rPr>
            </w:pPr>
            <w:r>
              <w:rPr>
                <w:rFonts w:ascii="Times New Roman" w:cs="Times New Roman" w:hAnsi="Times New Roman" w:hint="eastAsia"/>
                <w:bCs/>
                <w:color w:val="auto"/>
                <w:sz w:val="24"/>
                <w:szCs w:val="20"/>
                <w:lang w:val="en-US" w:eastAsia="zh-CN"/>
              </w:rPr>
              <w:t>综上所述，本项目生活污水排放量为0.272t/d（99.28t/a），</w:t>
            </w:r>
            <w:r>
              <w:rPr>
                <w:rFonts w:ascii="Times New Roman" w:cs="Times New Roman" w:hAnsi="Times New Roman"/>
                <w:color w:val="auto"/>
                <w:sz w:val="24"/>
                <w:szCs w:val="24"/>
              </w:rPr>
              <w:t>生活污水经厂区化粪池处理后</w:t>
            </w:r>
            <w:r>
              <w:rPr>
                <w:rFonts w:ascii="Times New Roman" w:cs="Times New Roman" w:hAnsi="Times New Roman" w:hint="eastAsia"/>
                <w:color w:val="auto"/>
                <w:sz w:val="24"/>
                <w:szCs w:val="20"/>
                <w:lang w:val="en-US" w:eastAsia="zh-CN"/>
                <w:highlight w:val="none"/>
              </w:rPr>
              <w:t>通过污水管网排至延津县第二污水处理厂处理</w:t>
            </w:r>
            <w:r>
              <w:rPr>
                <w:rFonts w:ascii="Times New Roman" w:cs="Times New Roman" w:hAnsi="Times New Roman"/>
                <w:color w:val="auto"/>
                <w:sz w:val="24"/>
                <w:szCs w:val="24"/>
              </w:rPr>
              <w:t>。</w:t>
            </w:r>
          </w:p>
          <w:p>
            <w:pPr>
              <w:pStyle w:val="75"/>
              <w:keepNext/>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center"/>
              <w:rPr>
                <w:rFonts w:ascii="Times New Roman" w:eastAsia="宋体" w:cs="Times New Roman" w:hAnsi="Times New Roman" w:hint="eastAsia"/>
                <w:lang w:val="en-US" w:eastAsia="zh-CN"/>
              </w:rPr>
            </w:pPr>
            <w:r>
              <w:rPr>
                <w:rFonts w:ascii="Times New Roman" w:eastAsia="Times New Roman" w:cs="Times New Roman" w:hAnsi="Times New Roman"/>
                <w:b w:val="0"/>
                <w:bCs/>
                <w:color w:val="auto"/>
                <w:sz w:val="24"/>
                <w:szCs w:val="24"/>
                <w:lang w:val="zh-CN"/>
              </w:rPr>
              <w:t>根据类比，生活污水中主要污染物浓度COD350mg/L、SS200mg/L、NH</w:t>
            </w:r>
            <w:r>
              <w:rPr>
                <w:rFonts w:ascii="Times New Roman" w:eastAsia="Times New Roman" w:cs="Times New Roman" w:hAnsi="Times New Roman"/>
                <w:b w:val="0"/>
                <w:bCs/>
                <w:color w:val="auto"/>
                <w:sz w:val="24"/>
                <w:szCs w:val="24"/>
                <w:vertAlign w:val="subscript"/>
                <w:lang w:val="zh-CN"/>
              </w:rPr>
              <w:t>3</w:t>
            </w:r>
            <w:r>
              <w:rPr>
                <w:rFonts w:ascii="Times New Roman" w:eastAsia="Times New Roman" w:cs="Times New Roman" w:hAnsi="Times New Roman"/>
                <w:b w:val="0"/>
                <w:bCs/>
                <w:color w:val="auto"/>
                <w:sz w:val="24"/>
                <w:szCs w:val="24"/>
                <w:lang w:val="zh-CN"/>
              </w:rPr>
              <w:t>-N30mg/L、TP3mg/L，</w:t>
            </w:r>
            <w:r>
              <w:rPr>
                <w:rFonts w:ascii="Times New Roman" w:eastAsia="宋体" w:cs="Times New Roman" w:hAnsi="Times New Roman" w:hint="eastAsia"/>
                <w:b w:val="0"/>
                <w:bCs/>
                <w:color w:val="auto"/>
                <w:sz w:val="24"/>
                <w:szCs w:val="24"/>
                <w:lang w:val="en-US" w:eastAsia="zh-CN"/>
              </w:rPr>
              <w:t>污染物产生量</w:t>
            </w:r>
            <w:r>
              <w:rPr>
                <w:rFonts w:ascii="Times New Roman" w:eastAsia="Times New Roman" w:cs="Times New Roman" w:hAnsi="Times New Roman"/>
                <w:b w:val="0"/>
                <w:bCs/>
                <w:color w:val="auto"/>
                <w:sz w:val="24"/>
                <w:szCs w:val="24"/>
                <w:lang w:val="zh-CN"/>
              </w:rPr>
              <w:t>COD</w:t>
            </w:r>
            <w:r>
              <w:rPr>
                <w:rFonts w:ascii="Times New Roman" w:eastAsia="宋体" w:cs="Times New Roman" w:hAnsi="Times New Roman" w:hint="eastAsia"/>
                <w:b w:val="0"/>
                <w:bCs/>
                <w:color w:val="auto"/>
                <w:sz w:val="24"/>
                <w:szCs w:val="24"/>
                <w:lang w:val="en-US" w:eastAsia="zh-CN"/>
              </w:rPr>
              <w:t>为</w:t>
            </w:r>
            <w:r>
              <w:rPr>
                <w:rFonts w:ascii="Times New Roman" w:cs="Times New Roman" w:hAnsi="Times New Roman" w:hint="eastAsia"/>
                <w:b w:val="0"/>
                <w:bCs/>
                <w:color w:val="auto"/>
                <w:sz w:val="24"/>
                <w:szCs w:val="24"/>
                <w:lang w:val="en-US" w:eastAsia="zh-CN"/>
              </w:rPr>
              <w:t>0.0347</w:t>
            </w:r>
            <w:r>
              <w:rPr>
                <w:rFonts w:ascii="Times New Roman" w:eastAsia="Times New Roman" w:cs="Times New Roman" w:hAnsi="Times New Roman"/>
                <w:b w:val="0"/>
                <w:bCs/>
                <w:color w:val="auto"/>
                <w:sz w:val="24"/>
                <w:szCs w:val="24"/>
                <w:lang w:val="zh-CN"/>
              </w:rPr>
              <w:t>t/a，SS</w:t>
            </w:r>
            <w:r>
              <w:rPr>
                <w:rFonts w:ascii="Times New Roman" w:eastAsia="宋体" w:cs="Times New Roman" w:hAnsi="Times New Roman" w:hint="eastAsia"/>
                <w:b w:val="0"/>
                <w:bCs/>
                <w:color w:val="auto"/>
                <w:sz w:val="24"/>
                <w:szCs w:val="24"/>
                <w:lang w:val="en-US" w:eastAsia="zh-CN"/>
              </w:rPr>
              <w:t>为</w:t>
            </w:r>
            <w:r>
              <w:rPr>
                <w:rFonts w:ascii="Times New Roman" w:cs="Times New Roman" w:hAnsi="Times New Roman" w:hint="eastAsia"/>
                <w:b w:val="0"/>
                <w:bCs/>
                <w:color w:val="auto"/>
                <w:sz w:val="24"/>
                <w:szCs w:val="24"/>
                <w:lang w:val="en-US" w:eastAsia="zh-CN"/>
              </w:rPr>
              <w:t>0.0199</w:t>
            </w:r>
            <w:r>
              <w:rPr>
                <w:rFonts w:ascii="Times New Roman" w:eastAsia="Times New Roman" w:cs="Times New Roman" w:hAnsi="Times New Roman"/>
                <w:b w:val="0"/>
                <w:bCs/>
                <w:color w:val="auto"/>
                <w:sz w:val="24"/>
                <w:szCs w:val="24"/>
                <w:lang w:val="zh-CN"/>
              </w:rPr>
              <w:t>t/a，NH</w:t>
            </w:r>
            <w:r>
              <w:rPr>
                <w:rFonts w:ascii="Times New Roman" w:eastAsia="Times New Roman" w:cs="Times New Roman" w:hAnsi="Times New Roman"/>
                <w:b w:val="0"/>
                <w:bCs/>
                <w:color w:val="auto"/>
                <w:sz w:val="24"/>
                <w:szCs w:val="24"/>
                <w:vertAlign w:val="subscript"/>
                <w:lang w:val="zh-CN"/>
              </w:rPr>
              <w:t>3</w:t>
            </w:r>
            <w:r>
              <w:rPr>
                <w:rFonts w:ascii="Times New Roman" w:eastAsia="Times New Roman" w:cs="Times New Roman" w:hAnsi="Times New Roman"/>
                <w:b w:val="0"/>
                <w:bCs/>
                <w:color w:val="auto"/>
                <w:sz w:val="24"/>
                <w:szCs w:val="24"/>
                <w:lang w:val="zh-CN"/>
              </w:rPr>
              <w:t>-N</w:t>
            </w:r>
            <w:r>
              <w:rPr>
                <w:rFonts w:ascii="Times New Roman" w:eastAsia="宋体" w:cs="Times New Roman" w:hAnsi="Times New Roman" w:hint="eastAsia"/>
                <w:b w:val="0"/>
                <w:bCs/>
                <w:color w:val="auto"/>
                <w:sz w:val="24"/>
                <w:szCs w:val="24"/>
                <w:lang w:val="en-US" w:eastAsia="zh-CN"/>
              </w:rPr>
              <w:t>为</w:t>
            </w:r>
            <w:r>
              <w:rPr>
                <w:rFonts w:ascii="Times New Roman" w:cs="Times New Roman" w:hAnsi="Times New Roman" w:hint="eastAsia"/>
                <w:b w:val="0"/>
                <w:bCs/>
                <w:color w:val="auto"/>
                <w:sz w:val="24"/>
                <w:szCs w:val="24"/>
                <w:lang w:val="en-US" w:eastAsia="zh-CN"/>
              </w:rPr>
              <w:t>0.0030</w:t>
            </w:r>
            <w:r>
              <w:rPr>
                <w:rFonts w:ascii="Times New Roman" w:eastAsia="Times New Roman" w:cs="Times New Roman" w:hAnsi="Times New Roman"/>
                <w:b w:val="0"/>
                <w:bCs/>
                <w:color w:val="auto"/>
                <w:sz w:val="24"/>
                <w:szCs w:val="24"/>
                <w:lang w:val="zh-CN"/>
              </w:rPr>
              <w:t xml:space="preserve">t/a、TP </w:t>
            </w:r>
            <w:r>
              <w:rPr>
                <w:rFonts w:ascii="Times New Roman" w:eastAsia="宋体" w:cs="Times New Roman" w:hAnsi="Times New Roman" w:hint="eastAsia"/>
                <w:b w:val="0"/>
                <w:bCs/>
                <w:color w:val="auto"/>
                <w:sz w:val="24"/>
                <w:szCs w:val="24"/>
                <w:lang w:val="en-US" w:eastAsia="zh-CN"/>
              </w:rPr>
              <w:t>为0.000</w:t>
            </w:r>
            <w:r>
              <w:rPr>
                <w:rFonts w:ascii="Times New Roman" w:cs="Times New Roman" w:hAnsi="Times New Roman" w:hint="eastAsia"/>
                <w:b w:val="0"/>
                <w:bCs/>
                <w:color w:val="auto"/>
                <w:sz w:val="24"/>
                <w:szCs w:val="24"/>
                <w:lang w:val="en-US" w:eastAsia="zh-CN"/>
              </w:rPr>
              <w:t>3</w:t>
            </w:r>
            <w:r>
              <w:rPr>
                <w:rFonts w:ascii="Times New Roman" w:eastAsia="Times New Roman" w:cs="Times New Roman" w:hAnsi="Times New Roman"/>
                <w:b w:val="0"/>
                <w:bCs/>
                <w:color w:val="auto"/>
                <w:sz w:val="24"/>
                <w:szCs w:val="24"/>
                <w:lang w:val="zh-CN"/>
              </w:rPr>
              <w:t>t/a</w:t>
            </w:r>
            <w:r>
              <w:rPr>
                <w:rFonts w:ascii="Times New Roman" w:eastAsia="Times New Roman" w:cs="Times New Roman" w:hAnsi="Times New Roman" w:hint="eastAsia"/>
                <w:b w:val="0"/>
                <w:bCs/>
                <w:color w:val="auto"/>
                <w:sz w:val="24"/>
                <w:szCs w:val="24"/>
                <w:lang w:val="zh-CN"/>
              </w:rPr>
              <w:t>。</w:t>
            </w:r>
            <w:r>
              <w:rPr>
                <w:rFonts w:ascii="Times New Roman" w:eastAsia="Times New Roman" w:cs="Times New Roman" w:hAnsi="Times New Roman"/>
                <w:b w:val="0"/>
                <w:bCs/>
                <w:color w:val="auto"/>
                <w:sz w:val="24"/>
                <w:szCs w:val="24"/>
                <w:lang w:val="zh-CN"/>
              </w:rPr>
              <w:t>经</w:t>
            </w:r>
            <w:r>
              <w:rPr>
                <w:rFonts w:ascii="Times New Roman" w:eastAsia="宋体" w:cs="Times New Roman" w:hAnsi="Times New Roman" w:hint="eastAsia"/>
                <w:b w:val="0"/>
                <w:bCs/>
                <w:color w:val="auto"/>
                <w:sz w:val="24"/>
                <w:szCs w:val="24"/>
                <w:lang w:val="en-US" w:eastAsia="zh-CN"/>
              </w:rPr>
              <w:t>化粪池处理后水质为</w:t>
            </w:r>
            <w:r>
              <w:rPr>
                <w:rFonts w:ascii="Times New Roman" w:eastAsia="Times New Roman" w:cs="Times New Roman" w:hAnsi="Times New Roman"/>
                <w:b w:val="0"/>
                <w:bCs/>
                <w:color w:val="auto"/>
                <w:sz w:val="24"/>
                <w:szCs w:val="24"/>
                <w:lang w:val="zh-CN"/>
              </w:rPr>
              <w:t>COD250mg/L、SS100mg/L、NH</w:t>
            </w:r>
            <w:r>
              <w:rPr>
                <w:rFonts w:ascii="Times New Roman" w:eastAsia="Times New Roman" w:cs="Times New Roman" w:hAnsi="Times New Roman"/>
                <w:b w:val="0"/>
                <w:bCs/>
                <w:color w:val="auto"/>
                <w:sz w:val="24"/>
                <w:szCs w:val="24"/>
                <w:vertAlign w:val="subscript"/>
                <w:lang w:val="zh-CN"/>
              </w:rPr>
              <w:t>3</w:t>
            </w:r>
            <w:r>
              <w:rPr>
                <w:rFonts w:ascii="Times New Roman" w:eastAsia="Times New Roman" w:cs="Times New Roman" w:hAnsi="Times New Roman"/>
                <w:b w:val="0"/>
                <w:bCs/>
                <w:color w:val="auto"/>
                <w:sz w:val="24"/>
                <w:szCs w:val="24"/>
                <w:lang w:val="zh-CN"/>
              </w:rPr>
              <w:t>-N25mg/L、TP2mg/L</w:t>
            </w:r>
            <w:r>
              <w:rPr>
                <w:rFonts w:ascii="Times New Roman" w:eastAsia="Times New Roman" w:cs="Times New Roman" w:hAnsi="Times New Roman" w:hint="eastAsia"/>
                <w:b w:val="0"/>
                <w:bCs/>
                <w:color w:val="auto"/>
                <w:sz w:val="24"/>
                <w:szCs w:val="24"/>
                <w:lang w:val="zh-CN"/>
              </w:rPr>
              <w:t>，</w:t>
            </w:r>
            <w:r>
              <w:rPr>
                <w:rFonts w:ascii="Times New Roman" w:eastAsia="宋体" w:cs="Times New Roman" w:hAnsi="Times New Roman" w:hint="eastAsia"/>
                <w:b w:val="0"/>
                <w:bCs/>
                <w:color w:val="auto"/>
                <w:sz w:val="24"/>
                <w:szCs w:val="24"/>
                <w:lang w:val="en-US" w:eastAsia="zh-CN"/>
              </w:rPr>
              <w:t>可以满足延津县第二污水处理厂收水标准：</w:t>
            </w:r>
            <w:r>
              <w:rPr>
                <w:rFonts w:ascii="Times New Roman" w:cs="Times New Roman" w:hAnsi="Times New Roman"/>
                <w:b w:val="0"/>
                <w:bCs/>
                <w:color w:val="auto"/>
                <w:sz w:val="24"/>
                <w:szCs w:val="21"/>
              </w:rPr>
              <w:t>COD260mg/L、SS190mg/L、NH</w:t>
            </w:r>
            <w:r>
              <w:rPr>
                <w:rFonts w:ascii="Times New Roman" w:cs="Times New Roman" w:hAnsi="Times New Roman"/>
                <w:b w:val="0"/>
                <w:bCs/>
                <w:color w:val="auto"/>
                <w:sz w:val="24"/>
                <w:szCs w:val="21"/>
                <w:vertAlign w:val="subscript"/>
              </w:rPr>
              <w:t>3</w:t>
            </w:r>
            <w:r>
              <w:rPr>
                <w:rFonts w:ascii="Times New Roman" w:cs="Times New Roman" w:hAnsi="Times New Roman"/>
                <w:b w:val="0"/>
                <w:bCs/>
                <w:color w:val="auto"/>
                <w:sz w:val="24"/>
                <w:szCs w:val="21"/>
              </w:rPr>
              <w:t>-N35mg/L、TP4mg/L</w:t>
            </w:r>
            <w:r>
              <w:rPr>
                <w:rFonts w:ascii="Times New Roman" w:cs="Times New Roman" w:hAnsi="Times New Roman" w:hint="eastAsia"/>
                <w:b w:val="0"/>
                <w:bCs/>
                <w:color w:val="auto"/>
                <w:sz w:val="24"/>
                <w:szCs w:val="21"/>
                <w:lang w:eastAsia="zh-CN"/>
              </w:rPr>
              <w:t>。</w:t>
            </w:r>
            <w:r>
              <w:rPr>
                <w:rFonts w:ascii="Times New Roman" w:cs="Times New Roman" w:hAnsi="Times New Roman" w:hint="eastAsia"/>
                <w:b w:val="0"/>
                <w:bCs/>
                <w:color w:val="auto"/>
                <w:sz w:val="24"/>
                <w:szCs w:val="21"/>
                <w:lang w:val="en-US" w:eastAsia="zh-CN"/>
              </w:rPr>
              <w:t>本项目出厂排放量为</w:t>
            </w:r>
            <w:r>
              <w:rPr>
                <w:rFonts w:ascii="Times New Roman" w:eastAsia="Times New Roman" w:cs="Times New Roman" w:hAnsi="Times New Roman"/>
                <w:b w:val="0"/>
                <w:bCs/>
                <w:color w:val="auto"/>
                <w:sz w:val="24"/>
                <w:szCs w:val="24"/>
                <w:lang w:val="zh-CN"/>
              </w:rPr>
              <w:t>COD</w:t>
            </w:r>
            <w:r>
              <w:rPr>
                <w:rFonts w:ascii="Times New Roman" w:eastAsia="宋体" w:cs="Times New Roman" w:hAnsi="Times New Roman" w:hint="eastAsia"/>
                <w:b w:val="0"/>
                <w:bCs/>
                <w:color w:val="auto"/>
                <w:sz w:val="24"/>
                <w:szCs w:val="24"/>
                <w:lang w:val="en-US" w:eastAsia="zh-CN"/>
              </w:rPr>
              <w:t>为0.0</w:t>
            </w:r>
            <w:r>
              <w:rPr>
                <w:rFonts w:ascii="Times New Roman" w:cs="Times New Roman" w:hAnsi="Times New Roman" w:hint="eastAsia"/>
                <w:b w:val="0"/>
                <w:bCs/>
                <w:color w:val="auto"/>
                <w:sz w:val="24"/>
                <w:szCs w:val="24"/>
                <w:lang w:val="en-US" w:eastAsia="zh-CN"/>
              </w:rPr>
              <w:t>248</w:t>
            </w:r>
            <w:r>
              <w:rPr>
                <w:rFonts w:ascii="Times New Roman" w:eastAsia="Times New Roman" w:cs="Times New Roman" w:hAnsi="Times New Roman"/>
                <w:b w:val="0"/>
                <w:bCs/>
                <w:color w:val="auto"/>
                <w:sz w:val="24"/>
                <w:szCs w:val="24"/>
                <w:lang w:val="zh-CN"/>
              </w:rPr>
              <w:t>t/a，SS</w:t>
            </w:r>
            <w:r>
              <w:rPr>
                <w:rFonts w:ascii="Times New Roman" w:eastAsia="宋体" w:cs="Times New Roman" w:hAnsi="Times New Roman" w:hint="eastAsia"/>
                <w:b w:val="0"/>
                <w:bCs/>
                <w:color w:val="auto"/>
                <w:sz w:val="24"/>
                <w:szCs w:val="24"/>
                <w:lang w:val="en-US" w:eastAsia="zh-CN"/>
              </w:rPr>
              <w:t>为</w:t>
            </w:r>
            <w:r>
              <w:rPr>
                <w:rFonts w:ascii="Times New Roman" w:eastAsia="宋体" w:cs="Times New Roman" w:hAnsi="Times New Roman" w:hint="eastAsia"/>
                <w:b w:val="0"/>
                <w:bCs/>
                <w:color w:val="auto"/>
                <w:sz w:val="24"/>
                <w:szCs w:val="24"/>
                <w:lang w:val="en-US" w:eastAsia="zh-CN"/>
                <w:highlight w:val="none"/>
              </w:rPr>
              <w:t>0.0099</w:t>
            </w:r>
            <w:r>
              <w:rPr>
                <w:rFonts w:ascii="Times New Roman" w:eastAsia="Times New Roman" w:cs="Times New Roman" w:hAnsi="Times New Roman"/>
                <w:b w:val="0"/>
                <w:bCs/>
                <w:color w:val="auto"/>
                <w:sz w:val="24"/>
                <w:szCs w:val="24"/>
                <w:lang w:val="zh-CN"/>
              </w:rPr>
              <w:t>t/a，NH</w:t>
            </w:r>
            <w:r>
              <w:rPr>
                <w:rFonts w:ascii="Times New Roman" w:eastAsia="Times New Roman" w:cs="Times New Roman" w:hAnsi="Times New Roman"/>
                <w:b w:val="0"/>
                <w:bCs/>
                <w:color w:val="auto"/>
                <w:sz w:val="24"/>
                <w:szCs w:val="24"/>
                <w:vertAlign w:val="subscript"/>
                <w:lang w:val="zh-CN"/>
              </w:rPr>
              <w:t>3</w:t>
            </w:r>
            <w:r>
              <w:rPr>
                <w:rFonts w:ascii="Times New Roman" w:eastAsia="Times New Roman" w:cs="Times New Roman" w:hAnsi="Times New Roman"/>
                <w:b w:val="0"/>
                <w:bCs/>
                <w:color w:val="auto"/>
                <w:sz w:val="24"/>
                <w:szCs w:val="24"/>
                <w:lang w:val="zh-CN"/>
              </w:rPr>
              <w:t>-N</w:t>
            </w:r>
            <w:r>
              <w:rPr>
                <w:rFonts w:ascii="Times New Roman" w:eastAsia="宋体" w:cs="Times New Roman" w:hAnsi="Times New Roman" w:hint="eastAsia"/>
                <w:b w:val="0"/>
                <w:bCs/>
                <w:color w:val="auto"/>
                <w:sz w:val="24"/>
                <w:szCs w:val="24"/>
                <w:lang w:val="en-US" w:eastAsia="zh-CN"/>
              </w:rPr>
              <w:t>为0.00</w:t>
            </w:r>
            <w:r>
              <w:rPr>
                <w:rFonts w:ascii="Times New Roman" w:cs="Times New Roman" w:hAnsi="Times New Roman" w:hint="eastAsia"/>
                <w:b w:val="0"/>
                <w:bCs/>
                <w:color w:val="auto"/>
                <w:sz w:val="24"/>
                <w:szCs w:val="24"/>
                <w:lang w:val="en-US" w:eastAsia="zh-CN"/>
              </w:rPr>
              <w:t>22</w:t>
            </w:r>
            <w:r>
              <w:rPr>
                <w:rFonts w:ascii="Times New Roman" w:eastAsia="Times New Roman" w:cs="Times New Roman" w:hAnsi="Times New Roman"/>
                <w:b w:val="0"/>
                <w:bCs/>
                <w:color w:val="auto"/>
                <w:sz w:val="24"/>
                <w:szCs w:val="24"/>
                <w:lang w:val="zh-CN"/>
              </w:rPr>
              <w:t xml:space="preserve">t/a、TP </w:t>
            </w:r>
            <w:r>
              <w:rPr>
                <w:rFonts w:ascii="Times New Roman" w:eastAsia="宋体" w:cs="Times New Roman" w:hAnsi="Times New Roman" w:hint="eastAsia"/>
                <w:b w:val="0"/>
                <w:bCs/>
                <w:color w:val="auto"/>
                <w:sz w:val="24"/>
                <w:szCs w:val="24"/>
                <w:lang w:val="en-US" w:eastAsia="zh-CN"/>
              </w:rPr>
              <w:t>为</w:t>
            </w:r>
            <w:r>
              <w:rPr>
                <w:rFonts w:ascii="Times New Roman" w:eastAsia="Times New Roman" w:cs="Times New Roman" w:hAnsi="Times New Roman"/>
                <w:b w:val="0"/>
                <w:bCs/>
                <w:color w:val="auto"/>
                <w:sz w:val="24"/>
                <w:szCs w:val="24"/>
                <w:lang w:val="zh-CN"/>
              </w:rPr>
              <w:t>0.00</w:t>
            </w:r>
            <w:r>
              <w:rPr>
                <w:rFonts w:ascii="Times New Roman" w:cs="Times New Roman" w:hAnsi="Times New Roman" w:hint="eastAsia"/>
                <w:b w:val="0"/>
                <w:bCs/>
                <w:color w:val="auto"/>
                <w:sz w:val="24"/>
                <w:szCs w:val="24"/>
                <w:lang w:val="en-US" w:eastAsia="zh-CN"/>
              </w:rPr>
              <w:t>02</w:t>
            </w:r>
            <w:r>
              <w:rPr>
                <w:rFonts w:ascii="Times New Roman" w:eastAsia="Times New Roman" w:cs="Times New Roman" w:hAnsi="Times New Roman"/>
                <w:b w:val="0"/>
                <w:bCs/>
                <w:color w:val="auto"/>
                <w:sz w:val="24"/>
                <w:szCs w:val="24"/>
                <w:lang w:val="zh-CN"/>
              </w:rPr>
              <w:t>t/a</w:t>
            </w:r>
            <w:r>
              <w:rPr>
                <w:rFonts w:ascii="Times New Roman" w:eastAsia="Times New Roman" w:cs="Times New Roman" w:hAnsi="Times New Roman" w:hint="eastAsia"/>
                <w:b w:val="0"/>
                <w:bCs/>
                <w:color w:val="auto"/>
                <w:sz w:val="24"/>
                <w:szCs w:val="24"/>
                <w:lang w:val="zh-CN"/>
              </w:rPr>
              <w:t>。</w:t>
            </w:r>
            <w:r>
              <w:rPr>
                <w:rFonts w:ascii="Times New Roman" w:eastAsia="宋体" w:cs="Times New Roman" w:hAnsi="Times New Roman" w:hint="eastAsia"/>
                <w:sz w:val="24"/>
                <w:szCs w:val="20"/>
                <w:lang w:val="en-US" w:eastAsia="zh-CN"/>
              </w:rPr>
              <w:t xml:space="preserve"> </w:t>
            </w:r>
          </w:p>
          <w:p>
            <w:pPr>
              <w:keepNext w:val="0"/>
              <w:keepLines w:val="0"/>
              <w:suppressLineNumbers w:val="0"/>
              <w:spacing w:before="0" w:beforeAutospacing="0" w:after="0" w:afterAutospacing="0"/>
              <w:ind w:left="0" w:right="0"/>
              <w:rPr>
                <w:rFonts w:ascii="Times New Roman" w:eastAsia="宋体" w:cs="Times New Roman" w:hAnsi="Times New Roman" w:hint="eastAsia"/>
                <w:lang w:val="en-US" w:eastAsia="zh-CN"/>
              </w:rPr>
            </w:pPr>
          </w:p>
          <w:p>
            <w:pPr>
              <w:keepNext w:val="0"/>
              <w:keepLines w:val="0"/>
              <w:suppressLineNumbers w:val="0"/>
              <w:spacing w:before="0" w:beforeAutospacing="0" w:after="0" w:afterAutospacing="0"/>
              <w:ind w:left="0" w:right="0"/>
              <w:rPr>
                <w:rFonts w:ascii="Times New Roman" w:eastAsia="宋体" w:cs="Times New Roman" w:hAnsi="Times New Roman" w:hint="eastAsia"/>
                <w:lang w:val="en-US" w:eastAsia="zh-CN"/>
              </w:rPr>
            </w:pPr>
          </w:p>
          <w:p>
            <w:pPr>
              <w:keepNext w:val="0"/>
              <w:keepLines w:val="0"/>
              <w:suppressLineNumbers w:val="0"/>
              <w:spacing w:before="0" w:beforeAutospacing="0" w:after="0" w:afterAutospacing="0"/>
              <w:ind w:left="0" w:right="0"/>
              <w:rPr>
                <w:rFonts w:ascii="Times New Roman" w:eastAsia="宋体" w:cs="Times New Roman" w:hAnsi="Times New Roman" w:hint="eastAsia"/>
                <w:lang w:val="en-US" w:eastAsia="zh-CN"/>
              </w:rPr>
            </w:pPr>
          </w:p>
          <w:p>
            <w:pPr>
              <w:keepNext w:val="0"/>
              <w:keepLines w:val="0"/>
              <w:suppressLineNumbers w:val="0"/>
              <w:spacing w:before="0" w:beforeAutospacing="0" w:after="0" w:afterAutospacing="0"/>
              <w:ind w:left="0" w:right="0"/>
              <w:rPr>
                <w:rFonts w:ascii="Times New Roman" w:eastAsia="宋体" w:cs="Times New Roman" w:hAnsi="Times New Roman" w:hint="eastAsia"/>
                <w:lang w:val="en-US" w:eastAsia="zh-CN"/>
              </w:rPr>
            </w:pP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lang w:val="pt-BR" w:eastAsia="zh-CN"/>
              </w:rPr>
            </w:pPr>
            <w:r>
              <w:rPr>
                <w:rFonts w:ascii="Times New Roman" w:eastAsia="宋体" w:cs="Times New Roman" w:hAnsi="Times New Roman" w:hint="eastAsia"/>
                <w:sz w:val="24"/>
                <w:szCs w:val="20"/>
                <w:lang w:val="en-US" w:eastAsia="zh-CN"/>
              </w:rPr>
              <w:t>全厂废水产排情况一览表</w:t>
            </w:r>
          </w:p>
          <w:tbl>
            <w:tblPr>
              <w:jc w:val="center"/>
              <w:tblW w:w="4972"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3450"/>
              <w:gridCol w:w="1647"/>
              <w:gridCol w:w="1079"/>
              <w:gridCol w:w="1079"/>
              <w:gridCol w:w="1293"/>
            </w:tblGrid>
            <w:tr>
              <w:trPr>
                <w:trHeight w:val="397"/>
              </w:trPr>
              <w:tc>
                <w:tcPr>
                  <w:tcW w:w="3450" w:type="dxa"/>
                  <w:vMerge w:val="restart"/>
                  <w:tcBorders>
                    <w:tl2br w:val="nil"/>
                    <w:tr2bl w:val="nil"/>
                  </w:tcBorders>
                  <w:vAlign w:val="center"/>
                </w:tcPr>
                <w:p>
                  <w:pPr>
                    <w:pStyle w:val="82"/>
                    <w:keepNext w:val="0"/>
                    <w:keepLines w:val="0"/>
                    <w:suppressLineNumbers w:val="0"/>
                    <w:spacing w:before="0" w:beforeAutospacing="0" w:after="0" w:afterAutospacing="0" w:line="240" w:lineRule="auto"/>
                    <w:ind w:left="0" w:right="0"/>
                    <w:rPr>
                      <w:rFonts w:ascii="Times New Roman" w:cs="Times New Roman" w:hAnsi="Times New Roman"/>
                      <w:b/>
                      <w:bCs/>
                      <w:color w:val="auto"/>
                      <w:sz w:val="21"/>
                      <w:szCs w:val="21"/>
                    </w:rPr>
                  </w:pPr>
                  <w:r>
                    <w:rPr>
                      <w:rFonts w:ascii="Times New Roman" w:cs="Times New Roman" w:hAnsi="Times New Roman"/>
                      <w:b/>
                      <w:bCs/>
                      <w:color w:val="auto"/>
                      <w:sz w:val="21"/>
                      <w:szCs w:val="21"/>
                    </w:rPr>
                    <w:t>项目</w:t>
                  </w:r>
                </w:p>
              </w:tc>
              <w:tc>
                <w:tcPr>
                  <w:tcW w:w="5098" w:type="dxa"/>
                  <w:gridSpan w:val="4"/>
                  <w:tcBorders>
                    <w:tl2br w:val="nil"/>
                    <w:tr2bl w:val="nil"/>
                  </w:tcBorders>
                  <w:vAlign w:val="center"/>
                </w:tcPr>
                <w:p>
                  <w:pPr>
                    <w:pStyle w:val="82"/>
                    <w:keepNext w:val="0"/>
                    <w:keepLines w:val="0"/>
                    <w:suppressLineNumbers w:val="0"/>
                    <w:spacing w:before="0" w:beforeAutospacing="0" w:after="0" w:afterAutospacing="0" w:line="240" w:lineRule="auto"/>
                    <w:ind w:left="0" w:right="0"/>
                    <w:rPr>
                      <w:rFonts w:ascii="Times New Roman" w:cs="Times New Roman" w:hAnsi="Times New Roman"/>
                      <w:b/>
                      <w:bCs/>
                      <w:color w:val="auto"/>
                      <w:sz w:val="21"/>
                      <w:szCs w:val="21"/>
                    </w:rPr>
                  </w:pPr>
                  <w:r>
                    <w:rPr>
                      <w:rFonts w:ascii="Times New Roman" w:cs="Times New Roman" w:hAnsi="Times New Roman"/>
                      <w:b/>
                      <w:bCs/>
                      <w:color w:val="auto"/>
                      <w:sz w:val="21"/>
                      <w:szCs w:val="21"/>
                    </w:rPr>
                    <w:t>污染物排放浓度（mg/L）</w:t>
                  </w:r>
                </w:p>
              </w:tc>
            </w:tr>
            <w:tr>
              <w:trPr>
                <w:trHeight w:val="397"/>
              </w:trPr>
              <w:tc>
                <w:tcPr>
                  <w:tcW w:w="3450" w:type="dxa"/>
                  <w:vMerge/>
                  <w:tcBorders>
                    <w:tl2br w:val="nil"/>
                    <w:tr2bl w:val="nil"/>
                  </w:tcBorders>
                  <w:vAlign w:val="center"/>
                </w:tcPr>
                <w:p/>
              </w:tc>
              <w:tc>
                <w:tcPr>
                  <w:tcW w:w="1647" w:type="dxa"/>
                  <w:tcBorders>
                    <w:tl2br w:val="nil"/>
                    <w:tr2bl w:val="nil"/>
                  </w:tcBorders>
                  <w:vAlign w:val="center"/>
                </w:tcPr>
                <w:p>
                  <w:pPr>
                    <w:pStyle w:val="82"/>
                    <w:keepNext w:val="0"/>
                    <w:keepLines w:val="0"/>
                    <w:suppressLineNumbers w:val="0"/>
                    <w:spacing w:before="0" w:beforeAutospacing="0" w:after="0" w:afterAutospacing="0" w:line="240" w:lineRule="auto"/>
                    <w:ind w:left="0" w:right="0"/>
                    <w:rPr>
                      <w:rFonts w:ascii="Times New Roman" w:cs="Times New Roman" w:hAnsi="Times New Roman"/>
                      <w:b/>
                      <w:bCs/>
                      <w:color w:val="auto"/>
                      <w:sz w:val="21"/>
                      <w:szCs w:val="21"/>
                    </w:rPr>
                  </w:pPr>
                  <w:r>
                    <w:rPr>
                      <w:rFonts w:ascii="Times New Roman" w:cs="Times New Roman" w:hAnsi="Times New Roman"/>
                      <w:b/>
                      <w:bCs/>
                      <w:color w:val="auto"/>
                      <w:sz w:val="21"/>
                      <w:szCs w:val="21"/>
                    </w:rPr>
                    <w:t>COD</w:t>
                  </w:r>
                </w:p>
              </w:tc>
              <w:tc>
                <w:tcPr>
                  <w:tcW w:w="1079" w:type="dxa"/>
                  <w:tcBorders>
                    <w:tl2br w:val="nil"/>
                    <w:tr2bl w:val="nil"/>
                  </w:tcBorders>
                  <w:vAlign w:val="center"/>
                </w:tcPr>
                <w:p>
                  <w:pPr>
                    <w:pStyle w:val="82"/>
                    <w:keepNext w:val="0"/>
                    <w:keepLines w:val="0"/>
                    <w:suppressLineNumbers w:val="0"/>
                    <w:spacing w:before="0" w:beforeAutospacing="0" w:after="0" w:afterAutospacing="0" w:line="240" w:lineRule="auto"/>
                    <w:ind w:left="0" w:right="0"/>
                    <w:rPr>
                      <w:rFonts w:ascii="Times New Roman" w:cs="Times New Roman" w:hAnsi="Times New Roman"/>
                      <w:b/>
                      <w:bCs/>
                      <w:color w:val="auto"/>
                      <w:sz w:val="21"/>
                      <w:szCs w:val="21"/>
                    </w:rPr>
                  </w:pPr>
                  <w:r>
                    <w:rPr>
                      <w:rFonts w:ascii="Times New Roman" w:cs="Times New Roman" w:hAnsi="Times New Roman"/>
                      <w:b/>
                      <w:bCs/>
                      <w:color w:val="auto"/>
                      <w:sz w:val="21"/>
                      <w:szCs w:val="21"/>
                    </w:rPr>
                    <w:t>SS</w:t>
                  </w:r>
                </w:p>
              </w:tc>
              <w:tc>
                <w:tcPr>
                  <w:tcW w:w="1079" w:type="dxa"/>
                  <w:tcBorders>
                    <w:tl2br w:val="nil"/>
                    <w:tr2bl w:val="nil"/>
                  </w:tcBorders>
                  <w:vAlign w:val="center"/>
                </w:tcPr>
                <w:p>
                  <w:pPr>
                    <w:pStyle w:val="82"/>
                    <w:keepNext w:val="0"/>
                    <w:keepLines w:val="0"/>
                    <w:suppressLineNumbers w:val="0"/>
                    <w:spacing w:before="0" w:beforeAutospacing="0" w:after="0" w:afterAutospacing="0" w:line="240" w:lineRule="auto"/>
                    <w:ind w:left="0" w:right="0"/>
                    <w:rPr>
                      <w:rFonts w:ascii="Times New Roman" w:cs="Times New Roman" w:hAnsi="Times New Roman"/>
                      <w:b/>
                      <w:bCs/>
                      <w:color w:val="auto"/>
                      <w:sz w:val="21"/>
                      <w:szCs w:val="21"/>
                    </w:rPr>
                  </w:pPr>
                  <w:r>
                    <w:rPr>
                      <w:rFonts w:ascii="Times New Roman" w:cs="Times New Roman" w:hAnsi="Times New Roman"/>
                      <w:b/>
                      <w:bCs/>
                      <w:color w:val="auto"/>
                      <w:sz w:val="21"/>
                      <w:szCs w:val="21"/>
                    </w:rPr>
                    <w:t>NH</w:t>
                  </w:r>
                  <w:r>
                    <w:rPr>
                      <w:rFonts w:ascii="Times New Roman" w:cs="Times New Roman" w:hAnsi="Times New Roman"/>
                      <w:b/>
                      <w:bCs/>
                      <w:color w:val="auto"/>
                      <w:sz w:val="21"/>
                      <w:szCs w:val="21"/>
                      <w:vertAlign w:val="subscript"/>
                    </w:rPr>
                    <w:t>3</w:t>
                  </w:r>
                  <w:r>
                    <w:rPr>
                      <w:rFonts w:ascii="Times New Roman" w:cs="Times New Roman" w:hAnsi="Times New Roman"/>
                      <w:b/>
                      <w:bCs/>
                      <w:color w:val="auto"/>
                      <w:sz w:val="21"/>
                      <w:szCs w:val="21"/>
                    </w:rPr>
                    <w:t>-N</w:t>
                  </w:r>
                </w:p>
              </w:tc>
              <w:tc>
                <w:tcPr>
                  <w:tcW w:w="1293" w:type="dxa"/>
                  <w:tcBorders>
                    <w:tl2br w:val="nil"/>
                    <w:tr2bl w:val="nil"/>
                  </w:tcBorders>
                  <w:vAlign w:val="center"/>
                </w:tcPr>
                <w:p>
                  <w:pPr>
                    <w:pStyle w:val="82"/>
                    <w:keepNext w:val="0"/>
                    <w:keepLines w:val="0"/>
                    <w:suppressLineNumbers w:val="0"/>
                    <w:spacing w:before="0" w:beforeAutospacing="0" w:after="0" w:afterAutospacing="0" w:line="240" w:lineRule="auto"/>
                    <w:ind w:left="0" w:right="0"/>
                    <w:rPr>
                      <w:rFonts w:ascii="Times New Roman" w:cs="Times New Roman" w:hAnsi="Times New Roman"/>
                      <w:b/>
                      <w:bCs/>
                      <w:color w:val="auto"/>
                      <w:sz w:val="21"/>
                      <w:szCs w:val="21"/>
                    </w:rPr>
                  </w:pPr>
                  <w:r>
                    <w:rPr>
                      <w:rFonts w:ascii="Times New Roman" w:cs="Times New Roman" w:hAnsi="Times New Roman"/>
                      <w:b/>
                      <w:bCs/>
                      <w:color w:val="auto"/>
                      <w:sz w:val="21"/>
                      <w:szCs w:val="21"/>
                    </w:rPr>
                    <w:t>TP</w:t>
                  </w:r>
                </w:p>
              </w:tc>
            </w:tr>
            <w:tr>
              <w:trPr>
                <w:trHeight w:val="397"/>
              </w:trPr>
              <w:tc>
                <w:tcPr>
                  <w:tcW w:w="3450" w:type="dxa"/>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cs="Times New Roman" w:hAnsi="Times New Roman"/>
                      <w:color w:val="auto"/>
                      <w:sz w:val="21"/>
                      <w:szCs w:val="21"/>
                    </w:rPr>
                  </w:pPr>
                  <w:r>
                    <w:rPr>
                      <w:rFonts w:ascii="Times New Roman" w:eastAsia="宋体" w:cs="Times New Roman" w:hAnsi="Times New Roman"/>
                      <w:i w:val="0"/>
                      <w:iCs w:val="0"/>
                      <w:color w:val="000000"/>
                      <w:kern w:val="0"/>
                      <w:sz w:val="21"/>
                      <w:szCs w:val="21"/>
                      <w:u w:val="none"/>
                      <w:lang w:val="en-US" w:eastAsia="zh-CN"/>
                    </w:rPr>
                    <w:t>生活废水进口（</w:t>
                  </w:r>
                  <w:r>
                    <w:rPr>
                      <w:rFonts w:ascii="Times New Roman" w:cs="Times New Roman" w:hAnsi="Times New Roman" w:hint="eastAsia"/>
                      <w:i w:val="0"/>
                      <w:iCs w:val="0"/>
                      <w:color w:val="000000"/>
                      <w:kern w:val="0"/>
                      <w:sz w:val="21"/>
                      <w:szCs w:val="21"/>
                      <w:u w:val="none"/>
                      <w:lang w:val="en-US" w:eastAsia="zh-CN"/>
                    </w:rPr>
                    <w:t>99.28</w:t>
                  </w:r>
                  <w:r>
                    <w:rPr>
                      <w:rStyle w:val="69"/>
                      <w:rFonts w:ascii="Times New Roman" w:eastAsia="宋体" w:cs="Times New Roman" w:hAnsi="Times New Roman"/>
                      <w:sz w:val="24"/>
                      <w:szCs w:val="20"/>
                      <w:lang w:val="en-US" w:eastAsia="zh-CN"/>
                    </w:rPr>
                    <w:t>m</w:t>
                  </w:r>
                  <w:r>
                    <w:rPr>
                      <w:rStyle w:val="83"/>
                      <w:rFonts w:ascii="Times New Roman" w:eastAsia="宋体" w:cs="Times New Roman" w:hAnsi="Times New Roman"/>
                      <w:sz w:val="24"/>
                      <w:szCs w:val="20"/>
                      <w:lang w:val="en-US" w:eastAsia="zh-CN"/>
                    </w:rPr>
                    <w:t>3</w:t>
                  </w:r>
                  <w:r>
                    <w:rPr>
                      <w:rStyle w:val="69"/>
                      <w:rFonts w:ascii="Times New Roman" w:eastAsia="宋体" w:cs="Times New Roman" w:hAnsi="Times New Roman"/>
                      <w:sz w:val="24"/>
                      <w:szCs w:val="20"/>
                      <w:lang w:val="en-US" w:eastAsia="zh-CN"/>
                    </w:rPr>
                    <w:t>/a</w:t>
                  </w:r>
                  <w:r>
                    <w:rPr>
                      <w:rFonts w:ascii="Times New Roman" w:eastAsia="宋体" w:cs="Times New Roman" w:hAnsi="Times New Roman"/>
                      <w:i w:val="0"/>
                      <w:iCs w:val="0"/>
                      <w:color w:val="000000"/>
                      <w:kern w:val="0"/>
                      <w:sz w:val="21"/>
                      <w:szCs w:val="21"/>
                      <w:u w:val="none"/>
                      <w:lang w:val="en-US" w:eastAsia="zh-CN"/>
                    </w:rPr>
                    <w:t>）</w:t>
                  </w:r>
                </w:p>
              </w:tc>
              <w:tc>
                <w:tcPr>
                  <w:tcW w:w="1647"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350</w:t>
                  </w:r>
                </w:p>
              </w:tc>
              <w:tc>
                <w:tcPr>
                  <w:tcW w:w="107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200</w:t>
                  </w:r>
                </w:p>
              </w:tc>
              <w:tc>
                <w:tcPr>
                  <w:tcW w:w="107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30</w:t>
                  </w:r>
                </w:p>
              </w:tc>
              <w:tc>
                <w:tcPr>
                  <w:tcW w:w="129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3</w:t>
                  </w:r>
                </w:p>
              </w:tc>
            </w:tr>
            <w:tr>
              <w:trPr>
                <w:trHeight w:val="397"/>
              </w:trPr>
              <w:tc>
                <w:tcPr>
                  <w:tcW w:w="3450" w:type="dxa"/>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化粪池处理效率</w:t>
                  </w:r>
                  <w:r>
                    <w:rPr>
                      <w:rStyle w:val="69"/>
                      <w:rFonts w:ascii="Times New Roman" w:eastAsia="宋体" w:cs="Times New Roman" w:hAnsi="Times New Roman"/>
                      <w:sz w:val="24"/>
                      <w:szCs w:val="20"/>
                      <w:lang w:val="en-US" w:eastAsia="zh-CN"/>
                    </w:rPr>
                    <w:t>%</w:t>
                  </w:r>
                </w:p>
              </w:tc>
              <w:tc>
                <w:tcPr>
                  <w:tcW w:w="164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kern w:val="2"/>
                      <w:sz w:val="21"/>
                      <w:szCs w:val="21"/>
                      <w:lang w:val="en-US" w:eastAsia="zh-CN" w:bidi="ar-SA"/>
                    </w:rPr>
                  </w:pPr>
                  <w:r>
                    <w:rPr>
                      <w:rFonts w:ascii="Times New Roman" w:cs="Times New Roman" w:hAnsi="Times New Roman" w:hint="eastAsia"/>
                      <w:i w:val="0"/>
                      <w:iCs w:val="0"/>
                      <w:color w:val="000000"/>
                      <w:kern w:val="0"/>
                      <w:sz w:val="21"/>
                      <w:szCs w:val="21"/>
                      <w:u w:val="none"/>
                      <w:lang w:val="en-US" w:eastAsia="zh-CN"/>
                      <w:highlight w:val="none"/>
                    </w:rPr>
                    <w:t>29</w:t>
                  </w:r>
                  <w:r>
                    <w:rPr>
                      <w:rFonts w:ascii="Times New Roman" w:eastAsia="宋体" w:cs="Times New Roman" w:hAnsi="Times New Roman"/>
                      <w:i w:val="0"/>
                      <w:iCs w:val="0"/>
                      <w:color w:val="000000"/>
                      <w:kern w:val="0"/>
                      <w:sz w:val="21"/>
                      <w:szCs w:val="21"/>
                      <w:u w:val="none"/>
                      <w:lang w:val="en-US" w:eastAsia="zh-CN"/>
                      <w:highlight w:val="none"/>
                    </w:rPr>
                    <w:t>%</w:t>
                  </w:r>
                </w:p>
              </w:tc>
              <w:tc>
                <w:tcPr>
                  <w:tcW w:w="107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kern w:val="2"/>
                      <w:sz w:val="21"/>
                      <w:szCs w:val="21"/>
                      <w:lang w:val="en-US" w:eastAsia="zh-CN" w:bidi="ar-SA"/>
                    </w:rPr>
                  </w:pPr>
                  <w:r>
                    <w:rPr>
                      <w:rFonts w:ascii="Times New Roman" w:eastAsia="宋体" w:cs="Times New Roman" w:hAnsi="Times New Roman"/>
                      <w:i w:val="0"/>
                      <w:iCs w:val="0"/>
                      <w:color w:val="000000"/>
                      <w:kern w:val="0"/>
                      <w:sz w:val="21"/>
                      <w:szCs w:val="21"/>
                      <w:u w:val="none"/>
                      <w:lang w:val="en-US" w:eastAsia="zh-CN"/>
                      <w:highlight w:val="none"/>
                    </w:rPr>
                    <w:t>50%</w:t>
                  </w:r>
                </w:p>
              </w:tc>
              <w:tc>
                <w:tcPr>
                  <w:tcW w:w="107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kern w:val="2"/>
                      <w:sz w:val="21"/>
                      <w:szCs w:val="21"/>
                      <w:lang w:val="en-US" w:eastAsia="zh-CN" w:bidi="ar-SA"/>
                    </w:rPr>
                  </w:pPr>
                  <w:r>
                    <w:rPr>
                      <w:rFonts w:ascii="Times New Roman" w:cs="Times New Roman" w:hAnsi="Times New Roman" w:hint="eastAsia"/>
                      <w:i w:val="0"/>
                      <w:iCs w:val="0"/>
                      <w:color w:val="000000"/>
                      <w:kern w:val="0"/>
                      <w:sz w:val="21"/>
                      <w:szCs w:val="21"/>
                      <w:u w:val="none"/>
                      <w:lang w:val="en-US" w:eastAsia="zh-CN"/>
                      <w:highlight w:val="none"/>
                    </w:rPr>
                    <w:t>27</w:t>
                  </w:r>
                  <w:r>
                    <w:rPr>
                      <w:rFonts w:ascii="Times New Roman" w:eastAsia="宋体" w:cs="Times New Roman" w:hAnsi="Times New Roman"/>
                      <w:i w:val="0"/>
                      <w:iCs w:val="0"/>
                      <w:color w:val="000000"/>
                      <w:kern w:val="0"/>
                      <w:sz w:val="21"/>
                      <w:szCs w:val="21"/>
                      <w:u w:val="none"/>
                      <w:lang w:val="en-US" w:eastAsia="zh-CN"/>
                      <w:highlight w:val="none"/>
                    </w:rPr>
                    <w:t>%</w:t>
                  </w:r>
                </w:p>
              </w:tc>
              <w:tc>
                <w:tcPr>
                  <w:tcW w:w="1293"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kern w:val="2"/>
                      <w:sz w:val="21"/>
                      <w:szCs w:val="21"/>
                      <w:lang w:val="en-US" w:eastAsia="zh-CN" w:bidi="ar-SA"/>
                    </w:rPr>
                  </w:pPr>
                  <w:r>
                    <w:rPr>
                      <w:rFonts w:ascii="Times New Roman" w:cs="Times New Roman" w:hAnsi="Times New Roman" w:hint="eastAsia"/>
                      <w:i w:val="0"/>
                      <w:iCs w:val="0"/>
                      <w:color w:val="000000"/>
                      <w:kern w:val="0"/>
                      <w:sz w:val="21"/>
                      <w:szCs w:val="21"/>
                      <w:u w:val="none"/>
                      <w:lang w:val="en-US" w:eastAsia="zh-CN"/>
                      <w:highlight w:val="none"/>
                    </w:rPr>
                    <w:t>33</w:t>
                  </w:r>
                  <w:r>
                    <w:rPr>
                      <w:rFonts w:ascii="Times New Roman" w:eastAsia="宋体" w:cs="Times New Roman" w:hAnsi="Times New Roman"/>
                      <w:i w:val="0"/>
                      <w:iCs w:val="0"/>
                      <w:color w:val="000000"/>
                      <w:kern w:val="0"/>
                      <w:sz w:val="21"/>
                      <w:szCs w:val="21"/>
                      <w:u w:val="none"/>
                      <w:lang w:val="en-US" w:eastAsia="zh-CN"/>
                      <w:highlight w:val="none"/>
                    </w:rPr>
                    <w:t>%</w:t>
                  </w:r>
                </w:p>
              </w:tc>
            </w:tr>
            <w:tr>
              <w:trPr>
                <w:trHeight w:val="397"/>
              </w:trPr>
              <w:tc>
                <w:tcPr>
                  <w:tcW w:w="3450" w:type="dxa"/>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生活废水出口（</w:t>
                  </w:r>
                  <w:r>
                    <w:rPr>
                      <w:rFonts w:ascii="Times New Roman" w:cs="Times New Roman" w:hAnsi="Times New Roman" w:hint="eastAsia"/>
                      <w:i w:val="0"/>
                      <w:iCs w:val="0"/>
                      <w:color w:val="000000"/>
                      <w:kern w:val="0"/>
                      <w:sz w:val="21"/>
                      <w:szCs w:val="21"/>
                      <w:u w:val="none"/>
                      <w:lang w:val="en-US" w:eastAsia="zh-CN"/>
                    </w:rPr>
                    <w:t>99.28</w:t>
                  </w:r>
                  <w:r>
                    <w:rPr>
                      <w:rStyle w:val="69"/>
                      <w:rFonts w:ascii="Times New Roman" w:eastAsia="宋体" w:cs="Times New Roman" w:hAnsi="Times New Roman"/>
                      <w:sz w:val="24"/>
                      <w:szCs w:val="20"/>
                      <w:lang w:val="en-US" w:eastAsia="zh-CN"/>
                    </w:rPr>
                    <w:t>m</w:t>
                  </w:r>
                  <w:r>
                    <w:rPr>
                      <w:rStyle w:val="83"/>
                      <w:rFonts w:ascii="Times New Roman" w:eastAsia="宋体" w:cs="Times New Roman" w:hAnsi="Times New Roman"/>
                      <w:sz w:val="24"/>
                      <w:szCs w:val="20"/>
                      <w:lang w:val="en-US" w:eastAsia="zh-CN"/>
                    </w:rPr>
                    <w:t>3</w:t>
                  </w:r>
                  <w:r>
                    <w:rPr>
                      <w:rStyle w:val="69"/>
                      <w:rFonts w:ascii="Times New Roman" w:eastAsia="宋体" w:cs="Times New Roman" w:hAnsi="Times New Roman"/>
                      <w:sz w:val="24"/>
                      <w:szCs w:val="20"/>
                      <w:lang w:val="en-US" w:eastAsia="zh-CN"/>
                    </w:rPr>
                    <w:t>/a</w:t>
                  </w:r>
                  <w:r>
                    <w:rPr>
                      <w:rFonts w:ascii="Times New Roman" w:eastAsia="宋体" w:cs="Times New Roman" w:hAnsi="Times New Roman"/>
                      <w:i w:val="0"/>
                      <w:iCs w:val="0"/>
                      <w:color w:val="000000"/>
                      <w:kern w:val="0"/>
                      <w:sz w:val="21"/>
                      <w:szCs w:val="21"/>
                      <w:u w:val="none"/>
                      <w:lang w:val="en-US" w:eastAsia="zh-CN"/>
                    </w:rPr>
                    <w:t>）</w:t>
                  </w:r>
                </w:p>
              </w:tc>
              <w:tc>
                <w:tcPr>
                  <w:tcW w:w="1647"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250</w:t>
                  </w:r>
                </w:p>
              </w:tc>
              <w:tc>
                <w:tcPr>
                  <w:tcW w:w="107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100</w:t>
                  </w:r>
                </w:p>
              </w:tc>
              <w:tc>
                <w:tcPr>
                  <w:tcW w:w="107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cs="Times New Roman" w:hAnsi="Times New Roman" w:hint="eastAsia"/>
                      <w:i w:val="0"/>
                      <w:iCs w:val="0"/>
                      <w:color w:val="000000"/>
                      <w:kern w:val="0"/>
                      <w:sz w:val="21"/>
                      <w:szCs w:val="21"/>
                      <w:u w:val="none"/>
                      <w:lang w:val="en-US" w:eastAsia="zh-CN"/>
                    </w:rPr>
                    <w:t>22</w:t>
                  </w:r>
                </w:p>
              </w:tc>
              <w:tc>
                <w:tcPr>
                  <w:tcW w:w="129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2</w:t>
                  </w:r>
                </w:p>
              </w:tc>
            </w:tr>
            <w:tr>
              <w:trPr>
                <w:trHeight w:val="397"/>
              </w:trPr>
              <w:tc>
                <w:tcPr>
                  <w:tcW w:w="3450" w:type="dxa"/>
                  <w:tcBorders>
                    <w:tl2br w:val="nil"/>
                    <w:tr2bl w:val="nil"/>
                  </w:tcBorders>
                  <w:vAlign w:val="center"/>
                </w:tcPr>
                <w:p>
                  <w:pPr>
                    <w:keepNext w:val="0"/>
                    <w:keepLines w:val="0"/>
                    <w:widowControl/>
                    <w:suppressLineNumbers w:val="0"/>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延津县第二污水处理厂收水水质</w:t>
                  </w:r>
                </w:p>
              </w:tc>
              <w:tc>
                <w:tcPr>
                  <w:tcW w:w="1647"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260</w:t>
                  </w:r>
                </w:p>
              </w:tc>
              <w:tc>
                <w:tcPr>
                  <w:tcW w:w="107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190</w:t>
                  </w:r>
                </w:p>
              </w:tc>
              <w:tc>
                <w:tcPr>
                  <w:tcW w:w="1079"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35</w:t>
                  </w:r>
                </w:p>
              </w:tc>
              <w:tc>
                <w:tcPr>
                  <w:tcW w:w="129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ascii="Times New Roman" w:eastAsia="宋体" w:cs="Times New Roman" w:hAnsi="Times New Roman"/>
                      <w:color w:val="auto"/>
                      <w:sz w:val="21"/>
                      <w:szCs w:val="21"/>
                      <w:lang w:val="en-US" w:eastAsia="zh-CN"/>
                    </w:rPr>
                  </w:pPr>
                  <w:r>
                    <w:rPr>
                      <w:rFonts w:ascii="Times New Roman" w:eastAsia="宋体" w:cs="Times New Roman" w:hAnsi="Times New Roman"/>
                      <w:i w:val="0"/>
                      <w:iCs w:val="0"/>
                      <w:color w:val="000000"/>
                      <w:kern w:val="0"/>
                      <w:sz w:val="21"/>
                      <w:szCs w:val="21"/>
                      <w:u w:val="none"/>
                      <w:lang w:val="en-US" w:eastAsia="zh-CN"/>
                    </w:rPr>
                    <w:t>4</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eastAsia="宋体"/>
                <w:color w:val="FF0000"/>
                <w:lang w:val="en-US" w:eastAsia="zh-CN"/>
              </w:rPr>
            </w:pPr>
            <w:r>
              <w:rPr>
                <w:rFonts w:ascii="Times New Roman" w:eastAsia="宋体" w:cs="Times New Roman" w:hAnsi="Times New Roman"/>
                <w:color w:val="auto"/>
                <w:sz w:val="24"/>
                <w:szCs w:val="20"/>
                <w:lang w:val="en-US" w:eastAsia="zh-CN"/>
              </w:rPr>
              <w:t>综上，</w:t>
            </w:r>
            <w:r>
              <w:rPr>
                <w:rFonts w:ascii="Times New Roman" w:cs="Times New Roman" w:hAnsi="Times New Roman" w:hint="eastAsia"/>
                <w:color w:val="auto"/>
                <w:sz w:val="24"/>
                <w:szCs w:val="20"/>
                <w:lang w:val="en-US" w:eastAsia="zh-CN"/>
              </w:rPr>
              <w:t>本项目废水排放量共计99.28</w:t>
            </w:r>
            <w:r>
              <w:rPr>
                <w:rFonts w:ascii="Times New Roman" w:cs="Times New Roman" w:hAnsi="Times New Roman" w:hint="eastAsia"/>
                <w:color w:val="000000"/>
                <w:sz w:val="24"/>
                <w:szCs w:val="20"/>
                <w14:textFill>
                  <w14:solidFill>
                    <w14:srgbClr w14:val="000000"/>
                  </w14:solidFill>
                </w14:textFill>
                <w:lang w:val="en-US" w:eastAsia="zh-CN"/>
                <w:highlight w:val="none"/>
              </w:rPr>
              <w:t>m</w:t>
            </w:r>
            <w:r>
              <w:rPr>
                <w:rFonts w:ascii="Times New Roman" w:cs="Times New Roman" w:hAnsi="Times New Roman" w:hint="eastAsia"/>
                <w:color w:val="000000"/>
                <w:sz w:val="24"/>
                <w:szCs w:val="20"/>
                <w:vertAlign w:val="superscript"/>
                <w14:textFill>
                  <w14:solidFill>
                    <w14:srgbClr w14:val="000000"/>
                  </w14:solidFill>
                </w14:textFill>
                <w:lang w:val="en-US" w:eastAsia="zh-CN"/>
                <w:highlight w:val="none"/>
              </w:rPr>
              <w:t>3</w:t>
            </w:r>
            <w:r>
              <w:rPr>
                <w:rFonts w:ascii="Times New Roman" w:cs="Times New Roman" w:hAnsi="Times New Roman" w:hint="eastAsia"/>
                <w:color w:val="auto"/>
                <w:sz w:val="24"/>
                <w:szCs w:val="20"/>
                <w:lang w:val="en-US" w:eastAsia="zh-CN"/>
              </w:rPr>
              <w:t>/a，</w:t>
            </w:r>
            <w:r>
              <w:rPr>
                <w:rFonts w:ascii="Times New Roman" w:eastAsia="宋体" w:cs="Times New Roman" w:hAnsi="Times New Roman"/>
                <w:color w:val="auto"/>
                <w:sz w:val="24"/>
                <w:szCs w:val="20"/>
                <w:lang w:val="en-US" w:eastAsia="zh-CN"/>
              </w:rPr>
              <w:t>厂内废水经以上措施处理后，对项目周围地表水环境影响较小。</w:t>
            </w:r>
          </w:p>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firstLineChars="200" w:firstLine="480"/>
              <w:jc w:val="left"/>
              <w:textAlignment w:val="auto"/>
              <w:rPr>
                <w:b/>
                <w:kern w:val="0"/>
                <w:sz w:val="24"/>
                <w:highlight w:val="none"/>
              </w:rPr>
            </w:pPr>
            <w:r>
              <w:rPr>
                <w:rFonts w:ascii="Times New Roman" w:cs="Times New Roman" w:hAnsi="Times New Roman" w:hint="eastAsia"/>
                <w:b/>
                <w:kern w:val="0"/>
                <w:sz w:val="24"/>
                <w:szCs w:val="20"/>
                <w:highlight w:val="none"/>
              </w:rPr>
              <w:t>2、</w:t>
            </w:r>
            <w:r>
              <w:rPr>
                <w:rFonts w:ascii="Times New Roman" w:cs="Times New Roman" w:hAnsi="Times New Roman"/>
                <w:b/>
                <w:kern w:val="0"/>
                <w:sz w:val="24"/>
                <w:szCs w:val="20"/>
                <w:highlight w:val="none"/>
              </w:rPr>
              <w:t>污水处理厂依托可行性分析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auto"/>
                <w:kern w:val="0"/>
                <w:sz w:val="24"/>
                <w:highlight w:val="none"/>
              </w:rPr>
            </w:pPr>
            <w:r>
              <w:rPr>
                <w:rFonts w:ascii="Times New Roman" w:cs="Times New Roman" w:hAnsi="Times New Roman"/>
                <w:kern w:val="0"/>
                <w:sz w:val="24"/>
                <w:szCs w:val="20"/>
                <w:highlight w:val="none"/>
              </w:rPr>
              <w:t>本项目生活污水经</w:t>
            </w:r>
            <w:r>
              <w:rPr>
                <w:rFonts w:ascii="Times New Roman" w:cs="Times New Roman" w:hAnsi="Times New Roman"/>
                <w:color w:val="auto"/>
                <w:kern w:val="0"/>
                <w:sz w:val="24"/>
                <w:szCs w:val="20"/>
                <w:highlight w:val="none"/>
              </w:rPr>
              <w:t>化粪池处理后</w:t>
            </w:r>
            <w:r>
              <w:rPr>
                <w:rFonts w:ascii="Times New Roman" w:cs="Times New Roman" w:hAnsi="Times New Roman" w:hint="eastAsia"/>
                <w:color w:val="auto"/>
                <w:kern w:val="0"/>
                <w:sz w:val="24"/>
                <w:szCs w:val="20"/>
                <w:highlight w:val="none"/>
              </w:rPr>
              <w:t>通过</w:t>
            </w:r>
            <w:r>
              <w:rPr>
                <w:rFonts w:ascii="Times New Roman" w:cs="Times New Roman" w:hAnsi="Times New Roman" w:hint="eastAsia"/>
                <w:bCs/>
                <w:color w:val="auto"/>
                <w:kern w:val="0"/>
                <w:sz w:val="24"/>
                <w:szCs w:val="20"/>
                <w:highlight w:val="none"/>
              </w:rPr>
              <w:t>集聚区污水管网</w:t>
            </w:r>
            <w:r>
              <w:rPr>
                <w:rFonts w:ascii="Times New Roman" w:cs="Times New Roman" w:hAnsi="Times New Roman"/>
                <w:color w:val="auto"/>
                <w:kern w:val="0"/>
                <w:sz w:val="24"/>
                <w:szCs w:val="20"/>
                <w:highlight w:val="none"/>
              </w:rPr>
              <w:t>排</w:t>
            </w:r>
            <w:r>
              <w:rPr>
                <w:rFonts w:ascii="Times New Roman" w:cs="Times New Roman" w:hAnsi="Times New Roman" w:hint="eastAsia"/>
                <w:color w:val="auto"/>
                <w:kern w:val="0"/>
                <w:sz w:val="24"/>
                <w:szCs w:val="20"/>
                <w:highlight w:val="none"/>
              </w:rPr>
              <w:t>入延津县第二污水处理厂</w:t>
            </w:r>
            <w:r>
              <w:rPr>
                <w:rFonts w:ascii="Times New Roman" w:cs="Times New Roman" w:hAnsi="Times New Roman"/>
                <w:color w:val="auto"/>
                <w:kern w:val="0"/>
                <w:sz w:val="24"/>
                <w:szCs w:val="20"/>
                <w:highlight w:val="none"/>
              </w:rPr>
              <w:t>进一步处理。</w:t>
            </w:r>
            <w:r>
              <w:rPr>
                <w:rFonts w:ascii="Times New Roman" w:cs="Times New Roman" w:hAnsi="Times New Roman" w:hint="eastAsia"/>
                <w:color w:val="auto"/>
                <w:kern w:val="0"/>
                <w:sz w:val="24"/>
                <w:szCs w:val="20"/>
                <w:highlight w:val="none"/>
              </w:rPr>
              <w:t>本次评价将</w:t>
            </w:r>
            <w:r>
              <w:rPr>
                <w:rFonts w:ascii="Times New Roman" w:cs="Times New Roman" w:hAnsi="Times New Roman"/>
                <w:color w:val="auto"/>
                <w:kern w:val="0"/>
                <w:sz w:val="24"/>
                <w:szCs w:val="20"/>
                <w:highlight w:val="none"/>
              </w:rPr>
              <w:t>从处理能力、处</w:t>
            </w:r>
            <w:r>
              <w:rPr>
                <w:rFonts w:ascii="Times New Roman" w:cs="Times New Roman" w:hAnsi="Times New Roman"/>
                <w:kern w:val="0"/>
                <w:sz w:val="24"/>
                <w:szCs w:val="20"/>
                <w:highlight w:val="none"/>
              </w:rPr>
              <w:t>理工艺、设计进出水水质三个方面论述本项目依托延</w:t>
            </w:r>
            <w:r>
              <w:rPr>
                <w:rFonts w:ascii="Times New Roman" w:cs="Times New Roman" w:hAnsi="Times New Roman"/>
                <w:color w:val="auto"/>
                <w:kern w:val="0"/>
                <w:sz w:val="24"/>
                <w:szCs w:val="20"/>
                <w:highlight w:val="none"/>
              </w:rPr>
              <w:t>津县第二污水处理厂可行性。</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color w:val="auto"/>
                <w:kern w:val="0"/>
                <w:sz w:val="24"/>
                <w:highlight w:val="none"/>
              </w:rPr>
            </w:pPr>
            <w:r>
              <w:rPr>
                <w:rFonts w:ascii="Times New Roman" w:cs="Times New Roman" w:hAnsi="Times New Roman"/>
                <w:color w:val="auto"/>
                <w:kern w:val="0"/>
                <w:sz w:val="24"/>
                <w:szCs w:val="20"/>
                <w:highlight w:val="none"/>
              </w:rPr>
              <w:fldChar w:fldCharType="begin"/>
            </w:r>
            <w:r>
              <w:rPr>
                <w:rFonts w:ascii="Times New Roman" w:cs="Times New Roman" w:hAnsi="Times New Roman"/>
                <w:color w:val="auto"/>
                <w:kern w:val="0"/>
                <w:sz w:val="24"/>
                <w:szCs w:val="20"/>
                <w:highlight w:val="none"/>
              </w:rPr>
              <w:instrText xml:space="preserve"> = 1 \* GB3 </w:instrText>
            </w:r>
            <w:r>
              <w:rPr>
                <w:rFonts w:ascii="Times New Roman" w:cs="Times New Roman" w:hAnsi="Times New Roman"/>
                <w:color w:val="auto"/>
                <w:kern w:val="0"/>
                <w:sz w:val="24"/>
                <w:szCs w:val="20"/>
                <w:highlight w:val="none"/>
              </w:rPr>
              <w:fldChar w:fldCharType="separate"/>
            </w:r>
            <w:r>
              <w:rPr>
                <w:rFonts w:ascii="宋体" w:cs="宋体" w:hAnsi="宋体" w:hint="eastAsia"/>
                <w:color w:val="auto"/>
                <w:kern w:val="0"/>
                <w:sz w:val="24"/>
                <w:szCs w:val="20"/>
                <w:highlight w:val="none"/>
              </w:rPr>
              <w:t>①</w:t>
            </w:r>
            <w:r>
              <w:rPr>
                <w:rFonts w:ascii="Times New Roman" w:cs="Times New Roman" w:hAnsi="Times New Roman"/>
                <w:color w:val="auto"/>
                <w:kern w:val="0"/>
                <w:sz w:val="24"/>
                <w:szCs w:val="20"/>
                <w:highlight w:val="none"/>
              </w:rPr>
              <w:fldChar w:fldCharType="end"/>
            </w:r>
            <w:r>
              <w:rPr>
                <w:rFonts w:ascii="Times New Roman" w:cs="Times New Roman" w:hAnsi="Times New Roman"/>
                <w:color w:val="auto"/>
                <w:kern w:val="0"/>
                <w:sz w:val="24"/>
                <w:szCs w:val="20"/>
                <w:highlight w:val="none"/>
              </w:rPr>
              <w:t>处理能力</w:t>
            </w:r>
            <w:r>
              <w:rPr>
                <w:rFonts w:ascii="Times New Roman" w:cs="Times New Roman" w:hAnsi="Times New Roman" w:hint="eastAsia"/>
                <w:color w:val="auto"/>
                <w:kern w:val="0"/>
                <w:sz w:val="24"/>
                <w:szCs w:val="20"/>
                <w:highlight w:val="none"/>
              </w:rPr>
              <w:t>：</w:t>
            </w:r>
            <w:r>
              <w:rPr>
                <w:rFonts w:ascii="Times New Roman" w:cs="Times New Roman" w:hAnsi="Times New Roman"/>
                <w:color w:val="auto"/>
                <w:kern w:val="0"/>
                <w:sz w:val="24"/>
                <w:szCs w:val="20"/>
                <w:highlight w:val="none"/>
              </w:rPr>
              <w:t>本项目位于</w:t>
            </w:r>
            <w:r>
              <w:rPr>
                <w:rFonts w:ascii="Times New Roman" w:cs="宋体" w:hAnsi="Times New Roman" w:hint="eastAsia"/>
                <w:color w:val="auto"/>
                <w:sz w:val="24"/>
                <w:szCs w:val="24"/>
                <w:lang w:val="en-US" w:eastAsia="zh-CN"/>
                <w:highlight w:val="none"/>
              </w:rPr>
              <w:t>新乡市延津县化工园区纬一路与榆林排交叉口东南角</w:t>
            </w:r>
            <w:r>
              <w:rPr>
                <w:rFonts w:ascii="Times New Roman" w:cs="Times New Roman" w:hAnsi="Times New Roman"/>
                <w:color w:val="auto"/>
                <w:kern w:val="0"/>
                <w:sz w:val="24"/>
                <w:szCs w:val="20"/>
                <w:highlight w:val="none"/>
              </w:rPr>
              <w:t>，位于延津县第二污水处理厂收水范围内，</w:t>
            </w:r>
            <w:r>
              <w:rPr>
                <w:rFonts w:ascii="Times New Roman" w:cs="Times New Roman" w:hAnsi="Times New Roman" w:hint="eastAsia"/>
                <w:caps/>
                <w:smallCaps w:val="0"/>
                <w:color w:val="000000"/>
                <w:sz w:val="24"/>
                <w:szCs w:val="21"/>
                <w14:textFill>
                  <w14:solidFill>
                    <w14:srgbClr w14:val="000000"/>
                  </w14:solidFill>
                </w14:textFill>
              </w:rPr>
              <w:t>根据延津县第二污水处理厂排污许可证执行报告-</w:t>
            </w:r>
            <w:r>
              <w:rPr>
                <w:rFonts w:ascii="Times New Roman" w:cs="Times New Roman" w:hAnsi="Times New Roman"/>
                <w:caps/>
                <w:smallCaps w:val="0"/>
                <w:color w:val="000000"/>
                <w:sz w:val="24"/>
                <w:szCs w:val="21"/>
                <w14:textFill>
                  <w14:solidFill>
                    <w14:srgbClr w14:val="000000"/>
                  </w14:solidFill>
                </w14:textFill>
              </w:rPr>
              <w:t>2025</w:t>
            </w:r>
            <w:r>
              <w:rPr>
                <w:rFonts w:ascii="Times New Roman" w:cs="Times New Roman" w:hAnsi="Times New Roman" w:hint="eastAsia"/>
                <w:caps/>
                <w:smallCaps w:val="0"/>
                <w:color w:val="000000"/>
                <w:sz w:val="24"/>
                <w:szCs w:val="21"/>
                <w14:textFill>
                  <w14:solidFill>
                    <w14:srgbClr w14:val="000000"/>
                  </w14:solidFill>
                </w14:textFill>
              </w:rPr>
              <w:t>年第二季度，该污水处理厂</w:t>
            </w:r>
            <w:r>
              <w:rPr>
                <w:rFonts w:ascii="Times New Roman" w:cs="Times New Roman" w:hAnsi="Times New Roman"/>
                <w:caps/>
                <w:smallCaps w:val="0"/>
                <w:color w:val="000000"/>
                <w:sz w:val="24"/>
                <w:szCs w:val="21"/>
                <w14:textFill>
                  <w14:solidFill>
                    <w14:srgbClr w14:val="000000"/>
                  </w14:solidFill>
                </w14:textFill>
              </w:rPr>
              <w:t>2025</w:t>
            </w:r>
            <w:r>
              <w:rPr>
                <w:rFonts w:ascii="Times New Roman" w:cs="Times New Roman" w:hAnsi="Times New Roman" w:hint="eastAsia"/>
                <w:caps/>
                <w:smallCaps w:val="0"/>
                <w:color w:val="000000"/>
                <w:sz w:val="24"/>
                <w:szCs w:val="21"/>
                <w14:textFill>
                  <w14:solidFill>
                    <w14:srgbClr w14:val="000000"/>
                  </w14:solidFill>
                </w14:textFill>
              </w:rPr>
              <w:t>年第二季度废水进水量为</w:t>
            </w:r>
            <w:r>
              <w:rPr>
                <w:rFonts w:ascii="Times New Roman" w:cs="Times New Roman" w:hAnsi="Times New Roman"/>
                <w:caps/>
                <w:smallCaps w:val="0"/>
                <w:color w:val="000000"/>
                <w:sz w:val="24"/>
                <w:szCs w:val="21"/>
                <w14:textFill>
                  <w14:solidFill>
                    <w14:srgbClr w14:val="000000"/>
                  </w14:solidFill>
                </w14:textFill>
              </w:rPr>
              <w:t>20980</w:t>
            </w:r>
            <w:r>
              <w:rPr>
                <w:rFonts w:ascii="Times New Roman" w:cs="Times New Roman" w:hAnsi="Times New Roman" w:hint="eastAsia"/>
                <w:caps/>
                <w:smallCaps w:val="0"/>
                <w:color w:val="000000"/>
                <w:sz w:val="24"/>
                <w:szCs w:val="21"/>
                <w14:textFill>
                  <w14:solidFill>
                    <w14:srgbClr w14:val="000000"/>
                  </w14:solidFill>
                </w14:textFill>
              </w:rPr>
              <w:t>-</w:t>
            </w:r>
            <w:r>
              <w:rPr>
                <w:rFonts w:ascii="Times New Roman" w:cs="Times New Roman" w:hAnsi="Times New Roman"/>
                <w:caps/>
                <w:smallCaps w:val="0"/>
                <w:color w:val="000000"/>
                <w:sz w:val="24"/>
                <w:szCs w:val="21"/>
                <w14:textFill>
                  <w14:solidFill>
                    <w14:srgbClr w14:val="000000"/>
                  </w14:solidFill>
                </w14:textFill>
              </w:rPr>
              <w:t>21938</w:t>
            </w:r>
            <w:r>
              <w:rPr>
                <w:rFonts w:ascii="Times New Roman" w:cs="Times New Roman" w:hAnsi="Times New Roman"/>
                <w:color w:val="000000"/>
                <w:sz w:val="24"/>
                <w:szCs w:val="20"/>
                <w14:textFill>
                  <w14:solidFill>
                    <w14:srgbClr w14:val="000000"/>
                  </w14:solidFill>
                </w14:textFill>
              </w:rPr>
              <w:t>m</w:t>
            </w:r>
            <w:r>
              <w:rPr>
                <w:rFonts w:ascii="Times New Roman" w:cs="Times New Roman" w:hAnsi="Times New Roman"/>
                <w:color w:val="000000"/>
                <w:sz w:val="24"/>
                <w:szCs w:val="20"/>
                <w:vertAlign w:val="superscript"/>
                <w14:textFill>
                  <w14:solidFill>
                    <w14:srgbClr w14:val="000000"/>
                  </w14:solidFill>
                </w14:textFill>
              </w:rPr>
              <w:t>3</w:t>
            </w:r>
            <w:r>
              <w:rPr>
                <w:rFonts w:ascii="Times New Roman" w:cs="Times New Roman" w:hAnsi="Times New Roman" w:hint="eastAsia"/>
                <w:color w:val="000000"/>
                <w:sz w:val="24"/>
                <w:szCs w:val="20"/>
                <w14:textFill>
                  <w14:solidFill>
                    <w14:srgbClr w14:val="000000"/>
                  </w14:solidFill>
                </w14:textFill>
              </w:rPr>
              <w:t>/</w:t>
            </w:r>
            <w:r>
              <w:rPr>
                <w:rFonts w:ascii="Times New Roman" w:cs="Times New Roman" w:hAnsi="Times New Roman"/>
                <w:color w:val="000000"/>
                <w:sz w:val="24"/>
                <w:szCs w:val="20"/>
                <w14:textFill>
                  <w14:solidFill>
                    <w14:srgbClr w14:val="000000"/>
                  </w14:solidFill>
                </w14:textFill>
              </w:rPr>
              <w:t>d</w:t>
            </w:r>
            <w:r>
              <w:rPr>
                <w:rFonts w:ascii="Times New Roman" w:cs="Times New Roman" w:hAnsi="Times New Roman" w:hint="eastAsia"/>
                <w:color w:val="000000"/>
                <w:sz w:val="24"/>
                <w:szCs w:val="20"/>
                <w14:textFill>
                  <w14:solidFill>
                    <w14:srgbClr w14:val="000000"/>
                  </w14:solidFill>
                </w14:textFill>
              </w:rPr>
              <w:t>，评价按最不利情况考虑，按照进水量为</w:t>
            </w:r>
            <w:r>
              <w:rPr>
                <w:rFonts w:ascii="Times New Roman" w:cs="Times New Roman" w:hAnsi="Times New Roman"/>
                <w:caps/>
                <w:smallCaps w:val="0"/>
                <w:color w:val="000000"/>
                <w:sz w:val="24"/>
                <w:szCs w:val="21"/>
                <w14:textFill>
                  <w14:solidFill>
                    <w14:srgbClr w14:val="000000"/>
                  </w14:solidFill>
                </w14:textFill>
              </w:rPr>
              <w:t>21938</w:t>
            </w:r>
            <w:r>
              <w:rPr>
                <w:rFonts w:ascii="Times New Roman" w:cs="Times New Roman" w:hAnsi="Times New Roman"/>
                <w:color w:val="000000"/>
                <w:sz w:val="24"/>
                <w:szCs w:val="20"/>
                <w14:textFill>
                  <w14:solidFill>
                    <w14:srgbClr w14:val="000000"/>
                  </w14:solidFill>
                </w14:textFill>
              </w:rPr>
              <w:t>m</w:t>
            </w:r>
            <w:r>
              <w:rPr>
                <w:rFonts w:ascii="Times New Roman" w:cs="Times New Roman" w:hAnsi="Times New Roman"/>
                <w:color w:val="000000"/>
                <w:sz w:val="24"/>
                <w:szCs w:val="20"/>
                <w:vertAlign w:val="superscript"/>
                <w14:textFill>
                  <w14:solidFill>
                    <w14:srgbClr w14:val="000000"/>
                  </w14:solidFill>
                </w14:textFill>
              </w:rPr>
              <w:t>3</w:t>
            </w:r>
            <w:r>
              <w:rPr>
                <w:rFonts w:ascii="Times New Roman" w:cs="Times New Roman" w:hAnsi="Times New Roman" w:hint="eastAsia"/>
                <w:color w:val="000000"/>
                <w:sz w:val="24"/>
                <w:szCs w:val="20"/>
                <w14:textFill>
                  <w14:solidFill>
                    <w14:srgbClr w14:val="000000"/>
                  </w14:solidFill>
                </w14:textFill>
              </w:rPr>
              <w:t>/</w:t>
            </w:r>
            <w:r>
              <w:rPr>
                <w:rFonts w:ascii="Times New Roman" w:cs="Times New Roman" w:hAnsi="Times New Roman"/>
                <w:color w:val="000000"/>
                <w:sz w:val="24"/>
                <w:szCs w:val="20"/>
                <w14:textFill>
                  <w14:solidFill>
                    <w14:srgbClr w14:val="000000"/>
                  </w14:solidFill>
                </w14:textFill>
              </w:rPr>
              <w:t>d</w:t>
            </w:r>
            <w:r>
              <w:rPr>
                <w:rFonts w:ascii="Times New Roman" w:cs="Times New Roman" w:hAnsi="Times New Roman" w:hint="eastAsia"/>
                <w:color w:val="000000"/>
                <w:sz w:val="24"/>
                <w:szCs w:val="20"/>
                <w14:textFill>
                  <w14:solidFill>
                    <w14:srgbClr w14:val="000000"/>
                  </w14:solidFill>
                </w14:textFill>
              </w:rPr>
              <w:t>进行评价，则剩余进水量为</w:t>
            </w:r>
            <w:r>
              <w:rPr>
                <w:rFonts w:ascii="Times New Roman" w:cs="Times New Roman" w:hAnsi="Times New Roman"/>
                <w:color w:val="000000"/>
                <w:sz w:val="24"/>
                <w:szCs w:val="20"/>
                <w14:textFill>
                  <w14:solidFill>
                    <w14:srgbClr w14:val="000000"/>
                  </w14:solidFill>
                </w14:textFill>
              </w:rPr>
              <w:t>8062m</w:t>
            </w:r>
            <w:r>
              <w:rPr>
                <w:rFonts w:ascii="Times New Roman" w:cs="Times New Roman" w:hAnsi="Times New Roman"/>
                <w:color w:val="000000"/>
                <w:sz w:val="24"/>
                <w:szCs w:val="20"/>
                <w:vertAlign w:val="superscript"/>
                <w14:textFill>
                  <w14:solidFill>
                    <w14:srgbClr w14:val="000000"/>
                  </w14:solidFill>
                </w14:textFill>
              </w:rPr>
              <w:t>3</w:t>
            </w:r>
            <w:r>
              <w:rPr>
                <w:rFonts w:ascii="Times New Roman" w:cs="Times New Roman" w:hAnsi="Times New Roman" w:hint="eastAsia"/>
                <w:color w:val="000000"/>
                <w:sz w:val="24"/>
                <w:szCs w:val="20"/>
                <w14:textFill>
                  <w14:solidFill>
                    <w14:srgbClr w14:val="000000"/>
                  </w14:solidFill>
                </w14:textFill>
              </w:rPr>
              <w:t>/</w:t>
            </w:r>
            <w:r>
              <w:rPr>
                <w:rFonts w:ascii="Times New Roman" w:cs="Times New Roman" w:hAnsi="Times New Roman"/>
                <w:color w:val="000000"/>
                <w:sz w:val="24"/>
                <w:szCs w:val="20"/>
                <w14:textFill>
                  <w14:solidFill>
                    <w14:srgbClr w14:val="000000"/>
                  </w14:solidFill>
                </w14:textFill>
              </w:rPr>
              <w:t>d</w:t>
            </w:r>
            <w:r>
              <w:rPr>
                <w:rFonts w:ascii="Times New Roman" w:cs="Times New Roman" w:hAnsi="Times New Roman" w:hint="eastAsia"/>
                <w:color w:val="000000"/>
                <w:sz w:val="24"/>
                <w:szCs w:val="20"/>
                <w14:textFill>
                  <w14:solidFill>
                    <w14:srgbClr w14:val="000000"/>
                  </w14:solidFill>
                </w14:textFill>
              </w:rPr>
              <w:t>。</w:t>
            </w:r>
            <w:r>
              <w:rPr>
                <w:rFonts w:ascii="Times New Roman" w:cs="Times New Roman" w:hAnsi="Times New Roman"/>
                <w:color w:val="auto"/>
                <w:kern w:val="0"/>
                <w:sz w:val="24"/>
                <w:szCs w:val="20"/>
                <w:highlight w:val="none"/>
              </w:rPr>
              <w:t>本项目新增外排废水</w:t>
            </w:r>
            <w:r>
              <w:rPr>
                <w:rFonts w:ascii="Times New Roman" w:cs="Times New Roman" w:hAnsi="Times New Roman" w:hint="eastAsia"/>
                <w:color w:val="auto"/>
                <w:kern w:val="0"/>
                <w:sz w:val="24"/>
                <w:szCs w:val="20"/>
                <w:lang w:val="en-US" w:eastAsia="zh-CN"/>
                <w:highlight w:val="none"/>
              </w:rPr>
              <w:t>0.272</w:t>
            </w:r>
            <w:r>
              <w:rPr>
                <w:rFonts w:ascii="Times New Roman" w:cs="Times New Roman" w:hAnsi="Times New Roman"/>
                <w:color w:val="auto"/>
                <w:kern w:val="0"/>
                <w:sz w:val="24"/>
                <w:szCs w:val="20"/>
                <w:highlight w:val="none"/>
              </w:rPr>
              <w:t>m</w:t>
            </w:r>
            <w:r>
              <w:rPr>
                <w:rFonts w:ascii="Times New Roman" w:cs="Times New Roman" w:hAnsi="Times New Roman"/>
                <w:color w:val="auto"/>
                <w:kern w:val="0"/>
                <w:sz w:val="24"/>
                <w:szCs w:val="20"/>
                <w:vertAlign w:val="superscript"/>
                <w:highlight w:val="none"/>
              </w:rPr>
              <w:t>3</w:t>
            </w:r>
            <w:r>
              <w:rPr>
                <w:rFonts w:ascii="Times New Roman" w:cs="Times New Roman" w:hAnsi="Times New Roman"/>
                <w:color w:val="auto"/>
                <w:kern w:val="0"/>
                <w:sz w:val="24"/>
                <w:szCs w:val="20"/>
                <w:highlight w:val="none"/>
              </w:rPr>
              <w:t>/d，约占延津县第二污水处理厂剩余处理能力的0.0</w:t>
            </w:r>
            <w:r>
              <w:rPr>
                <w:rFonts w:ascii="Times New Roman" w:cs="Times New Roman" w:hAnsi="Times New Roman" w:hint="eastAsia"/>
                <w:color w:val="auto"/>
                <w:kern w:val="0"/>
                <w:sz w:val="24"/>
                <w:szCs w:val="20"/>
                <w:lang w:val="en-US" w:eastAsia="zh-CN"/>
                <w:highlight w:val="none"/>
              </w:rPr>
              <w:t>034</w:t>
            </w:r>
            <w:r>
              <w:rPr>
                <w:rFonts w:ascii="Times New Roman" w:cs="Times New Roman" w:hAnsi="Times New Roman"/>
                <w:color w:val="auto"/>
                <w:kern w:val="0"/>
                <w:sz w:val="24"/>
                <w:szCs w:val="20"/>
                <w:highlight w:val="none"/>
              </w:rPr>
              <w:t>%，不会对延津县第二污水处理厂产生冲击影响，延津县第二污水处理厂有能力接纳本项目新增废水。</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kern w:val="0"/>
                <w:sz w:val="24"/>
                <w:highlight w:val="none"/>
              </w:rPr>
            </w:pPr>
            <w:r>
              <w:rPr>
                <w:rFonts w:ascii="Times New Roman" w:cs="Times New Roman" w:hAnsi="Times New Roman"/>
                <w:color w:val="auto"/>
                <w:kern w:val="0"/>
                <w:sz w:val="24"/>
                <w:szCs w:val="20"/>
                <w:highlight w:val="none"/>
              </w:rPr>
              <w:fldChar w:fldCharType="begin"/>
            </w:r>
            <w:r>
              <w:rPr>
                <w:rFonts w:ascii="Times New Roman" w:cs="Times New Roman" w:hAnsi="Times New Roman"/>
                <w:color w:val="auto"/>
                <w:kern w:val="0"/>
                <w:sz w:val="24"/>
                <w:szCs w:val="20"/>
                <w:highlight w:val="none"/>
              </w:rPr>
              <w:instrText xml:space="preserve"> = 2 \* GB3 </w:instrText>
            </w:r>
            <w:r>
              <w:rPr>
                <w:rFonts w:ascii="Times New Roman" w:cs="Times New Roman" w:hAnsi="Times New Roman"/>
                <w:color w:val="auto"/>
                <w:kern w:val="0"/>
                <w:sz w:val="24"/>
                <w:szCs w:val="20"/>
                <w:highlight w:val="none"/>
              </w:rPr>
              <w:fldChar w:fldCharType="separate"/>
            </w:r>
            <w:r>
              <w:rPr>
                <w:rFonts w:ascii="宋体" w:cs="宋体" w:hAnsi="宋体" w:hint="eastAsia"/>
                <w:color w:val="auto"/>
                <w:kern w:val="0"/>
                <w:sz w:val="24"/>
                <w:szCs w:val="20"/>
                <w:highlight w:val="none"/>
              </w:rPr>
              <w:t>②</w:t>
            </w:r>
            <w:r>
              <w:rPr>
                <w:rFonts w:ascii="Times New Roman" w:cs="Times New Roman" w:hAnsi="Times New Roman"/>
                <w:color w:val="auto"/>
                <w:kern w:val="0"/>
                <w:sz w:val="24"/>
                <w:szCs w:val="20"/>
                <w:highlight w:val="none"/>
              </w:rPr>
              <w:fldChar w:fldCharType="end"/>
            </w:r>
            <w:r>
              <w:rPr>
                <w:rFonts w:ascii="Times New Roman" w:cs="Times New Roman" w:hAnsi="Times New Roman"/>
                <w:color w:val="auto"/>
                <w:kern w:val="0"/>
                <w:sz w:val="24"/>
                <w:szCs w:val="20"/>
                <w:highlight w:val="none"/>
              </w:rPr>
              <w:t>处理工艺</w:t>
            </w:r>
            <w:r>
              <w:rPr>
                <w:rFonts w:ascii="Times New Roman" w:cs="Times New Roman" w:hAnsi="Times New Roman" w:hint="eastAsia"/>
                <w:color w:val="auto"/>
                <w:kern w:val="0"/>
                <w:sz w:val="24"/>
                <w:szCs w:val="20"/>
                <w:highlight w:val="none"/>
              </w:rPr>
              <w:t>：</w:t>
            </w:r>
            <w:r>
              <w:rPr>
                <w:rFonts w:ascii="Times New Roman" w:cs="Times New Roman" w:hAnsi="Times New Roman"/>
                <w:color w:val="auto"/>
                <w:kern w:val="0"/>
                <w:sz w:val="24"/>
                <w:szCs w:val="20"/>
                <w:highlight w:val="none"/>
              </w:rPr>
              <w:t>延津县</w:t>
            </w:r>
            <w:r>
              <w:rPr>
                <w:rFonts w:ascii="Times New Roman" w:cs="Times New Roman" w:hAnsi="Times New Roman"/>
                <w:kern w:val="0"/>
                <w:sz w:val="24"/>
                <w:szCs w:val="20"/>
                <w:highlight w:val="none"/>
              </w:rPr>
              <w:t>第二污水处理厂采用“粗格栅+细格栅+调节池+初沉池+A</w:t>
            </w:r>
            <w:r>
              <w:rPr>
                <w:rFonts w:ascii="Times New Roman" w:cs="Times New Roman" w:hAnsi="Times New Roman"/>
                <w:kern w:val="0"/>
                <w:sz w:val="24"/>
                <w:szCs w:val="20"/>
                <w:vertAlign w:val="superscript"/>
                <w:highlight w:val="none"/>
              </w:rPr>
              <w:t>2</w:t>
            </w:r>
            <w:r>
              <w:rPr>
                <w:rFonts w:ascii="Times New Roman" w:cs="Times New Roman" w:hAnsi="Times New Roman"/>
                <w:kern w:val="0"/>
                <w:sz w:val="24"/>
                <w:szCs w:val="20"/>
                <w:highlight w:val="none"/>
              </w:rPr>
              <w:t>/O生化池+二沉池+深度处理（高效沉淀池+连续流动床滤池+臭氧催化高级氧化池+纤维转盘滤池）+消毒接触池”工艺，本项目废水水质简单，不会对延津县第二污水处理厂正常运行造成影响。</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color w:val="auto"/>
                <w:kern w:val="0"/>
                <w:sz w:val="24"/>
                <w:highlight w:val="none"/>
              </w:rPr>
            </w:pPr>
            <w:r>
              <w:rPr>
                <w:rFonts w:ascii="Times New Roman" w:cs="Times New Roman" w:hAnsi="Times New Roman"/>
                <w:kern w:val="0"/>
                <w:sz w:val="24"/>
                <w:szCs w:val="20"/>
                <w:highlight w:val="none"/>
              </w:rPr>
              <w:fldChar w:fldCharType="begin"/>
            </w:r>
            <w:r>
              <w:rPr>
                <w:rFonts w:ascii="Times New Roman" w:cs="Times New Roman" w:hAnsi="Times New Roman"/>
                <w:kern w:val="0"/>
                <w:sz w:val="24"/>
                <w:szCs w:val="20"/>
                <w:highlight w:val="none"/>
              </w:rPr>
              <w:instrText xml:space="preserve"> = 3 \* GB3 </w:instrText>
            </w:r>
            <w:r>
              <w:rPr>
                <w:rFonts w:ascii="Times New Roman" w:cs="Times New Roman" w:hAnsi="Times New Roman"/>
                <w:kern w:val="0"/>
                <w:sz w:val="24"/>
                <w:szCs w:val="20"/>
                <w:highlight w:val="none"/>
              </w:rPr>
              <w:fldChar w:fldCharType="separate"/>
            </w:r>
            <w:r>
              <w:rPr>
                <w:rFonts w:ascii="宋体" w:cs="宋体" w:hAnsi="宋体" w:hint="eastAsia"/>
                <w:kern w:val="0"/>
                <w:sz w:val="24"/>
                <w:szCs w:val="20"/>
                <w:highlight w:val="none"/>
              </w:rPr>
              <w:t>③</w:t>
            </w:r>
            <w:r>
              <w:rPr>
                <w:rFonts w:ascii="Times New Roman" w:cs="Times New Roman" w:hAnsi="Times New Roman"/>
                <w:kern w:val="0"/>
                <w:sz w:val="24"/>
                <w:szCs w:val="20"/>
                <w:highlight w:val="none"/>
              </w:rPr>
              <w:fldChar w:fldCharType="end"/>
            </w:r>
            <w:r>
              <w:rPr>
                <w:rFonts w:ascii="Times New Roman" w:cs="Times New Roman" w:hAnsi="Times New Roman"/>
                <w:kern w:val="0"/>
                <w:sz w:val="24"/>
                <w:szCs w:val="20"/>
                <w:highlight w:val="none"/>
              </w:rPr>
              <w:t>设计进出水水质</w:t>
            </w:r>
            <w:r>
              <w:rPr>
                <w:rFonts w:ascii="Times New Roman" w:cs="Times New Roman" w:hAnsi="Times New Roman" w:hint="eastAsia"/>
                <w:color w:val="auto"/>
                <w:kern w:val="0"/>
                <w:sz w:val="24"/>
                <w:szCs w:val="20"/>
                <w:highlight w:val="none"/>
              </w:rPr>
              <w:t>：</w:t>
            </w:r>
            <w:r>
              <w:rPr>
                <w:rFonts w:ascii="Times New Roman" w:cs="Times New Roman" w:hAnsi="Times New Roman"/>
                <w:color w:val="auto"/>
                <w:kern w:val="0"/>
                <w:sz w:val="24"/>
                <w:szCs w:val="20"/>
                <w:highlight w:val="none"/>
              </w:rPr>
              <w:t>本项目</w:t>
            </w:r>
            <w:r>
              <w:rPr>
                <w:rFonts w:ascii="Times New Roman" w:cs="Times New Roman" w:hAnsi="Times New Roman" w:hint="eastAsia"/>
                <w:color w:val="auto"/>
                <w:kern w:val="0"/>
                <w:sz w:val="24"/>
                <w:szCs w:val="20"/>
                <w:highlight w:val="none"/>
              </w:rPr>
              <w:t>废水</w:t>
            </w:r>
            <w:r>
              <w:rPr>
                <w:rFonts w:ascii="Times New Roman" w:cs="Times New Roman" w:hAnsi="Times New Roman"/>
                <w:color w:val="auto"/>
                <w:kern w:val="0"/>
                <w:sz w:val="24"/>
                <w:szCs w:val="20"/>
                <w:highlight w:val="none"/>
              </w:rPr>
              <w:t>水质为COD</w:t>
            </w:r>
            <w:r>
              <w:rPr>
                <w:rFonts w:ascii="Times New Roman" w:cs="Times New Roman" w:hAnsi="Times New Roman" w:hint="eastAsia"/>
                <w:color w:val="auto"/>
                <w:kern w:val="0"/>
                <w:sz w:val="24"/>
                <w:szCs w:val="20"/>
                <w:lang w:val="en-US" w:eastAsia="zh-CN"/>
                <w:highlight w:val="none"/>
              </w:rPr>
              <w:t>250</w:t>
            </w:r>
            <w:r>
              <w:rPr>
                <w:rFonts w:ascii="Times New Roman" w:cs="Times New Roman" w:hAnsi="Times New Roman"/>
                <w:color w:val="auto"/>
                <w:kern w:val="0"/>
                <w:sz w:val="24"/>
                <w:szCs w:val="20"/>
                <w:highlight w:val="none"/>
              </w:rPr>
              <w:t>mg/L、SS</w:t>
            </w:r>
            <w:r>
              <w:rPr>
                <w:rFonts w:ascii="Times New Roman" w:cs="Times New Roman" w:hAnsi="Times New Roman" w:hint="eastAsia"/>
                <w:color w:val="auto"/>
                <w:kern w:val="0"/>
                <w:sz w:val="24"/>
                <w:szCs w:val="20"/>
                <w:lang w:val="en-US" w:eastAsia="zh-CN"/>
                <w:highlight w:val="none"/>
              </w:rPr>
              <w:t>100</w:t>
            </w:r>
            <w:r>
              <w:rPr>
                <w:rFonts w:ascii="Times New Roman" w:cs="Times New Roman" w:hAnsi="Times New Roman"/>
                <w:color w:val="auto"/>
                <w:kern w:val="0"/>
                <w:sz w:val="24"/>
                <w:szCs w:val="20"/>
                <w:highlight w:val="none"/>
              </w:rPr>
              <w:t>mg/L、NH</w:t>
            </w:r>
            <w:r>
              <w:rPr>
                <w:rFonts w:ascii="Times New Roman" w:cs="Times New Roman" w:hAnsi="Times New Roman"/>
                <w:color w:val="auto"/>
                <w:kern w:val="0"/>
                <w:sz w:val="24"/>
                <w:szCs w:val="20"/>
                <w:vertAlign w:val="subscript"/>
                <w:highlight w:val="none"/>
              </w:rPr>
              <w:t>3</w:t>
            </w:r>
            <w:r>
              <w:rPr>
                <w:rFonts w:ascii="Times New Roman" w:cs="Times New Roman" w:hAnsi="Times New Roman"/>
                <w:color w:val="auto"/>
                <w:kern w:val="0"/>
                <w:sz w:val="24"/>
                <w:szCs w:val="20"/>
                <w:highlight w:val="none"/>
              </w:rPr>
              <w:t>-N</w:t>
            </w:r>
            <w:r>
              <w:rPr>
                <w:rFonts w:ascii="Times New Roman" w:cs="Times New Roman" w:hAnsi="Times New Roman" w:hint="eastAsia"/>
                <w:color w:val="auto"/>
                <w:kern w:val="0"/>
                <w:sz w:val="24"/>
                <w:szCs w:val="20"/>
                <w:lang w:val="en-US" w:eastAsia="zh-CN"/>
                <w:highlight w:val="none"/>
              </w:rPr>
              <w:t>22</w:t>
            </w:r>
            <w:r>
              <w:rPr>
                <w:rFonts w:ascii="Times New Roman" w:cs="Times New Roman" w:hAnsi="Times New Roman"/>
                <w:color w:val="auto"/>
                <w:kern w:val="0"/>
                <w:sz w:val="24"/>
                <w:szCs w:val="20"/>
                <w:highlight w:val="none"/>
              </w:rPr>
              <w:t>mg/L、TP</w:t>
            </w:r>
            <w:r>
              <w:rPr>
                <w:rFonts w:ascii="Times New Roman" w:cs="Times New Roman" w:hAnsi="Times New Roman" w:hint="eastAsia"/>
                <w:color w:val="auto"/>
                <w:kern w:val="0"/>
                <w:sz w:val="24"/>
                <w:szCs w:val="20"/>
                <w:lang w:val="en-US" w:eastAsia="zh-CN"/>
                <w:highlight w:val="none"/>
              </w:rPr>
              <w:t>2</w:t>
            </w:r>
            <w:r>
              <w:rPr>
                <w:rFonts w:ascii="Times New Roman" w:cs="Times New Roman" w:hAnsi="Times New Roman"/>
                <w:color w:val="auto"/>
                <w:kern w:val="0"/>
                <w:sz w:val="24"/>
                <w:szCs w:val="20"/>
                <w:highlight w:val="none"/>
              </w:rPr>
              <w:t>mg/L。能够满足延津县第二污水处理厂收水水质要求（COD260mg/L、SS190</w:t>
            </w:r>
            <w:r>
              <w:rPr>
                <w:rFonts w:ascii="Times New Roman" w:cs="Times New Roman" w:hAnsi="Times New Roman"/>
                <w:kern w:val="0"/>
                <w:sz w:val="24"/>
                <w:szCs w:val="20"/>
                <w:highlight w:val="none"/>
              </w:rPr>
              <w:t>mg/L、NH</w:t>
            </w:r>
            <w:r>
              <w:rPr>
                <w:rFonts w:ascii="Times New Roman" w:cs="Times New Roman" w:hAnsi="Times New Roman"/>
                <w:kern w:val="0"/>
                <w:sz w:val="24"/>
                <w:szCs w:val="20"/>
                <w:vertAlign w:val="subscript"/>
                <w:highlight w:val="none"/>
              </w:rPr>
              <w:t>3</w:t>
            </w:r>
            <w:r>
              <w:rPr>
                <w:rFonts w:ascii="Times New Roman" w:cs="Times New Roman" w:hAnsi="Times New Roman"/>
                <w:kern w:val="0"/>
                <w:sz w:val="24"/>
                <w:szCs w:val="20"/>
                <w:highlight w:val="none"/>
              </w:rPr>
              <w:t>-N35mg/L、TP4mg/L）。延</w:t>
            </w:r>
            <w:r>
              <w:rPr>
                <w:rFonts w:ascii="Times New Roman" w:cs="Times New Roman" w:hAnsi="Times New Roman"/>
                <w:color w:val="auto"/>
                <w:kern w:val="0"/>
                <w:sz w:val="24"/>
                <w:szCs w:val="20"/>
                <w:highlight w:val="none"/>
              </w:rPr>
              <w:t>津县第二污水处理厂出水水质为COD</w:t>
            </w:r>
            <w:r>
              <w:rPr>
                <w:rFonts w:ascii="Times New Roman" w:cs="Times New Roman" w:hAnsi="Times New Roman" w:hint="eastAsia"/>
                <w:color w:val="auto"/>
                <w:kern w:val="0"/>
                <w:sz w:val="24"/>
                <w:szCs w:val="20"/>
                <w:highlight w:val="none"/>
              </w:rPr>
              <w:t>3</w:t>
            </w:r>
            <w:r>
              <w:rPr>
                <w:rFonts w:ascii="Times New Roman" w:cs="Times New Roman" w:hAnsi="Times New Roman"/>
                <w:color w:val="auto"/>
                <w:kern w:val="0"/>
                <w:sz w:val="24"/>
                <w:szCs w:val="20"/>
                <w:highlight w:val="none"/>
              </w:rPr>
              <w:t>0mg/L、SS10mg/L、NH</w:t>
            </w:r>
            <w:r>
              <w:rPr>
                <w:rFonts w:ascii="Times New Roman" w:cs="Times New Roman" w:hAnsi="Times New Roman"/>
                <w:color w:val="auto"/>
                <w:kern w:val="0"/>
                <w:sz w:val="24"/>
                <w:szCs w:val="20"/>
                <w:vertAlign w:val="subscript"/>
                <w:highlight w:val="none"/>
              </w:rPr>
              <w:t>3</w:t>
            </w:r>
            <w:r>
              <w:rPr>
                <w:rFonts w:ascii="Times New Roman" w:cs="Times New Roman" w:hAnsi="Times New Roman"/>
                <w:color w:val="auto"/>
                <w:kern w:val="0"/>
                <w:sz w:val="24"/>
                <w:szCs w:val="20"/>
                <w:highlight w:val="none"/>
              </w:rPr>
              <w:t>-N</w:t>
            </w:r>
            <w:r>
              <w:rPr>
                <w:rFonts w:ascii="Times New Roman" w:cs="Times New Roman" w:hAnsi="Times New Roman" w:hint="eastAsia"/>
                <w:color w:val="auto"/>
                <w:kern w:val="0"/>
                <w:sz w:val="24"/>
                <w:szCs w:val="20"/>
                <w:highlight w:val="none"/>
              </w:rPr>
              <w:t>1.5</w:t>
            </w:r>
            <w:r>
              <w:rPr>
                <w:rFonts w:ascii="Times New Roman" w:cs="Times New Roman" w:hAnsi="Times New Roman"/>
                <w:color w:val="auto"/>
                <w:kern w:val="0"/>
                <w:sz w:val="24"/>
                <w:szCs w:val="20"/>
                <w:highlight w:val="none"/>
              </w:rPr>
              <w:t>mg/L</w:t>
            </w:r>
            <w:r>
              <w:rPr>
                <w:rFonts w:ascii="Times New Roman" w:cs="Times New Roman" w:hAnsi="Times New Roman" w:hint="eastAsia"/>
                <w:color w:val="auto"/>
                <w:kern w:val="0"/>
                <w:sz w:val="24"/>
                <w:szCs w:val="20"/>
                <w:highlight w:val="none"/>
              </w:rPr>
              <w:t>、</w:t>
            </w:r>
            <w:r>
              <w:rPr>
                <w:rFonts w:ascii="Times New Roman" w:cs="Times New Roman" w:hAnsi="Times New Roman"/>
                <w:color w:val="auto"/>
                <w:kern w:val="0"/>
                <w:sz w:val="24"/>
                <w:szCs w:val="20"/>
                <w:highlight w:val="none"/>
              </w:rPr>
              <w:t>TP0.</w:t>
            </w:r>
            <w:r>
              <w:rPr>
                <w:rFonts w:ascii="Times New Roman" w:cs="Times New Roman" w:hAnsi="Times New Roman" w:hint="eastAsia"/>
                <w:color w:val="auto"/>
                <w:kern w:val="0"/>
                <w:sz w:val="24"/>
                <w:szCs w:val="20"/>
                <w:highlight w:val="none"/>
              </w:rPr>
              <w:t>3</w:t>
            </w:r>
            <w:r>
              <w:rPr>
                <w:rFonts w:ascii="Times New Roman" w:cs="Times New Roman" w:hAnsi="Times New Roman"/>
                <w:color w:val="auto"/>
                <w:kern w:val="0"/>
                <w:sz w:val="24"/>
                <w:szCs w:val="20"/>
                <w:highlight w:val="none"/>
              </w:rPr>
              <w:t>mg/L，COD、NH</w:t>
            </w:r>
            <w:r>
              <w:rPr>
                <w:rFonts w:ascii="Times New Roman" w:cs="Times New Roman" w:hAnsi="Times New Roman"/>
                <w:color w:val="auto"/>
                <w:kern w:val="0"/>
                <w:sz w:val="24"/>
                <w:szCs w:val="20"/>
                <w:vertAlign w:val="subscript"/>
                <w:highlight w:val="none"/>
              </w:rPr>
              <w:t>3</w:t>
            </w:r>
            <w:r>
              <w:rPr>
                <w:rFonts w:ascii="Times New Roman" w:cs="Times New Roman" w:hAnsi="Times New Roman"/>
                <w:color w:val="auto"/>
                <w:kern w:val="0"/>
                <w:sz w:val="24"/>
                <w:szCs w:val="20"/>
                <w:highlight w:val="none"/>
              </w:rPr>
              <w:t>-N、TP能达到《地表水环境质量标准》（GB3838-2002）</w:t>
            </w:r>
            <w:r>
              <w:rPr>
                <w:rFonts w:ascii="Times New Roman" w:cs="Times New Roman" w:hAnsi="Times New Roman" w:hint="eastAsia"/>
                <w:color w:val="auto"/>
                <w:kern w:val="0"/>
                <w:sz w:val="24"/>
                <w:szCs w:val="20"/>
                <w:lang w:val="en-US" w:eastAsia="zh-CN"/>
                <w:highlight w:val="none"/>
              </w:rPr>
              <w:t>Ⅳ</w:t>
            </w:r>
            <w:r>
              <w:rPr>
                <w:rFonts w:ascii="Times New Roman" w:cs="Times New Roman" w:hAnsi="Times New Roman"/>
                <w:color w:val="auto"/>
                <w:kern w:val="0"/>
                <w:sz w:val="24"/>
                <w:szCs w:val="20"/>
                <w:highlight w:val="none"/>
              </w:rPr>
              <w:t>类标准的要求。</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both"/>
              <w:textAlignment w:val="auto"/>
              <w:rPr>
                <w:color w:val="auto"/>
                <w:kern w:val="0"/>
                <w:sz w:val="24"/>
                <w:highlight w:val="none"/>
              </w:rPr>
            </w:pPr>
            <w:r>
              <w:rPr>
                <w:rFonts w:ascii="Times New Roman" w:cs="Times New Roman" w:hAnsi="Times New Roman"/>
                <w:color w:val="auto"/>
                <w:kern w:val="0"/>
                <w:sz w:val="24"/>
                <w:szCs w:val="20"/>
                <w:highlight w:val="none"/>
              </w:rPr>
              <w:t>综上所述，本项目生活污水经化粪池处理后</w:t>
            </w:r>
            <w:r>
              <w:rPr>
                <w:rFonts w:ascii="Times New Roman" w:cs="Times New Roman" w:hAnsi="Times New Roman" w:hint="eastAsia"/>
                <w:bCs/>
                <w:color w:val="auto"/>
                <w:kern w:val="0"/>
                <w:sz w:val="24"/>
                <w:szCs w:val="20"/>
                <w:highlight w:val="none"/>
              </w:rPr>
              <w:t>由集聚区污水管网</w:t>
            </w:r>
            <w:r>
              <w:rPr>
                <w:rFonts w:ascii="Times New Roman" w:cs="Times New Roman" w:hAnsi="Times New Roman"/>
                <w:color w:val="auto"/>
                <w:kern w:val="0"/>
                <w:sz w:val="24"/>
                <w:szCs w:val="20"/>
                <w:highlight w:val="none"/>
              </w:rPr>
              <w:t>排入延津县第二污水处理厂进行处理可行。</w:t>
            </w:r>
          </w:p>
          <w:p>
            <w:pPr>
              <w:keepNext w:val="0"/>
              <w:keepLines w:val="0"/>
              <w:pageBreakBefore w:val="0"/>
              <w:widowControl/>
              <w:suppressLineNumbers w:val="0"/>
              <w:kinsoku/>
              <w:wordWrap/>
              <w:overflowPunct/>
              <w:topLinePunct w:val="0"/>
              <w:autoSpaceDE/>
              <w:autoSpaceDN/>
              <w:bidi w:val="0"/>
              <w:spacing w:before="0" w:beforeAutospacing="0" w:after="0" w:afterAutospacing="0" w:line="520" w:lineRule="exact"/>
              <w:ind w:left="0" w:right="0" w:firstLineChars="200" w:firstLine="480"/>
              <w:jc w:val="both"/>
              <w:textAlignment w:val="auto"/>
              <w:rPr>
                <w:b/>
                <w:color w:val="auto"/>
                <w:kern w:val="0"/>
                <w:sz w:val="24"/>
                <w:highlight w:val="none"/>
              </w:rPr>
            </w:pPr>
            <w:r>
              <w:rPr>
                <w:rFonts w:ascii="Times New Roman" w:cs="Times New Roman" w:hAnsi="Times New Roman" w:hint="eastAsia"/>
                <w:b/>
                <w:color w:val="auto"/>
                <w:kern w:val="0"/>
                <w:sz w:val="24"/>
                <w:szCs w:val="20"/>
                <w:highlight w:val="none"/>
              </w:rPr>
              <w:t>3、</w:t>
            </w:r>
            <w:r>
              <w:rPr>
                <w:rFonts w:ascii="Times New Roman" w:cs="Times New Roman" w:hAnsi="Times New Roman"/>
                <w:b/>
                <w:color w:val="auto"/>
                <w:kern w:val="0"/>
                <w:sz w:val="24"/>
                <w:szCs w:val="20"/>
                <w:highlight w:val="none"/>
              </w:rPr>
              <w:t>污染物排放信息</w:t>
            </w:r>
          </w:p>
          <w:p>
            <w:pPr>
              <w:keepNext w:val="0"/>
              <w:keepLines w:val="0"/>
              <w:pageBreakBefore w:val="0"/>
              <w:widowControl/>
              <w:suppressLineNumbers w:val="0"/>
              <w:kinsoku/>
              <w:wordWrap/>
              <w:overflowPunct/>
              <w:topLinePunct w:val="0"/>
              <w:autoSpaceDE/>
              <w:autoSpaceDN/>
              <w:bidi w:val="0"/>
              <w:spacing w:before="0" w:beforeAutospacing="0" w:after="0" w:afterAutospacing="0" w:line="520" w:lineRule="exact"/>
              <w:ind w:left="0" w:right="0" w:firstLineChars="200" w:firstLine="480"/>
              <w:jc w:val="both"/>
              <w:textAlignment w:val="auto"/>
              <w:rPr>
                <w:color w:val="auto"/>
                <w:kern w:val="0"/>
                <w:sz w:val="24"/>
                <w:highlight w:val="none"/>
              </w:rPr>
            </w:pPr>
            <w:r>
              <w:rPr>
                <w:rFonts w:ascii="宋体" w:cs="宋体" w:hAnsi="宋体" w:hint="eastAsia"/>
                <w:color w:val="auto"/>
                <w:kern w:val="0"/>
                <w:sz w:val="24"/>
                <w:szCs w:val="20"/>
                <w:highlight w:val="none"/>
              </w:rPr>
              <w:t>①</w:t>
            </w:r>
            <w:r>
              <w:rPr>
                <w:rFonts w:ascii="Times New Roman" w:cs="Times New Roman" w:hAnsi="Times New Roman"/>
                <w:color w:val="auto"/>
                <w:kern w:val="0"/>
                <w:sz w:val="24"/>
                <w:szCs w:val="20"/>
                <w:highlight w:val="none"/>
              </w:rPr>
              <w:t>废水类别、污染物及污染治理设施信息表</w:t>
            </w: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废水类别、污染物及污染治理设施信息表</w:t>
            </w:r>
          </w:p>
          <w:tbl>
            <w:tblPr>
              <w:jc w:val="cente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57" w:type="dxa"/>
                <w:bottom w:w="0" w:type="dxa"/>
                <w:right w:w="57" w:type="dxa"/>
              </w:tblCellMar>
              <w:tblLook w:val="0600" w:firstRow="0" w:lastRow="0" w:firstColumn="0" w:lastColumn="0" w:noHBand="1" w:noVBand="1"/>
            </w:tblPr>
            <w:tblGrid>
              <w:gridCol w:w="246"/>
              <w:gridCol w:w="849"/>
              <w:gridCol w:w="684"/>
              <w:gridCol w:w="619"/>
              <w:gridCol w:w="1013"/>
              <w:gridCol w:w="854"/>
              <w:gridCol w:w="603"/>
              <w:gridCol w:w="755"/>
              <w:gridCol w:w="853"/>
              <w:gridCol w:w="811"/>
              <w:gridCol w:w="1301"/>
            </w:tblGrid>
            <w:tr>
              <w:trPr>
                <w:trHeight w:val="397"/>
              </w:trPr>
              <w:tc>
                <w:tcPr>
                  <w:tcW w:w="143" w:type="pct"/>
                  <w:vMerge w:val="restart"/>
                  <w:tcBorders>
                    <w:tl2br w:val="nil"/>
                    <w:tr2bl w:val="nil"/>
                  </w:tcBorders>
                  <w:tcMar>
                    <w:left w:w="0" w:type="dxa"/>
                    <w:right w:w="0" w:type="dxa"/>
                  </w:tcMar>
                  <w:vAlign w:val="center"/>
                </w:tcPr>
                <w:p>
                  <w:pPr>
                    <w:keepNext w:val="0"/>
                    <w:keepLines w:val="0"/>
                    <w:widowControl/>
                    <w:suppressLineNumbers w:val="0"/>
                    <w:spacing w:before="0" w:beforeAutospacing="0" w:after="0" w:afterAutospacing="0" w:line="240" w:lineRule="auto"/>
                    <w:ind w:left="0" w:right="0"/>
                    <w:jc w:val="left"/>
                    <w:rPr>
                      <w:b/>
                      <w:kern w:val="0"/>
                      <w:sz w:val="21"/>
                      <w:szCs w:val="21"/>
                      <w:highlight w:val="none"/>
                    </w:rPr>
                  </w:pPr>
                  <w:r>
                    <w:rPr>
                      <w:rFonts w:ascii="Times New Roman" w:cs="Times New Roman" w:hAnsi="Times New Roman"/>
                      <w:b/>
                      <w:kern w:val="0"/>
                      <w:sz w:val="21"/>
                      <w:szCs w:val="21"/>
                      <w:highlight w:val="none"/>
                    </w:rPr>
                    <w:t>序号</w:t>
                  </w:r>
                </w:p>
              </w:tc>
              <w:tc>
                <w:tcPr>
                  <w:tcW w:w="494"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废水类别</w:t>
                  </w:r>
                </w:p>
              </w:tc>
              <w:tc>
                <w:tcPr>
                  <w:tcW w:w="398"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污染物种类</w:t>
                  </w:r>
                </w:p>
              </w:tc>
              <w:tc>
                <w:tcPr>
                  <w:tcW w:w="360"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排放去向</w:t>
                  </w:r>
                </w:p>
              </w:tc>
              <w:tc>
                <w:tcPr>
                  <w:tcW w:w="589"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排放规律</w:t>
                  </w:r>
                </w:p>
              </w:tc>
              <w:tc>
                <w:tcPr>
                  <w:tcW w:w="1287" w:type="pct"/>
                  <w:gridSpan w:val="3"/>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污染治理措施</w:t>
                  </w:r>
                </w:p>
              </w:tc>
              <w:tc>
                <w:tcPr>
                  <w:tcW w:w="496"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排放口编号</w:t>
                  </w:r>
                </w:p>
              </w:tc>
              <w:tc>
                <w:tcPr>
                  <w:tcW w:w="472"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排放口设置是否符合要求</w:t>
                  </w:r>
                </w:p>
              </w:tc>
              <w:tc>
                <w:tcPr>
                  <w:tcW w:w="757"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排放口类型</w:t>
                  </w:r>
                </w:p>
              </w:tc>
            </w:tr>
            <w:tr>
              <w:trPr>
                <w:trHeight w:val="397"/>
              </w:trPr>
              <w:tc>
                <w:tcPr>
                  <w:tcW w:w="143" w:type="pct"/>
                  <w:vMerge/>
                  <w:tcBorders>
                    <w:tl2br w:val="nil"/>
                    <w:tr2bl w:val="nil"/>
                  </w:tcBorders>
                  <w:tcMar>
                    <w:left w:w="0" w:type="dxa"/>
                    <w:right w:w="0" w:type="dxa"/>
                  </w:tcMar>
                  <w:vAlign w:val="center"/>
                </w:tcPr>
                <w:p/>
              </w:tc>
              <w:tc>
                <w:tcPr>
                  <w:tcW w:w="494" w:type="pct"/>
                  <w:vMerge/>
                  <w:tcBorders>
                    <w:tl2br w:val="nil"/>
                    <w:tr2bl w:val="nil"/>
                  </w:tcBorders>
                  <w:vAlign w:val="center"/>
                </w:tcPr>
                <w:p/>
              </w:tc>
              <w:tc>
                <w:tcPr>
                  <w:tcW w:w="398" w:type="pct"/>
                  <w:vMerge/>
                  <w:tcBorders>
                    <w:tl2br w:val="nil"/>
                    <w:tr2bl w:val="nil"/>
                  </w:tcBorders>
                  <w:vAlign w:val="center"/>
                </w:tcPr>
                <w:p/>
              </w:tc>
              <w:tc>
                <w:tcPr>
                  <w:tcW w:w="360" w:type="pct"/>
                  <w:vMerge/>
                  <w:tcBorders>
                    <w:tl2br w:val="nil"/>
                    <w:tr2bl w:val="nil"/>
                  </w:tcBorders>
                  <w:vAlign w:val="center"/>
                </w:tcPr>
                <w:p/>
              </w:tc>
              <w:tc>
                <w:tcPr>
                  <w:tcW w:w="589" w:type="pct"/>
                  <w:vMerge/>
                  <w:tcBorders>
                    <w:tl2br w:val="nil"/>
                    <w:tr2bl w:val="nil"/>
                  </w:tcBorders>
                  <w:vAlign w:val="center"/>
                </w:tcPr>
                <w:p/>
              </w:tc>
              <w:tc>
                <w:tcPr>
                  <w:tcW w:w="49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污染治理措施编号</w:t>
                  </w:r>
                </w:p>
              </w:tc>
              <w:tc>
                <w:tcPr>
                  <w:tcW w:w="351"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污染治理措施名称</w:t>
                  </w:r>
                </w:p>
              </w:tc>
              <w:tc>
                <w:tcPr>
                  <w:tcW w:w="439"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污染治理措施工艺</w:t>
                  </w:r>
                </w:p>
              </w:tc>
              <w:tc>
                <w:tcPr>
                  <w:tcW w:w="496" w:type="pct"/>
                  <w:vMerge/>
                  <w:tcBorders>
                    <w:tl2br w:val="nil"/>
                    <w:tr2bl w:val="nil"/>
                  </w:tcBorders>
                  <w:vAlign w:val="center"/>
                </w:tcPr>
                <w:p/>
              </w:tc>
              <w:tc>
                <w:tcPr>
                  <w:tcW w:w="472" w:type="pct"/>
                  <w:vMerge/>
                  <w:tcBorders>
                    <w:tl2br w:val="nil"/>
                    <w:tr2bl w:val="nil"/>
                  </w:tcBorders>
                  <w:vAlign w:val="center"/>
                </w:tcPr>
                <w:p/>
              </w:tc>
              <w:tc>
                <w:tcPr>
                  <w:tcW w:w="757" w:type="pct"/>
                  <w:vMerge/>
                  <w:tcBorders>
                    <w:tl2br w:val="nil"/>
                    <w:tr2bl w:val="nil"/>
                  </w:tcBorders>
                  <w:vAlign w:val="center"/>
                </w:tcPr>
                <w:p/>
              </w:tc>
            </w:tr>
            <w:tr>
              <w:trPr>
                <w:trHeight w:val="397"/>
              </w:trPr>
              <w:tc>
                <w:tcPr>
                  <w:tcW w:w="143" w:type="pct"/>
                  <w:tcBorders>
                    <w:tl2br w:val="nil"/>
                    <w:tr2bl w:val="nil"/>
                  </w:tcBorders>
                  <w:tcMar>
                    <w:left w:w="0" w:type="dxa"/>
                    <w:right w:w="0" w:type="dxa"/>
                  </w:tcMar>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1</w:t>
                  </w:r>
                </w:p>
              </w:tc>
              <w:tc>
                <w:tcPr>
                  <w:tcW w:w="494"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生活污水</w:t>
                  </w:r>
                </w:p>
              </w:tc>
              <w:tc>
                <w:tcPr>
                  <w:tcW w:w="398"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bCs/>
                      <w:spacing w:val="-4"/>
                      <w:kern w:val="0"/>
                      <w:sz w:val="21"/>
                      <w:szCs w:val="21"/>
                      <w:highlight w:val="none"/>
                    </w:rPr>
                    <w:t>COD、NH</w:t>
                  </w:r>
                  <w:r>
                    <w:rPr>
                      <w:rFonts w:ascii="Times New Roman" w:cs="Times New Roman" w:hAnsi="Times New Roman"/>
                      <w:bCs/>
                      <w:spacing w:val="-4"/>
                      <w:kern w:val="0"/>
                      <w:sz w:val="21"/>
                      <w:szCs w:val="21"/>
                      <w:vertAlign w:val="subscript"/>
                      <w:highlight w:val="none"/>
                    </w:rPr>
                    <w:t>3</w:t>
                  </w:r>
                  <w:r>
                    <w:rPr>
                      <w:rFonts w:ascii="Times New Roman" w:cs="Times New Roman" w:hAnsi="Times New Roman"/>
                      <w:bCs/>
                      <w:spacing w:val="-4"/>
                      <w:kern w:val="0"/>
                      <w:sz w:val="21"/>
                      <w:szCs w:val="21"/>
                      <w:highlight w:val="none"/>
                    </w:rPr>
                    <w:t>-N、</w:t>
                  </w:r>
                  <w:bookmarkStart w:id="5" w:name="OLE_LINK123"/>
                  <w:r>
                    <w:rPr>
                      <w:rFonts w:ascii="Times New Roman" w:cs="Times New Roman" w:hAnsi="Times New Roman"/>
                      <w:bCs/>
                      <w:spacing w:val="-4"/>
                      <w:kern w:val="0"/>
                      <w:sz w:val="21"/>
                      <w:szCs w:val="21"/>
                      <w:highlight w:val="none"/>
                    </w:rPr>
                    <w:t>SS</w:t>
                  </w:r>
                  <w:bookmarkEnd w:id="5"/>
                  <w:r>
                    <w:rPr>
                      <w:rFonts w:ascii="Times New Roman" w:cs="Times New Roman" w:hAnsi="Times New Roman"/>
                      <w:bCs/>
                      <w:spacing w:val="-4"/>
                      <w:kern w:val="0"/>
                      <w:sz w:val="21"/>
                      <w:szCs w:val="21"/>
                      <w:highlight w:val="none"/>
                    </w:rPr>
                    <w:t>、TP</w:t>
                  </w:r>
                </w:p>
              </w:tc>
              <w:tc>
                <w:tcPr>
                  <w:tcW w:w="36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城镇或城市污水处理厂</w:t>
                  </w:r>
                </w:p>
              </w:tc>
              <w:tc>
                <w:tcPr>
                  <w:tcW w:w="589"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间断排放，排放期间流量不稳定且无规律，但不属于冲击型排放</w:t>
                  </w:r>
                </w:p>
              </w:tc>
              <w:tc>
                <w:tcPr>
                  <w:tcW w:w="49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TW001</w:t>
                  </w:r>
                </w:p>
              </w:tc>
              <w:tc>
                <w:tcPr>
                  <w:tcW w:w="351"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kern w:val="0"/>
                      <w:sz w:val="21"/>
                      <w:szCs w:val="21"/>
                      <w:lang w:val="en-US" w:eastAsia="zh-CN"/>
                      <w:highlight w:val="none"/>
                    </w:rPr>
                  </w:pPr>
                  <w:r>
                    <w:rPr>
                      <w:rFonts w:ascii="Times New Roman" w:cs="Times New Roman" w:hAnsi="Times New Roman"/>
                      <w:kern w:val="0"/>
                      <w:sz w:val="21"/>
                      <w:szCs w:val="21"/>
                      <w:highlight w:val="none"/>
                    </w:rPr>
                    <w:t>化粪池</w:t>
                  </w:r>
                </w:p>
              </w:tc>
              <w:tc>
                <w:tcPr>
                  <w:tcW w:w="439"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kern w:val="0"/>
                      <w:sz w:val="21"/>
                      <w:szCs w:val="21"/>
                      <w:lang w:val="en-US" w:eastAsia="zh-CN"/>
                      <w:highlight w:val="none"/>
                    </w:rPr>
                  </w:pPr>
                  <w:r>
                    <w:rPr>
                      <w:rFonts w:ascii="Times New Roman" w:cs="Times New Roman" w:hAnsi="Times New Roman"/>
                      <w:kern w:val="0"/>
                      <w:sz w:val="21"/>
                      <w:szCs w:val="21"/>
                      <w:highlight w:val="none"/>
                    </w:rPr>
                    <w:t>化粪池</w:t>
                  </w:r>
                </w:p>
              </w:tc>
              <w:tc>
                <w:tcPr>
                  <w:tcW w:w="496"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hint="eastAsia"/>
                      <w:kern w:val="0"/>
                      <w:sz w:val="21"/>
                      <w:szCs w:val="21"/>
                      <w:lang w:val="en-US" w:eastAsia="zh-CN"/>
                      <w:highlight w:val="none"/>
                    </w:rPr>
                  </w:pPr>
                  <w:r>
                    <w:rPr>
                      <w:rFonts w:ascii="Times New Roman" w:cs="Times New Roman" w:hAnsi="Times New Roman"/>
                      <w:kern w:val="0"/>
                      <w:sz w:val="21"/>
                      <w:szCs w:val="21"/>
                      <w:highlight w:val="none"/>
                    </w:rPr>
                    <w:t>DW001</w:t>
                  </w:r>
                </w:p>
              </w:tc>
              <w:tc>
                <w:tcPr>
                  <w:tcW w:w="472"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sym w:font="Wingdings" w:char="F0FE"/>
                  </w:r>
                  <w:r>
                    <w:rPr>
                      <w:rFonts w:ascii="Times New Roman" w:cs="Times New Roman" w:hAnsi="Times New Roman"/>
                      <w:kern w:val="0"/>
                      <w:sz w:val="21"/>
                      <w:szCs w:val="21"/>
                      <w:highlight w:val="none"/>
                    </w:rPr>
                    <w:t>是</w:t>
                  </w:r>
                </w:p>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spacing w:val="-1"/>
                      <w:kern w:val="0"/>
                      <w:sz w:val="21"/>
                      <w:szCs w:val="21"/>
                      <w:highlight w:val="none"/>
                    </w:rPr>
                    <w:t>□</w:t>
                  </w:r>
                  <w:r>
                    <w:rPr>
                      <w:rFonts w:ascii="Times New Roman" w:cs="Times New Roman" w:hAnsi="Times New Roman"/>
                      <w:kern w:val="0"/>
                      <w:sz w:val="21"/>
                      <w:szCs w:val="21"/>
                      <w:highlight w:val="none"/>
                    </w:rPr>
                    <w:t>否</w:t>
                  </w:r>
                </w:p>
              </w:tc>
              <w:tc>
                <w:tcPr>
                  <w:tcW w:w="75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left"/>
                    <w:rPr>
                      <w:rFonts w:eastAsia="宋体" w:hint="eastAsia"/>
                      <w:kern w:val="0"/>
                      <w:sz w:val="21"/>
                      <w:szCs w:val="21"/>
                      <w:lang w:val="en-US" w:eastAsia="zh-CN"/>
                      <w:highlight w:val="none"/>
                    </w:rPr>
                  </w:pPr>
                  <w:r>
                    <w:rPr>
                      <w:rFonts w:ascii="Times New Roman" w:cs="Times New Roman" w:hAnsi="Times New Roman"/>
                      <w:kern w:val="0"/>
                      <w:sz w:val="21"/>
                      <w:szCs w:val="21"/>
                      <w:highlight w:val="none"/>
                    </w:rPr>
                    <w:sym w:font="Wingdings" w:char="F0FE"/>
                  </w:r>
                  <w:r>
                    <w:rPr>
                      <w:rFonts w:ascii="Times New Roman" w:cs="Times New Roman" w:hAnsi="Times New Roman"/>
                      <w:kern w:val="0"/>
                      <w:sz w:val="21"/>
                      <w:szCs w:val="21"/>
                      <w:highlight w:val="none"/>
                    </w:rPr>
                    <w:t>企业总排</w:t>
                  </w:r>
                  <w:r>
                    <w:rPr>
                      <w:rFonts w:ascii="Times New Roman" w:cs="Times New Roman" w:hAnsi="Times New Roman" w:hint="eastAsia"/>
                      <w:kern w:val="0"/>
                      <w:sz w:val="21"/>
                      <w:szCs w:val="21"/>
                      <w:lang w:val="en-US" w:eastAsia="zh-CN"/>
                      <w:highlight w:val="none"/>
                    </w:rPr>
                    <w:t>口</w:t>
                  </w:r>
                </w:p>
                <w:p>
                  <w:pPr>
                    <w:keepNext w:val="0"/>
                    <w:keepLines w:val="0"/>
                    <w:widowControl/>
                    <w:suppressLineNumbers w:val="0"/>
                    <w:spacing w:before="0" w:beforeAutospacing="0" w:after="0" w:afterAutospacing="0" w:line="240" w:lineRule="auto"/>
                    <w:ind w:left="0" w:right="0"/>
                    <w:jc w:val="left"/>
                    <w:rPr>
                      <w:kern w:val="0"/>
                      <w:sz w:val="21"/>
                      <w:szCs w:val="21"/>
                      <w:highlight w:val="none"/>
                    </w:rPr>
                  </w:pPr>
                  <w:r>
                    <w:rPr>
                      <w:rFonts w:ascii="Times New Roman" w:cs="Times New Roman" w:hAnsi="Times New Roman"/>
                      <w:spacing w:val="-1"/>
                      <w:kern w:val="0"/>
                      <w:sz w:val="21"/>
                      <w:szCs w:val="21"/>
                      <w:highlight w:val="none"/>
                    </w:rPr>
                    <w:t>□</w:t>
                  </w:r>
                  <w:r>
                    <w:rPr>
                      <w:rFonts w:ascii="Times New Roman" w:cs="Times New Roman" w:hAnsi="Times New Roman"/>
                      <w:kern w:val="0"/>
                      <w:sz w:val="21"/>
                      <w:szCs w:val="21"/>
                      <w:highlight w:val="none"/>
                    </w:rPr>
                    <w:t>雨水排放</w:t>
                  </w:r>
                </w:p>
                <w:p>
                  <w:pPr>
                    <w:keepNext w:val="0"/>
                    <w:keepLines w:val="0"/>
                    <w:widowControl/>
                    <w:suppressLineNumbers w:val="0"/>
                    <w:spacing w:before="0" w:beforeAutospacing="0" w:after="0" w:afterAutospacing="0" w:line="240" w:lineRule="auto"/>
                    <w:ind w:left="0" w:right="0"/>
                    <w:jc w:val="left"/>
                    <w:rPr>
                      <w:kern w:val="0"/>
                      <w:sz w:val="21"/>
                      <w:szCs w:val="21"/>
                      <w:highlight w:val="none"/>
                    </w:rPr>
                  </w:pPr>
                  <w:r>
                    <w:rPr>
                      <w:rFonts w:ascii="Times New Roman" w:cs="Times New Roman" w:hAnsi="Times New Roman"/>
                      <w:spacing w:val="-1"/>
                      <w:kern w:val="0"/>
                      <w:sz w:val="21"/>
                      <w:szCs w:val="21"/>
                      <w:highlight w:val="none"/>
                    </w:rPr>
                    <w:t>□</w:t>
                  </w:r>
                  <w:r>
                    <w:rPr>
                      <w:rFonts w:ascii="Times New Roman" w:cs="Times New Roman" w:hAnsi="Times New Roman"/>
                      <w:kern w:val="0"/>
                      <w:sz w:val="21"/>
                      <w:szCs w:val="21"/>
                      <w:highlight w:val="none"/>
                    </w:rPr>
                    <w:t>清净下水排放</w:t>
                  </w:r>
                </w:p>
                <w:p>
                  <w:pPr>
                    <w:keepNext w:val="0"/>
                    <w:keepLines w:val="0"/>
                    <w:widowControl/>
                    <w:suppressLineNumbers w:val="0"/>
                    <w:spacing w:before="0" w:beforeAutospacing="0" w:after="0" w:afterAutospacing="0" w:line="240" w:lineRule="auto"/>
                    <w:ind w:left="0" w:right="0"/>
                    <w:jc w:val="left"/>
                    <w:rPr>
                      <w:kern w:val="0"/>
                      <w:sz w:val="21"/>
                      <w:szCs w:val="21"/>
                      <w:highlight w:val="none"/>
                    </w:rPr>
                  </w:pPr>
                  <w:r>
                    <w:rPr>
                      <w:rFonts w:ascii="Times New Roman" w:cs="Times New Roman" w:hAnsi="Times New Roman"/>
                      <w:spacing w:val="-1"/>
                      <w:kern w:val="0"/>
                      <w:sz w:val="21"/>
                      <w:szCs w:val="21"/>
                      <w:highlight w:val="none"/>
                    </w:rPr>
                    <w:t>□</w:t>
                  </w:r>
                  <w:r>
                    <w:rPr>
                      <w:rFonts w:ascii="Times New Roman" w:cs="Times New Roman" w:hAnsi="Times New Roman"/>
                      <w:kern w:val="0"/>
                      <w:sz w:val="21"/>
                      <w:szCs w:val="21"/>
                      <w:highlight w:val="none"/>
                    </w:rPr>
                    <w:t>温排水排放</w:t>
                  </w:r>
                </w:p>
                <w:p>
                  <w:pPr>
                    <w:keepNext w:val="0"/>
                    <w:keepLines w:val="0"/>
                    <w:widowControl/>
                    <w:suppressLineNumbers w:val="0"/>
                    <w:spacing w:before="0" w:beforeAutospacing="0" w:after="0" w:afterAutospacing="0" w:line="240" w:lineRule="auto"/>
                    <w:ind w:left="0" w:right="0"/>
                    <w:jc w:val="left"/>
                    <w:rPr>
                      <w:kern w:val="0"/>
                      <w:sz w:val="21"/>
                      <w:szCs w:val="21"/>
                      <w:highlight w:val="none"/>
                    </w:rPr>
                  </w:pPr>
                  <w:r>
                    <w:rPr>
                      <w:rFonts w:ascii="Times New Roman" w:cs="Times New Roman" w:hAnsi="Times New Roman"/>
                      <w:spacing w:val="-1"/>
                      <w:kern w:val="0"/>
                      <w:sz w:val="21"/>
                      <w:szCs w:val="21"/>
                      <w:highlight w:val="none"/>
                    </w:rPr>
                    <w:t>□</w:t>
                  </w:r>
                  <w:r>
                    <w:rPr>
                      <w:rFonts w:ascii="Times New Roman" w:cs="Times New Roman" w:hAnsi="Times New Roman"/>
                      <w:kern w:val="0"/>
                      <w:sz w:val="21"/>
                      <w:szCs w:val="21"/>
                      <w:highlight w:val="none"/>
                    </w:rPr>
                    <w:t>车间或车间处理设施排放口排放</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left"/>
              <w:textAlignment w:val="auto"/>
              <w:rPr>
                <w:kern w:val="0"/>
                <w:sz w:val="24"/>
                <w:highlight w:val="none"/>
              </w:rPr>
            </w:pPr>
            <w:r>
              <w:rPr>
                <w:rFonts w:ascii="宋体" w:cs="宋体" w:hAnsi="宋体" w:hint="eastAsia"/>
                <w:kern w:val="0"/>
                <w:sz w:val="24"/>
                <w:szCs w:val="20"/>
                <w:highlight w:val="none"/>
              </w:rPr>
              <w:t>②</w:t>
            </w:r>
            <w:r>
              <w:rPr>
                <w:rFonts w:ascii="Times New Roman" w:cs="Times New Roman" w:hAnsi="Times New Roman"/>
                <w:kern w:val="0"/>
                <w:sz w:val="24"/>
                <w:szCs w:val="20"/>
                <w:highlight w:val="none"/>
              </w:rPr>
              <w:t>废水间接排放口基本情况</w:t>
            </w: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废水间接排放口基本情况表</w:t>
            </w:r>
          </w:p>
          <w:tbl>
            <w:tblPr>
              <w:jc w:val="cente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253"/>
              <w:gridCol w:w="710"/>
              <w:gridCol w:w="897"/>
              <w:gridCol w:w="1006"/>
              <w:gridCol w:w="1076"/>
              <w:gridCol w:w="708"/>
              <w:gridCol w:w="607"/>
              <w:gridCol w:w="708"/>
              <w:gridCol w:w="708"/>
              <w:gridCol w:w="825"/>
              <w:gridCol w:w="1090"/>
            </w:tblGrid>
            <w:tr>
              <w:trPr>
                <w:trHeight w:val="397"/>
              </w:trPr>
              <w:tc>
                <w:tcPr>
                  <w:tcW w:w="147"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序号</w:t>
                  </w:r>
                </w:p>
              </w:tc>
              <w:tc>
                <w:tcPr>
                  <w:tcW w:w="413"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排放口编号</w:t>
                  </w:r>
                </w:p>
              </w:tc>
              <w:tc>
                <w:tcPr>
                  <w:tcW w:w="1107" w:type="pct"/>
                  <w:gridSpan w:val="2"/>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排放口地理坐标</w:t>
                  </w:r>
                </w:p>
              </w:tc>
              <w:tc>
                <w:tcPr>
                  <w:tcW w:w="626"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废水排放量/（t/a）</w:t>
                  </w:r>
                </w:p>
              </w:tc>
              <w:tc>
                <w:tcPr>
                  <w:tcW w:w="412"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排放去向</w:t>
                  </w:r>
                </w:p>
              </w:tc>
              <w:tc>
                <w:tcPr>
                  <w:tcW w:w="353"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排放规律</w:t>
                  </w:r>
                </w:p>
              </w:tc>
              <w:tc>
                <w:tcPr>
                  <w:tcW w:w="412"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间歇排放时段</w:t>
                  </w:r>
                </w:p>
              </w:tc>
              <w:tc>
                <w:tcPr>
                  <w:tcW w:w="1526" w:type="pct"/>
                  <w:gridSpan w:val="3"/>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受纳污水处理厂信息</w:t>
                  </w:r>
                </w:p>
              </w:tc>
            </w:tr>
            <w:tr>
              <w:trPr>
                <w:trHeight w:val="397"/>
              </w:trPr>
              <w:tc>
                <w:tcPr>
                  <w:tcW w:w="147" w:type="pct"/>
                  <w:vMerge/>
                  <w:tcBorders>
                    <w:tl2br w:val="nil"/>
                    <w:tr2bl w:val="nil"/>
                  </w:tcBorders>
                  <w:vAlign w:val="center"/>
                </w:tcPr>
                <w:p/>
              </w:tc>
              <w:tc>
                <w:tcPr>
                  <w:tcW w:w="413" w:type="pct"/>
                  <w:vMerge/>
                  <w:tcBorders>
                    <w:tl2br w:val="nil"/>
                    <w:tr2bl w:val="nil"/>
                  </w:tcBorders>
                  <w:vAlign w:val="center"/>
                </w:tcPr>
                <w:p/>
              </w:tc>
              <w:tc>
                <w:tcPr>
                  <w:tcW w:w="522"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经度</w:t>
                  </w:r>
                </w:p>
              </w:tc>
              <w:tc>
                <w:tcPr>
                  <w:tcW w:w="585"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纬度</w:t>
                  </w:r>
                </w:p>
              </w:tc>
              <w:tc>
                <w:tcPr>
                  <w:tcW w:w="626" w:type="pct"/>
                  <w:vMerge/>
                  <w:tcBorders>
                    <w:tl2br w:val="nil"/>
                    <w:tr2bl w:val="nil"/>
                  </w:tcBorders>
                  <w:vAlign w:val="center"/>
                </w:tcPr>
                <w:p/>
              </w:tc>
              <w:tc>
                <w:tcPr>
                  <w:tcW w:w="412" w:type="pct"/>
                  <w:vMerge/>
                  <w:tcBorders>
                    <w:tl2br w:val="nil"/>
                    <w:tr2bl w:val="nil"/>
                  </w:tcBorders>
                  <w:vAlign w:val="center"/>
                </w:tcPr>
                <w:p/>
              </w:tc>
              <w:tc>
                <w:tcPr>
                  <w:tcW w:w="353" w:type="pct"/>
                  <w:vMerge/>
                  <w:tcBorders>
                    <w:tl2br w:val="nil"/>
                    <w:tr2bl w:val="nil"/>
                  </w:tcBorders>
                  <w:vAlign w:val="center"/>
                </w:tcPr>
                <w:p/>
              </w:tc>
              <w:tc>
                <w:tcPr>
                  <w:tcW w:w="412" w:type="pct"/>
                  <w:vMerge/>
                  <w:tcBorders>
                    <w:tl2br w:val="nil"/>
                    <w:tr2bl w:val="nil"/>
                  </w:tcBorders>
                  <w:vAlign w:val="center"/>
                </w:tcPr>
                <w:p/>
              </w:tc>
              <w:tc>
                <w:tcPr>
                  <w:tcW w:w="412"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名称</w:t>
                  </w:r>
                </w:p>
              </w:tc>
              <w:tc>
                <w:tcPr>
                  <w:tcW w:w="48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污染物种类</w:t>
                  </w:r>
                </w:p>
              </w:tc>
              <w:tc>
                <w:tcPr>
                  <w:tcW w:w="63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国家或地方污染物排放标准浓度限值</w:t>
                  </w:r>
                </w:p>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/（mg/L）</w:t>
                  </w:r>
                </w:p>
              </w:tc>
            </w:tr>
            <w:tr>
              <w:trPr>
                <w:trHeight w:val="397"/>
              </w:trPr>
              <w:tc>
                <w:tcPr>
                  <w:tcW w:w="147"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1</w:t>
                  </w:r>
                </w:p>
              </w:tc>
              <w:tc>
                <w:tcPr>
                  <w:tcW w:w="413"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DW001</w:t>
                  </w:r>
                </w:p>
              </w:tc>
              <w:tc>
                <w:tcPr>
                  <w:tcW w:w="522"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ascii="Times New Roman" w:cs="Times New Roman" w:hAnsi="Times New Roman"/>
                      <w:kern w:val="0"/>
                      <w:sz w:val="21"/>
                      <w:szCs w:val="21"/>
                      <w:u w:val="none"/>
                      <w:lang w:val="en-US"/>
                      <w:highlight w:val="none"/>
                    </w:rPr>
                  </w:pPr>
                  <w:r>
                    <w:rPr>
                      <w:rFonts w:ascii="Times New Roman" w:cs="Times New Roman" w:hAnsi="Times New Roman"/>
                      <w:color w:val="auto"/>
                      <w:sz w:val="21"/>
                      <w:szCs w:val="21"/>
                      <w:u w:val="none"/>
                      <w:lang w:val="en-US" w:eastAsia="zh-CN"/>
                      <w:highlight w:val="none"/>
                    </w:rPr>
                    <w:t>114°5′48.419″</w:t>
                  </w:r>
                </w:p>
              </w:tc>
              <w:tc>
                <w:tcPr>
                  <w:tcW w:w="585"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ascii="Times New Roman" w:cs="Times New Roman" w:hAnsi="Times New Roman"/>
                      <w:kern w:val="0"/>
                      <w:sz w:val="21"/>
                      <w:szCs w:val="21"/>
                      <w:u w:val="none"/>
                      <w:highlight w:val="none"/>
                    </w:rPr>
                  </w:pPr>
                  <w:r>
                    <w:rPr>
                      <w:rFonts w:ascii="Times New Roman" w:cs="Times New Roman" w:hAnsi="Times New Roman"/>
                      <w:color w:val="auto"/>
                      <w:sz w:val="21"/>
                      <w:szCs w:val="21"/>
                      <w:u w:val="none"/>
                      <w:highlight w:val="none"/>
                    </w:rPr>
                    <w:t>35</w:t>
                  </w:r>
                  <w:r>
                    <w:rPr>
                      <w:rFonts w:ascii="Times New Roman" w:cs="Times New Roman" w:hAnsi="Times New Roman"/>
                      <w:color w:val="auto"/>
                      <w:sz w:val="21"/>
                      <w:szCs w:val="21"/>
                      <w:u w:val="none"/>
                      <w:lang w:val="en-US" w:eastAsia="zh-CN"/>
                      <w:highlight w:val="none"/>
                    </w:rPr>
                    <w:t>°15′53.096″</w:t>
                  </w:r>
                </w:p>
              </w:tc>
              <w:tc>
                <w:tcPr>
                  <w:tcW w:w="626"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kern w:val="0"/>
                      <w:sz w:val="21"/>
                      <w:szCs w:val="21"/>
                      <w:lang w:val="en-US" w:eastAsia="zh-CN"/>
                      <w:highlight w:val="none"/>
                    </w:rPr>
                  </w:pPr>
                  <w:r>
                    <w:rPr>
                      <w:rFonts w:ascii="Times New Roman" w:cs="Times New Roman" w:hAnsi="Times New Roman" w:hint="eastAsia"/>
                      <w:kern w:val="0"/>
                      <w:sz w:val="21"/>
                      <w:szCs w:val="21"/>
                      <w:lang w:val="en-US" w:eastAsia="zh-CN"/>
                      <w:highlight w:val="none"/>
                    </w:rPr>
                    <w:t>99.28</w:t>
                  </w:r>
                </w:p>
              </w:tc>
              <w:tc>
                <w:tcPr>
                  <w:tcW w:w="412"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城镇或城市污水处理厂</w:t>
                  </w:r>
                </w:p>
              </w:tc>
              <w:tc>
                <w:tcPr>
                  <w:tcW w:w="353"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间断排放</w:t>
                  </w:r>
                </w:p>
              </w:tc>
              <w:tc>
                <w:tcPr>
                  <w:tcW w:w="412"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08</w:t>
                  </w:r>
                  <w:r>
                    <w:rPr>
                      <w:rFonts w:ascii="Times New Roman" w:cs="Times New Roman" w:hAnsi="Times New Roman" w:hint="eastAsia"/>
                      <w:kern w:val="0"/>
                      <w:sz w:val="21"/>
                      <w:szCs w:val="21"/>
                      <w:highlight w:val="none"/>
                    </w:rPr>
                    <w:t>：</w:t>
                  </w:r>
                  <w:r>
                    <w:rPr>
                      <w:rFonts w:ascii="Times New Roman" w:cs="Times New Roman" w:hAnsi="Times New Roman"/>
                      <w:kern w:val="0"/>
                      <w:sz w:val="21"/>
                      <w:szCs w:val="21"/>
                      <w:highlight w:val="none"/>
                    </w:rPr>
                    <w:t>00~</w:t>
                  </w:r>
                </w:p>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0</w:t>
                  </w:r>
                  <w:r>
                    <w:rPr>
                      <w:rFonts w:ascii="Times New Roman" w:cs="Times New Roman" w:hAnsi="Times New Roman"/>
                      <w:kern w:val="0"/>
                      <w:sz w:val="21"/>
                      <w:szCs w:val="21"/>
                      <w:highlight w:val="none"/>
                    </w:rPr>
                    <w:t>8</w:t>
                  </w:r>
                  <w:r>
                    <w:rPr>
                      <w:rFonts w:ascii="Times New Roman" w:cs="Times New Roman" w:hAnsi="Times New Roman" w:hint="eastAsia"/>
                      <w:kern w:val="0"/>
                      <w:sz w:val="21"/>
                      <w:szCs w:val="21"/>
                      <w:highlight w:val="none"/>
                    </w:rPr>
                    <w:t>：</w:t>
                  </w:r>
                  <w:r>
                    <w:rPr>
                      <w:rFonts w:ascii="Times New Roman" w:cs="Times New Roman" w:hAnsi="Times New Roman"/>
                      <w:kern w:val="0"/>
                      <w:sz w:val="21"/>
                      <w:szCs w:val="21"/>
                      <w:highlight w:val="none"/>
                    </w:rPr>
                    <w:t>00</w:t>
                  </w:r>
                </w:p>
              </w:tc>
              <w:tc>
                <w:tcPr>
                  <w:tcW w:w="412"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bCs/>
                      <w:kern w:val="0"/>
                      <w:sz w:val="21"/>
                      <w:szCs w:val="21"/>
                      <w:highlight w:val="none"/>
                    </w:rPr>
                    <w:t>延津县第二污水</w:t>
                  </w:r>
                  <w:r>
                    <w:rPr>
                      <w:rFonts w:ascii="Times New Roman" w:cs="Times New Roman" w:hAnsi="Times New Roman"/>
                      <w:bCs/>
                      <w:kern w:val="0"/>
                      <w:sz w:val="21"/>
                      <w:szCs w:val="21"/>
                      <w:highlight w:val="none"/>
                    </w:rPr>
                    <w:t>处理厂</w:t>
                  </w:r>
                </w:p>
              </w:tc>
              <w:tc>
                <w:tcPr>
                  <w:tcW w:w="48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bCs/>
                      <w:spacing w:val="-4"/>
                      <w:kern w:val="0"/>
                      <w:sz w:val="21"/>
                      <w:szCs w:val="21"/>
                      <w:highlight w:val="none"/>
                    </w:rPr>
                    <w:t>COD</w:t>
                  </w:r>
                </w:p>
              </w:tc>
              <w:tc>
                <w:tcPr>
                  <w:tcW w:w="63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30</w:t>
                  </w:r>
                </w:p>
              </w:tc>
            </w:tr>
            <w:tr>
              <w:trPr>
                <w:trHeight w:val="397"/>
              </w:trPr>
              <w:tc>
                <w:tcPr>
                  <w:tcW w:w="147" w:type="pct"/>
                  <w:vMerge/>
                  <w:tcBorders>
                    <w:tl2br w:val="nil"/>
                    <w:tr2bl w:val="nil"/>
                  </w:tcBorders>
                  <w:vAlign w:val="center"/>
                </w:tcPr>
                <w:p/>
              </w:tc>
              <w:tc>
                <w:tcPr>
                  <w:tcW w:w="413" w:type="pct"/>
                  <w:vMerge/>
                  <w:tcBorders>
                    <w:tl2br w:val="nil"/>
                    <w:tr2bl w:val="nil"/>
                  </w:tcBorders>
                  <w:vAlign w:val="center"/>
                </w:tcPr>
                <w:p/>
              </w:tc>
              <w:tc>
                <w:tcPr>
                  <w:tcW w:w="522" w:type="pct"/>
                  <w:vMerge/>
                  <w:tcBorders>
                    <w:tl2br w:val="nil"/>
                    <w:tr2bl w:val="nil"/>
                  </w:tcBorders>
                  <w:vAlign w:val="center"/>
                </w:tcPr>
                <w:p/>
              </w:tc>
              <w:tc>
                <w:tcPr>
                  <w:tcW w:w="585" w:type="pct"/>
                  <w:vMerge/>
                  <w:tcBorders>
                    <w:tl2br w:val="nil"/>
                    <w:tr2bl w:val="nil"/>
                  </w:tcBorders>
                  <w:vAlign w:val="center"/>
                </w:tcPr>
                <w:p/>
              </w:tc>
              <w:tc>
                <w:tcPr>
                  <w:tcW w:w="626" w:type="pct"/>
                  <w:vMerge/>
                  <w:tcBorders>
                    <w:tl2br w:val="nil"/>
                    <w:tr2bl w:val="nil"/>
                  </w:tcBorders>
                  <w:vAlign w:val="center"/>
                </w:tcPr>
                <w:p/>
              </w:tc>
              <w:tc>
                <w:tcPr>
                  <w:tcW w:w="412" w:type="pct"/>
                  <w:vMerge/>
                  <w:tcBorders>
                    <w:tl2br w:val="nil"/>
                    <w:tr2bl w:val="nil"/>
                  </w:tcBorders>
                  <w:vAlign w:val="center"/>
                </w:tcPr>
                <w:p/>
              </w:tc>
              <w:tc>
                <w:tcPr>
                  <w:tcW w:w="353" w:type="pct"/>
                  <w:vMerge/>
                  <w:tcBorders>
                    <w:tl2br w:val="nil"/>
                    <w:tr2bl w:val="nil"/>
                  </w:tcBorders>
                  <w:vAlign w:val="center"/>
                </w:tcPr>
                <w:p/>
              </w:tc>
              <w:tc>
                <w:tcPr>
                  <w:tcW w:w="412" w:type="pct"/>
                  <w:vMerge/>
                  <w:tcBorders>
                    <w:tl2br w:val="nil"/>
                    <w:tr2bl w:val="nil"/>
                  </w:tcBorders>
                  <w:vAlign w:val="center"/>
                </w:tcPr>
                <w:p/>
              </w:tc>
              <w:tc>
                <w:tcPr>
                  <w:tcW w:w="412" w:type="pct"/>
                  <w:vMerge/>
                  <w:tcBorders>
                    <w:tl2br w:val="nil"/>
                    <w:tr2bl w:val="nil"/>
                  </w:tcBorders>
                  <w:vAlign w:val="center"/>
                </w:tcPr>
                <w:p/>
              </w:tc>
              <w:tc>
                <w:tcPr>
                  <w:tcW w:w="48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Cs/>
                      <w:spacing w:val="-4"/>
                      <w:kern w:val="0"/>
                      <w:sz w:val="21"/>
                      <w:szCs w:val="21"/>
                      <w:highlight w:val="none"/>
                    </w:rPr>
                  </w:pPr>
                  <w:r>
                    <w:rPr>
                      <w:rFonts w:ascii="Times New Roman" w:cs="Times New Roman" w:hAnsi="Times New Roman" w:hint="eastAsia"/>
                      <w:bCs/>
                      <w:spacing w:val="-4"/>
                      <w:kern w:val="0"/>
                      <w:sz w:val="21"/>
                      <w:szCs w:val="21"/>
                      <w:highlight w:val="none"/>
                    </w:rPr>
                    <w:t>S</w:t>
                  </w:r>
                  <w:r>
                    <w:rPr>
                      <w:rFonts w:ascii="Times New Roman" w:cs="Times New Roman" w:hAnsi="Times New Roman"/>
                      <w:bCs/>
                      <w:spacing w:val="-4"/>
                      <w:kern w:val="0"/>
                      <w:sz w:val="21"/>
                      <w:szCs w:val="21"/>
                      <w:highlight w:val="none"/>
                    </w:rPr>
                    <w:t>S</w:t>
                  </w:r>
                </w:p>
              </w:tc>
              <w:tc>
                <w:tcPr>
                  <w:tcW w:w="63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10</w:t>
                  </w:r>
                </w:p>
              </w:tc>
            </w:tr>
            <w:tr>
              <w:trPr>
                <w:trHeight w:val="397"/>
              </w:trPr>
              <w:tc>
                <w:tcPr>
                  <w:tcW w:w="147" w:type="pct"/>
                  <w:vMerge/>
                  <w:tcBorders>
                    <w:tl2br w:val="nil"/>
                    <w:tr2bl w:val="nil"/>
                  </w:tcBorders>
                  <w:vAlign w:val="center"/>
                </w:tcPr>
                <w:p/>
              </w:tc>
              <w:tc>
                <w:tcPr>
                  <w:tcW w:w="413" w:type="pct"/>
                  <w:vMerge/>
                  <w:tcBorders>
                    <w:tl2br w:val="nil"/>
                    <w:tr2bl w:val="nil"/>
                  </w:tcBorders>
                  <w:vAlign w:val="center"/>
                </w:tcPr>
                <w:p/>
              </w:tc>
              <w:tc>
                <w:tcPr>
                  <w:tcW w:w="522" w:type="pct"/>
                  <w:vMerge/>
                  <w:tcBorders>
                    <w:tl2br w:val="nil"/>
                    <w:tr2bl w:val="nil"/>
                  </w:tcBorders>
                  <w:vAlign w:val="center"/>
                </w:tcPr>
                <w:p/>
              </w:tc>
              <w:tc>
                <w:tcPr>
                  <w:tcW w:w="585" w:type="pct"/>
                  <w:vMerge/>
                  <w:tcBorders>
                    <w:tl2br w:val="nil"/>
                    <w:tr2bl w:val="nil"/>
                  </w:tcBorders>
                  <w:vAlign w:val="center"/>
                </w:tcPr>
                <w:p/>
              </w:tc>
              <w:tc>
                <w:tcPr>
                  <w:tcW w:w="626" w:type="pct"/>
                  <w:vMerge/>
                  <w:tcBorders>
                    <w:tl2br w:val="nil"/>
                    <w:tr2bl w:val="nil"/>
                  </w:tcBorders>
                  <w:vAlign w:val="center"/>
                </w:tcPr>
                <w:p/>
              </w:tc>
              <w:tc>
                <w:tcPr>
                  <w:tcW w:w="412" w:type="pct"/>
                  <w:vMerge/>
                  <w:tcBorders>
                    <w:tl2br w:val="nil"/>
                    <w:tr2bl w:val="nil"/>
                  </w:tcBorders>
                  <w:vAlign w:val="center"/>
                </w:tcPr>
                <w:p/>
              </w:tc>
              <w:tc>
                <w:tcPr>
                  <w:tcW w:w="353" w:type="pct"/>
                  <w:vMerge/>
                  <w:tcBorders>
                    <w:tl2br w:val="nil"/>
                    <w:tr2bl w:val="nil"/>
                  </w:tcBorders>
                  <w:vAlign w:val="center"/>
                </w:tcPr>
                <w:p/>
              </w:tc>
              <w:tc>
                <w:tcPr>
                  <w:tcW w:w="412" w:type="pct"/>
                  <w:vMerge/>
                  <w:tcBorders>
                    <w:tl2br w:val="nil"/>
                    <w:tr2bl w:val="nil"/>
                  </w:tcBorders>
                  <w:vAlign w:val="center"/>
                </w:tcPr>
                <w:p/>
              </w:tc>
              <w:tc>
                <w:tcPr>
                  <w:tcW w:w="412" w:type="pct"/>
                  <w:vMerge/>
                  <w:tcBorders>
                    <w:tl2br w:val="nil"/>
                    <w:tr2bl w:val="nil"/>
                  </w:tcBorders>
                  <w:vAlign w:val="center"/>
                </w:tcPr>
                <w:p/>
              </w:tc>
              <w:tc>
                <w:tcPr>
                  <w:tcW w:w="48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bCs/>
                      <w:spacing w:val="-4"/>
                      <w:kern w:val="0"/>
                      <w:sz w:val="21"/>
                      <w:szCs w:val="21"/>
                      <w:highlight w:val="none"/>
                    </w:rPr>
                    <w:t>NH</w:t>
                  </w:r>
                  <w:r>
                    <w:rPr>
                      <w:rFonts w:ascii="Times New Roman" w:cs="Times New Roman" w:hAnsi="Times New Roman"/>
                      <w:bCs/>
                      <w:spacing w:val="-4"/>
                      <w:kern w:val="0"/>
                      <w:sz w:val="21"/>
                      <w:szCs w:val="21"/>
                      <w:vertAlign w:val="subscript"/>
                      <w:highlight w:val="none"/>
                    </w:rPr>
                    <w:t>3</w:t>
                  </w:r>
                  <w:r>
                    <w:rPr>
                      <w:rFonts w:ascii="Times New Roman" w:cs="Times New Roman" w:hAnsi="Times New Roman"/>
                      <w:bCs/>
                      <w:spacing w:val="-4"/>
                      <w:kern w:val="0"/>
                      <w:sz w:val="21"/>
                      <w:szCs w:val="21"/>
                      <w:highlight w:val="none"/>
                    </w:rPr>
                    <w:t>-N</w:t>
                  </w:r>
                </w:p>
              </w:tc>
              <w:tc>
                <w:tcPr>
                  <w:tcW w:w="63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1.5</w:t>
                  </w:r>
                </w:p>
              </w:tc>
            </w:tr>
            <w:tr>
              <w:trPr>
                <w:trHeight w:val="397"/>
              </w:trPr>
              <w:tc>
                <w:tcPr>
                  <w:tcW w:w="147" w:type="pct"/>
                  <w:vMerge/>
                  <w:tcBorders>
                    <w:tl2br w:val="nil"/>
                    <w:tr2bl w:val="nil"/>
                  </w:tcBorders>
                  <w:vAlign w:val="center"/>
                </w:tcPr>
                <w:p/>
              </w:tc>
              <w:tc>
                <w:tcPr>
                  <w:tcW w:w="413" w:type="pct"/>
                  <w:vMerge/>
                  <w:tcBorders>
                    <w:tl2br w:val="nil"/>
                    <w:tr2bl w:val="nil"/>
                  </w:tcBorders>
                  <w:vAlign w:val="center"/>
                </w:tcPr>
                <w:p/>
              </w:tc>
              <w:tc>
                <w:tcPr>
                  <w:tcW w:w="522" w:type="pct"/>
                  <w:vMerge/>
                  <w:tcBorders>
                    <w:tl2br w:val="nil"/>
                    <w:tr2bl w:val="nil"/>
                  </w:tcBorders>
                  <w:vAlign w:val="center"/>
                </w:tcPr>
                <w:p/>
              </w:tc>
              <w:tc>
                <w:tcPr>
                  <w:tcW w:w="585" w:type="pct"/>
                  <w:vMerge/>
                  <w:tcBorders>
                    <w:tl2br w:val="nil"/>
                    <w:tr2bl w:val="nil"/>
                  </w:tcBorders>
                  <w:vAlign w:val="center"/>
                </w:tcPr>
                <w:p/>
              </w:tc>
              <w:tc>
                <w:tcPr>
                  <w:tcW w:w="626" w:type="pct"/>
                  <w:vMerge/>
                  <w:tcBorders>
                    <w:tl2br w:val="nil"/>
                    <w:tr2bl w:val="nil"/>
                  </w:tcBorders>
                  <w:vAlign w:val="center"/>
                </w:tcPr>
                <w:p/>
              </w:tc>
              <w:tc>
                <w:tcPr>
                  <w:tcW w:w="412" w:type="pct"/>
                  <w:vMerge/>
                  <w:tcBorders>
                    <w:tl2br w:val="nil"/>
                    <w:tr2bl w:val="nil"/>
                  </w:tcBorders>
                  <w:vAlign w:val="center"/>
                </w:tcPr>
                <w:p/>
              </w:tc>
              <w:tc>
                <w:tcPr>
                  <w:tcW w:w="353" w:type="pct"/>
                  <w:vMerge/>
                  <w:tcBorders>
                    <w:tl2br w:val="nil"/>
                    <w:tr2bl w:val="nil"/>
                  </w:tcBorders>
                  <w:vAlign w:val="center"/>
                </w:tcPr>
                <w:p/>
              </w:tc>
              <w:tc>
                <w:tcPr>
                  <w:tcW w:w="412" w:type="pct"/>
                  <w:vMerge/>
                  <w:tcBorders>
                    <w:tl2br w:val="nil"/>
                    <w:tr2bl w:val="nil"/>
                  </w:tcBorders>
                  <w:vAlign w:val="center"/>
                </w:tcPr>
                <w:p/>
              </w:tc>
              <w:tc>
                <w:tcPr>
                  <w:tcW w:w="412" w:type="pct"/>
                  <w:vMerge/>
                  <w:tcBorders>
                    <w:tl2br w:val="nil"/>
                    <w:tr2bl w:val="nil"/>
                  </w:tcBorders>
                  <w:vAlign w:val="center"/>
                </w:tcPr>
                <w:p/>
              </w:tc>
              <w:tc>
                <w:tcPr>
                  <w:tcW w:w="48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bCs/>
                      <w:spacing w:val="-4"/>
                      <w:kern w:val="0"/>
                      <w:sz w:val="21"/>
                      <w:szCs w:val="21"/>
                      <w:highlight w:val="none"/>
                    </w:rPr>
                    <w:t>TP</w:t>
                  </w:r>
                </w:p>
              </w:tc>
              <w:tc>
                <w:tcPr>
                  <w:tcW w:w="63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0.3</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left"/>
              <w:textAlignment w:val="auto"/>
              <w:rPr>
                <w:kern w:val="0"/>
                <w:sz w:val="24"/>
                <w:highlight w:val="none"/>
              </w:rPr>
            </w:pPr>
            <w:r>
              <w:rPr>
                <w:rFonts w:ascii="宋体" w:cs="宋体" w:hAnsi="宋体" w:hint="eastAsia"/>
                <w:kern w:val="0"/>
                <w:sz w:val="24"/>
                <w:szCs w:val="20"/>
                <w:highlight w:val="none"/>
              </w:rPr>
              <w:t>③</w:t>
            </w:r>
            <w:r>
              <w:rPr>
                <w:rFonts w:ascii="Times New Roman" w:cs="Times New Roman" w:hAnsi="Times New Roman"/>
                <w:kern w:val="0"/>
                <w:sz w:val="24"/>
                <w:szCs w:val="20"/>
                <w:highlight w:val="none"/>
              </w:rPr>
              <w:t>废水污染物排放执行标准表</w:t>
            </w: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废水污染物排放执行标准表</w:t>
            </w:r>
          </w:p>
          <w:tbl>
            <w:tblPr>
              <w:jc w:val="cente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93"/>
              <w:gridCol w:w="1045"/>
              <w:gridCol w:w="936"/>
              <w:gridCol w:w="3822"/>
              <w:gridCol w:w="2100"/>
            </w:tblGrid>
            <w:tr>
              <w:trPr>
                <w:trHeight w:val="340"/>
              </w:trPr>
              <w:tc>
                <w:tcPr>
                  <w:tcW w:w="764" w:type="dxa"/>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序号</w:t>
                  </w:r>
                </w:p>
              </w:tc>
              <w:tc>
                <w:tcPr>
                  <w:tcW w:w="1151" w:type="dxa"/>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排放口编号</w:t>
                  </w:r>
                </w:p>
              </w:tc>
              <w:tc>
                <w:tcPr>
                  <w:tcW w:w="1031" w:type="dxa"/>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污染物种类</w:t>
                  </w:r>
                </w:p>
              </w:tc>
              <w:tc>
                <w:tcPr>
                  <w:tcW w:w="6524" w:type="dxa"/>
                  <w:gridSpan w:val="2"/>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国家或地方污染物排放标准及其他按规定商定的排放协议</w:t>
                  </w:r>
                </w:p>
              </w:tc>
            </w:tr>
            <w:tr>
              <w:trPr>
                <w:trHeight w:val="340"/>
              </w:trPr>
              <w:tc>
                <w:tcPr>
                  <w:tcW w:w="764" w:type="dxa"/>
                  <w:vMerge/>
                  <w:tcBorders>
                    <w:tl2br w:val="nil"/>
                    <w:tr2bl w:val="nil"/>
                  </w:tcBorders>
                  <w:vAlign w:val="center"/>
                </w:tcPr>
                <w:p/>
              </w:tc>
              <w:tc>
                <w:tcPr>
                  <w:tcW w:w="1151" w:type="dxa"/>
                  <w:vMerge/>
                  <w:tcBorders>
                    <w:tl2br w:val="nil"/>
                    <w:tr2bl w:val="nil"/>
                  </w:tcBorders>
                  <w:vAlign w:val="center"/>
                </w:tcPr>
                <w:p/>
              </w:tc>
              <w:tc>
                <w:tcPr>
                  <w:tcW w:w="1031" w:type="dxa"/>
                  <w:vMerge/>
                  <w:tcBorders>
                    <w:tl2br w:val="nil"/>
                    <w:tr2bl w:val="nil"/>
                  </w:tcBorders>
                  <w:vAlign w:val="center"/>
                </w:tcPr>
                <w:p/>
              </w:tc>
              <w:tc>
                <w:tcPr>
                  <w:tcW w:w="4211" w:type="dxa"/>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名称</w:t>
                  </w:r>
                </w:p>
              </w:tc>
              <w:tc>
                <w:tcPr>
                  <w:tcW w:w="2313" w:type="dxa"/>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kern w:val="0"/>
                      <w:sz w:val="21"/>
                      <w:szCs w:val="21"/>
                      <w:highlight w:val="none"/>
                    </w:rPr>
                  </w:pPr>
                  <w:r>
                    <w:rPr>
                      <w:rFonts w:ascii="Times New Roman" w:cs="Times New Roman" w:hAnsi="Times New Roman"/>
                      <w:b/>
                      <w:kern w:val="0"/>
                      <w:sz w:val="21"/>
                      <w:szCs w:val="21"/>
                      <w:highlight w:val="none"/>
                    </w:rPr>
                    <w:t>浓度限值/（mg/L）</w:t>
                  </w:r>
                </w:p>
              </w:tc>
            </w:tr>
            <w:tr>
              <w:trPr>
                <w:trHeight w:val="340"/>
              </w:trPr>
              <w:tc>
                <w:tcPr>
                  <w:tcW w:w="764"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1</w:t>
                  </w:r>
                </w:p>
              </w:tc>
              <w:tc>
                <w:tcPr>
                  <w:tcW w:w="1151" w:type="dxa"/>
                  <w:vMerge w:val="restar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DW001</w:t>
                  </w:r>
                </w:p>
              </w:tc>
              <w:tc>
                <w:tcPr>
                  <w:tcW w:w="1031" w:type="dxa"/>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bCs/>
                      <w:spacing w:val="-4"/>
                      <w:kern w:val="0"/>
                      <w:sz w:val="21"/>
                      <w:szCs w:val="21"/>
                      <w:highlight w:val="none"/>
                    </w:rPr>
                    <w:t>COD</w:t>
                  </w:r>
                </w:p>
              </w:tc>
              <w:tc>
                <w:tcPr>
                  <w:tcW w:w="4211" w:type="dxa"/>
                  <w:vMerge w:val="restar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bCs/>
                      <w:kern w:val="0"/>
                      <w:sz w:val="21"/>
                      <w:szCs w:val="21"/>
                      <w:highlight w:val="none"/>
                    </w:rPr>
                    <w:t>延津县第二</w:t>
                  </w:r>
                  <w:r>
                    <w:rPr>
                      <w:rFonts w:ascii="Times New Roman" w:cs="Times New Roman" w:hAnsi="Times New Roman"/>
                      <w:bCs/>
                      <w:kern w:val="0"/>
                      <w:sz w:val="21"/>
                      <w:szCs w:val="21"/>
                      <w:highlight w:val="none"/>
                    </w:rPr>
                    <w:t>污水处理厂收水标准</w:t>
                  </w:r>
                </w:p>
              </w:tc>
              <w:tc>
                <w:tcPr>
                  <w:tcW w:w="2313"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2</w:t>
                  </w:r>
                  <w:r>
                    <w:rPr>
                      <w:rFonts w:ascii="Times New Roman" w:cs="Times New Roman" w:hAnsi="Times New Roman"/>
                      <w:kern w:val="0"/>
                      <w:sz w:val="21"/>
                      <w:szCs w:val="21"/>
                      <w:highlight w:val="none"/>
                    </w:rPr>
                    <w:t>60</w:t>
                  </w:r>
                </w:p>
              </w:tc>
            </w:tr>
            <w:tr>
              <w:trPr>
                <w:trHeight w:val="340"/>
              </w:trPr>
              <w:tc>
                <w:tcPr>
                  <w:tcW w:w="764"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2</w:t>
                  </w:r>
                </w:p>
              </w:tc>
              <w:tc>
                <w:tcPr>
                  <w:tcW w:w="1151" w:type="dxa"/>
                  <w:vMerge/>
                  <w:tcBorders>
                    <w:tl2br w:val="nil"/>
                    <w:tr2bl w:val="nil"/>
                  </w:tcBorders>
                  <w:vAlign w:val="center"/>
                </w:tcPr>
                <w:p/>
              </w:tc>
              <w:tc>
                <w:tcPr>
                  <w:tcW w:w="1031" w:type="dxa"/>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Cs/>
                      <w:spacing w:val="-4"/>
                      <w:kern w:val="0"/>
                      <w:sz w:val="21"/>
                      <w:szCs w:val="21"/>
                      <w:highlight w:val="none"/>
                    </w:rPr>
                  </w:pPr>
                  <w:r>
                    <w:rPr>
                      <w:rFonts w:ascii="Times New Roman" w:cs="Times New Roman" w:hAnsi="Times New Roman"/>
                      <w:bCs/>
                      <w:spacing w:val="-4"/>
                      <w:kern w:val="0"/>
                      <w:sz w:val="21"/>
                      <w:szCs w:val="21"/>
                      <w:highlight w:val="none"/>
                    </w:rPr>
                    <w:t>SS</w:t>
                  </w:r>
                </w:p>
              </w:tc>
              <w:tc>
                <w:tcPr>
                  <w:tcW w:w="4211" w:type="dxa"/>
                  <w:vMerge/>
                  <w:tcBorders>
                    <w:tl2br w:val="nil"/>
                    <w:tr2bl w:val="nil"/>
                  </w:tcBorders>
                  <w:vAlign w:val="center"/>
                </w:tcPr>
                <w:p/>
              </w:tc>
              <w:tc>
                <w:tcPr>
                  <w:tcW w:w="2313"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1</w:t>
                  </w:r>
                  <w:r>
                    <w:rPr>
                      <w:rFonts w:ascii="Times New Roman" w:cs="Times New Roman" w:hAnsi="Times New Roman"/>
                      <w:kern w:val="0"/>
                      <w:sz w:val="21"/>
                      <w:szCs w:val="21"/>
                      <w:highlight w:val="none"/>
                    </w:rPr>
                    <w:t>90</w:t>
                  </w:r>
                </w:p>
              </w:tc>
            </w:tr>
            <w:tr>
              <w:trPr>
                <w:trHeight w:val="340"/>
              </w:trPr>
              <w:tc>
                <w:tcPr>
                  <w:tcW w:w="764"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3</w:t>
                  </w:r>
                </w:p>
              </w:tc>
              <w:tc>
                <w:tcPr>
                  <w:tcW w:w="1151" w:type="dxa"/>
                  <w:vMerge/>
                  <w:tcBorders>
                    <w:tl2br w:val="nil"/>
                    <w:tr2bl w:val="nil"/>
                  </w:tcBorders>
                  <w:vAlign w:val="center"/>
                </w:tcPr>
                <w:p/>
              </w:tc>
              <w:tc>
                <w:tcPr>
                  <w:tcW w:w="1031" w:type="dxa"/>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bCs/>
                      <w:spacing w:val="-4"/>
                      <w:kern w:val="0"/>
                      <w:sz w:val="21"/>
                      <w:szCs w:val="21"/>
                      <w:highlight w:val="none"/>
                    </w:rPr>
                    <w:t>NH</w:t>
                  </w:r>
                  <w:r>
                    <w:rPr>
                      <w:rFonts w:ascii="Times New Roman" w:cs="Times New Roman" w:hAnsi="Times New Roman"/>
                      <w:bCs/>
                      <w:spacing w:val="-4"/>
                      <w:kern w:val="0"/>
                      <w:sz w:val="21"/>
                      <w:szCs w:val="21"/>
                      <w:vertAlign w:val="subscript"/>
                      <w:highlight w:val="none"/>
                    </w:rPr>
                    <w:t>3</w:t>
                  </w:r>
                  <w:r>
                    <w:rPr>
                      <w:rFonts w:ascii="Times New Roman" w:cs="Times New Roman" w:hAnsi="Times New Roman"/>
                      <w:bCs/>
                      <w:spacing w:val="-4"/>
                      <w:kern w:val="0"/>
                      <w:sz w:val="21"/>
                      <w:szCs w:val="21"/>
                      <w:highlight w:val="none"/>
                    </w:rPr>
                    <w:t>-N</w:t>
                  </w:r>
                </w:p>
              </w:tc>
              <w:tc>
                <w:tcPr>
                  <w:tcW w:w="4211" w:type="dxa"/>
                  <w:vMerge/>
                  <w:tcBorders>
                    <w:tl2br w:val="nil"/>
                    <w:tr2bl w:val="nil"/>
                  </w:tcBorders>
                  <w:vAlign w:val="center"/>
                </w:tcPr>
                <w:p/>
              </w:tc>
              <w:tc>
                <w:tcPr>
                  <w:tcW w:w="2313"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3</w:t>
                  </w:r>
                  <w:r>
                    <w:rPr>
                      <w:rFonts w:ascii="Times New Roman" w:cs="Times New Roman" w:hAnsi="Times New Roman"/>
                      <w:kern w:val="0"/>
                      <w:sz w:val="21"/>
                      <w:szCs w:val="21"/>
                      <w:highlight w:val="none"/>
                    </w:rPr>
                    <w:t>5</w:t>
                  </w:r>
                </w:p>
              </w:tc>
            </w:tr>
            <w:tr>
              <w:trPr>
                <w:trHeight w:val="340"/>
              </w:trPr>
              <w:tc>
                <w:tcPr>
                  <w:tcW w:w="764"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kern w:val="0"/>
                      <w:sz w:val="21"/>
                      <w:szCs w:val="21"/>
                      <w:highlight w:val="none"/>
                    </w:rPr>
                    <w:t>4</w:t>
                  </w:r>
                </w:p>
              </w:tc>
              <w:tc>
                <w:tcPr>
                  <w:tcW w:w="1151" w:type="dxa"/>
                  <w:vMerge/>
                  <w:tcBorders>
                    <w:tl2br w:val="nil"/>
                    <w:tr2bl w:val="nil"/>
                  </w:tcBorders>
                  <w:vAlign w:val="center"/>
                </w:tcPr>
                <w:p/>
              </w:tc>
              <w:tc>
                <w:tcPr>
                  <w:tcW w:w="1031" w:type="dxa"/>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Cs/>
                      <w:spacing w:val="-4"/>
                      <w:kern w:val="0"/>
                      <w:sz w:val="21"/>
                      <w:szCs w:val="21"/>
                      <w:highlight w:val="none"/>
                    </w:rPr>
                  </w:pPr>
                  <w:r>
                    <w:rPr>
                      <w:rFonts w:ascii="Times New Roman" w:cs="Times New Roman" w:hAnsi="Times New Roman"/>
                      <w:bCs/>
                      <w:spacing w:val="-4"/>
                      <w:kern w:val="0"/>
                      <w:sz w:val="21"/>
                      <w:szCs w:val="21"/>
                      <w:highlight w:val="none"/>
                    </w:rPr>
                    <w:t>TP</w:t>
                  </w:r>
                </w:p>
              </w:tc>
              <w:tc>
                <w:tcPr>
                  <w:tcW w:w="4211" w:type="dxa"/>
                  <w:vMerge/>
                  <w:tcBorders>
                    <w:tl2br w:val="nil"/>
                    <w:tr2bl w:val="nil"/>
                  </w:tcBorders>
                  <w:vAlign w:val="center"/>
                </w:tcPr>
                <w:p/>
              </w:tc>
              <w:tc>
                <w:tcPr>
                  <w:tcW w:w="2313" w:type="dxa"/>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kern w:val="0"/>
                      <w:sz w:val="21"/>
                      <w:szCs w:val="21"/>
                      <w:highlight w:val="none"/>
                    </w:rPr>
                  </w:pPr>
                  <w:r>
                    <w:rPr>
                      <w:rFonts w:ascii="Times New Roman" w:cs="Times New Roman" w:hAnsi="Times New Roman" w:hint="eastAsia"/>
                      <w:kern w:val="0"/>
                      <w:sz w:val="21"/>
                      <w:szCs w:val="21"/>
                      <w:highlight w:val="none"/>
                    </w:rPr>
                    <w:t>4</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auto"/>
                <w:kern w:val="0"/>
                <w:sz w:val="24"/>
                <w:highlight w:val="none"/>
              </w:rPr>
            </w:pPr>
            <w:r>
              <w:rPr>
                <w:rFonts w:ascii="宋体" w:cs="宋体" w:hAnsi="宋体" w:hint="eastAsia"/>
                <w:color w:val="auto"/>
                <w:kern w:val="0"/>
                <w:sz w:val="24"/>
                <w:szCs w:val="20"/>
                <w:highlight w:val="none"/>
              </w:rPr>
              <w:t>④</w:t>
            </w:r>
            <w:r>
              <w:rPr>
                <w:rFonts w:ascii="Times New Roman" w:cs="Times New Roman" w:hAnsi="Times New Roman"/>
                <w:color w:val="auto"/>
                <w:kern w:val="0"/>
                <w:sz w:val="24"/>
                <w:szCs w:val="20"/>
                <w:highlight w:val="none"/>
              </w:rPr>
              <w:t>废水污染物排放信息表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auto"/>
                <w:kern w:val="0"/>
                <w:sz w:val="24"/>
                <w:highlight w:val="none"/>
              </w:rPr>
            </w:pPr>
          </w:p>
          <w:p>
            <w:pPr>
              <w:pStyle w:val="75"/>
              <w:keepNext/>
              <w:keepLines w:val="0"/>
              <w:suppressLineNumbers w:val="0"/>
              <w:bidi w:val="0"/>
              <w:spacing w:before="0" w:beforeAutospacing="0" w:after="0" w:afterAutospacing="0"/>
              <w:ind w:left="0" w:right="0" w:firstLine="420"/>
              <w:rPr>
                <w:rFonts w:ascii="Times New Roman" w:eastAsia="宋体" w:cs="Times New Roman" w:hAnsi="Times New Roman" w:hint="eastAsia"/>
                <w:lang w:val="en-US" w:eastAsia="zh-CN"/>
              </w:rPr>
            </w:pPr>
            <w:r>
              <w:rPr>
                <w:rFonts w:ascii="Times New Roman" w:eastAsia="宋体" w:cs="Times New Roman" w:hAnsi="Times New Roman" w:hint="eastAsia"/>
                <w:sz w:val="24"/>
                <w:szCs w:val="20"/>
                <w:lang w:val="en-US" w:eastAsia="zh-CN"/>
              </w:rPr>
              <w:t xml:space="preserve"> 废水污染物出厂排放信息表</w:t>
            </w:r>
          </w:p>
          <w:tbl>
            <w:tblPr>
              <w:jc w:val="center"/>
              <w:tblW w:w="499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071"/>
              <w:gridCol w:w="1784"/>
              <w:gridCol w:w="1787"/>
              <w:gridCol w:w="1973"/>
              <w:gridCol w:w="1973"/>
            </w:tblGrid>
            <w:tr>
              <w:trPr>
                <w:trHeight w:val="340"/>
              </w:trPr>
              <w:tc>
                <w:tcPr>
                  <w:tcW w:w="62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序号</w:t>
                  </w:r>
                </w:p>
              </w:tc>
              <w:tc>
                <w:tcPr>
                  <w:tcW w:w="1038"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排放口编号</w:t>
                  </w:r>
                </w:p>
              </w:tc>
              <w:tc>
                <w:tcPr>
                  <w:tcW w:w="104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污染物种类</w:t>
                  </w:r>
                </w:p>
              </w:tc>
              <w:tc>
                <w:tcPr>
                  <w:tcW w:w="1148"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排放浓度</w:t>
                  </w:r>
                </w:p>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/（mg/L）</w:t>
                  </w:r>
                </w:p>
              </w:tc>
              <w:tc>
                <w:tcPr>
                  <w:tcW w:w="1148"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年排放量</w:t>
                  </w:r>
                </w:p>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/（t/a）</w:t>
                  </w:r>
                </w:p>
              </w:tc>
            </w:tr>
            <w:tr>
              <w:trPr>
                <w:trHeight w:val="340"/>
              </w:trPr>
              <w:tc>
                <w:tcPr>
                  <w:tcW w:w="623"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color w:val="auto"/>
                      <w:kern w:val="0"/>
                      <w:sz w:val="21"/>
                      <w:szCs w:val="21"/>
                      <w:highlight w:val="none"/>
                    </w:rPr>
                  </w:pPr>
                  <w:r>
                    <w:rPr>
                      <w:rFonts w:ascii="Times New Roman" w:cs="Times New Roman" w:hAnsi="Times New Roman"/>
                      <w:color w:val="auto"/>
                      <w:kern w:val="0"/>
                      <w:sz w:val="21"/>
                      <w:szCs w:val="21"/>
                      <w:highlight w:val="none"/>
                    </w:rPr>
                    <w:t>1</w:t>
                  </w:r>
                </w:p>
              </w:tc>
              <w:tc>
                <w:tcPr>
                  <w:tcW w:w="1038" w:type="pct"/>
                  <w:vMerge w:val="restar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color w:val="auto"/>
                      <w:kern w:val="0"/>
                      <w:sz w:val="21"/>
                      <w:szCs w:val="21"/>
                      <w:highlight w:val="none"/>
                    </w:rPr>
                  </w:pPr>
                  <w:r>
                    <w:rPr>
                      <w:rFonts w:ascii="Times New Roman" w:cs="Times New Roman" w:hAnsi="Times New Roman"/>
                      <w:color w:val="auto"/>
                      <w:kern w:val="0"/>
                      <w:sz w:val="21"/>
                      <w:szCs w:val="21"/>
                      <w:highlight w:val="none"/>
                    </w:rPr>
                    <w:t>DW001</w:t>
                  </w:r>
                </w:p>
              </w:tc>
              <w:tc>
                <w:tcPr>
                  <w:tcW w:w="104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color w:val="auto"/>
                      <w:kern w:val="0"/>
                      <w:sz w:val="21"/>
                      <w:szCs w:val="21"/>
                      <w:highlight w:val="none"/>
                    </w:rPr>
                  </w:pPr>
                  <w:r>
                    <w:rPr>
                      <w:rFonts w:ascii="Times New Roman" w:cs="Times New Roman" w:hAnsi="Times New Roman"/>
                      <w:bCs/>
                      <w:color w:val="auto"/>
                      <w:spacing w:val="-4"/>
                      <w:kern w:val="0"/>
                      <w:sz w:val="21"/>
                      <w:szCs w:val="21"/>
                      <w:highlight w:val="none"/>
                    </w:rPr>
                    <w:t>COD</w:t>
                  </w:r>
                </w:p>
              </w:tc>
              <w:tc>
                <w:tcPr>
                  <w:tcW w:w="1148"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宋体"/>
                      <w:color w:val="auto"/>
                      <w:kern w:val="0"/>
                      <w:sz w:val="21"/>
                      <w:szCs w:val="21"/>
                      <w:lang w:val="en-US" w:eastAsia="zh-CN"/>
                      <w:highlight w:val="none"/>
                    </w:rPr>
                  </w:pPr>
                  <w:r>
                    <w:rPr>
                      <w:rFonts w:ascii="Times New Roman" w:cs="Times New Roman" w:hAnsi="Times New Roman" w:hint="eastAsia"/>
                      <w:color w:val="auto"/>
                      <w:kern w:val="0"/>
                      <w:sz w:val="21"/>
                      <w:szCs w:val="21"/>
                      <w:lang w:val="en-US" w:eastAsia="zh-CN"/>
                      <w:highlight w:val="none"/>
                    </w:rPr>
                    <w:t>250</w:t>
                  </w:r>
                </w:p>
              </w:tc>
              <w:tc>
                <w:tcPr>
                  <w:tcW w:w="1148"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等线"/>
                      <w:color w:val="auto"/>
                      <w:kern w:val="0"/>
                      <w:sz w:val="21"/>
                      <w:szCs w:val="21"/>
                      <w:lang w:val="en-US" w:eastAsia="zh-CN"/>
                      <w:highlight w:val="none"/>
                    </w:rPr>
                  </w:pPr>
                  <w:r>
                    <w:rPr>
                      <w:rFonts w:ascii="Times New Roman" w:eastAsia="等线" w:cs="Times New Roman" w:hAnsi="Times New Roman" w:hint="eastAsia"/>
                      <w:color w:val="auto"/>
                      <w:kern w:val="0"/>
                      <w:sz w:val="21"/>
                      <w:szCs w:val="21"/>
                      <w:lang w:val="en-US" w:eastAsia="zh-CN"/>
                      <w:highlight w:val="none"/>
                    </w:rPr>
                    <w:t>0.0248</w:t>
                  </w:r>
                </w:p>
              </w:tc>
            </w:tr>
            <w:tr>
              <w:trPr>
                <w:trHeight w:val="340"/>
              </w:trPr>
              <w:tc>
                <w:tcPr>
                  <w:tcW w:w="623"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宋体" w:hint="eastAsia"/>
                      <w:color w:val="auto"/>
                      <w:kern w:val="0"/>
                      <w:sz w:val="21"/>
                      <w:szCs w:val="21"/>
                      <w:lang w:val="en-US" w:eastAsia="zh-CN"/>
                      <w:highlight w:val="none"/>
                    </w:rPr>
                  </w:pPr>
                  <w:r>
                    <w:rPr>
                      <w:rFonts w:ascii="Times New Roman" w:cs="Times New Roman" w:hAnsi="Times New Roman" w:hint="eastAsia"/>
                      <w:color w:val="auto"/>
                      <w:kern w:val="0"/>
                      <w:sz w:val="21"/>
                      <w:szCs w:val="21"/>
                      <w:lang w:val="en-US" w:eastAsia="zh-CN"/>
                      <w:highlight w:val="none"/>
                    </w:rPr>
                    <w:t>2</w:t>
                  </w:r>
                </w:p>
              </w:tc>
              <w:tc>
                <w:tcPr>
                  <w:tcW w:w="1038" w:type="pct"/>
                  <w:vMerge/>
                  <w:tcBorders>
                    <w:tl2br w:val="nil"/>
                    <w:tr2bl w:val="nil"/>
                  </w:tcBorders>
                  <w:vAlign w:val="center"/>
                </w:tcPr>
                <w:p/>
              </w:tc>
              <w:tc>
                <w:tcPr>
                  <w:tcW w:w="104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bCs/>
                      <w:color w:val="auto"/>
                      <w:spacing w:val="-4"/>
                      <w:kern w:val="0"/>
                      <w:sz w:val="21"/>
                      <w:szCs w:val="21"/>
                      <w:lang w:val="en-US" w:eastAsia="zh-CN"/>
                      <w:highlight w:val="none"/>
                    </w:rPr>
                  </w:pPr>
                  <w:r>
                    <w:rPr>
                      <w:rFonts w:ascii="Times New Roman" w:cs="Times New Roman" w:hAnsi="Times New Roman" w:hint="eastAsia"/>
                      <w:bCs/>
                      <w:color w:val="auto"/>
                      <w:spacing w:val="-4"/>
                      <w:kern w:val="0"/>
                      <w:sz w:val="21"/>
                      <w:szCs w:val="21"/>
                      <w:lang w:val="en-US" w:eastAsia="zh-CN"/>
                      <w:highlight w:val="none"/>
                    </w:rPr>
                    <w:t>SS</w:t>
                  </w:r>
                </w:p>
              </w:tc>
              <w:tc>
                <w:tcPr>
                  <w:tcW w:w="1148"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等线"/>
                      <w:color w:val="auto"/>
                      <w:sz w:val="21"/>
                      <w:szCs w:val="21"/>
                      <w:lang w:val="en-US" w:eastAsia="zh-CN"/>
                      <w:highlight w:val="none"/>
                    </w:rPr>
                  </w:pPr>
                  <w:r>
                    <w:rPr>
                      <w:rFonts w:ascii="Times New Roman" w:eastAsia="等线" w:cs="Times New Roman" w:hAnsi="Times New Roman" w:hint="eastAsia"/>
                      <w:color w:val="auto"/>
                      <w:sz w:val="21"/>
                      <w:szCs w:val="21"/>
                      <w:lang w:val="en-US" w:eastAsia="zh-CN"/>
                      <w:highlight w:val="none"/>
                    </w:rPr>
                    <w:t>100</w:t>
                  </w:r>
                </w:p>
              </w:tc>
              <w:tc>
                <w:tcPr>
                  <w:tcW w:w="1148"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等线"/>
                      <w:color w:val="auto"/>
                      <w:kern w:val="0"/>
                      <w:sz w:val="21"/>
                      <w:szCs w:val="21"/>
                      <w:lang w:val="en-US" w:eastAsia="zh-CN"/>
                      <w:highlight w:val="none"/>
                    </w:rPr>
                  </w:pPr>
                  <w:r>
                    <w:rPr>
                      <w:rFonts w:ascii="Times New Roman" w:cs="Times New Roman" w:hAnsi="Times New Roman" w:hint="eastAsia"/>
                      <w:color w:val="auto"/>
                      <w:kern w:val="0"/>
                      <w:sz w:val="21"/>
                      <w:szCs w:val="21"/>
                      <w:lang w:val="en-US" w:eastAsia="zh-CN"/>
                      <w:highlight w:val="none"/>
                    </w:rPr>
                    <w:t>0.0099</w:t>
                  </w:r>
                </w:p>
              </w:tc>
            </w:tr>
            <w:tr>
              <w:trPr>
                <w:trHeight w:val="340"/>
              </w:trPr>
              <w:tc>
                <w:tcPr>
                  <w:tcW w:w="623"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color w:val="auto"/>
                      <w:kern w:val="0"/>
                      <w:sz w:val="21"/>
                      <w:szCs w:val="21"/>
                      <w:highlight w:val="none"/>
                    </w:rPr>
                  </w:pPr>
                  <w:r>
                    <w:rPr>
                      <w:rFonts w:ascii="Times New Roman" w:cs="Times New Roman" w:hAnsi="Times New Roman"/>
                      <w:color w:val="auto"/>
                      <w:kern w:val="0"/>
                      <w:sz w:val="21"/>
                      <w:szCs w:val="21"/>
                      <w:highlight w:val="none"/>
                    </w:rPr>
                    <w:t>3</w:t>
                  </w:r>
                </w:p>
              </w:tc>
              <w:tc>
                <w:tcPr>
                  <w:tcW w:w="1038" w:type="pct"/>
                  <w:vMerge/>
                  <w:tcBorders>
                    <w:tl2br w:val="nil"/>
                    <w:tr2bl w:val="nil"/>
                  </w:tcBorders>
                  <w:vAlign w:val="center"/>
                </w:tcPr>
                <w:p/>
              </w:tc>
              <w:tc>
                <w:tcPr>
                  <w:tcW w:w="104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color w:val="auto"/>
                      <w:kern w:val="0"/>
                      <w:sz w:val="21"/>
                      <w:szCs w:val="21"/>
                      <w:highlight w:val="none"/>
                    </w:rPr>
                  </w:pPr>
                  <w:r>
                    <w:rPr>
                      <w:rFonts w:ascii="Times New Roman" w:cs="Times New Roman" w:hAnsi="Times New Roman"/>
                      <w:bCs/>
                      <w:color w:val="auto"/>
                      <w:spacing w:val="-4"/>
                      <w:kern w:val="0"/>
                      <w:sz w:val="21"/>
                      <w:szCs w:val="21"/>
                      <w:highlight w:val="none"/>
                    </w:rPr>
                    <w:t>NH</w:t>
                  </w:r>
                  <w:r>
                    <w:rPr>
                      <w:rFonts w:ascii="Times New Roman" w:cs="Times New Roman" w:hAnsi="Times New Roman"/>
                      <w:bCs/>
                      <w:color w:val="auto"/>
                      <w:spacing w:val="-4"/>
                      <w:kern w:val="0"/>
                      <w:sz w:val="21"/>
                      <w:szCs w:val="21"/>
                      <w:vertAlign w:val="subscript"/>
                      <w:highlight w:val="none"/>
                    </w:rPr>
                    <w:t>3</w:t>
                  </w:r>
                  <w:r>
                    <w:rPr>
                      <w:rFonts w:ascii="Times New Roman" w:cs="Times New Roman" w:hAnsi="Times New Roman"/>
                      <w:bCs/>
                      <w:color w:val="auto"/>
                      <w:spacing w:val="-4"/>
                      <w:kern w:val="0"/>
                      <w:sz w:val="21"/>
                      <w:szCs w:val="21"/>
                      <w:highlight w:val="none"/>
                    </w:rPr>
                    <w:t>-N</w:t>
                  </w:r>
                </w:p>
              </w:tc>
              <w:tc>
                <w:tcPr>
                  <w:tcW w:w="1148"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宋体"/>
                      <w:color w:val="auto"/>
                      <w:kern w:val="0"/>
                      <w:sz w:val="21"/>
                      <w:szCs w:val="21"/>
                      <w:lang w:val="en-US" w:eastAsia="zh-CN"/>
                      <w:highlight w:val="none"/>
                    </w:rPr>
                  </w:pPr>
                  <w:r>
                    <w:rPr>
                      <w:rFonts w:ascii="Times New Roman" w:cs="Times New Roman" w:hAnsi="Times New Roman" w:hint="eastAsia"/>
                      <w:color w:val="auto"/>
                      <w:kern w:val="0"/>
                      <w:sz w:val="21"/>
                      <w:szCs w:val="21"/>
                      <w:lang w:val="en-US" w:eastAsia="zh-CN"/>
                      <w:highlight w:val="none"/>
                    </w:rPr>
                    <w:t>22</w:t>
                  </w:r>
                </w:p>
              </w:tc>
              <w:tc>
                <w:tcPr>
                  <w:tcW w:w="1148"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等线"/>
                      <w:color w:val="auto"/>
                      <w:kern w:val="0"/>
                      <w:sz w:val="21"/>
                      <w:szCs w:val="21"/>
                      <w:lang w:val="en-US" w:eastAsia="zh-CN"/>
                      <w:highlight w:val="none"/>
                    </w:rPr>
                  </w:pPr>
                  <w:r>
                    <w:rPr>
                      <w:rFonts w:ascii="Times New Roman" w:cs="Times New Roman" w:hAnsi="Times New Roman" w:hint="eastAsia"/>
                      <w:color w:val="auto"/>
                      <w:kern w:val="0"/>
                      <w:sz w:val="21"/>
                      <w:szCs w:val="21"/>
                      <w:lang w:val="en-US" w:eastAsia="zh-CN"/>
                      <w:highlight w:val="none"/>
                    </w:rPr>
                    <w:t>0.0022</w:t>
                  </w:r>
                </w:p>
              </w:tc>
            </w:tr>
            <w:tr>
              <w:trPr>
                <w:trHeight w:val="340"/>
              </w:trPr>
              <w:tc>
                <w:tcPr>
                  <w:tcW w:w="623"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color w:val="auto"/>
                      <w:kern w:val="0"/>
                      <w:sz w:val="21"/>
                      <w:szCs w:val="21"/>
                      <w:highlight w:val="none"/>
                    </w:rPr>
                  </w:pPr>
                  <w:r>
                    <w:rPr>
                      <w:rFonts w:ascii="Times New Roman" w:cs="Times New Roman" w:hAnsi="Times New Roman" w:hint="eastAsia"/>
                      <w:color w:val="auto"/>
                      <w:kern w:val="0"/>
                      <w:sz w:val="21"/>
                      <w:szCs w:val="21"/>
                      <w:highlight w:val="none"/>
                    </w:rPr>
                    <w:t>4</w:t>
                  </w:r>
                </w:p>
              </w:tc>
              <w:tc>
                <w:tcPr>
                  <w:tcW w:w="1038" w:type="pct"/>
                  <w:vMerge/>
                  <w:tcBorders>
                    <w:tl2br w:val="nil"/>
                    <w:tr2bl w:val="nil"/>
                  </w:tcBorders>
                  <w:vAlign w:val="center"/>
                </w:tcPr>
                <w:p/>
              </w:tc>
              <w:tc>
                <w:tcPr>
                  <w:tcW w:w="104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Cs/>
                      <w:color w:val="auto"/>
                      <w:spacing w:val="-4"/>
                      <w:kern w:val="0"/>
                      <w:sz w:val="21"/>
                      <w:szCs w:val="21"/>
                      <w:highlight w:val="none"/>
                    </w:rPr>
                  </w:pPr>
                  <w:r>
                    <w:rPr>
                      <w:rFonts w:ascii="Times New Roman" w:cs="Times New Roman" w:hAnsi="Times New Roman" w:hint="eastAsia"/>
                      <w:bCs/>
                      <w:color w:val="auto"/>
                      <w:spacing w:val="-4"/>
                      <w:kern w:val="0"/>
                      <w:sz w:val="21"/>
                      <w:szCs w:val="21"/>
                      <w:highlight w:val="none"/>
                    </w:rPr>
                    <w:t>T</w:t>
                  </w:r>
                  <w:r>
                    <w:rPr>
                      <w:rFonts w:ascii="Times New Roman" w:cs="Times New Roman" w:hAnsi="Times New Roman"/>
                      <w:bCs/>
                      <w:color w:val="auto"/>
                      <w:spacing w:val="-4"/>
                      <w:kern w:val="0"/>
                      <w:sz w:val="21"/>
                      <w:szCs w:val="21"/>
                      <w:highlight w:val="none"/>
                    </w:rPr>
                    <w:t>P</w:t>
                  </w:r>
                </w:p>
              </w:tc>
              <w:tc>
                <w:tcPr>
                  <w:tcW w:w="1148"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color w:val="auto"/>
                      <w:kern w:val="0"/>
                      <w:sz w:val="21"/>
                      <w:szCs w:val="21"/>
                      <w:lang w:val="en-US"/>
                      <w:highlight w:val="none"/>
                    </w:rPr>
                  </w:pPr>
                  <w:r>
                    <w:rPr>
                      <w:rFonts w:ascii="Times New Roman" w:eastAsia="等线" w:cs="Times New Roman" w:hAnsi="Times New Roman" w:hint="eastAsia"/>
                      <w:color w:val="auto"/>
                      <w:sz w:val="21"/>
                      <w:szCs w:val="21"/>
                      <w:lang w:val="en-US" w:eastAsia="zh-CN"/>
                      <w:highlight w:val="none"/>
                    </w:rPr>
                    <w:t>2</w:t>
                  </w:r>
                </w:p>
              </w:tc>
              <w:tc>
                <w:tcPr>
                  <w:tcW w:w="1148"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宋体"/>
                      <w:color w:val="auto"/>
                      <w:kern w:val="0"/>
                      <w:sz w:val="21"/>
                      <w:szCs w:val="21"/>
                      <w:lang w:val="en-US" w:eastAsia="zh-CN"/>
                      <w:highlight w:val="none"/>
                    </w:rPr>
                  </w:pPr>
                  <w:r>
                    <w:rPr>
                      <w:rFonts w:ascii="Times New Roman" w:eastAsia="等线" w:cs="Times New Roman" w:hAnsi="Times New Roman" w:hint="eastAsia"/>
                      <w:color w:val="auto"/>
                      <w:kern w:val="0"/>
                      <w:sz w:val="21"/>
                      <w:szCs w:val="21"/>
                      <w:lang w:val="en-US" w:eastAsia="zh-CN"/>
                      <w:highlight w:val="none"/>
                    </w:rPr>
                    <w:t>0.0002</w:t>
                  </w:r>
                </w:p>
              </w:tc>
            </w:tr>
          </w:tbl>
          <w:p>
            <w:pPr>
              <w:pStyle w:val="75"/>
              <w:keepNext/>
              <w:keepLines w:val="0"/>
              <w:suppressLineNumbers w:val="0"/>
              <w:bidi w:val="0"/>
              <w:spacing w:before="0" w:beforeAutospacing="0" w:after="0" w:afterAutospacing="0"/>
              <w:ind w:left="0" w:right="0" w:firstLine="420"/>
              <w:rPr>
                <w:b/>
                <w:bCs/>
                <w:color w:val="auto"/>
                <w:sz w:val="24"/>
                <w:highlight w:val="none"/>
              </w:rPr>
            </w:pPr>
            <w:r>
              <w:rPr>
                <w:rFonts w:ascii="Times New Roman" w:eastAsia="宋体" w:cs="Times New Roman" w:hAnsi="Times New Roman" w:hint="eastAsia"/>
                <w:sz w:val="24"/>
                <w:szCs w:val="20"/>
                <w:lang w:val="en-US" w:eastAsia="zh-CN"/>
              </w:rPr>
              <w:t xml:space="preserve"> 废水污染物排入外环境信息表</w:t>
            </w:r>
          </w:p>
          <w:tbl>
            <w:tblPr>
              <w:jc w:val="center"/>
              <w:tblW w:w="4986"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40"/>
              <w:gridCol w:w="1401"/>
              <w:gridCol w:w="1402"/>
              <w:gridCol w:w="3376"/>
              <w:gridCol w:w="1548"/>
            </w:tblGrid>
            <w:tr>
              <w:trPr>
                <w:trHeight w:val="340"/>
              </w:trPr>
              <w:tc>
                <w:tcPr>
                  <w:tcW w:w="49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序号</w:t>
                  </w:r>
                </w:p>
              </w:tc>
              <w:tc>
                <w:tcPr>
                  <w:tcW w:w="817"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排放口编号</w:t>
                  </w:r>
                </w:p>
              </w:tc>
              <w:tc>
                <w:tcPr>
                  <w:tcW w:w="818"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污染物种类</w:t>
                  </w:r>
                </w:p>
              </w:tc>
              <w:tc>
                <w:tcPr>
                  <w:tcW w:w="1969"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hint="eastAsia"/>
                      <w:b/>
                      <w:color w:val="auto"/>
                      <w:kern w:val="0"/>
                      <w:sz w:val="21"/>
                      <w:szCs w:val="21"/>
                      <w:highlight w:val="none"/>
                    </w:rPr>
                    <w:t>延津县第二</w:t>
                  </w:r>
                  <w:r>
                    <w:rPr>
                      <w:rFonts w:ascii="Times New Roman" w:cs="Times New Roman" w:hAnsi="Times New Roman"/>
                      <w:b/>
                      <w:color w:val="auto"/>
                      <w:kern w:val="0"/>
                      <w:sz w:val="21"/>
                      <w:szCs w:val="21"/>
                      <w:highlight w:val="none"/>
                    </w:rPr>
                    <w:t>污水处理厂</w:t>
                  </w:r>
                  <w:r>
                    <w:rPr>
                      <w:rFonts w:ascii="Times New Roman" w:cs="Times New Roman" w:hAnsi="Times New Roman" w:hint="eastAsia"/>
                      <w:b/>
                      <w:color w:val="auto"/>
                      <w:kern w:val="0"/>
                      <w:sz w:val="21"/>
                      <w:szCs w:val="21"/>
                      <w:lang w:val="en-US" w:eastAsia="zh-CN"/>
                      <w:highlight w:val="none"/>
                    </w:rPr>
                    <w:t>排水</w:t>
                  </w:r>
                  <w:r>
                    <w:rPr>
                      <w:rFonts w:ascii="Times New Roman" w:cs="Times New Roman" w:hAnsi="Times New Roman"/>
                      <w:b/>
                      <w:color w:val="auto"/>
                      <w:kern w:val="0"/>
                      <w:sz w:val="21"/>
                      <w:szCs w:val="21"/>
                      <w:highlight w:val="none"/>
                    </w:rPr>
                    <w:t>标准/（mg/L）</w:t>
                  </w:r>
                </w:p>
              </w:tc>
              <w:tc>
                <w:tcPr>
                  <w:tcW w:w="903"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年排放量</w:t>
                  </w:r>
                </w:p>
                <w:p>
                  <w:pPr>
                    <w:keepNext w:val="0"/>
                    <w:keepLines w:val="0"/>
                    <w:widowControl/>
                    <w:suppressLineNumbers w:val="0"/>
                    <w:spacing w:before="0" w:beforeAutospacing="0" w:after="0" w:afterAutospacing="0" w:line="240" w:lineRule="auto"/>
                    <w:ind w:left="0" w:right="0"/>
                    <w:jc w:val="center"/>
                    <w:rPr>
                      <w:b/>
                      <w:color w:val="auto"/>
                      <w:kern w:val="0"/>
                      <w:sz w:val="21"/>
                      <w:szCs w:val="21"/>
                      <w:highlight w:val="none"/>
                    </w:rPr>
                  </w:pPr>
                  <w:r>
                    <w:rPr>
                      <w:rFonts w:ascii="Times New Roman" w:cs="Times New Roman" w:hAnsi="Times New Roman"/>
                      <w:b/>
                      <w:color w:val="auto"/>
                      <w:kern w:val="0"/>
                      <w:sz w:val="21"/>
                      <w:szCs w:val="21"/>
                      <w:highlight w:val="none"/>
                    </w:rPr>
                    <w:t>/（t/a）</w:t>
                  </w:r>
                </w:p>
              </w:tc>
            </w:tr>
            <w:tr>
              <w:trPr>
                <w:trHeight w:val="340"/>
              </w:trPr>
              <w:tc>
                <w:tcPr>
                  <w:tcW w:w="49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bCs/>
                      <w:color w:val="auto"/>
                      <w:spacing w:val="-4"/>
                      <w:kern w:val="0"/>
                      <w:sz w:val="21"/>
                      <w:szCs w:val="21"/>
                      <w:lang w:val="en-US" w:eastAsia="zh-CN"/>
                      <w:highlight w:val="none"/>
                    </w:rPr>
                  </w:pPr>
                  <w:r>
                    <w:rPr>
                      <w:rFonts w:ascii="Times New Roman" w:eastAsia="宋体" w:cs="Times New Roman" w:hAnsi="Times New Roman"/>
                      <w:bCs/>
                      <w:color w:val="auto"/>
                      <w:spacing w:val="-4"/>
                      <w:kern w:val="0"/>
                      <w:sz w:val="21"/>
                      <w:szCs w:val="21"/>
                      <w:lang w:val="en-US" w:eastAsia="zh-CN"/>
                      <w:highlight w:val="none"/>
                    </w:rPr>
                    <w:t>1</w:t>
                  </w:r>
                </w:p>
              </w:tc>
              <w:tc>
                <w:tcPr>
                  <w:tcW w:w="817" w:type="pct"/>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hint="eastAsia"/>
                      <w:bCs/>
                      <w:color w:val="auto"/>
                      <w:spacing w:val="-4"/>
                      <w:kern w:val="0"/>
                      <w:sz w:val="21"/>
                      <w:szCs w:val="21"/>
                      <w:lang w:val="en-US" w:eastAsia="zh-CN"/>
                      <w:highlight w:val="none"/>
                    </w:rPr>
                  </w:pPr>
                  <w:r>
                    <w:rPr>
                      <w:rFonts w:ascii="Times New Roman" w:eastAsia="宋体" w:cs="Times New Roman" w:hAnsi="Times New Roman" w:hint="eastAsia"/>
                      <w:bCs/>
                      <w:color w:val="auto"/>
                      <w:spacing w:val="-4"/>
                      <w:kern w:val="0"/>
                      <w:sz w:val="21"/>
                      <w:szCs w:val="21"/>
                      <w:lang w:val="en-US" w:eastAsia="zh-CN"/>
                      <w:highlight w:val="none"/>
                    </w:rPr>
                    <w:t>延津县第二</w:t>
                  </w:r>
                  <w:r>
                    <w:rPr>
                      <w:rFonts w:ascii="Times New Roman" w:eastAsia="宋体" w:cs="Times New Roman" w:hAnsi="Times New Roman"/>
                      <w:bCs/>
                      <w:color w:val="auto"/>
                      <w:spacing w:val="-4"/>
                      <w:kern w:val="0"/>
                      <w:sz w:val="21"/>
                      <w:szCs w:val="21"/>
                      <w:lang w:val="en-US" w:eastAsia="zh-CN"/>
                      <w:highlight w:val="none"/>
                    </w:rPr>
                    <w:t>污水处理厂</w:t>
                  </w:r>
                  <w:r>
                    <w:rPr>
                      <w:rFonts w:ascii="Times New Roman" w:eastAsia="宋体" w:cs="Times New Roman" w:hAnsi="Times New Roman" w:hint="eastAsia"/>
                      <w:bCs/>
                      <w:color w:val="auto"/>
                      <w:spacing w:val="-4"/>
                      <w:kern w:val="0"/>
                      <w:sz w:val="21"/>
                      <w:szCs w:val="21"/>
                      <w:lang w:val="en-US" w:eastAsia="zh-CN"/>
                      <w:highlight w:val="none"/>
                    </w:rPr>
                    <w:t>排放口</w:t>
                  </w:r>
                </w:p>
              </w:tc>
              <w:tc>
                <w:tcPr>
                  <w:tcW w:w="818"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color w:val="auto"/>
                      <w:kern w:val="0"/>
                      <w:sz w:val="21"/>
                      <w:szCs w:val="21"/>
                      <w:highlight w:val="none"/>
                    </w:rPr>
                  </w:pPr>
                  <w:r>
                    <w:rPr>
                      <w:rFonts w:ascii="Times New Roman" w:cs="Times New Roman" w:hAnsi="Times New Roman"/>
                      <w:bCs/>
                      <w:color w:val="auto"/>
                      <w:spacing w:val="-4"/>
                      <w:kern w:val="0"/>
                      <w:sz w:val="21"/>
                      <w:szCs w:val="21"/>
                      <w:highlight w:val="none"/>
                    </w:rPr>
                    <w:t>COD</w:t>
                  </w:r>
                </w:p>
              </w:tc>
              <w:tc>
                <w:tcPr>
                  <w:tcW w:w="1969"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宋体"/>
                      <w:color w:val="auto"/>
                      <w:kern w:val="0"/>
                      <w:sz w:val="21"/>
                      <w:szCs w:val="21"/>
                      <w:lang w:val="en-US" w:eastAsia="zh-CN"/>
                      <w:highlight w:val="none"/>
                    </w:rPr>
                  </w:pPr>
                  <w:r>
                    <w:rPr>
                      <w:rFonts w:ascii="Times New Roman" w:cs="Times New Roman" w:hAnsi="Times New Roman" w:hint="eastAsia"/>
                      <w:color w:val="auto"/>
                      <w:kern w:val="0"/>
                      <w:sz w:val="21"/>
                      <w:szCs w:val="21"/>
                      <w:lang w:val="en-US" w:eastAsia="zh-CN"/>
                      <w:highlight w:val="none"/>
                    </w:rPr>
                    <w:t>30</w:t>
                  </w:r>
                </w:p>
              </w:tc>
              <w:tc>
                <w:tcPr>
                  <w:tcW w:w="903"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等线"/>
                      <w:color w:val="auto"/>
                      <w:kern w:val="0"/>
                      <w:sz w:val="21"/>
                      <w:szCs w:val="21"/>
                      <w:lang w:val="en-US" w:eastAsia="zh-CN"/>
                      <w:highlight w:val="none"/>
                    </w:rPr>
                  </w:pPr>
                  <w:r>
                    <w:rPr>
                      <w:rFonts w:ascii="Times New Roman" w:eastAsia="等线" w:cs="Times New Roman" w:hAnsi="Times New Roman" w:hint="eastAsia"/>
                      <w:color w:val="auto"/>
                      <w:kern w:val="0"/>
                      <w:sz w:val="21"/>
                      <w:szCs w:val="21"/>
                      <w:lang w:val="en-US" w:eastAsia="zh-CN"/>
                      <w:highlight w:val="none"/>
                    </w:rPr>
                    <w:t>0.0030</w:t>
                  </w:r>
                </w:p>
              </w:tc>
            </w:tr>
            <w:tr>
              <w:trPr>
                <w:trHeight w:val="340"/>
              </w:trPr>
              <w:tc>
                <w:tcPr>
                  <w:tcW w:w="49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hint="eastAsia"/>
                      <w:bCs/>
                      <w:color w:val="auto"/>
                      <w:spacing w:val="-4"/>
                      <w:kern w:val="0"/>
                      <w:sz w:val="21"/>
                      <w:szCs w:val="21"/>
                      <w:lang w:val="en-US" w:eastAsia="zh-CN"/>
                      <w:highlight w:val="none"/>
                    </w:rPr>
                  </w:pPr>
                  <w:r>
                    <w:rPr>
                      <w:rFonts w:ascii="Times New Roman" w:eastAsia="宋体" w:cs="Times New Roman" w:hAnsi="Times New Roman" w:hint="eastAsia"/>
                      <w:bCs/>
                      <w:color w:val="auto"/>
                      <w:spacing w:val="-4"/>
                      <w:kern w:val="0"/>
                      <w:sz w:val="21"/>
                      <w:szCs w:val="21"/>
                      <w:lang w:val="en-US" w:eastAsia="zh-CN"/>
                      <w:highlight w:val="none"/>
                    </w:rPr>
                    <w:t>2</w:t>
                  </w:r>
                </w:p>
              </w:tc>
              <w:tc>
                <w:tcPr>
                  <w:tcW w:w="817" w:type="pct"/>
                  <w:vMerge/>
                  <w:tcBorders>
                    <w:tl2br w:val="nil"/>
                    <w:tr2bl w:val="nil"/>
                  </w:tcBorders>
                  <w:vAlign w:val="center"/>
                </w:tcPr>
                <w:p/>
              </w:tc>
              <w:tc>
                <w:tcPr>
                  <w:tcW w:w="818"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bCs/>
                      <w:color w:val="auto"/>
                      <w:spacing w:val="-4"/>
                      <w:kern w:val="0"/>
                      <w:sz w:val="21"/>
                      <w:szCs w:val="21"/>
                      <w:lang w:val="en-US" w:eastAsia="zh-CN"/>
                      <w:highlight w:val="none"/>
                    </w:rPr>
                  </w:pPr>
                  <w:r>
                    <w:rPr>
                      <w:rFonts w:ascii="Times New Roman" w:cs="Times New Roman" w:hAnsi="Times New Roman" w:hint="eastAsia"/>
                      <w:bCs/>
                      <w:color w:val="auto"/>
                      <w:spacing w:val="-4"/>
                      <w:kern w:val="0"/>
                      <w:sz w:val="21"/>
                      <w:szCs w:val="21"/>
                      <w:lang w:val="en-US" w:eastAsia="zh-CN"/>
                      <w:highlight w:val="none"/>
                    </w:rPr>
                    <w:t>SS</w:t>
                  </w:r>
                </w:p>
              </w:tc>
              <w:tc>
                <w:tcPr>
                  <w:tcW w:w="1969"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等线"/>
                      <w:color w:val="auto"/>
                      <w:sz w:val="21"/>
                      <w:szCs w:val="21"/>
                      <w:lang w:val="en-US" w:eastAsia="zh-CN"/>
                      <w:highlight w:val="none"/>
                    </w:rPr>
                  </w:pPr>
                  <w:r>
                    <w:rPr>
                      <w:rFonts w:ascii="Times New Roman" w:eastAsia="等线" w:cs="Times New Roman" w:hAnsi="Times New Roman" w:hint="eastAsia"/>
                      <w:color w:val="auto"/>
                      <w:sz w:val="21"/>
                      <w:szCs w:val="21"/>
                      <w:lang w:val="en-US" w:eastAsia="zh-CN"/>
                      <w:highlight w:val="none"/>
                    </w:rPr>
                    <w:t>10</w:t>
                  </w:r>
                </w:p>
              </w:tc>
              <w:tc>
                <w:tcPr>
                  <w:tcW w:w="903"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等线"/>
                      <w:color w:val="auto"/>
                      <w:kern w:val="0"/>
                      <w:sz w:val="21"/>
                      <w:szCs w:val="21"/>
                      <w:lang w:val="en-US" w:eastAsia="zh-CN"/>
                      <w:highlight w:val="none"/>
                    </w:rPr>
                  </w:pPr>
                  <w:r>
                    <w:rPr>
                      <w:rFonts w:ascii="Times New Roman" w:eastAsia="等线" w:cs="Times New Roman" w:hAnsi="Times New Roman" w:hint="eastAsia"/>
                      <w:color w:val="auto"/>
                      <w:kern w:val="0"/>
                      <w:sz w:val="21"/>
                      <w:szCs w:val="21"/>
                      <w:lang w:val="en-US" w:eastAsia="zh-CN"/>
                      <w:highlight w:val="none"/>
                    </w:rPr>
                    <w:t>0.0010</w:t>
                  </w:r>
                </w:p>
              </w:tc>
            </w:tr>
            <w:tr>
              <w:trPr>
                <w:trHeight w:val="340"/>
              </w:trPr>
              <w:tc>
                <w:tcPr>
                  <w:tcW w:w="490"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eastAsia="宋体"/>
                      <w:bCs/>
                      <w:color w:val="auto"/>
                      <w:spacing w:val="-4"/>
                      <w:kern w:val="0"/>
                      <w:sz w:val="21"/>
                      <w:szCs w:val="21"/>
                      <w:lang w:val="en-US" w:eastAsia="zh-CN"/>
                      <w:highlight w:val="none"/>
                    </w:rPr>
                  </w:pPr>
                  <w:r>
                    <w:rPr>
                      <w:rFonts w:ascii="Times New Roman" w:eastAsia="宋体" w:cs="Times New Roman" w:hAnsi="Times New Roman"/>
                      <w:bCs/>
                      <w:color w:val="auto"/>
                      <w:spacing w:val="-4"/>
                      <w:kern w:val="0"/>
                      <w:sz w:val="21"/>
                      <w:szCs w:val="21"/>
                      <w:lang w:val="en-US" w:eastAsia="zh-CN"/>
                      <w:highlight w:val="none"/>
                    </w:rPr>
                    <w:t>3</w:t>
                  </w:r>
                </w:p>
              </w:tc>
              <w:tc>
                <w:tcPr>
                  <w:tcW w:w="817" w:type="pct"/>
                  <w:vMerge/>
                  <w:tcBorders>
                    <w:tl2br w:val="nil"/>
                    <w:tr2bl w:val="nil"/>
                  </w:tcBorders>
                  <w:vAlign w:val="center"/>
                </w:tcPr>
                <w:p/>
              </w:tc>
              <w:tc>
                <w:tcPr>
                  <w:tcW w:w="818"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color w:val="auto"/>
                      <w:kern w:val="0"/>
                      <w:sz w:val="21"/>
                      <w:szCs w:val="21"/>
                      <w:highlight w:val="none"/>
                    </w:rPr>
                  </w:pPr>
                  <w:r>
                    <w:rPr>
                      <w:rFonts w:ascii="Times New Roman" w:cs="Times New Roman" w:hAnsi="Times New Roman"/>
                      <w:bCs/>
                      <w:color w:val="auto"/>
                      <w:spacing w:val="-4"/>
                      <w:kern w:val="0"/>
                      <w:sz w:val="21"/>
                      <w:szCs w:val="21"/>
                      <w:highlight w:val="none"/>
                    </w:rPr>
                    <w:t>NH</w:t>
                  </w:r>
                  <w:r>
                    <w:rPr>
                      <w:rFonts w:ascii="Times New Roman" w:cs="Times New Roman" w:hAnsi="Times New Roman"/>
                      <w:bCs/>
                      <w:color w:val="auto"/>
                      <w:spacing w:val="-4"/>
                      <w:kern w:val="0"/>
                      <w:sz w:val="21"/>
                      <w:szCs w:val="21"/>
                      <w:vertAlign w:val="subscript"/>
                      <w:highlight w:val="none"/>
                    </w:rPr>
                    <w:t>3</w:t>
                  </w:r>
                  <w:r>
                    <w:rPr>
                      <w:rFonts w:ascii="Times New Roman" w:cs="Times New Roman" w:hAnsi="Times New Roman"/>
                      <w:bCs/>
                      <w:color w:val="auto"/>
                      <w:spacing w:val="-4"/>
                      <w:kern w:val="0"/>
                      <w:sz w:val="21"/>
                      <w:szCs w:val="21"/>
                      <w:highlight w:val="none"/>
                    </w:rPr>
                    <w:t>-N</w:t>
                  </w:r>
                </w:p>
              </w:tc>
              <w:tc>
                <w:tcPr>
                  <w:tcW w:w="1969"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宋体"/>
                      <w:color w:val="auto"/>
                      <w:kern w:val="0"/>
                      <w:sz w:val="21"/>
                      <w:szCs w:val="21"/>
                      <w:lang w:val="en-US" w:eastAsia="zh-CN"/>
                      <w:highlight w:val="none"/>
                    </w:rPr>
                  </w:pPr>
                  <w:r>
                    <w:rPr>
                      <w:rFonts w:ascii="Times New Roman" w:cs="Times New Roman" w:hAnsi="Times New Roman" w:hint="eastAsia"/>
                      <w:color w:val="auto"/>
                      <w:kern w:val="0"/>
                      <w:sz w:val="21"/>
                      <w:szCs w:val="21"/>
                      <w:lang w:val="en-US" w:eastAsia="zh-CN"/>
                      <w:highlight w:val="none"/>
                    </w:rPr>
                    <w:t>1.5</w:t>
                  </w:r>
                </w:p>
              </w:tc>
              <w:tc>
                <w:tcPr>
                  <w:tcW w:w="903"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等线"/>
                      <w:color w:val="auto"/>
                      <w:kern w:val="0"/>
                      <w:sz w:val="21"/>
                      <w:szCs w:val="21"/>
                      <w:lang w:val="en-US" w:eastAsia="zh-CN"/>
                      <w:highlight w:val="none"/>
                    </w:rPr>
                  </w:pPr>
                  <w:r>
                    <w:rPr>
                      <w:rFonts w:ascii="Times New Roman" w:eastAsia="等线" w:cs="Times New Roman" w:hAnsi="Times New Roman" w:hint="eastAsia"/>
                      <w:color w:val="auto"/>
                      <w:kern w:val="0"/>
                      <w:sz w:val="21"/>
                      <w:szCs w:val="21"/>
                      <w:lang w:val="en-US" w:eastAsia="zh-CN"/>
                      <w:highlight w:val="none"/>
                    </w:rPr>
                    <w:t>0.0001</w:t>
                  </w:r>
                </w:p>
              </w:tc>
            </w:tr>
            <w:tr>
              <w:trPr>
                <w:trHeight w:val="340"/>
              </w:trPr>
              <w:tc>
                <w:tcPr>
                  <w:tcW w:w="490"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color w:val="auto"/>
                      <w:kern w:val="0"/>
                      <w:sz w:val="21"/>
                      <w:szCs w:val="21"/>
                      <w:highlight w:val="none"/>
                    </w:rPr>
                  </w:pPr>
                  <w:r>
                    <w:rPr>
                      <w:rFonts w:ascii="Times New Roman" w:cs="Times New Roman" w:hAnsi="Times New Roman" w:hint="eastAsia"/>
                      <w:color w:val="auto"/>
                      <w:kern w:val="0"/>
                      <w:sz w:val="21"/>
                      <w:szCs w:val="21"/>
                      <w:highlight w:val="none"/>
                    </w:rPr>
                    <w:t>4</w:t>
                  </w:r>
                </w:p>
              </w:tc>
              <w:tc>
                <w:tcPr>
                  <w:tcW w:w="817" w:type="pct"/>
                  <w:vMerge/>
                  <w:tcBorders>
                    <w:tl2br w:val="nil"/>
                    <w:tr2bl w:val="nil"/>
                  </w:tcBorders>
                  <w:vAlign w:val="center"/>
                </w:tcPr>
                <w:p/>
              </w:tc>
              <w:tc>
                <w:tcPr>
                  <w:tcW w:w="818" w:type="pc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bCs/>
                      <w:color w:val="auto"/>
                      <w:spacing w:val="-4"/>
                      <w:kern w:val="0"/>
                      <w:sz w:val="21"/>
                      <w:szCs w:val="21"/>
                      <w:highlight w:val="none"/>
                    </w:rPr>
                  </w:pPr>
                  <w:r>
                    <w:rPr>
                      <w:rFonts w:ascii="Times New Roman" w:cs="Times New Roman" w:hAnsi="Times New Roman" w:hint="eastAsia"/>
                      <w:bCs/>
                      <w:color w:val="auto"/>
                      <w:spacing w:val="-4"/>
                      <w:kern w:val="0"/>
                      <w:sz w:val="21"/>
                      <w:szCs w:val="21"/>
                      <w:highlight w:val="none"/>
                    </w:rPr>
                    <w:t>T</w:t>
                  </w:r>
                  <w:r>
                    <w:rPr>
                      <w:rFonts w:ascii="Times New Roman" w:cs="Times New Roman" w:hAnsi="Times New Roman"/>
                      <w:bCs/>
                      <w:color w:val="auto"/>
                      <w:spacing w:val="-4"/>
                      <w:kern w:val="0"/>
                      <w:sz w:val="21"/>
                      <w:szCs w:val="21"/>
                      <w:highlight w:val="none"/>
                    </w:rPr>
                    <w:t>P</w:t>
                  </w:r>
                </w:p>
              </w:tc>
              <w:tc>
                <w:tcPr>
                  <w:tcW w:w="1969"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color w:val="auto"/>
                      <w:kern w:val="0"/>
                      <w:sz w:val="21"/>
                      <w:szCs w:val="21"/>
                      <w:lang w:val="en-US"/>
                      <w:highlight w:val="none"/>
                    </w:rPr>
                  </w:pPr>
                  <w:r>
                    <w:rPr>
                      <w:rFonts w:ascii="Times New Roman" w:eastAsia="等线" w:cs="Times New Roman" w:hAnsi="Times New Roman" w:hint="eastAsia"/>
                      <w:color w:val="auto"/>
                      <w:sz w:val="21"/>
                      <w:szCs w:val="21"/>
                      <w:lang w:val="en-US" w:eastAsia="zh-CN"/>
                      <w:highlight w:val="none"/>
                    </w:rPr>
                    <w:t>0.3</w:t>
                  </w:r>
                </w:p>
              </w:tc>
              <w:tc>
                <w:tcPr>
                  <w:tcW w:w="903" w:type="pct"/>
                  <w:tcBorders>
                    <w:tl2br w:val="nil"/>
                    <w:tr2bl w:val="nil"/>
                  </w:tcBorders>
                  <w:vAlign w:val="center"/>
                </w:tcPr>
                <w:p>
                  <w:pPr>
                    <w:keepNext w:val="0"/>
                    <w:keepLines w:val="0"/>
                    <w:widowControl/>
                    <w:suppressLineNumbers w:val="0"/>
                    <w:snapToGrid w:val="0"/>
                    <w:spacing w:before="0" w:beforeAutospacing="0" w:after="0" w:afterAutospacing="0" w:line="240" w:lineRule="auto"/>
                    <w:ind w:left="0" w:right="0"/>
                    <w:jc w:val="center"/>
                    <w:rPr>
                      <w:rFonts w:eastAsia="宋体"/>
                      <w:color w:val="auto"/>
                      <w:kern w:val="0"/>
                      <w:sz w:val="21"/>
                      <w:szCs w:val="21"/>
                      <w:lang w:val="en-US" w:eastAsia="zh-CN"/>
                      <w:highlight w:val="none"/>
                    </w:rPr>
                  </w:pPr>
                  <w:r>
                    <w:rPr>
                      <w:rFonts w:ascii="Times New Roman" w:cs="Times New Roman" w:hAnsi="Times New Roman" w:hint="eastAsia"/>
                      <w:color w:val="auto"/>
                      <w:kern w:val="0"/>
                      <w:sz w:val="21"/>
                      <w:szCs w:val="21"/>
                      <w:lang w:val="en-US" w:eastAsia="zh-CN"/>
                      <w:highlight w:val="none"/>
                    </w:rPr>
                    <w:t>0.00003</w:t>
                  </w:r>
                </w:p>
              </w:tc>
            </w:tr>
          </w:tbl>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440" w:lineRule="exact"/>
              <w:ind w:left="0" w:right="0" w:firstLineChars="200" w:firstLine="480"/>
              <w:jc w:val="both"/>
              <w:textAlignment w:val="auto"/>
              <w:rPr>
                <w:color w:val="auto"/>
                <w:kern w:val="0"/>
                <w:sz w:val="24"/>
                <w:highlight w:val="none"/>
              </w:rPr>
            </w:pPr>
            <w:r>
              <w:rPr>
                <w:rFonts w:ascii="Times New Roman" w:cs="Times New Roman" w:hAnsi="Times New Roman"/>
                <w:color w:val="auto"/>
                <w:kern w:val="0"/>
                <w:sz w:val="24"/>
                <w:szCs w:val="20"/>
                <w:highlight w:val="none"/>
              </w:rPr>
              <w:t>由上表可知，本项目废水污染物出厂排放总量：</w:t>
            </w:r>
            <w:r>
              <w:rPr>
                <w:rFonts w:ascii="Times New Roman" w:eastAsia="Times New Roman" w:cs="Times New Roman" w:hAnsi="Times New Roman"/>
                <w:b w:val="0"/>
                <w:bCs/>
                <w:color w:val="auto"/>
                <w:sz w:val="24"/>
                <w:szCs w:val="24"/>
                <w:lang w:val="zh-CN"/>
              </w:rPr>
              <w:t>COD</w:t>
            </w:r>
            <w:r>
              <w:rPr>
                <w:rFonts w:ascii="Times New Roman" w:eastAsia="宋体" w:cs="Times New Roman" w:hAnsi="Times New Roman" w:hint="eastAsia"/>
                <w:b w:val="0"/>
                <w:bCs/>
                <w:color w:val="auto"/>
                <w:sz w:val="24"/>
                <w:szCs w:val="24"/>
                <w:lang w:val="en-US" w:eastAsia="zh-CN"/>
              </w:rPr>
              <w:t>为0.0</w:t>
            </w:r>
            <w:r>
              <w:rPr>
                <w:rFonts w:ascii="Times New Roman" w:cs="Times New Roman" w:hAnsi="Times New Roman" w:hint="eastAsia"/>
                <w:b w:val="0"/>
                <w:bCs/>
                <w:color w:val="auto"/>
                <w:sz w:val="24"/>
                <w:szCs w:val="24"/>
                <w:lang w:val="en-US" w:eastAsia="zh-CN"/>
              </w:rPr>
              <w:t>248</w:t>
            </w:r>
            <w:r>
              <w:rPr>
                <w:rFonts w:ascii="Times New Roman" w:eastAsia="Times New Roman" w:cs="Times New Roman" w:hAnsi="Times New Roman"/>
                <w:b w:val="0"/>
                <w:bCs/>
                <w:color w:val="auto"/>
                <w:sz w:val="24"/>
                <w:szCs w:val="24"/>
                <w:lang w:val="zh-CN"/>
              </w:rPr>
              <w:t>t/a，SS</w:t>
            </w:r>
            <w:r>
              <w:rPr>
                <w:rFonts w:ascii="Times New Roman" w:eastAsia="宋体" w:cs="Times New Roman" w:hAnsi="Times New Roman" w:hint="eastAsia"/>
                <w:b w:val="0"/>
                <w:bCs/>
                <w:color w:val="auto"/>
                <w:sz w:val="24"/>
                <w:szCs w:val="24"/>
                <w:lang w:val="en-US" w:eastAsia="zh-CN"/>
              </w:rPr>
              <w:t>为</w:t>
            </w:r>
            <w:r>
              <w:rPr>
                <w:rFonts w:ascii="Times New Roman" w:eastAsia="宋体" w:cs="Times New Roman" w:hAnsi="Times New Roman" w:hint="eastAsia"/>
                <w:b w:val="0"/>
                <w:bCs/>
                <w:color w:val="auto"/>
                <w:sz w:val="24"/>
                <w:szCs w:val="24"/>
                <w:lang w:val="en-US" w:eastAsia="zh-CN"/>
                <w:highlight w:val="none"/>
              </w:rPr>
              <w:t>0.0099</w:t>
            </w:r>
            <w:r>
              <w:rPr>
                <w:rFonts w:ascii="Times New Roman" w:eastAsia="Times New Roman" w:cs="Times New Roman" w:hAnsi="Times New Roman"/>
                <w:b w:val="0"/>
                <w:bCs/>
                <w:color w:val="auto"/>
                <w:sz w:val="24"/>
                <w:szCs w:val="24"/>
                <w:lang w:val="zh-CN"/>
              </w:rPr>
              <w:t>t/a，NH</w:t>
            </w:r>
            <w:r>
              <w:rPr>
                <w:rFonts w:ascii="Times New Roman" w:eastAsia="Times New Roman" w:cs="Times New Roman" w:hAnsi="Times New Roman"/>
                <w:b w:val="0"/>
                <w:bCs/>
                <w:color w:val="auto"/>
                <w:sz w:val="24"/>
                <w:szCs w:val="24"/>
                <w:vertAlign w:val="subscript"/>
                <w:lang w:val="zh-CN"/>
              </w:rPr>
              <w:t>3</w:t>
            </w:r>
            <w:r>
              <w:rPr>
                <w:rFonts w:ascii="Times New Roman" w:eastAsia="Times New Roman" w:cs="Times New Roman" w:hAnsi="Times New Roman"/>
                <w:b w:val="0"/>
                <w:bCs/>
                <w:color w:val="auto"/>
                <w:sz w:val="24"/>
                <w:szCs w:val="24"/>
                <w:lang w:val="zh-CN"/>
              </w:rPr>
              <w:t>-N</w:t>
            </w:r>
            <w:r>
              <w:rPr>
                <w:rFonts w:ascii="Times New Roman" w:eastAsia="宋体" w:cs="Times New Roman" w:hAnsi="Times New Roman" w:hint="eastAsia"/>
                <w:b w:val="0"/>
                <w:bCs/>
                <w:color w:val="auto"/>
                <w:sz w:val="24"/>
                <w:szCs w:val="24"/>
                <w:lang w:val="en-US" w:eastAsia="zh-CN"/>
              </w:rPr>
              <w:t>为0.00</w:t>
            </w:r>
            <w:r>
              <w:rPr>
                <w:rFonts w:ascii="Times New Roman" w:cs="Times New Roman" w:hAnsi="Times New Roman" w:hint="eastAsia"/>
                <w:b w:val="0"/>
                <w:bCs/>
                <w:color w:val="auto"/>
                <w:sz w:val="24"/>
                <w:szCs w:val="24"/>
                <w:lang w:val="en-US" w:eastAsia="zh-CN"/>
              </w:rPr>
              <w:t>22</w:t>
            </w:r>
            <w:r>
              <w:rPr>
                <w:rFonts w:ascii="Times New Roman" w:eastAsia="Times New Roman" w:cs="Times New Roman" w:hAnsi="Times New Roman"/>
                <w:b w:val="0"/>
                <w:bCs/>
                <w:color w:val="auto"/>
                <w:sz w:val="24"/>
                <w:szCs w:val="24"/>
                <w:lang w:val="zh-CN"/>
              </w:rPr>
              <w:t xml:space="preserve">t/a、TP </w:t>
            </w:r>
            <w:r>
              <w:rPr>
                <w:rFonts w:ascii="Times New Roman" w:eastAsia="宋体" w:cs="Times New Roman" w:hAnsi="Times New Roman" w:hint="eastAsia"/>
                <w:b w:val="0"/>
                <w:bCs/>
                <w:color w:val="auto"/>
                <w:sz w:val="24"/>
                <w:szCs w:val="24"/>
                <w:lang w:val="en-US" w:eastAsia="zh-CN"/>
              </w:rPr>
              <w:t>为</w:t>
            </w:r>
            <w:r>
              <w:rPr>
                <w:rFonts w:ascii="Times New Roman" w:eastAsia="Times New Roman" w:cs="Times New Roman" w:hAnsi="Times New Roman"/>
                <w:b w:val="0"/>
                <w:bCs/>
                <w:color w:val="auto"/>
                <w:sz w:val="24"/>
                <w:szCs w:val="24"/>
                <w:lang w:val="zh-CN"/>
              </w:rPr>
              <w:t>0.00</w:t>
            </w:r>
            <w:r>
              <w:rPr>
                <w:rFonts w:ascii="Times New Roman" w:cs="Times New Roman" w:hAnsi="Times New Roman" w:hint="eastAsia"/>
                <w:b w:val="0"/>
                <w:bCs/>
                <w:color w:val="auto"/>
                <w:sz w:val="24"/>
                <w:szCs w:val="24"/>
                <w:lang w:val="en-US" w:eastAsia="zh-CN"/>
              </w:rPr>
              <w:t>02</w:t>
            </w:r>
            <w:r>
              <w:rPr>
                <w:rFonts w:ascii="Times New Roman" w:eastAsia="Times New Roman" w:cs="Times New Roman" w:hAnsi="Times New Roman"/>
                <w:b w:val="0"/>
                <w:bCs/>
                <w:color w:val="auto"/>
                <w:sz w:val="24"/>
                <w:szCs w:val="24"/>
                <w:lang w:val="zh-CN"/>
              </w:rPr>
              <w:t>t/a</w:t>
            </w:r>
            <w:r>
              <w:rPr>
                <w:rFonts w:ascii="Times New Roman" w:cs="Times New Roman" w:hAnsi="Times New Roman"/>
                <w:color w:val="auto"/>
                <w:kern w:val="0"/>
                <w:sz w:val="24"/>
                <w:szCs w:val="20"/>
                <w:highlight w:val="none"/>
              </w:rPr>
              <w:t>，经</w:t>
            </w:r>
            <w:r>
              <w:rPr>
                <w:rFonts w:ascii="Times New Roman" w:cs="Times New Roman" w:hAnsi="Times New Roman" w:hint="eastAsia"/>
                <w:bCs/>
                <w:color w:val="auto"/>
                <w:kern w:val="0"/>
                <w:sz w:val="24"/>
                <w:szCs w:val="20"/>
                <w:highlight w:val="none"/>
              </w:rPr>
              <w:t>延津县第二</w:t>
            </w:r>
            <w:r>
              <w:rPr>
                <w:rFonts w:ascii="Times New Roman" w:cs="Times New Roman" w:hAnsi="Times New Roman"/>
                <w:bCs/>
                <w:color w:val="auto"/>
                <w:kern w:val="0"/>
                <w:sz w:val="24"/>
                <w:szCs w:val="20"/>
                <w:highlight w:val="none"/>
              </w:rPr>
              <w:t>污水处理厂</w:t>
            </w:r>
            <w:r>
              <w:rPr>
                <w:rFonts w:ascii="Times New Roman" w:cs="Times New Roman" w:hAnsi="Times New Roman"/>
                <w:color w:val="auto"/>
                <w:kern w:val="0"/>
                <w:sz w:val="24"/>
                <w:szCs w:val="20"/>
                <w:highlight w:val="none"/>
              </w:rPr>
              <w:t>处理后废水污染物排放总量：COD0.</w:t>
            </w:r>
            <w:r>
              <w:rPr>
                <w:rFonts w:ascii="Times New Roman" w:cs="Times New Roman" w:hAnsi="Times New Roman" w:hint="eastAsia"/>
                <w:color w:val="auto"/>
                <w:kern w:val="0"/>
                <w:sz w:val="24"/>
                <w:szCs w:val="20"/>
                <w:lang w:val="en-US" w:eastAsia="zh-CN"/>
                <w:highlight w:val="none"/>
              </w:rPr>
              <w:t>0030</w:t>
            </w:r>
            <w:r>
              <w:rPr>
                <w:rFonts w:ascii="Times New Roman" w:cs="Times New Roman" w:hAnsi="Times New Roman"/>
                <w:color w:val="auto"/>
                <w:kern w:val="0"/>
                <w:sz w:val="24"/>
                <w:szCs w:val="20"/>
                <w:highlight w:val="none"/>
              </w:rPr>
              <w:t>t/a、</w:t>
            </w:r>
            <w:r>
              <w:rPr>
                <w:rFonts w:ascii="Times New Roman" w:cs="Times New Roman" w:hAnsi="Times New Roman" w:hint="eastAsia"/>
                <w:color w:val="auto"/>
                <w:kern w:val="0"/>
                <w:sz w:val="24"/>
                <w:szCs w:val="20"/>
                <w:lang w:val="en-US" w:eastAsia="zh-CN"/>
                <w:highlight w:val="none"/>
              </w:rPr>
              <w:t>SS0.0010</w:t>
            </w:r>
            <w:r>
              <w:rPr>
                <w:rFonts w:ascii="Times New Roman" w:cs="Times New Roman" w:hAnsi="Times New Roman"/>
                <w:color w:val="auto"/>
                <w:kern w:val="0"/>
                <w:sz w:val="24"/>
                <w:szCs w:val="20"/>
                <w:highlight w:val="none"/>
              </w:rPr>
              <w:t>t/a、NH</w:t>
            </w:r>
            <w:r>
              <w:rPr>
                <w:rFonts w:ascii="Times New Roman" w:cs="Times New Roman" w:hAnsi="Times New Roman"/>
                <w:color w:val="auto"/>
                <w:kern w:val="0"/>
                <w:sz w:val="24"/>
                <w:szCs w:val="20"/>
                <w:vertAlign w:val="subscript"/>
                <w:highlight w:val="none"/>
              </w:rPr>
              <w:t>3</w:t>
            </w:r>
            <w:r>
              <w:rPr>
                <w:rFonts w:ascii="Times New Roman" w:cs="Times New Roman" w:hAnsi="Times New Roman"/>
                <w:color w:val="auto"/>
                <w:kern w:val="0"/>
                <w:sz w:val="24"/>
                <w:szCs w:val="20"/>
                <w:highlight w:val="none"/>
              </w:rPr>
              <w:t>-N0.00</w:t>
            </w:r>
            <w:bookmarkStart w:id="6" w:name="OLE_LINK32"/>
            <w:r>
              <w:rPr>
                <w:rFonts w:ascii="Times New Roman" w:cs="Times New Roman" w:hAnsi="Times New Roman" w:hint="eastAsia"/>
                <w:color w:val="auto"/>
                <w:kern w:val="0"/>
                <w:sz w:val="24"/>
                <w:szCs w:val="20"/>
                <w:lang w:val="en-US" w:eastAsia="zh-CN"/>
                <w:highlight w:val="none"/>
              </w:rPr>
              <w:t>01</w:t>
            </w:r>
            <w:r>
              <w:rPr>
                <w:rFonts w:ascii="Times New Roman" w:cs="Times New Roman" w:hAnsi="Times New Roman"/>
                <w:color w:val="auto"/>
                <w:kern w:val="0"/>
                <w:sz w:val="24"/>
                <w:szCs w:val="20"/>
                <w:highlight w:val="none"/>
              </w:rPr>
              <w:t>t/a、</w:t>
            </w:r>
            <w:bookmarkEnd w:id="6"/>
            <w:r>
              <w:rPr>
                <w:rFonts w:ascii="Times New Roman" w:cs="Times New Roman" w:hAnsi="Times New Roman"/>
                <w:color w:val="auto"/>
                <w:kern w:val="0"/>
                <w:sz w:val="24"/>
                <w:szCs w:val="20"/>
                <w:highlight w:val="none"/>
              </w:rPr>
              <w:t>TP0.000</w:t>
            </w:r>
            <w:r>
              <w:rPr>
                <w:rFonts w:ascii="Times New Roman" w:cs="Times New Roman" w:hAnsi="Times New Roman" w:hint="eastAsia"/>
                <w:color w:val="auto"/>
                <w:kern w:val="0"/>
                <w:sz w:val="24"/>
                <w:szCs w:val="20"/>
                <w:lang w:val="en-US" w:eastAsia="zh-CN"/>
                <w:highlight w:val="none"/>
              </w:rPr>
              <w:t>03</w:t>
            </w:r>
            <w:r>
              <w:rPr>
                <w:rFonts w:ascii="Times New Roman" w:cs="Times New Roman" w:hAnsi="Times New Roman"/>
                <w:color w:val="auto"/>
                <w:kern w:val="0"/>
                <w:sz w:val="24"/>
                <w:szCs w:val="20"/>
                <w:highlight w:val="none"/>
              </w:rPr>
              <w:t>t/a。</w:t>
            </w:r>
          </w:p>
          <w:p>
            <w:pPr>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440" w:lineRule="exact"/>
              <w:ind w:left="0" w:right="0" w:firstLineChars="200" w:firstLine="480"/>
              <w:jc w:val="both"/>
              <w:textAlignment w:val="auto"/>
              <w:rPr>
                <w:b/>
                <w:color w:val="auto"/>
                <w:kern w:val="0"/>
                <w:sz w:val="24"/>
                <w:highlight w:val="none"/>
              </w:rPr>
            </w:pPr>
            <w:r>
              <w:rPr>
                <w:rFonts w:ascii="Times New Roman" w:cs="Times New Roman" w:hAnsi="Times New Roman" w:hint="eastAsia"/>
                <w:b/>
                <w:color w:val="auto"/>
                <w:kern w:val="0"/>
                <w:sz w:val="24"/>
                <w:szCs w:val="20"/>
                <w:lang w:val="en-US" w:eastAsia="zh-CN"/>
                <w:highlight w:val="none"/>
              </w:rPr>
              <w:t>4、</w:t>
            </w:r>
            <w:r>
              <w:rPr>
                <w:rFonts w:ascii="Times New Roman" w:cs="Times New Roman" w:hAnsi="Times New Roman"/>
                <w:b/>
                <w:color w:val="auto"/>
                <w:kern w:val="0"/>
                <w:sz w:val="24"/>
                <w:szCs w:val="20"/>
                <w:highlight w:val="none"/>
              </w:rPr>
              <w:t>监测要求</w:t>
            </w:r>
          </w:p>
          <w:p>
            <w:pPr>
              <w:pStyle w:val="77"/>
              <w:keepNext w:val="0"/>
              <w:keepLines w:val="0"/>
              <w:pageBreakBefore w:val="0"/>
              <w:suppressLineNumbers w:val="0"/>
              <w:kinsoku/>
              <w:wordWrap/>
              <w:overflowPunct/>
              <w:topLinePunct w:val="0"/>
              <w:autoSpaceDE/>
              <w:autoSpaceDN/>
              <w:bidi w:val="0"/>
              <w:snapToGrid/>
              <w:spacing w:before="0" w:beforeAutospacing="0" w:after="0" w:afterAutospacing="0" w:line="440" w:lineRule="exact"/>
              <w:ind w:left="0" w:right="0"/>
              <w:textAlignment w:val="auto"/>
              <w:rPr>
                <w:rFonts w:hint="eastAsia"/>
                <w:lang w:eastAsia="zh-CN"/>
              </w:rPr>
            </w:pPr>
            <w:r>
              <w:rPr>
                <w:rFonts w:ascii="Times New Roman" w:cs="Times New Roman" w:hAnsi="Times New Roman"/>
                <w:color w:val="000000"/>
                <w:sz w:val="24"/>
                <w:szCs w:val="20"/>
              </w:rPr>
              <w:t>根据</w:t>
            </w:r>
            <w:r>
              <w:rPr>
                <w:rFonts w:ascii="Times New Roman" w:cs="Times New Roman" w:hAnsi="宋体"/>
                <w:bCs/>
                <w:color w:val="000000"/>
                <w:spacing w:val="-10"/>
                <w:sz w:val="24"/>
                <w:szCs w:val="21"/>
              </w:rPr>
              <w:t>《排污许可证申请与核发技术规范</w:t>
            </w:r>
            <w:r>
              <w:rPr>
                <w:rFonts w:ascii="Times New Roman" w:cs="Times New Roman" w:hAnsi="Times New Roman"/>
                <w:bCs/>
                <w:color w:val="000000"/>
                <w:spacing w:val="-10"/>
                <w:sz w:val="24"/>
                <w:szCs w:val="21"/>
              </w:rPr>
              <w:t>——</w:t>
            </w:r>
            <w:r>
              <w:rPr>
                <w:rFonts w:ascii="Times New Roman" w:cs="Times New Roman" w:hAnsi="宋体"/>
                <w:bCs/>
                <w:color w:val="000000"/>
                <w:spacing w:val="-10"/>
                <w:sz w:val="24"/>
                <w:szCs w:val="21"/>
              </w:rPr>
              <w:t>储油库、加油站》</w:t>
            </w:r>
            <w:r>
              <w:rPr>
                <w:rFonts w:ascii="Times New Roman" w:cs="Times New Roman" w:hAnsi="宋体" w:hint="eastAsia"/>
                <w:bCs/>
                <w:color w:val="000000"/>
                <w:spacing w:val="-10"/>
                <w:sz w:val="24"/>
                <w:szCs w:val="21"/>
              </w:rPr>
              <w:t>（</w:t>
            </w:r>
            <w:r>
              <w:rPr>
                <w:rFonts w:ascii="Times New Roman" w:cs="Times New Roman" w:hAnsi="Times New Roman"/>
                <w:bCs/>
                <w:color w:val="000000"/>
                <w:spacing w:val="-10"/>
                <w:sz w:val="24"/>
                <w:szCs w:val="21"/>
              </w:rPr>
              <w:t>HJ1118-2020</w:t>
            </w:r>
            <w:r>
              <w:rPr>
                <w:rFonts w:ascii="Times New Roman" w:cs="Times New Roman" w:hAnsi="宋体"/>
                <w:bCs/>
                <w:color w:val="000000"/>
                <w:spacing w:val="-10"/>
                <w:sz w:val="24"/>
                <w:szCs w:val="21"/>
              </w:rPr>
              <w:t>）</w:t>
            </w:r>
            <w:r>
              <w:rPr>
                <w:rFonts w:ascii="Times New Roman" w:cs="Times New Roman" w:hAnsi="Times New Roman"/>
                <w:color w:val="000000"/>
                <w:sz w:val="24"/>
                <w:szCs w:val="20"/>
              </w:rPr>
              <w:t>，</w:t>
            </w:r>
            <w:r>
              <w:rPr>
                <w:rFonts w:ascii="宋体" w:eastAsia="宋体" w:cs="宋体" w:hAnsi="宋体"/>
                <w:color w:val="000000"/>
                <w:sz w:val="24"/>
                <w:szCs w:val="24"/>
              </w:rPr>
              <w:t>单独排入城镇集中污水处理设施的生活污水仅说明去向</w:t>
            </w:r>
            <w:r>
              <w:rPr>
                <w:rFonts w:ascii="宋体" w:eastAsia="宋体" w:cs="宋体" w:hAnsi="宋体" w:hint="eastAsia"/>
                <w:color w:val="000000"/>
                <w:sz w:val="24"/>
                <w:szCs w:val="24"/>
                <w:lang w:eastAsia="zh-CN"/>
              </w:rPr>
              <w:t>，</w:t>
            </w:r>
            <w:r>
              <w:rPr>
                <w:rFonts w:ascii="Times New Roman" w:cs="Times New Roman" w:hAnsi="Times New Roman" w:hint="eastAsia"/>
                <w:color w:val="000000"/>
                <w:sz w:val="24"/>
                <w:szCs w:val="20"/>
                <w:lang w:val="en-US" w:eastAsia="zh-CN"/>
              </w:rPr>
              <w:t>可不监测</w:t>
            </w:r>
            <w:r>
              <w:rPr>
                <w:rFonts w:ascii="Times New Roman" w:cs="Times New Roman" w:hAnsi="Times New Roman" w:hint="eastAsia"/>
                <w:sz w:val="24"/>
                <w:szCs w:val="24"/>
                <w:highlight w:val="none"/>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bCs/>
                <w:sz w:val="24"/>
                <w:highlight w:val="none"/>
              </w:rPr>
            </w:pPr>
            <w:r>
              <w:rPr>
                <w:rFonts w:ascii="Times New Roman" w:cs="Times New Roman" w:hAnsi="宋体" w:hint="eastAsia"/>
                <w:b/>
                <w:sz w:val="24"/>
                <w:szCs w:val="20"/>
                <w:highlight w:val="none"/>
              </w:rPr>
              <w:t>三、噪声</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left"/>
              <w:textAlignment w:val="baseline"/>
              <w:rPr>
                <w:rFonts w:hint="eastAsia"/>
                <w:sz w:val="24"/>
                <w:u w:val="single"/>
                <w:highlight w:val="none"/>
              </w:rPr>
            </w:pPr>
            <w:r>
              <w:rPr>
                <w:rFonts w:ascii="Times New Roman" w:cs="Times New Roman" w:hAnsi="Times New Roman"/>
                <w:sz w:val="24"/>
                <w:szCs w:val="20"/>
                <w:u w:val="single"/>
                <w:highlight w:val="none"/>
              </w:rPr>
              <w:t>本项目</w:t>
            </w:r>
            <w:r>
              <w:rPr>
                <w:rFonts w:ascii="Times New Roman" w:cs="Times New Roman" w:hAnsi="Times New Roman" w:hint="eastAsia"/>
                <w:sz w:val="24"/>
                <w:szCs w:val="20"/>
                <w:u w:val="single"/>
                <w:lang w:val="en-US" w:eastAsia="zh-CN"/>
                <w:highlight w:val="none"/>
              </w:rPr>
              <w:t>产</w:t>
            </w:r>
            <w:r>
              <w:rPr>
                <w:rFonts w:ascii="Times New Roman" w:cs="Times New Roman" w:hAnsi="Times New Roman"/>
                <w:sz w:val="24"/>
                <w:szCs w:val="20"/>
                <w:u w:val="single"/>
                <w:highlight w:val="none"/>
              </w:rPr>
              <w:t>噪声源主要为</w:t>
            </w:r>
            <w:r>
              <w:rPr>
                <w:rFonts w:ascii="Times New Roman" w:cs="Times New Roman" w:hAnsi="Times New Roman" w:hint="eastAsia"/>
                <w:color w:val="auto"/>
                <w:sz w:val="24"/>
                <w:szCs w:val="24"/>
                <w:u w:val="single"/>
                <w:lang w:val="en-US" w:eastAsia="zh-CN"/>
                <w:highlight w:val="none"/>
              </w:rPr>
              <w:t>加油机运行和出入车辆等产生的噪声</w:t>
            </w:r>
            <w:r>
              <w:rPr>
                <w:rFonts w:ascii="Times New Roman" w:cs="Times New Roman" w:hAnsi="Times New Roman" w:hint="eastAsia"/>
                <w:sz w:val="24"/>
                <w:szCs w:val="20"/>
                <w:u w:val="single"/>
                <w:lang w:eastAsia="zh-CN"/>
                <w:highlight w:val="none"/>
              </w:rPr>
              <w:t>。</w:t>
            </w:r>
            <w:r>
              <w:rPr>
                <w:rFonts w:ascii="Times New Roman" w:cs="Times New Roman" w:hAnsi="Times New Roman" w:hint="eastAsia"/>
                <w:color w:val="auto"/>
                <w:sz w:val="24"/>
                <w:szCs w:val="24"/>
                <w:u w:val="single"/>
                <w:lang w:val="en-US" w:eastAsia="zh-CN"/>
              </w:rPr>
              <w:t>声源均位于室外，工程噪声源强在70dB（A）。</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rPr>
                <w:rFonts w:hint="eastAsia"/>
                <w:color w:val="000000"/>
                <w:sz w:val="24"/>
                <w:szCs w:val="24"/>
                <w:u w:val="single"/>
                <w:highlight w:val="none"/>
              </w:rPr>
            </w:pPr>
            <w:r>
              <w:rPr>
                <w:rFonts w:ascii="Times New Roman" w:cs="Times New Roman" w:hAnsi="Times New Roman"/>
                <w:color w:val="000000"/>
                <w:sz w:val="24"/>
                <w:szCs w:val="24"/>
                <w:u w:val="single"/>
                <w:highlight w:val="none"/>
              </w:rPr>
              <w:t>本项目噪声污染源源强相关参数见</w:t>
            </w:r>
            <w:r>
              <w:rPr>
                <w:rFonts w:ascii="Times New Roman" w:cs="Times New Roman" w:hAnsi="Times New Roman" w:hint="eastAsia"/>
                <w:color w:val="000000"/>
                <w:sz w:val="24"/>
                <w:szCs w:val="24"/>
                <w:u w:val="single"/>
                <w:lang w:eastAsia="zh-CN"/>
                <w:highlight w:val="none"/>
              </w:rPr>
              <w:t>下</w:t>
            </w:r>
            <w:r>
              <w:rPr>
                <w:rFonts w:ascii="Times New Roman" w:cs="Times New Roman" w:hAnsi="Times New Roman"/>
                <w:color w:val="000000"/>
                <w:sz w:val="24"/>
                <w:szCs w:val="24"/>
                <w:u w:val="single"/>
                <w:highlight w:val="none"/>
              </w:rPr>
              <w:t>表。</w:t>
            </w:r>
          </w:p>
          <w:p>
            <w:pPr>
              <w:pStyle w:val="75"/>
              <w:keepNext/>
              <w:keepLines w:val="0"/>
              <w:suppressLineNumbers w:val="0"/>
              <w:bidi w:val="0"/>
              <w:spacing w:before="0" w:beforeAutospacing="0" w:after="0" w:afterAutospacing="0"/>
              <w:ind w:left="0" w:right="0" w:firstLine="420"/>
              <w:rPr>
                <w:u w:val="single"/>
              </w:rPr>
            </w:pPr>
            <w:r>
              <w:rPr>
                <w:rFonts w:ascii="Times New Roman" w:cs="Times New Roman" w:hAnsi="Times New Roman"/>
                <w:sz w:val="24"/>
                <w:szCs w:val="20"/>
                <w:u w:val="single"/>
              </w:rPr>
              <w:t xml:space="preserve">  </w:t>
            </w:r>
            <w:r>
              <w:rPr>
                <w:rFonts w:ascii="Times New Roman" w:cs="Times New Roman" w:hAnsi="Times New Roman"/>
                <w:sz w:val="24"/>
                <w:szCs w:val="20"/>
                <w:u w:val="single"/>
                <w:lang w:val="en-US" w:eastAsia="zh-CN"/>
              </w:rPr>
              <w:t>工业企业噪声源强调查清单（室外声源）</w:t>
            </w:r>
          </w:p>
          <w:tbl>
            <w:tblPr>
              <w:jc w:val="left"/>
              <w:tblInd w:w="0" w:type="dxa"/>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85" w:type="dxa"/>
                <w:bottom w:w="113" w:type="dxa"/>
                <w:right w:w="85" w:type="dxa"/>
              </w:tblCellMar>
              <w:tblLook w:val="0600" w:firstRow="0" w:lastRow="0" w:firstColumn="0" w:lastColumn="0" w:noHBand="1" w:noVBand="1"/>
            </w:tblPr>
            <w:tblGrid>
              <w:gridCol w:w="592"/>
              <w:gridCol w:w="1365"/>
              <w:gridCol w:w="795"/>
              <w:gridCol w:w="720"/>
              <w:gridCol w:w="750"/>
              <w:gridCol w:w="1095"/>
              <w:gridCol w:w="1605"/>
              <w:gridCol w:w="1725"/>
            </w:tblGrid>
            <w:tr>
              <w:trPr>
                <w:trHeight w:val="360"/>
              </w:trPr>
              <w:tc>
                <w:tcPr>
                  <w:tcW w:w="592" w:type="dxa"/>
                  <w:vMerge w:val="restar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hint="eastAsia"/>
                      <w:b/>
                      <w:bCs/>
                      <w:color w:val="000000"/>
                      <w:sz w:val="21"/>
                      <w:szCs w:val="21"/>
                      <w:lang w:eastAsia="zh-CN"/>
                    </w:rPr>
                  </w:pPr>
                  <w:r>
                    <w:rPr>
                      <w:rFonts w:ascii="Times New Roman" w:eastAsia="宋体" w:cs="Times New Roman" w:hAnsi="Times New Roman" w:hint="eastAsia"/>
                      <w:b/>
                      <w:bCs/>
                      <w:color w:val="000000"/>
                      <w:sz w:val="21"/>
                      <w:szCs w:val="21"/>
                      <w:lang w:val="en-US" w:eastAsia="zh-CN"/>
                    </w:rPr>
                    <w:t>序号</w:t>
                  </w:r>
                </w:p>
              </w:tc>
              <w:tc>
                <w:tcPr>
                  <w:tcW w:w="1365" w:type="dxa"/>
                  <w:vMerge w:val="restar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b/>
                      <w:bCs/>
                      <w:color w:val="000000"/>
                      <w:sz w:val="21"/>
                      <w:szCs w:val="21"/>
                    </w:rPr>
                  </w:pPr>
                  <w:r>
                    <w:rPr>
                      <w:rFonts w:ascii="Times New Roman" w:eastAsia="宋体" w:cs="Times New Roman" w:hAnsi="Times New Roman" w:hint="eastAsia"/>
                      <w:b/>
                      <w:bCs/>
                      <w:color w:val="000000"/>
                      <w:sz w:val="21"/>
                      <w:szCs w:val="21"/>
                      <w:lang w:val="en-US" w:eastAsia="zh-CN"/>
                    </w:rPr>
                    <w:t>声源名称</w:t>
                  </w:r>
                </w:p>
              </w:tc>
              <w:tc>
                <w:tcPr>
                  <w:tcW w:w="2265" w:type="dxa"/>
                  <w:gridSpan w:val="3"/>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b/>
                      <w:bCs/>
                      <w:color w:val="000000"/>
                      <w:sz w:val="21"/>
                      <w:szCs w:val="21"/>
                    </w:rPr>
                  </w:pPr>
                  <w:r>
                    <w:rPr>
                      <w:rFonts w:ascii="Times New Roman" w:eastAsia="宋体" w:cs="Times New Roman" w:hAnsi="Times New Roman" w:hint="eastAsia"/>
                      <w:b/>
                      <w:bCs/>
                      <w:color w:val="000000"/>
                      <w:sz w:val="21"/>
                      <w:szCs w:val="21"/>
                      <w:lang w:val="en-US" w:eastAsia="zh-CN"/>
                    </w:rPr>
                    <w:t>空间相对位置</w:t>
                  </w:r>
                </w:p>
              </w:tc>
              <w:tc>
                <w:tcPr>
                  <w:tcW w:w="10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b/>
                      <w:bCs/>
                      <w:color w:val="000000"/>
                      <w:sz w:val="21"/>
                      <w:szCs w:val="21"/>
                      <w:lang w:val="en-US" w:eastAsia="zh-CN"/>
                    </w:rPr>
                  </w:pPr>
                  <w:r>
                    <w:rPr>
                      <w:rFonts w:ascii="Times New Roman" w:eastAsia="宋体" w:cs="Times New Roman" w:hAnsi="Times New Roman" w:hint="eastAsia"/>
                      <w:b/>
                      <w:bCs/>
                      <w:color w:val="000000"/>
                      <w:sz w:val="21"/>
                      <w:szCs w:val="21"/>
                      <w:lang w:val="en-US" w:eastAsia="zh-CN"/>
                    </w:rPr>
                    <w:t>声源源强</w:t>
                  </w:r>
                </w:p>
              </w:tc>
              <w:tc>
                <w:tcPr>
                  <w:tcW w:w="1605" w:type="dxa"/>
                  <w:vMerge w:val="restar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b/>
                      <w:bCs/>
                      <w:color w:val="000000"/>
                      <w:sz w:val="21"/>
                      <w:szCs w:val="21"/>
                      <w:lang w:val="en-US" w:eastAsia="zh-CN"/>
                    </w:rPr>
                  </w:pPr>
                  <w:r>
                    <w:rPr>
                      <w:rFonts w:ascii="Times New Roman" w:eastAsia="宋体" w:cs="Times New Roman" w:hAnsi="Times New Roman"/>
                      <w:b/>
                      <w:bCs/>
                      <w:color w:val="000000"/>
                      <w:sz w:val="21"/>
                      <w:szCs w:val="21"/>
                    </w:rPr>
                    <w:t>治理措施</w:t>
                  </w:r>
                </w:p>
              </w:tc>
              <w:tc>
                <w:tcPr>
                  <w:tcW w:w="1725" w:type="dxa"/>
                  <w:vMerge w:val="restar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b/>
                      <w:bCs/>
                      <w:color w:val="000000"/>
                      <w:sz w:val="21"/>
                      <w:szCs w:val="21"/>
                      <w:lang w:val="en-US" w:eastAsia="zh-CN"/>
                    </w:rPr>
                  </w:pPr>
                  <w:r>
                    <w:rPr>
                      <w:rFonts w:ascii="Times New Roman" w:eastAsia="宋体" w:cs="Times New Roman" w:hAnsi="Times New Roman" w:hint="eastAsia"/>
                      <w:b/>
                      <w:bCs/>
                      <w:color w:val="000000"/>
                      <w:sz w:val="21"/>
                      <w:szCs w:val="21"/>
                      <w:lang w:val="en-US" w:eastAsia="zh-CN"/>
                    </w:rPr>
                    <w:t>运行时间h/d</w:t>
                  </w:r>
                </w:p>
              </w:tc>
            </w:tr>
            <w:tr>
              <w:trPr>
                <w:trHeight w:val="397"/>
              </w:trPr>
              <w:tc>
                <w:tcPr>
                  <w:tcW w:w="592" w:type="dxa"/>
                  <w:vMerge/>
                  <w:tcBorders>
                    <w:tl2br w:val="nil"/>
                    <w:tr2bl w:val="nil"/>
                  </w:tcBorders>
                  <w:vAlign w:val="center"/>
                </w:tcPr>
                <w:p/>
              </w:tc>
              <w:tc>
                <w:tcPr>
                  <w:tcW w:w="1365" w:type="dxa"/>
                  <w:vMerge/>
                  <w:tcBorders>
                    <w:tl2br w:val="nil"/>
                    <w:tr2bl w:val="nil"/>
                  </w:tcBorders>
                  <w:vAlign w:val="center"/>
                </w:tcPr>
                <w:p/>
              </w:tc>
              <w:tc>
                <w:tcPr>
                  <w:tcW w:w="7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hint="eastAsia"/>
                      <w:b/>
                      <w:bCs/>
                      <w:color w:val="000000"/>
                      <w:sz w:val="21"/>
                      <w:szCs w:val="21"/>
                      <w:lang w:val="en-US" w:eastAsia="zh-CN"/>
                    </w:rPr>
                  </w:pPr>
                  <w:r>
                    <w:rPr>
                      <w:rFonts w:ascii="Times New Roman" w:eastAsia="宋体" w:cs="Times New Roman" w:hAnsi="Times New Roman" w:hint="eastAsia"/>
                      <w:b/>
                      <w:bCs/>
                      <w:color w:val="000000"/>
                      <w:sz w:val="21"/>
                      <w:szCs w:val="21"/>
                      <w:lang w:val="en-US" w:eastAsia="zh-CN"/>
                    </w:rPr>
                    <w:t>X</w:t>
                  </w:r>
                </w:p>
              </w:tc>
              <w:tc>
                <w:tcPr>
                  <w:tcW w:w="72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hint="eastAsia"/>
                      <w:b/>
                      <w:bCs/>
                      <w:color w:val="000000"/>
                      <w:sz w:val="21"/>
                      <w:szCs w:val="21"/>
                      <w:lang w:val="en-US" w:eastAsia="zh-CN"/>
                    </w:rPr>
                  </w:pPr>
                  <w:r>
                    <w:rPr>
                      <w:rFonts w:ascii="Times New Roman" w:eastAsia="宋体" w:cs="Times New Roman" w:hAnsi="Times New Roman" w:hint="eastAsia"/>
                      <w:b/>
                      <w:bCs/>
                      <w:color w:val="000000"/>
                      <w:sz w:val="21"/>
                      <w:szCs w:val="21"/>
                      <w:lang w:val="en-US" w:eastAsia="zh-CN"/>
                    </w:rPr>
                    <w:t>Y</w:t>
                  </w:r>
                </w:p>
              </w:tc>
              <w:tc>
                <w:tcPr>
                  <w:tcW w:w="75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hint="eastAsia"/>
                      <w:b/>
                      <w:bCs/>
                      <w:color w:val="000000"/>
                      <w:sz w:val="21"/>
                      <w:szCs w:val="21"/>
                      <w:lang w:val="en-US" w:eastAsia="zh-CN"/>
                    </w:rPr>
                  </w:pPr>
                  <w:r>
                    <w:rPr>
                      <w:rFonts w:ascii="Times New Roman" w:eastAsia="宋体" w:cs="Times New Roman" w:hAnsi="Times New Roman" w:hint="eastAsia"/>
                      <w:b/>
                      <w:bCs/>
                      <w:color w:val="000000"/>
                      <w:sz w:val="21"/>
                      <w:szCs w:val="21"/>
                      <w:lang w:val="en-US" w:eastAsia="zh-CN"/>
                    </w:rPr>
                    <w:t>Z</w:t>
                  </w:r>
                </w:p>
              </w:tc>
              <w:tc>
                <w:tcPr>
                  <w:tcW w:w="10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b/>
                      <w:bCs/>
                      <w:color w:val="000000"/>
                      <w:sz w:val="21"/>
                      <w:szCs w:val="21"/>
                      <w:lang w:val="en-US" w:eastAsia="zh-CN"/>
                    </w:rPr>
                  </w:pPr>
                  <w:r>
                    <w:rPr>
                      <w:rFonts w:ascii="Times New Roman" w:eastAsia="宋体" w:cs="Times New Roman" w:hAnsi="Times New Roman" w:hint="eastAsia"/>
                      <w:b/>
                      <w:bCs/>
                      <w:color w:val="000000"/>
                      <w:sz w:val="21"/>
                      <w:szCs w:val="21"/>
                      <w:lang w:val="en-US" w:eastAsia="zh-CN"/>
                    </w:rPr>
                    <w:t>声功率级/</w:t>
                  </w:r>
                  <w:r>
                    <w:rPr>
                      <w:rFonts w:ascii="Times New Roman" w:eastAsia="宋体" w:cs="Times New Roman" w:hAnsi="Times New Roman"/>
                      <w:b/>
                      <w:bCs/>
                      <w:color w:val="000000"/>
                      <w:sz w:val="21"/>
                      <w:szCs w:val="21"/>
                      <w:lang w:val="en-US" w:eastAsia="zh-CN"/>
                    </w:rPr>
                    <w:t>dB(A)</w:t>
                  </w:r>
                </w:p>
              </w:tc>
              <w:tc>
                <w:tcPr>
                  <w:tcW w:w="1605" w:type="dxa"/>
                  <w:vMerge/>
                  <w:tcBorders>
                    <w:tl2br w:val="nil"/>
                    <w:tr2bl w:val="nil"/>
                  </w:tcBorders>
                  <w:vAlign w:val="center"/>
                </w:tcPr>
                <w:p/>
              </w:tc>
              <w:tc>
                <w:tcPr>
                  <w:tcW w:w="1725" w:type="dxa"/>
                  <w:vMerge/>
                  <w:tcBorders>
                    <w:tl2br w:val="nil"/>
                    <w:tr2bl w:val="nil"/>
                  </w:tcBorders>
                  <w:vAlign w:val="center"/>
                </w:tcPr>
                <w:p/>
              </w:tc>
            </w:tr>
            <w:tr>
              <w:trPr>
                <w:trHeight w:val="397"/>
              </w:trPr>
              <w:tc>
                <w:tcPr>
                  <w:tcW w:w="59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1</w:t>
                  </w:r>
                </w:p>
              </w:tc>
              <w:tc>
                <w:tcPr>
                  <w:tcW w:w="136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1</w:t>
                  </w:r>
                </w:p>
              </w:tc>
              <w:tc>
                <w:tcPr>
                  <w:tcW w:w="7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-11</w:t>
                  </w:r>
                </w:p>
              </w:tc>
              <w:tc>
                <w:tcPr>
                  <w:tcW w:w="72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12</w:t>
                  </w:r>
                </w:p>
              </w:tc>
              <w:tc>
                <w:tcPr>
                  <w:tcW w:w="75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1.5</w:t>
                  </w:r>
                </w:p>
              </w:tc>
              <w:tc>
                <w:tcPr>
                  <w:tcW w:w="10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70</w:t>
                  </w:r>
                </w:p>
              </w:tc>
              <w:tc>
                <w:tcPr>
                  <w:tcW w:w="1605" w:type="dxa"/>
                  <w:vMerge w:val="restar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both"/>
                    <w:rPr>
                      <w:rFonts w:ascii="Times New Roman" w:eastAsia="宋体" w:cs="Times New Roman" w:hAnsi="Times New Roman"/>
                      <w:color w:val="000000"/>
                      <w:sz w:val="21"/>
                      <w:szCs w:val="21"/>
                      <w:lang w:val="en-US" w:eastAsia="zh-CN"/>
                    </w:rPr>
                  </w:pPr>
                  <w:r>
                    <w:rPr>
                      <w:rFonts w:ascii="Times New Roman" w:eastAsia="宋体" w:cs="Times New Roman" w:hAnsi="Times New Roman"/>
                      <w:color w:val="000000"/>
                      <w:sz w:val="21"/>
                      <w:szCs w:val="21"/>
                    </w:rPr>
                    <w:t>选用低噪声设备，设置减振垫</w:t>
                  </w:r>
                </w:p>
              </w:tc>
              <w:tc>
                <w:tcPr>
                  <w:tcW w:w="1725" w:type="dxa"/>
                  <w:vMerge w:val="restart"/>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24</w:t>
                  </w:r>
                </w:p>
              </w:tc>
            </w:tr>
            <w:tr>
              <w:trPr>
                <w:trHeight w:val="397"/>
              </w:trPr>
              <w:tc>
                <w:tcPr>
                  <w:tcW w:w="59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hint="eastAsia"/>
                      <w:color w:val="000000"/>
                      <w:kern w:val="0"/>
                      <w:sz w:val="21"/>
                      <w:szCs w:val="21"/>
                      <w:lang w:val="en-US" w:eastAsia="zh-CN"/>
                    </w:rPr>
                  </w:pPr>
                  <w:r>
                    <w:rPr>
                      <w:rFonts w:ascii="Times New Roman" w:cs="Times New Roman" w:hAnsi="Times New Roman" w:hint="eastAsia"/>
                      <w:color w:val="000000"/>
                      <w:kern w:val="0"/>
                      <w:sz w:val="21"/>
                      <w:szCs w:val="21"/>
                      <w:lang w:val="en-US" w:eastAsia="zh-CN"/>
                    </w:rPr>
                    <w:t>2</w:t>
                  </w:r>
                </w:p>
              </w:tc>
              <w:tc>
                <w:tcPr>
                  <w:tcW w:w="136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2</w:t>
                  </w:r>
                </w:p>
              </w:tc>
              <w:tc>
                <w:tcPr>
                  <w:tcW w:w="7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-11</w:t>
                  </w:r>
                </w:p>
              </w:tc>
              <w:tc>
                <w:tcPr>
                  <w:tcW w:w="72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3</w:t>
                  </w:r>
                </w:p>
              </w:tc>
              <w:tc>
                <w:tcPr>
                  <w:tcW w:w="75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rPr>
                  </w:pPr>
                  <w:r>
                    <w:rPr>
                      <w:rFonts w:ascii="Times New Roman" w:cs="Times New Roman" w:hAnsi="Times New Roman" w:hint="eastAsia"/>
                      <w:color w:val="000000"/>
                      <w:sz w:val="21"/>
                      <w:szCs w:val="21"/>
                      <w:lang w:val="en-US" w:eastAsia="zh-CN"/>
                    </w:rPr>
                    <w:t>1.5</w:t>
                  </w:r>
                </w:p>
              </w:tc>
              <w:tc>
                <w:tcPr>
                  <w:tcW w:w="10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70</w:t>
                  </w:r>
                </w:p>
              </w:tc>
              <w:tc>
                <w:tcPr>
                  <w:tcW w:w="1605" w:type="dxa"/>
                  <w:vMerge/>
                  <w:tcBorders>
                    <w:tl2br w:val="nil"/>
                    <w:tr2bl w:val="nil"/>
                  </w:tcBorders>
                  <w:vAlign w:val="center"/>
                </w:tcPr>
                <w:p/>
              </w:tc>
              <w:tc>
                <w:tcPr>
                  <w:tcW w:w="1725" w:type="dxa"/>
                  <w:vMerge/>
                  <w:tcBorders>
                    <w:tl2br w:val="nil"/>
                    <w:tr2bl w:val="nil"/>
                  </w:tcBorders>
                  <w:vAlign w:val="center"/>
                </w:tcPr>
                <w:p/>
              </w:tc>
            </w:tr>
            <w:tr>
              <w:trPr>
                <w:trHeight w:val="397"/>
              </w:trPr>
              <w:tc>
                <w:tcPr>
                  <w:tcW w:w="59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hint="eastAsia"/>
                      <w:color w:val="000000"/>
                      <w:kern w:val="0"/>
                      <w:sz w:val="21"/>
                      <w:szCs w:val="21"/>
                      <w:lang w:val="en-US" w:eastAsia="zh-CN"/>
                    </w:rPr>
                  </w:pPr>
                  <w:r>
                    <w:rPr>
                      <w:rFonts w:ascii="Times New Roman" w:cs="Times New Roman" w:hAnsi="Times New Roman" w:hint="eastAsia"/>
                      <w:color w:val="000000"/>
                      <w:kern w:val="0"/>
                      <w:sz w:val="21"/>
                      <w:szCs w:val="21"/>
                      <w:lang w:val="en-US" w:eastAsia="zh-CN"/>
                    </w:rPr>
                    <w:t>3</w:t>
                  </w:r>
                </w:p>
              </w:tc>
              <w:tc>
                <w:tcPr>
                  <w:tcW w:w="136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3</w:t>
                  </w:r>
                </w:p>
              </w:tc>
              <w:tc>
                <w:tcPr>
                  <w:tcW w:w="7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-11</w:t>
                  </w:r>
                </w:p>
              </w:tc>
              <w:tc>
                <w:tcPr>
                  <w:tcW w:w="72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-2</w:t>
                  </w:r>
                </w:p>
              </w:tc>
              <w:tc>
                <w:tcPr>
                  <w:tcW w:w="75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rPr>
                  </w:pPr>
                  <w:r>
                    <w:rPr>
                      <w:rFonts w:ascii="Times New Roman" w:cs="Times New Roman" w:hAnsi="Times New Roman" w:hint="eastAsia"/>
                      <w:color w:val="000000"/>
                      <w:sz w:val="21"/>
                      <w:szCs w:val="21"/>
                      <w:lang w:val="en-US" w:eastAsia="zh-CN"/>
                    </w:rPr>
                    <w:t>1.5</w:t>
                  </w:r>
                </w:p>
              </w:tc>
              <w:tc>
                <w:tcPr>
                  <w:tcW w:w="10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70</w:t>
                  </w:r>
                </w:p>
              </w:tc>
              <w:tc>
                <w:tcPr>
                  <w:tcW w:w="1605" w:type="dxa"/>
                  <w:vMerge/>
                  <w:tcBorders>
                    <w:tl2br w:val="nil"/>
                    <w:tr2bl w:val="nil"/>
                  </w:tcBorders>
                  <w:vAlign w:val="center"/>
                </w:tcPr>
                <w:p/>
              </w:tc>
              <w:tc>
                <w:tcPr>
                  <w:tcW w:w="1725" w:type="dxa"/>
                  <w:vMerge/>
                  <w:tcBorders>
                    <w:tl2br w:val="nil"/>
                    <w:tr2bl w:val="nil"/>
                  </w:tcBorders>
                  <w:vAlign w:val="center"/>
                </w:tcPr>
                <w:p/>
              </w:tc>
            </w:tr>
            <w:tr>
              <w:trPr>
                <w:trHeight w:val="397"/>
              </w:trPr>
              <w:tc>
                <w:tcPr>
                  <w:tcW w:w="59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hint="eastAsia"/>
                      <w:color w:val="000000"/>
                      <w:kern w:val="0"/>
                      <w:sz w:val="21"/>
                      <w:szCs w:val="21"/>
                      <w:lang w:val="en-US" w:eastAsia="zh-CN"/>
                    </w:rPr>
                  </w:pPr>
                  <w:r>
                    <w:rPr>
                      <w:rFonts w:ascii="Times New Roman" w:cs="Times New Roman" w:hAnsi="Times New Roman" w:hint="eastAsia"/>
                      <w:color w:val="000000"/>
                      <w:kern w:val="0"/>
                      <w:sz w:val="21"/>
                      <w:szCs w:val="21"/>
                      <w:lang w:val="en-US" w:eastAsia="zh-CN"/>
                    </w:rPr>
                    <w:t>4</w:t>
                  </w:r>
                </w:p>
              </w:tc>
              <w:tc>
                <w:tcPr>
                  <w:tcW w:w="136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4</w:t>
                  </w:r>
                </w:p>
              </w:tc>
              <w:tc>
                <w:tcPr>
                  <w:tcW w:w="7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18</w:t>
                  </w:r>
                </w:p>
              </w:tc>
              <w:tc>
                <w:tcPr>
                  <w:tcW w:w="72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6</w:t>
                  </w:r>
                </w:p>
              </w:tc>
              <w:tc>
                <w:tcPr>
                  <w:tcW w:w="75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rPr>
                  </w:pPr>
                  <w:r>
                    <w:rPr>
                      <w:rFonts w:ascii="Times New Roman" w:cs="Times New Roman" w:hAnsi="Times New Roman" w:hint="eastAsia"/>
                      <w:color w:val="000000"/>
                      <w:sz w:val="21"/>
                      <w:szCs w:val="21"/>
                      <w:lang w:val="en-US" w:eastAsia="zh-CN"/>
                    </w:rPr>
                    <w:t>1.5</w:t>
                  </w:r>
                </w:p>
              </w:tc>
              <w:tc>
                <w:tcPr>
                  <w:tcW w:w="10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sz w:val="21"/>
                      <w:szCs w:val="21"/>
                      <w:lang w:val="en-US" w:eastAsia="zh-CN"/>
                    </w:rPr>
                  </w:pPr>
                  <w:r>
                    <w:rPr>
                      <w:rFonts w:ascii="Times New Roman" w:cs="Times New Roman" w:hAnsi="Times New Roman" w:hint="eastAsia"/>
                      <w:color w:val="000000"/>
                      <w:sz w:val="21"/>
                      <w:szCs w:val="21"/>
                      <w:lang w:val="en-US" w:eastAsia="zh-CN"/>
                    </w:rPr>
                    <w:t>70</w:t>
                  </w:r>
                </w:p>
              </w:tc>
              <w:tc>
                <w:tcPr>
                  <w:tcW w:w="1605" w:type="dxa"/>
                  <w:vMerge/>
                  <w:tcBorders>
                    <w:tl2br w:val="nil"/>
                    <w:tr2bl w:val="nil"/>
                  </w:tcBorders>
                  <w:vAlign w:val="center"/>
                </w:tcPr>
                <w:p/>
              </w:tc>
              <w:tc>
                <w:tcPr>
                  <w:tcW w:w="1725" w:type="dxa"/>
                  <w:vMerge/>
                  <w:tcBorders>
                    <w:tl2br w:val="nil"/>
                    <w:tr2bl w:val="nil"/>
                  </w:tcBorders>
                  <w:vAlign w:val="center"/>
                </w:tcPr>
                <w:p/>
              </w:tc>
            </w:tr>
            <w:tr>
              <w:trPr>
                <w:trHeight w:val="397"/>
              </w:trPr>
              <w:tc>
                <w:tcPr>
                  <w:tcW w:w="59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kern w:val="0"/>
                      <w:sz w:val="21"/>
                      <w:szCs w:val="21"/>
                      <w:lang w:val="en-US" w:eastAsia="zh-CN"/>
                    </w:rPr>
                  </w:pPr>
                  <w:r>
                    <w:rPr>
                      <w:rFonts w:ascii="Times New Roman" w:cs="Times New Roman" w:hAnsi="Times New Roman" w:hint="eastAsia"/>
                      <w:color w:val="000000"/>
                      <w:kern w:val="0"/>
                      <w:sz w:val="21"/>
                      <w:szCs w:val="21"/>
                      <w:lang w:val="en-US" w:eastAsia="zh-CN"/>
                    </w:rPr>
                    <w:t>5</w:t>
                  </w:r>
                </w:p>
              </w:tc>
              <w:tc>
                <w:tcPr>
                  <w:tcW w:w="136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rPr>
                  </w:pPr>
                  <w:r>
                    <w:rPr>
                      <w:rFonts w:ascii="Times New Roman" w:cs="Times New Roman" w:hAnsi="Times New Roman" w:hint="eastAsia"/>
                      <w:color w:val="000000"/>
                      <w:kern w:val="0"/>
                      <w:sz w:val="21"/>
                      <w:szCs w:val="21"/>
                      <w:lang w:val="en-US" w:eastAsia="zh-CN"/>
                    </w:rPr>
                    <w:t>加油机5</w:t>
                  </w:r>
                </w:p>
              </w:tc>
              <w:tc>
                <w:tcPr>
                  <w:tcW w:w="7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rPr>
                  </w:pPr>
                  <w:r>
                    <w:rPr>
                      <w:rFonts w:ascii="Times New Roman" w:cs="Times New Roman" w:hAnsi="Times New Roman" w:hint="eastAsia"/>
                      <w:color w:val="000000"/>
                      <w:sz w:val="21"/>
                      <w:szCs w:val="21"/>
                      <w:lang w:val="en-US" w:eastAsia="zh-CN"/>
                    </w:rPr>
                    <w:t>18</w:t>
                  </w:r>
                </w:p>
              </w:tc>
              <w:tc>
                <w:tcPr>
                  <w:tcW w:w="72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rPr>
                  </w:pPr>
                  <w:r>
                    <w:rPr>
                      <w:rFonts w:ascii="Times New Roman" w:cs="Times New Roman" w:hAnsi="Times New Roman" w:hint="eastAsia"/>
                      <w:color w:val="000000"/>
                      <w:sz w:val="21"/>
                      <w:szCs w:val="21"/>
                      <w:lang w:val="en-US" w:eastAsia="zh-CN"/>
                    </w:rPr>
                    <w:t>3</w:t>
                  </w:r>
                </w:p>
              </w:tc>
              <w:tc>
                <w:tcPr>
                  <w:tcW w:w="75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rPr>
                  </w:pPr>
                  <w:r>
                    <w:rPr>
                      <w:rFonts w:ascii="Times New Roman" w:cs="Times New Roman" w:hAnsi="Times New Roman" w:hint="eastAsia"/>
                      <w:color w:val="000000"/>
                      <w:sz w:val="21"/>
                      <w:szCs w:val="21"/>
                      <w:lang w:val="en-US" w:eastAsia="zh-CN"/>
                    </w:rPr>
                    <w:t>1.5</w:t>
                  </w:r>
                </w:p>
              </w:tc>
              <w:tc>
                <w:tcPr>
                  <w:tcW w:w="10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rPr>
                  </w:pPr>
                  <w:r>
                    <w:rPr>
                      <w:rFonts w:ascii="Times New Roman" w:cs="Times New Roman" w:hAnsi="Times New Roman" w:hint="eastAsia"/>
                      <w:color w:val="000000"/>
                      <w:sz w:val="21"/>
                      <w:szCs w:val="21"/>
                      <w:lang w:val="en-US" w:eastAsia="zh-CN"/>
                    </w:rPr>
                    <w:t>70</w:t>
                  </w:r>
                </w:p>
              </w:tc>
              <w:tc>
                <w:tcPr>
                  <w:tcW w:w="1605" w:type="dxa"/>
                  <w:vMerge/>
                  <w:tcBorders>
                    <w:tl2br w:val="nil"/>
                    <w:tr2bl w:val="nil"/>
                  </w:tcBorders>
                  <w:vAlign w:val="center"/>
                </w:tcPr>
                <w:p/>
              </w:tc>
              <w:tc>
                <w:tcPr>
                  <w:tcW w:w="1725" w:type="dxa"/>
                  <w:vMerge/>
                  <w:tcBorders>
                    <w:tl2br w:val="nil"/>
                    <w:tr2bl w:val="nil"/>
                  </w:tcBorders>
                  <w:vAlign w:val="center"/>
                </w:tcPr>
                <w:p/>
              </w:tc>
            </w:tr>
            <w:tr>
              <w:trPr>
                <w:trHeight w:val="397"/>
              </w:trPr>
              <w:tc>
                <w:tcPr>
                  <w:tcW w:w="59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hint="eastAsia"/>
                      <w:color w:val="000000"/>
                      <w:kern w:val="0"/>
                      <w:sz w:val="21"/>
                      <w:szCs w:val="21"/>
                      <w:lang w:val="en-US" w:eastAsia="zh-CN"/>
                    </w:rPr>
                  </w:pPr>
                  <w:r>
                    <w:rPr>
                      <w:rFonts w:ascii="Times New Roman" w:cs="Times New Roman" w:hAnsi="Times New Roman" w:hint="eastAsia"/>
                      <w:color w:val="000000"/>
                      <w:kern w:val="0"/>
                      <w:sz w:val="21"/>
                      <w:szCs w:val="21"/>
                      <w:lang w:val="en-US" w:eastAsia="zh-CN"/>
                    </w:rPr>
                    <w:t>6</w:t>
                  </w:r>
                </w:p>
              </w:tc>
              <w:tc>
                <w:tcPr>
                  <w:tcW w:w="136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rPr>
                  </w:pPr>
                  <w:r>
                    <w:rPr>
                      <w:rFonts w:ascii="Times New Roman" w:cs="Times New Roman" w:hAnsi="Times New Roman" w:hint="eastAsia"/>
                      <w:color w:val="000000"/>
                      <w:kern w:val="0"/>
                      <w:sz w:val="21"/>
                      <w:szCs w:val="21"/>
                      <w:lang w:val="en-US" w:eastAsia="zh-CN"/>
                    </w:rPr>
                    <w:t>加油机6</w:t>
                  </w:r>
                </w:p>
              </w:tc>
              <w:tc>
                <w:tcPr>
                  <w:tcW w:w="7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rPr>
                  </w:pPr>
                  <w:r>
                    <w:rPr>
                      <w:rFonts w:ascii="Times New Roman" w:cs="Times New Roman" w:hAnsi="Times New Roman" w:hint="eastAsia"/>
                      <w:color w:val="000000"/>
                      <w:sz w:val="21"/>
                      <w:szCs w:val="21"/>
                      <w:lang w:val="en-US" w:eastAsia="zh-CN"/>
                    </w:rPr>
                    <w:t>18</w:t>
                  </w:r>
                </w:p>
              </w:tc>
              <w:tc>
                <w:tcPr>
                  <w:tcW w:w="72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rPr>
                  </w:pPr>
                  <w:r>
                    <w:rPr>
                      <w:rFonts w:ascii="Times New Roman" w:cs="Times New Roman" w:hAnsi="Times New Roman" w:hint="eastAsia"/>
                      <w:color w:val="000000"/>
                      <w:sz w:val="21"/>
                      <w:szCs w:val="21"/>
                      <w:lang w:val="en-US" w:eastAsia="zh-CN"/>
                    </w:rPr>
                    <w:t>-2</w:t>
                  </w:r>
                </w:p>
              </w:tc>
              <w:tc>
                <w:tcPr>
                  <w:tcW w:w="750"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rPr>
                  </w:pPr>
                  <w:r>
                    <w:rPr>
                      <w:rFonts w:ascii="Times New Roman" w:cs="Times New Roman" w:hAnsi="Times New Roman" w:hint="eastAsia"/>
                      <w:color w:val="000000"/>
                      <w:sz w:val="21"/>
                      <w:szCs w:val="21"/>
                      <w:lang w:val="en-US" w:eastAsia="zh-CN"/>
                    </w:rPr>
                    <w:t>1.5</w:t>
                  </w:r>
                </w:p>
              </w:tc>
              <w:tc>
                <w:tcPr>
                  <w:tcW w:w="109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cs="Times New Roman"/>
                      <w:color w:val="000000"/>
                      <w:sz w:val="21"/>
                      <w:szCs w:val="21"/>
                      <w:lang w:val="en-US" w:eastAsia="zh-CN"/>
                    </w:rPr>
                  </w:pPr>
                  <w:r>
                    <w:rPr>
                      <w:rFonts w:ascii="Times New Roman" w:cs="Times New Roman" w:hAnsi="Times New Roman" w:hint="eastAsia"/>
                      <w:color w:val="000000"/>
                      <w:sz w:val="21"/>
                      <w:szCs w:val="21"/>
                      <w:lang w:val="en-US" w:eastAsia="zh-CN"/>
                    </w:rPr>
                    <w:t>70</w:t>
                  </w:r>
                </w:p>
              </w:tc>
              <w:tc>
                <w:tcPr>
                  <w:tcW w:w="1605" w:type="dxa"/>
                  <w:vMerge/>
                  <w:tcBorders>
                    <w:tl2br w:val="nil"/>
                    <w:tr2bl w:val="nil"/>
                  </w:tcBorders>
                  <w:vAlign w:val="center"/>
                </w:tcPr>
                <w:p/>
              </w:tc>
              <w:tc>
                <w:tcPr>
                  <w:tcW w:w="1725" w:type="dxa"/>
                  <w:vMerge/>
                  <w:tcBorders>
                    <w:tl2br w:val="nil"/>
                    <w:tr2bl w:val="nil"/>
                  </w:tcBorders>
                  <w:vAlign w:val="center"/>
                </w:tcPr>
                <w:p/>
              </w:tc>
            </w:tr>
          </w:tbl>
          <w:p>
            <w:pPr>
              <w:keepNext w:val="0"/>
              <w:keepLines w:val="0"/>
              <w:suppressLineNumbers w:val="0"/>
              <w:spacing w:before="0" w:beforeAutospacing="0" w:after="0" w:afterAutospacing="0" w:line="440" w:lineRule="exact"/>
              <w:ind w:left="0" w:right="0" w:firstLineChars="200" w:firstLine="480"/>
              <w:rPr>
                <w:sz w:val="24"/>
                <w:highlight w:val="none"/>
              </w:rPr>
            </w:pPr>
            <w:r>
              <w:rPr>
                <w:rFonts w:ascii="Times New Roman" w:cs="Times New Roman" w:hAnsi="Times New Roman"/>
                <w:color w:val="auto"/>
                <w:sz w:val="24"/>
                <w:szCs w:val="24"/>
              </w:rPr>
              <w:t>由于预测点到声源的距离较声源本身的尺寸大得多，故将项目噪声源作点源处理</w:t>
            </w:r>
            <w:r>
              <w:rPr>
                <w:rFonts w:ascii="Times New Roman" w:cs="Times New Roman" w:hAnsi="Times New Roman" w:hint="eastAsia"/>
                <w:color w:val="auto"/>
                <w:sz w:val="24"/>
                <w:szCs w:val="24"/>
                <w:lang w:eastAsia="zh-CN"/>
              </w:rPr>
              <w:t>。</w:t>
            </w:r>
            <w:r>
              <w:rPr>
                <w:rFonts w:ascii="Times New Roman" w:cs="Times New Roman" w:hAnsi="Times New Roman" w:hint="eastAsia"/>
                <w:sz w:val="24"/>
                <w:szCs w:val="20"/>
                <w:highlight w:val="none"/>
              </w:rPr>
              <w:t>点声源</w:t>
            </w:r>
            <w:r>
              <w:rPr>
                <w:rFonts w:ascii="Times New Roman" w:cs="Times New Roman" w:hAnsi="Times New Roman"/>
                <w:sz w:val="24"/>
                <w:szCs w:val="20"/>
                <w:highlight w:val="none"/>
              </w:rPr>
              <w:t>的</w:t>
            </w:r>
            <w:r>
              <w:rPr>
                <w:rFonts w:ascii="Times New Roman" w:cs="Times New Roman" w:hAnsi="Times New Roman" w:hint="eastAsia"/>
                <w:sz w:val="24"/>
                <w:szCs w:val="20"/>
                <w:highlight w:val="none"/>
              </w:rPr>
              <w:t>几何</w:t>
            </w:r>
            <w:r>
              <w:rPr>
                <w:rFonts w:ascii="Times New Roman" w:cs="Times New Roman" w:hAnsi="Times New Roman"/>
                <w:sz w:val="24"/>
                <w:szCs w:val="20"/>
                <w:highlight w:val="none"/>
              </w:rPr>
              <w:t>发散衰减的</w:t>
            </w:r>
            <w:r>
              <w:rPr>
                <w:rFonts w:ascii="Times New Roman" w:cs="Times New Roman" w:hAnsi="Times New Roman" w:hint="eastAsia"/>
                <w:sz w:val="24"/>
                <w:szCs w:val="20"/>
                <w:highlight w:val="none"/>
              </w:rPr>
              <w:t>基本公式</w:t>
            </w:r>
            <w:r>
              <w:rPr>
                <w:rFonts w:ascii="Times New Roman" w:cs="Times New Roman" w:hAnsi="Times New Roman"/>
                <w:sz w:val="24"/>
                <w:szCs w:val="20"/>
                <w:highlight w:val="none"/>
              </w:rPr>
              <w:t>如下：</w:t>
            </w:r>
          </w:p>
          <w:p>
            <w:pPr>
              <w:keepNext w:val="0"/>
              <w:keepLines w:val="0"/>
              <w:suppressLineNumbers w:val="0"/>
              <w:spacing w:before="0" w:beforeAutospacing="0" w:after="0" w:afterAutospacing="0" w:line="440" w:lineRule="exact"/>
              <w:ind w:left="0" w:right="0"/>
              <w:jc w:val="center"/>
              <w:rPr>
                <w:rFonts w:eastAsia="宋体"/>
                <w:sz w:val="24"/>
                <w:lang w:val="en-US" w:eastAsia="zh-CN"/>
                <w:highlight w:val="none"/>
              </w:rPr>
            </w:pPr>
            <w:r>
              <w:rPr>
                <w:rFonts w:ascii="Times New Roman" w:cs="Times New Roman" w:hAnsi="Times New Roman"/>
                <w:sz w:val="24"/>
                <w:szCs w:val="20"/>
                <w:highlight w:val="none"/>
              </w:rPr>
              <w:t>Lp（</w:t>
            </w:r>
            <w:r>
              <w:rPr>
                <w:rFonts w:ascii="Times New Roman" w:cs="Times New Roman" w:hAnsi="Times New Roman" w:hint="eastAsia"/>
                <w:sz w:val="24"/>
                <w:szCs w:val="20"/>
                <w:highlight w:val="none"/>
              </w:rPr>
              <w:t>r</w:t>
            </w:r>
            <w:r>
              <w:rPr>
                <w:rFonts w:ascii="Times New Roman" w:cs="Times New Roman" w:hAnsi="Times New Roman"/>
                <w:sz w:val="24"/>
                <w:szCs w:val="20"/>
                <w:highlight w:val="none"/>
              </w:rPr>
              <w:t>）</w:t>
            </w:r>
            <w:r>
              <w:rPr>
                <w:rFonts w:ascii="Times New Roman" w:cs="Times New Roman" w:hAnsi="Times New Roman" w:hint="eastAsia"/>
                <w:sz w:val="24"/>
                <w:szCs w:val="20"/>
                <w:highlight w:val="none"/>
              </w:rPr>
              <w:t>=</w:t>
            </w:r>
            <w:r>
              <w:rPr>
                <w:rFonts w:ascii="Times New Roman" w:cs="Times New Roman" w:hAnsi="Times New Roman"/>
                <w:sz w:val="24"/>
                <w:szCs w:val="20"/>
                <w:highlight w:val="none"/>
              </w:rPr>
              <w:t>L</w:t>
            </w:r>
            <w:r>
              <w:rPr>
                <w:rFonts w:ascii="Times New Roman" w:cs="Times New Roman" w:hAnsi="Times New Roman" w:hint="eastAsia"/>
                <w:sz w:val="24"/>
                <w:szCs w:val="20"/>
                <w:highlight w:val="none"/>
              </w:rPr>
              <w:t>w-20</w:t>
            </w:r>
            <w:r>
              <w:rPr>
                <w:rFonts w:ascii="Times New Roman" w:cs="Times New Roman" w:hAnsi="Times New Roman"/>
                <w:sz w:val="24"/>
                <w:szCs w:val="20"/>
                <w:highlight w:val="none"/>
              </w:rPr>
              <w:t>lg</w:t>
            </w:r>
            <w:r>
              <w:rPr>
                <w:rFonts w:ascii="Times New Roman" w:cs="Times New Roman" w:hAnsi="Times New Roman" w:hint="eastAsia"/>
                <w:sz w:val="24"/>
                <w:szCs w:val="20"/>
                <w:highlight w:val="none"/>
              </w:rPr>
              <w:t>r</w:t>
            </w:r>
            <w:r>
              <w:rPr>
                <w:rFonts w:ascii="Times New Roman" w:cs="Times New Roman" w:hAnsi="Times New Roman" w:hint="eastAsia"/>
                <w:sz w:val="24"/>
                <w:szCs w:val="20"/>
                <w:lang w:val="en-US" w:eastAsia="zh-CN"/>
                <w:highlight w:val="none"/>
              </w:rPr>
              <w:t>-8</w:t>
            </w:r>
          </w:p>
          <w:p>
            <w:pPr>
              <w:keepNext w:val="0"/>
              <w:keepLines w:val="0"/>
              <w:suppressLineNumbers w:val="0"/>
              <w:spacing w:before="0" w:beforeAutospacing="0" w:after="0" w:afterAutospacing="0" w:line="440" w:lineRule="exact"/>
              <w:ind w:left="0" w:right="0"/>
              <w:rPr>
                <w:sz w:val="24"/>
                <w:highlight w:val="none"/>
              </w:rPr>
            </w:pPr>
            <w:r>
              <w:rPr>
                <w:rFonts w:ascii="Times New Roman" w:cs="Times New Roman" w:hAnsi="Times New Roman" w:hint="eastAsia"/>
                <w:sz w:val="24"/>
                <w:szCs w:val="20"/>
                <w:highlight w:val="none"/>
              </w:rPr>
              <w:t>式中</w:t>
            </w:r>
            <w:r>
              <w:rPr>
                <w:rFonts w:ascii="Times New Roman" w:cs="Times New Roman" w:hAnsi="Times New Roman"/>
                <w:sz w:val="24"/>
                <w:szCs w:val="20"/>
                <w:highlight w:val="none"/>
              </w:rPr>
              <w:t>：Lp（</w:t>
            </w:r>
            <w:r>
              <w:rPr>
                <w:rFonts w:ascii="Times New Roman" w:cs="Times New Roman" w:hAnsi="Times New Roman" w:hint="eastAsia"/>
                <w:sz w:val="24"/>
                <w:szCs w:val="20"/>
                <w:highlight w:val="none"/>
              </w:rPr>
              <w:t>r</w:t>
            </w:r>
            <w:r>
              <w:rPr>
                <w:rFonts w:ascii="Times New Roman" w:cs="Times New Roman" w:hAnsi="Times New Roman"/>
                <w:sz w:val="24"/>
                <w:szCs w:val="20"/>
                <w:highlight w:val="none"/>
              </w:rPr>
              <w:t>）</w:t>
            </w:r>
            <w:r>
              <w:rPr>
                <w:rFonts w:ascii="Times New Roman" w:cs="Times New Roman" w:hAnsi="Times New Roman" w:hint="eastAsia"/>
                <w:sz w:val="24"/>
                <w:szCs w:val="20"/>
                <w:lang w:eastAsia="zh-CN"/>
                <w:highlight w:val="none"/>
              </w:rPr>
              <w:t>—</w:t>
            </w:r>
            <w:r>
              <w:rPr>
                <w:rFonts w:ascii="Times New Roman" w:cs="Times New Roman" w:hAnsi="Times New Roman" w:hint="eastAsia"/>
                <w:sz w:val="24"/>
                <w:szCs w:val="20"/>
                <w:highlight w:val="none"/>
              </w:rPr>
              <w:t>预测点处声压级，dB；</w:t>
            </w:r>
          </w:p>
          <w:p>
            <w:pPr>
              <w:keepNext w:val="0"/>
              <w:keepLines w:val="0"/>
              <w:suppressLineNumbers w:val="0"/>
              <w:spacing w:before="0" w:beforeAutospacing="0" w:after="0" w:afterAutospacing="0" w:line="440" w:lineRule="exact"/>
              <w:ind w:left="0" w:right="0" w:firstLineChars="300" w:firstLine="720"/>
              <w:rPr>
                <w:sz w:val="24"/>
                <w:highlight w:val="none"/>
              </w:rPr>
            </w:pPr>
            <w:r>
              <w:rPr>
                <w:rFonts w:ascii="Times New Roman" w:cs="Times New Roman" w:hAnsi="Times New Roman"/>
                <w:sz w:val="24"/>
                <w:szCs w:val="20"/>
                <w:highlight w:val="none"/>
              </w:rPr>
              <w:t>L</w:t>
            </w:r>
            <w:r>
              <w:rPr>
                <w:rFonts w:ascii="Times New Roman" w:cs="Times New Roman" w:hAnsi="Times New Roman" w:hint="eastAsia"/>
                <w:sz w:val="24"/>
                <w:szCs w:val="20"/>
                <w:highlight w:val="none"/>
              </w:rPr>
              <w:t>w—由点声源产生的倍频带声功率级，dB；</w:t>
            </w:r>
          </w:p>
          <w:p>
            <w:pPr>
              <w:keepNext w:val="0"/>
              <w:keepLines w:val="0"/>
              <w:suppressLineNumbers w:val="0"/>
              <w:spacing w:before="0" w:beforeAutospacing="0" w:after="0" w:afterAutospacing="0" w:line="440" w:lineRule="exact"/>
              <w:ind w:left="0" w:right="0" w:firstLineChars="300" w:firstLine="720"/>
              <w:rPr>
                <w:sz w:val="24"/>
                <w:highlight w:val="none"/>
              </w:rPr>
            </w:pPr>
            <w:r>
              <w:rPr>
                <w:rFonts w:ascii="Times New Roman" w:cs="Times New Roman" w:hAnsi="Times New Roman"/>
                <w:sz w:val="24"/>
                <w:szCs w:val="20"/>
                <w:highlight w:val="none"/>
              </w:rPr>
              <w:t>r—</w:t>
            </w:r>
            <w:r>
              <w:rPr>
                <w:rFonts w:ascii="Times New Roman" w:cs="Times New Roman" w:hAnsi="Times New Roman" w:hint="eastAsia"/>
                <w:sz w:val="24"/>
                <w:szCs w:val="20"/>
                <w:highlight w:val="none"/>
              </w:rPr>
              <w:t>预测点距声源的距离，</w:t>
            </w:r>
            <w:r>
              <w:rPr>
                <w:rFonts w:ascii="Times New Roman" w:cs="Times New Roman" w:hAnsi="Times New Roman"/>
                <w:sz w:val="24"/>
                <w:szCs w:val="20"/>
                <w:highlight w:val="none"/>
              </w:rPr>
              <w:t>m；</w:t>
            </w:r>
          </w:p>
          <w:p>
            <w:pPr>
              <w:keepNext w:val="0"/>
              <w:keepLines w:val="0"/>
              <w:suppressLineNumbers w:val="0"/>
              <w:spacing w:before="0" w:beforeAutospacing="0" w:after="0" w:afterAutospacing="0" w:line="440" w:lineRule="exact"/>
              <w:ind w:left="0" w:right="0" w:firstLineChars="200" w:firstLine="480"/>
              <w:rPr>
                <w:rFonts w:hint="eastAsia"/>
                <w:sz w:val="24"/>
                <w:lang w:eastAsia="zh-CN"/>
                <w:highlight w:val="none"/>
              </w:rPr>
            </w:pPr>
            <w:r>
              <w:rPr>
                <w:rFonts w:ascii="Times New Roman" w:cs="Times New Roman" w:hAnsi="Times New Roman" w:hint="eastAsia"/>
                <w:sz w:val="24"/>
                <w:szCs w:val="20"/>
                <w:highlight w:val="none"/>
              </w:rPr>
              <w:t>本项目</w:t>
            </w:r>
            <w:r>
              <w:rPr>
                <w:rFonts w:ascii="Times New Roman" w:cs="Times New Roman" w:hAnsi="Times New Roman"/>
                <w:sz w:val="24"/>
                <w:szCs w:val="20"/>
                <w:highlight w:val="none"/>
              </w:rPr>
              <w:t>声源在预测点产生的贡献值（Leqg）计算公式</w:t>
            </w:r>
            <w:r>
              <w:rPr>
                <w:rFonts w:ascii="Times New Roman" w:cs="Times New Roman" w:hAnsi="Times New Roman" w:hint="eastAsia"/>
                <w:sz w:val="24"/>
                <w:szCs w:val="20"/>
                <w:lang w:eastAsia="zh-CN"/>
                <w:highlight w:val="none"/>
              </w:rPr>
              <w:t>：</w:t>
            </w:r>
          </w:p>
          <w:p>
            <w:pPr>
              <w:keepNext w:val="0"/>
              <w:keepLines w:val="0"/>
              <w:suppressLineNumbers w:val="0"/>
              <w:spacing w:before="0" w:beforeAutospacing="0" w:after="0" w:afterAutospacing="0" w:line="360" w:lineRule="auto"/>
              <w:ind w:left="0" w:right="0"/>
              <w:jc w:val="center"/>
              <w:rPr>
                <w:rFonts w:cs="Times New Roman" w:hAnsi="Cambria Math"/>
                <w:i w:val="0"/>
                <w:color w:val="0C0C0C"/>
                <w:sz w:val="24"/>
                <w:szCs w:val="24"/>
                <w:highlight w:val="none"/>
              </w:rPr>
            </w:pPr>
            <w:r>
              <w:rPr>
                <w:rFonts w:ascii="Times New Roman" w:cs="Times New Roman" w:hAnsi="Times New Roman"/>
                <w:color w:val="0C0C0C"/>
                <w:sz w:val="24"/>
                <w:szCs w:val="24"/>
                <w:highlight w:val="none"/>
              </w:rPr>
              <w:t>L</w:t>
            </w:r>
            <w:r>
              <w:rPr>
                <w:rFonts w:ascii="Times New Roman" w:cs="Times New Roman" w:hAnsi="Times New Roman" w:hint="eastAsia"/>
                <w:color w:val="0C0C0C"/>
                <w:sz w:val="24"/>
                <w:szCs w:val="24"/>
                <w:vertAlign w:val="subscript"/>
                <w:highlight w:val="none"/>
              </w:rPr>
              <w:t>eqg</w:t>
            </w:r>
            <w:r>
              <w:rPr>
                <w:rFonts w:ascii="Times New Roman" w:cs="Times New Roman" w:hAnsi="Times New Roman"/>
                <w:color w:val="0C0C0C"/>
                <w:sz w:val="24"/>
                <w:szCs w:val="24"/>
                <w:highlight w:val="none"/>
              </w:rPr>
              <w:t>=10lg</w:t>
            </w:r>
            <m:oMath>
              <m:d>
                <m:dPr>
                  <m:begChr m:val="["/>
                  <m:endChr m:val="]"/>
                  <m:ctrlPr>
                    <w:rPr>
                      <w:rFonts w:ascii="Cambria Math" w:cs="Times New Roman" w:hAnsi="Cambria Math"/>
                      <w:color w:val="0C0C0C"/>
                      <w:sz w:val="24"/>
                      <w:szCs w:val="24"/>
                    </w:rPr>
                  </m:ctrlPr>
                </m:dPr>
                <m:e>
                  <m:f>
                    <m:fPr>
                      <m:ctrlPr>
                        <w:rPr>
                          <w:rFonts w:ascii="Cambria Math" w:cs="Times New Roman" w:hAnsi="Cambria Math"/>
                          <w:color w:val="0C0C0C"/>
                          <w:sz w:val="24"/>
                          <w:szCs w:val="24"/>
                        </w:rPr>
                      </m:ctrlPr>
                    </m:fPr>
                    <m:num>
                      <m:r>
                        <w:rPr>
                          <w:rFonts w:ascii="Cambria Math" w:cs="Times New Roman" w:hAnsi="Cambria Math"/>
                          <w:color w:val="0C0C0C"/>
                          <w:sz w:val="24"/>
                          <w:szCs w:val="24"/>
                          <w:highlight w:val="none"/>
                        </w:rPr>
                        <m:t>1</m:t>
                      </m:r>
                    </m:num>
                    <m:den>
                      <m:r>
                        <w:rPr>
                          <w:rFonts w:ascii="Cambria Math" w:cs="Times New Roman" w:hAnsi="Cambria Math"/>
                          <w:color w:val="0C0C0C"/>
                          <w:sz w:val="24"/>
                          <w:szCs w:val="24"/>
                          <w:highlight w:val="none"/>
                        </w:rPr>
                        <m:t>T</m:t>
                      </m:r>
                    </m:den>
                  </m:f>
                  <m:d>
                    <m:dPr>
                      <m:begChr m:val="{"/>
                      <m:endChr m:val="}"/>
                      <m:ctrlPr>
                        <w:rPr>
                          <w:rFonts w:ascii="Cambria Math" w:cs="Times New Roman" w:hAnsi="Cambria Math"/>
                          <w:color w:val="0C0C0C"/>
                          <w:sz w:val="24"/>
                          <w:szCs w:val="24"/>
                        </w:rPr>
                      </m:ctrlPr>
                    </m:dPr>
                    <m:e>
                      <m:limLow>
                        <m:limLowPr>
                          <m:ctrlPr>
                            <w:rPr>
                              <w:rFonts w:ascii="Cambria Math" w:cs="Times New Roman" w:hAnsi="Cambria Math"/>
                              <w:color w:val="0C0C0C"/>
                              <w:sz w:val="24"/>
                              <w:szCs w:val="24"/>
                            </w:rPr>
                          </m:ctrlPr>
                        </m:limLowPr>
                        <m:e>
                          <m:limUpp>
                            <m:limUppPr>
                              <m:ctrlPr>
                                <w:rPr>
                                  <w:rFonts w:ascii="Cambria Math" w:cs="Times New Roman" w:hAnsi="Cambria Math"/>
                                  <w:color w:val="0C0C0C"/>
                                  <w:sz w:val="24"/>
                                  <w:szCs w:val="24"/>
                                </w:rPr>
                              </m:ctrlPr>
                            </m:limUppPr>
                            <m:e>
                              <m:r>
                                <w:rPr>
                                  <w:rFonts w:ascii="Cambria Math" w:cs="Times New Roman" w:hAnsi="Cambria Math"/>
                                  <w:color w:val="0C0C0C"/>
                                  <w:sz w:val="24"/>
                                  <w:szCs w:val="24"/>
                                  <w:highlight w:val="none"/>
                                </w:rPr>
                                <m:t>∑</m:t>
                              </m:r>
                            </m:e>
                            <m:lim>
                              <m:r>
                                <w:rPr>
                                  <w:rFonts w:ascii="Cambria Math" w:cs="Times New Roman" w:hAnsi="Cambria Math"/>
                                  <w:color w:val="0C0C0C"/>
                                  <w:sz w:val="24"/>
                                  <w:szCs w:val="24"/>
                                  <w:highlight w:val="none"/>
                                </w:rPr>
                                <m:t>N</m:t>
                              </m:r>
                            </m:lim>
                          </m:limUpp>
                        </m:e>
                        <m:lim>
                          <m:r>
                            <w:rPr>
                              <w:rFonts w:ascii="Cambria Math" w:cs="Times New Roman" w:hAnsi="Cambria Math"/>
                              <w:sz w:val="24"/>
                              <w:szCs w:val="24"/>
                              <w:highlight w:val="none"/>
                            </w:rPr>
                            <m:t>i=1</m:t>
                          </m:r>
                        </m:lim>
                      </m:limLow>
                      <m:sSub>
                        <m:sSubPr>
                          <m:ctrlPr>
                            <w:rPr>
                              <w:rFonts w:ascii="Cambria Math" w:cs="Times New Roman" w:hAnsi="Cambria Math"/>
                              <w:color w:val="0C0C0C"/>
                              <w:sz w:val="24"/>
                              <w:szCs w:val="24"/>
                            </w:rPr>
                          </m:ctrlPr>
                        </m:sSubPr>
                        <m:e>
                          <m:r>
                            <w:rPr>
                              <w:rFonts w:ascii="Cambria Math" w:cs="Times New Roman" w:hAnsi="Cambria Math"/>
                              <w:color w:val="0C0C0C"/>
                              <w:sz w:val="24"/>
                              <w:szCs w:val="24"/>
                              <w:highlight w:val="none"/>
                            </w:rPr>
                            <m:t>t</m:t>
                          </m:r>
                        </m:e>
                        <m:sub>
                          <m:r>
                            <w:rPr>
                              <w:rFonts w:ascii="Cambria Math" w:cs="Times New Roman" w:hAnsi="Cambria Math"/>
                              <w:color w:val="0C0C0C"/>
                              <w:sz w:val="24"/>
                              <w:szCs w:val="24"/>
                              <w:highlight w:val="none"/>
                            </w:rPr>
                            <m:t>i</m:t>
                          </m:r>
                        </m:sub>
                      </m:sSub>
                      <m:sSup>
                        <m:sSupPr>
                          <m:ctrlPr>
                            <w:rPr>
                              <w:rFonts w:ascii="Cambria Math" w:cs="Times New Roman" w:hAnsi="Cambria Math"/>
                              <w:color w:val="0C0C0C"/>
                              <w:sz w:val="24"/>
                              <w:szCs w:val="24"/>
                            </w:rPr>
                          </m:ctrlPr>
                        </m:sSupPr>
                        <m:e>
                          <m:r>
                            <w:rPr>
                              <w:rFonts w:ascii="Cambria Math" w:cs="Times New Roman" w:hAnsi="Cambria Math"/>
                              <w:color w:val="0C0C0C"/>
                              <w:sz w:val="24"/>
                              <w:szCs w:val="24"/>
                              <w:highlight w:val="none"/>
                            </w:rPr>
                            <m:t>10</m:t>
                          </m:r>
                        </m:e>
                        <m:sup>
                          <m:sSub>
                            <m:sSubPr>
                              <m:ctrlPr>
                                <w:rPr>
                                  <w:rFonts w:ascii="Cambria Math" w:cs="Times New Roman" w:hAnsi="Cambria Math"/>
                                  <w:color w:val="0C0C0C"/>
                                  <w:sz w:val="24"/>
                                  <w:szCs w:val="24"/>
                                </w:rPr>
                              </m:ctrlPr>
                            </m:sSubPr>
                            <m:e>
                              <m:r>
                                <w:rPr>
                                  <w:rFonts w:ascii="Cambria Math" w:cs="Times New Roman" w:hAnsi="Cambria Math"/>
                                  <w:color w:val="0C0C0C"/>
                                  <w:sz w:val="24"/>
                                  <w:szCs w:val="24"/>
                                  <w:highlight w:val="none"/>
                                </w:rPr>
                                <m:t>0.1L</m:t>
                              </m:r>
                            </m:e>
                            <m:sub>
                              <m:r>
                                <w:rPr>
                                  <w:rFonts w:ascii="Cambria Math" w:cs="Times New Roman" w:hAnsi="Cambria Math"/>
                                  <w:color w:val="0C0C0C"/>
                                  <w:sz w:val="24"/>
                                  <w:szCs w:val="24"/>
                                  <w:highlight w:val="none"/>
                                </w:rPr>
                                <m:t>Ai</m:t>
                              </m:r>
                            </m:sub>
                          </m:sSub>
                        </m:sup>
                      </m:sSup>
                      <m:r>
                        <w:rPr>
                          <w:rFonts w:ascii="Cambria Math" w:cs="Times New Roman" w:hAnsi="Cambria Math"/>
                          <w:color w:val="0C0C0C"/>
                          <w:sz w:val="24"/>
                          <w:szCs w:val="24"/>
                          <w:highlight w:val="none"/>
                        </w:rPr>
                        <m:t>+</m:t>
                      </m:r>
                      <m:limLow>
                        <m:limLowPr>
                          <m:ctrlPr>
                            <w:rPr>
                              <w:rFonts w:ascii="Cambria Math" w:cs="Times New Roman" w:hAnsi="Cambria Math"/>
                              <w:color w:val="0C0C0C"/>
                              <w:sz w:val="24"/>
                              <w:szCs w:val="24"/>
                            </w:rPr>
                          </m:ctrlPr>
                        </m:limLowPr>
                        <m:e>
                          <m:limUpp>
                            <m:limUppPr>
                              <m:ctrlPr>
                                <w:rPr>
                                  <w:rFonts w:ascii="Cambria Math" w:cs="Times New Roman" w:hAnsi="Cambria Math"/>
                                  <w:color w:val="0C0C0C"/>
                                  <w:sz w:val="24"/>
                                  <w:szCs w:val="24"/>
                                </w:rPr>
                              </m:ctrlPr>
                            </m:limUppPr>
                            <m:e>
                              <m:r>
                                <w:rPr>
                                  <w:rFonts w:ascii="Cambria Math" w:cs="Times New Roman" w:hAnsi="Cambria Math"/>
                                  <w:color w:val="0C0C0C"/>
                                  <w:sz w:val="24"/>
                                  <w:szCs w:val="24"/>
                                  <w:highlight w:val="none"/>
                                </w:rPr>
                                <m:t>∑</m:t>
                              </m:r>
                            </m:e>
                            <m:lim>
                              <m:r>
                                <w:rPr>
                                  <w:rFonts w:ascii="Cambria Math" w:cs="Times New Roman" w:hAnsi="Cambria Math"/>
                                  <w:color w:val="0C0C0C"/>
                                  <w:sz w:val="24"/>
                                  <w:szCs w:val="24"/>
                                  <w:highlight w:val="none"/>
                                </w:rPr>
                                <m:t>M</m:t>
                              </m:r>
                            </m:lim>
                          </m:limUpp>
                        </m:e>
                        <m:lim>
                          <m:r>
                            <w:rPr>
                              <w:rFonts w:ascii="Cambria Math" w:cs="Times New Roman" w:hAnsi="Cambria Math"/>
                              <w:sz w:val="24"/>
                              <w:szCs w:val="24"/>
                              <w:highlight w:val="none"/>
                            </w:rPr>
                            <m:t>j=1</m:t>
                          </m:r>
                        </m:lim>
                      </m:limLow>
                      <m:sSub>
                        <m:sSubPr>
                          <m:ctrlPr>
                            <w:rPr>
                              <w:rFonts w:ascii="Cambria Math" w:cs="Times New Roman" w:hAnsi="Cambria Math"/>
                              <w:color w:val="0C0C0C"/>
                              <w:sz w:val="24"/>
                              <w:szCs w:val="24"/>
                            </w:rPr>
                          </m:ctrlPr>
                        </m:sSubPr>
                        <m:e>
                          <m:r>
                            <w:rPr>
                              <w:rFonts w:ascii="Cambria Math" w:cs="Times New Roman" w:hAnsi="Cambria Math"/>
                              <w:color w:val="0C0C0C"/>
                              <w:sz w:val="24"/>
                              <w:szCs w:val="24"/>
                              <w:highlight w:val="none"/>
                            </w:rPr>
                            <m:t>t</m:t>
                          </m:r>
                        </m:e>
                        <m:sub>
                          <m:r>
                            <w:rPr>
                              <w:rFonts w:ascii="Cambria Math" w:cs="Times New Roman" w:hAnsi="Cambria Math"/>
                              <w:color w:val="0C0C0C"/>
                              <w:sz w:val="24"/>
                              <w:szCs w:val="24"/>
                              <w:highlight w:val="none"/>
                            </w:rPr>
                            <m:t>j</m:t>
                          </m:r>
                        </m:sub>
                      </m:sSub>
                      <m:sSup>
                        <m:sSupPr>
                          <m:ctrlPr>
                            <w:rPr>
                              <w:rFonts w:ascii="Cambria Math" w:cs="Times New Roman" w:hAnsi="Cambria Math"/>
                              <w:color w:val="0C0C0C"/>
                              <w:sz w:val="24"/>
                              <w:szCs w:val="24"/>
                            </w:rPr>
                          </m:ctrlPr>
                        </m:sSupPr>
                        <m:e>
                          <m:r>
                            <w:rPr>
                              <w:rFonts w:ascii="Cambria Math" w:cs="Times New Roman" w:hAnsi="Cambria Math"/>
                              <w:color w:val="0C0C0C"/>
                              <w:sz w:val="24"/>
                              <w:szCs w:val="24"/>
                              <w:highlight w:val="none"/>
                            </w:rPr>
                            <m:t>10</m:t>
                          </m:r>
                        </m:e>
                        <m:sup>
                          <m:sSub>
                            <m:sSubPr>
                              <m:ctrlPr>
                                <w:rPr>
                                  <w:rFonts w:ascii="Cambria Math" w:cs="Times New Roman" w:hAnsi="Cambria Math"/>
                                  <w:color w:val="0C0C0C"/>
                                  <w:sz w:val="24"/>
                                  <w:szCs w:val="24"/>
                                </w:rPr>
                              </m:ctrlPr>
                            </m:sSubPr>
                            <m:e>
                              <m:r>
                                <w:rPr>
                                  <w:rFonts w:ascii="Cambria Math" w:cs="Times New Roman" w:hAnsi="Cambria Math"/>
                                  <w:color w:val="0C0C0C"/>
                                  <w:sz w:val="24"/>
                                  <w:szCs w:val="24"/>
                                  <w:highlight w:val="none"/>
                                </w:rPr>
                                <m:t>0.1L</m:t>
                              </m:r>
                            </m:e>
                            <m:sub>
                              <m:r>
                                <w:rPr>
                                  <w:rFonts w:ascii="Cambria Math" w:cs="Times New Roman" w:hAnsi="Cambria Math"/>
                                  <w:color w:val="0C0C0C"/>
                                  <w:sz w:val="24"/>
                                  <w:szCs w:val="24"/>
                                  <w:highlight w:val="none"/>
                                </w:rPr>
                                <m:t>Aj</m:t>
                              </m:r>
                            </m:sub>
                          </m:sSub>
                        </m:sup>
                      </m:sSup>
                    </m:e>
                  </m:d>
                </m:e>
              </m:d>
            </m:oMath>
          </w:p>
          <w:p>
            <w:pPr>
              <w:keepNext w:val="0"/>
              <w:keepLines w:val="0"/>
              <w:suppressLineNumbers w:val="0"/>
              <w:spacing w:before="0" w:beforeAutospacing="0" w:after="0" w:afterAutospacing="0" w:line="440" w:lineRule="exact"/>
              <w:ind w:left="0" w:right="0"/>
              <w:rPr>
                <w:sz w:val="24"/>
                <w:highlight w:val="none"/>
              </w:rPr>
            </w:pPr>
            <w:r>
              <w:rPr>
                <w:rFonts w:ascii="Times New Roman" w:cs="Times New Roman" w:hAnsi="Times New Roman"/>
                <w:sz w:val="24"/>
                <w:szCs w:val="20"/>
                <w:highlight w:val="none"/>
              </w:rPr>
              <w:t>式中：Leqg—建设项目声源在预测的产生的噪声贡献值，dB；</w:t>
            </w:r>
          </w:p>
          <w:p>
            <w:pPr>
              <w:keepNext w:val="0"/>
              <w:keepLines w:val="0"/>
              <w:suppressLineNumbers w:val="0"/>
              <w:spacing w:before="0" w:beforeAutospacing="0" w:after="0" w:afterAutospacing="0" w:line="440" w:lineRule="exact"/>
              <w:ind w:left="0" w:right="0" w:firstLineChars="300" w:firstLine="720"/>
              <w:rPr>
                <w:sz w:val="24"/>
                <w:highlight w:val="none"/>
              </w:rPr>
            </w:pPr>
            <w:r>
              <w:rPr>
                <w:rFonts w:ascii="Times New Roman" w:cs="Times New Roman" w:hAnsi="Times New Roman"/>
                <w:sz w:val="24"/>
                <w:szCs w:val="20"/>
                <w:highlight w:val="none"/>
              </w:rPr>
              <w:t>T—用于计算等效声级的时间，s；</w:t>
            </w:r>
          </w:p>
          <w:p>
            <w:pPr>
              <w:keepNext w:val="0"/>
              <w:keepLines w:val="0"/>
              <w:suppressLineNumbers w:val="0"/>
              <w:spacing w:before="0" w:beforeAutospacing="0" w:after="0" w:afterAutospacing="0" w:line="440" w:lineRule="exact"/>
              <w:ind w:left="0" w:right="0" w:firstLineChars="300" w:firstLine="720"/>
              <w:rPr>
                <w:rFonts w:eastAsia="宋体" w:hint="eastAsia"/>
                <w:sz w:val="24"/>
                <w:lang w:val="en-US" w:eastAsia="zh-CN"/>
                <w:highlight w:val="none"/>
              </w:rPr>
            </w:pPr>
            <w:r>
              <w:rPr>
                <w:rFonts w:ascii="Times New Roman" w:cs="Times New Roman" w:hAnsi="Times New Roman"/>
                <w:sz w:val="24"/>
                <w:szCs w:val="20"/>
                <w:highlight w:val="none"/>
              </w:rPr>
              <w:t>N—室外声源个数；</w:t>
            </w:r>
            <w:r>
              <w:rPr>
                <w:rFonts w:ascii="Times New Roman" w:cs="Times New Roman" w:hAnsi="Times New Roman" w:hint="eastAsia"/>
                <w:sz w:val="24"/>
                <w:szCs w:val="20"/>
                <w:lang w:val="en-US" w:eastAsia="zh-CN"/>
                <w:highlight w:val="none"/>
              </w:rPr>
              <w:t>1</w:t>
            </w:r>
          </w:p>
          <w:p>
            <w:pPr>
              <w:keepNext w:val="0"/>
              <w:keepLines w:val="0"/>
              <w:suppressLineNumbers w:val="0"/>
              <w:spacing w:before="0" w:beforeAutospacing="0" w:after="0" w:afterAutospacing="0" w:line="440" w:lineRule="exact"/>
              <w:ind w:left="0" w:right="0" w:firstLineChars="300" w:firstLine="720"/>
              <w:rPr>
                <w:sz w:val="24"/>
                <w:highlight w:val="none"/>
              </w:rPr>
            </w:pPr>
            <w:r>
              <w:rPr>
                <w:rFonts w:ascii="Times New Roman" w:cs="Times New Roman" w:hAnsi="Times New Roman"/>
                <w:sz w:val="24"/>
                <w:szCs w:val="20"/>
                <w:highlight w:val="none"/>
              </w:rPr>
              <w:t>ti—在T时间内i声源内工作时间，s；</w:t>
            </w:r>
          </w:p>
          <w:p>
            <w:pPr>
              <w:keepNext w:val="0"/>
              <w:keepLines w:val="0"/>
              <w:suppressLineNumbers w:val="0"/>
              <w:spacing w:before="0" w:beforeAutospacing="0" w:after="0" w:afterAutospacing="0" w:line="440" w:lineRule="exact"/>
              <w:ind w:left="0" w:right="0" w:firstLineChars="300" w:firstLine="720"/>
              <w:rPr>
                <w:sz w:val="24"/>
                <w:highlight w:val="none"/>
              </w:rPr>
            </w:pPr>
            <w:r>
              <w:rPr>
                <w:rFonts w:ascii="Times New Roman" w:cs="Times New Roman" w:hAnsi="Times New Roman"/>
                <w:sz w:val="24"/>
                <w:szCs w:val="20"/>
                <w:highlight w:val="none"/>
              </w:rPr>
              <w:t>M—等效室外声源个数；</w:t>
            </w:r>
          </w:p>
          <w:p>
            <w:pPr>
              <w:keepNext w:val="0"/>
              <w:keepLines w:val="0"/>
              <w:suppressLineNumbers w:val="0"/>
              <w:spacing w:before="0" w:beforeAutospacing="0" w:after="0" w:afterAutospacing="0" w:line="440" w:lineRule="exact"/>
              <w:ind w:left="0" w:right="0" w:firstLineChars="300" w:firstLine="720"/>
              <w:rPr>
                <w:sz w:val="24"/>
                <w:highlight w:val="none"/>
              </w:rPr>
            </w:pPr>
            <w:r>
              <w:rPr>
                <w:rFonts w:ascii="Times New Roman" w:cs="Times New Roman" w:hAnsi="Times New Roman"/>
                <w:sz w:val="24"/>
                <w:szCs w:val="20"/>
                <w:highlight w:val="none"/>
              </w:rPr>
              <w:t>ti—在T时间内j声源内工作时间，s；</w:t>
            </w:r>
          </w:p>
          <w:p>
            <w:pPr>
              <w:keepNext w:val="0"/>
              <w:keepLines w:val="0"/>
              <w:suppressLineNumbers w:val="0"/>
              <w:tabs>
                <w:tab w:val="left" w:pos="8370"/>
                <w:tab w:val="left" w:pos="8600"/>
              </w:tabs>
              <w:spacing w:before="0" w:beforeAutospacing="0" w:after="0" w:afterAutospacing="0" w:line="440" w:lineRule="exact"/>
              <w:ind w:left="0" w:right="0" w:firstLineChars="200" w:firstLine="480"/>
              <w:rPr>
                <w:rFonts w:hint="eastAsia"/>
                <w:sz w:val="24"/>
                <w:u w:val="single"/>
                <w:highlight w:val="none"/>
              </w:rPr>
            </w:pPr>
            <w:r>
              <w:rPr>
                <w:rFonts w:ascii="Times New Roman" w:cs="Times New Roman" w:hAnsi="Times New Roman"/>
                <w:sz w:val="24"/>
                <w:szCs w:val="20"/>
                <w:u w:val="single"/>
                <w:highlight w:val="none"/>
              </w:rPr>
              <w:t>根据本</w:t>
            </w:r>
            <w:r>
              <w:rPr>
                <w:rFonts w:ascii="Times New Roman" w:cs="Times New Roman" w:hAnsi="Times New Roman" w:hint="eastAsia"/>
                <w:sz w:val="24"/>
                <w:szCs w:val="20"/>
                <w:u w:val="single"/>
                <w:highlight w:val="none"/>
              </w:rPr>
              <w:t>项目</w:t>
            </w:r>
            <w:r>
              <w:rPr>
                <w:rFonts w:ascii="Times New Roman" w:cs="Times New Roman" w:hAnsi="Times New Roman"/>
                <w:sz w:val="24"/>
                <w:szCs w:val="20"/>
                <w:u w:val="single"/>
                <w:highlight w:val="none"/>
              </w:rPr>
              <w:t>噪声源的分布，对项目四周厂界噪声</w:t>
            </w:r>
            <w:r>
              <w:rPr>
                <w:rFonts w:ascii="Times New Roman" w:cs="Times New Roman" w:hAnsi="Times New Roman" w:hint="eastAsia"/>
                <w:sz w:val="24"/>
                <w:szCs w:val="20"/>
                <w:u w:val="single"/>
                <w:highlight w:val="none"/>
              </w:rPr>
              <w:t>贡献值</w:t>
            </w:r>
            <w:r>
              <w:rPr>
                <w:rFonts w:ascii="Times New Roman" w:cs="Times New Roman" w:hAnsi="Times New Roman"/>
                <w:sz w:val="24"/>
                <w:szCs w:val="20"/>
                <w:u w:val="single"/>
                <w:highlight w:val="none"/>
              </w:rPr>
              <w:t>进行计算，</w:t>
            </w:r>
            <w:r>
              <w:rPr>
                <w:rFonts w:ascii="Times New Roman" w:cs="Times New Roman" w:hAnsi="Times New Roman" w:hint="eastAsia"/>
                <w:sz w:val="24"/>
                <w:szCs w:val="20"/>
                <w:u w:val="single"/>
                <w:highlight w:val="none"/>
              </w:rPr>
              <w:t>本次评价</w:t>
            </w:r>
            <w:r>
              <w:rPr>
                <w:rFonts w:ascii="Times New Roman" w:cs="Times New Roman" w:hAnsi="Times New Roman"/>
                <w:sz w:val="24"/>
                <w:szCs w:val="20"/>
                <w:u w:val="single"/>
                <w:highlight w:val="none"/>
              </w:rPr>
              <w:t>厂界噪声的预测结果</w:t>
            </w:r>
            <w:r>
              <w:rPr>
                <w:rFonts w:ascii="Times New Roman" w:cs="Times New Roman" w:hAnsi="Times New Roman"/>
                <w:sz w:val="24"/>
                <w:szCs w:val="20"/>
                <w:u w:val="single"/>
              </w:rPr>
              <w:t>见</w:t>
            </w:r>
            <w:r>
              <w:rPr>
                <w:rFonts w:ascii="Times New Roman" w:cs="Times New Roman" w:hAnsi="Times New Roman" w:hint="eastAsia"/>
                <w:color w:val="auto"/>
                <w:sz w:val="24"/>
                <w:szCs w:val="20"/>
                <w:u w:val="single"/>
                <w:lang w:val="en-US" w:eastAsia="zh-CN"/>
              </w:rPr>
              <w:t>下表</w:t>
            </w:r>
            <w:r>
              <w:rPr>
                <w:rFonts w:ascii="Times New Roman" w:cs="Times New Roman" w:hAnsi="Times New Roman" w:hint="eastAsia"/>
                <w:color w:val="auto"/>
                <w:sz w:val="24"/>
                <w:szCs w:val="20"/>
                <w:u w:val="single"/>
                <w:lang w:eastAsia="zh-CN"/>
              </w:rPr>
              <w:t>：</w:t>
            </w:r>
          </w:p>
          <w:p>
            <w:pPr>
              <w:pStyle w:val="75"/>
              <w:keepNext/>
              <w:keepLines w:val="0"/>
              <w:suppressLineNumbers w:val="0"/>
              <w:bidi w:val="0"/>
              <w:spacing w:before="0" w:beforeAutospacing="0" w:after="0" w:afterAutospacing="0"/>
              <w:ind w:left="0" w:right="0" w:firstLine="420"/>
              <w:rPr>
                <w:u w:val="single"/>
              </w:rPr>
            </w:pPr>
            <w:r>
              <w:rPr>
                <w:rFonts w:ascii="Times New Roman" w:cs="Times New Roman" w:hAnsi="Times New Roman" w:hint="eastAsia"/>
                <w:sz w:val="24"/>
                <w:szCs w:val="20"/>
                <w:u w:val="single"/>
                <w:lang w:val="en-US" w:eastAsia="zh-CN"/>
              </w:rPr>
              <w:t xml:space="preserve">  </w:t>
            </w:r>
            <w:r>
              <w:rPr>
                <w:rFonts w:ascii="Times New Roman" w:cs="Times New Roman" w:hAnsi="Times New Roman" w:hint="eastAsia"/>
                <w:sz w:val="24"/>
                <w:szCs w:val="20"/>
                <w:u w:val="single"/>
              </w:rPr>
              <w:t>各厂界噪声预测值</w:t>
            </w:r>
            <w:r>
              <w:rPr>
                <w:rFonts w:ascii="Times New Roman" w:cs="Times New Roman" w:hAnsi="Times New Roman" w:hint="eastAsia"/>
                <w:sz w:val="24"/>
                <w:szCs w:val="20"/>
                <w:u w:val="single"/>
                <w:lang w:val="en-US" w:eastAsia="zh-CN"/>
              </w:rPr>
              <w:t xml:space="preserve">  </w:t>
            </w:r>
            <w:r>
              <w:rPr>
                <w:rFonts w:ascii="Times New Roman" w:cs="Times New Roman" w:hAnsi="Times New Roman"/>
                <w:sz w:val="24"/>
                <w:szCs w:val="20"/>
                <w:u w:val="single"/>
              </w:rPr>
              <w:t>单位：dB（A）</w:t>
            </w:r>
          </w:p>
          <w:tbl>
            <w:tblPr>
              <w:jc w:val="center"/>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701"/>
              <w:gridCol w:w="1722"/>
              <w:gridCol w:w="1278"/>
              <w:gridCol w:w="1455"/>
              <w:gridCol w:w="1125"/>
              <w:gridCol w:w="1353"/>
            </w:tblGrid>
            <w:tr>
              <w:trPr>
                <w:trHeight w:val="397"/>
              </w:trPr>
              <w:tc>
                <w:tcPr>
                  <w:tcW w:w="1701"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eastAsia="宋体" w:hint="eastAsia"/>
                      <w:b/>
                      <w:sz w:val="21"/>
                      <w:szCs w:val="21"/>
                      <w:lang w:eastAsia="zh-CN"/>
                      <w:highlight w:val="none"/>
                    </w:rPr>
                  </w:pPr>
                  <w:r>
                    <w:rPr>
                      <w:rFonts w:ascii="Times New Roman" w:cs="Times New Roman" w:hAnsi="宋体" w:hint="eastAsia"/>
                      <w:b/>
                      <w:sz w:val="21"/>
                      <w:szCs w:val="21"/>
                      <w:lang w:val="en-US" w:eastAsia="zh-CN"/>
                      <w:highlight w:val="none"/>
                    </w:rPr>
                    <w:t>点位</w:t>
                  </w:r>
                </w:p>
              </w:tc>
              <w:tc>
                <w:tcPr>
                  <w:tcW w:w="1722"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b/>
                      <w:sz w:val="21"/>
                      <w:szCs w:val="21"/>
                      <w:highlight w:val="none"/>
                    </w:rPr>
                  </w:pPr>
                  <w:r>
                    <w:rPr>
                      <w:rFonts w:ascii="Times New Roman" w:cs="Times New Roman" w:hAnsi="宋体" w:hint="eastAsia"/>
                      <w:b/>
                      <w:sz w:val="21"/>
                      <w:szCs w:val="21"/>
                      <w:lang w:val="en-US" w:eastAsia="zh-CN"/>
                      <w:highlight w:val="none"/>
                    </w:rPr>
                    <w:t>噪声源</w:t>
                  </w:r>
                </w:p>
              </w:tc>
              <w:tc>
                <w:tcPr>
                  <w:tcW w:w="1278"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eastAsia="宋体" w:hint="eastAsia"/>
                      <w:b/>
                      <w:sz w:val="21"/>
                      <w:szCs w:val="21"/>
                      <w:lang w:eastAsia="zh-CN"/>
                      <w:highlight w:val="none"/>
                    </w:rPr>
                  </w:pPr>
                  <w:r>
                    <w:rPr>
                      <w:rFonts w:ascii="Times New Roman" w:cs="Times New Roman" w:hAnsi="宋体" w:hint="eastAsia"/>
                      <w:b/>
                      <w:sz w:val="21"/>
                      <w:szCs w:val="21"/>
                      <w:lang w:val="en-US" w:eastAsia="zh-CN"/>
                      <w:highlight w:val="none"/>
                    </w:rPr>
                    <w:t>声功率级</w:t>
                  </w:r>
                  <w:r>
                    <w:rPr>
                      <w:rFonts w:ascii="Times New Roman" w:cs="Times New Roman" w:hAnsi="Times New Roman" w:hint="eastAsia"/>
                      <w:b/>
                      <w:bCs w:val="0"/>
                      <w:sz w:val="21"/>
                      <w:szCs w:val="21"/>
                      <w:vertAlign w:val="baseline"/>
                      <w:lang w:val="en-US" w:eastAsia="zh-CN"/>
                      <w:highlight w:val="none"/>
                    </w:rPr>
                    <w:t>/dB（A）</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eastAsia="宋体"/>
                      <w:b/>
                      <w:sz w:val="21"/>
                      <w:szCs w:val="21"/>
                      <w:lang w:val="en-US" w:eastAsia="zh-CN"/>
                      <w:highlight w:val="none"/>
                    </w:rPr>
                  </w:pPr>
                  <w:r>
                    <w:rPr>
                      <w:rFonts w:ascii="Times New Roman" w:cs="Times New Roman" w:hAnsi="宋体" w:hint="eastAsia"/>
                      <w:b/>
                      <w:sz w:val="21"/>
                      <w:szCs w:val="21"/>
                      <w:lang w:val="en-US" w:eastAsia="zh-CN"/>
                      <w:highlight w:val="none"/>
                    </w:rPr>
                    <w:t>与厂界距离（m）</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b/>
                      <w:sz w:val="21"/>
                      <w:szCs w:val="21"/>
                      <w:highlight w:val="none"/>
                    </w:rPr>
                  </w:pPr>
                  <w:r>
                    <w:rPr>
                      <w:rFonts w:ascii="Times New Roman" w:cs="Times New Roman" w:hAnsi="宋体" w:hint="eastAsia"/>
                      <w:b/>
                      <w:sz w:val="21"/>
                      <w:szCs w:val="21"/>
                      <w:lang w:val="en-US" w:eastAsia="zh-CN"/>
                      <w:highlight w:val="none"/>
                    </w:rPr>
                    <w:t>贡献值</w:t>
                  </w:r>
                  <w:r>
                    <w:rPr>
                      <w:rFonts w:ascii="Times New Roman" w:cs="Times New Roman" w:hAnsi="Times New Roman" w:hint="eastAsia"/>
                      <w:b/>
                      <w:bCs w:val="0"/>
                      <w:sz w:val="21"/>
                      <w:szCs w:val="21"/>
                      <w:vertAlign w:val="baseline"/>
                      <w:lang w:val="en-US" w:eastAsia="zh-CN"/>
                      <w:highlight w:val="none"/>
                    </w:rPr>
                    <w:t>/dB（A）</w:t>
                  </w:r>
                </w:p>
              </w:tc>
              <w:tc>
                <w:tcPr>
                  <w:tcW w:w="1353"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hAnsi="宋体" w:hint="eastAsia"/>
                      <w:b/>
                      <w:sz w:val="21"/>
                      <w:szCs w:val="21"/>
                      <w:lang w:val="en-US" w:eastAsia="zh-CN"/>
                      <w:highlight w:val="none"/>
                    </w:rPr>
                  </w:pPr>
                  <w:r>
                    <w:rPr>
                      <w:rFonts w:ascii="Times New Roman" w:cs="Times New Roman" w:hAnsi="宋体" w:hint="eastAsia"/>
                      <w:b/>
                      <w:sz w:val="21"/>
                      <w:szCs w:val="21"/>
                      <w:lang w:val="en-US" w:eastAsia="zh-CN"/>
                      <w:highlight w:val="none"/>
                    </w:rPr>
                    <w:t>预测值</w:t>
                  </w:r>
                  <w:r>
                    <w:rPr>
                      <w:rFonts w:ascii="Times New Roman" w:cs="Times New Roman" w:hAnsi="Times New Roman" w:hint="eastAsia"/>
                      <w:b/>
                      <w:bCs w:val="0"/>
                      <w:sz w:val="21"/>
                      <w:szCs w:val="21"/>
                      <w:vertAlign w:val="baseline"/>
                      <w:lang w:val="en-US" w:eastAsia="zh-CN"/>
                      <w:highlight w:val="none"/>
                    </w:rPr>
                    <w:t>/dB（A）</w:t>
                  </w:r>
                </w:p>
              </w:tc>
            </w:tr>
            <w:tr>
              <w:trPr>
                <w:trHeight w:val="397"/>
              </w:trPr>
              <w:tc>
                <w:tcPr>
                  <w:tcW w:w="1701" w:type="dxa"/>
                  <w:vMerge w:val="restart"/>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eastAsia="宋体" w:hAnsi="宋体" w:hint="eastAsia"/>
                      <w:b/>
                      <w:sz w:val="21"/>
                      <w:szCs w:val="21"/>
                      <w:lang w:val="en-US" w:eastAsia="zh-CN"/>
                      <w:highlight w:val="none"/>
                    </w:rPr>
                  </w:pPr>
                  <w:r>
                    <w:rPr>
                      <w:rFonts w:ascii="Times New Roman" w:cs="Times New Roman" w:hAnsi="Times New Roman" w:hint="eastAsia"/>
                      <w:sz w:val="21"/>
                      <w:szCs w:val="21"/>
                      <w:lang w:val="en-US" w:eastAsia="zh-CN"/>
                      <w:highlight w:val="none"/>
                    </w:rPr>
                    <w:t>东厂界</w:t>
                  </w: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Ansi="宋体"/>
                      <w:b w:val="0"/>
                      <w:bCs/>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1</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eastAsia="宋体" w:hAnsi="宋体"/>
                      <w:b w:val="0"/>
                      <w:bCs/>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eastAsia="宋体" w:hAnsi="宋体"/>
                      <w:b w:val="0"/>
                      <w:bCs/>
                      <w:sz w:val="21"/>
                      <w:szCs w:val="21"/>
                      <w:lang w:val="en-US" w:eastAsia="zh-CN"/>
                      <w:highlight w:val="none"/>
                    </w:rPr>
                  </w:pPr>
                  <w:r>
                    <w:rPr>
                      <w:rFonts w:ascii="Times New Roman" w:cs="Times New Roman" w:hAnsi="宋体" w:hint="eastAsia"/>
                      <w:b w:val="0"/>
                      <w:bCs/>
                      <w:sz w:val="21"/>
                      <w:szCs w:val="21"/>
                      <w:lang w:val="en-US" w:eastAsia="zh-CN"/>
                      <w:highlight w:val="none"/>
                    </w:rPr>
                    <w:t>54</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hAnsi="宋体"/>
                      <w:b w:val="0"/>
                      <w:bCs/>
                      <w:sz w:val="21"/>
                      <w:szCs w:val="21"/>
                      <w:lang w:val="en-US" w:eastAsia="zh-CN"/>
                      <w:highlight w:val="none"/>
                    </w:rPr>
                  </w:pPr>
                  <w:r>
                    <w:rPr>
                      <w:rFonts w:ascii="Times New Roman" w:cs="Times New Roman" w:hAnsi="宋体" w:hint="eastAsia"/>
                      <w:b w:val="0"/>
                      <w:bCs/>
                      <w:sz w:val="21"/>
                      <w:szCs w:val="21"/>
                      <w:lang w:val="en-US" w:eastAsia="zh-CN"/>
                      <w:highlight w:val="none"/>
                    </w:rPr>
                    <w:t>27.4</w:t>
                  </w:r>
                </w:p>
              </w:tc>
              <w:tc>
                <w:tcPr>
                  <w:tcW w:w="1353" w:type="dxa"/>
                  <w:vMerge w:val="restart"/>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hAnsi="宋体"/>
                      <w:b w:val="0"/>
                      <w:bCs/>
                      <w:sz w:val="21"/>
                      <w:szCs w:val="21"/>
                      <w:lang w:val="en-US" w:eastAsia="zh-CN"/>
                      <w:highlight w:val="none"/>
                    </w:rPr>
                  </w:pPr>
                  <w:r>
                    <w:rPr>
                      <w:rFonts w:ascii="Times New Roman" w:cs="Times New Roman" w:hAnsi="宋体" w:hint="eastAsia"/>
                      <w:b w:val="0"/>
                      <w:bCs/>
                      <w:sz w:val="21"/>
                      <w:szCs w:val="21"/>
                      <w:lang w:val="en-US" w:eastAsia="zh-CN"/>
                      <w:highlight w:val="none"/>
                    </w:rPr>
                    <w:t>39.6</w:t>
                  </w: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2</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54</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27.4</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3</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54</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27.4</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4</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24.9</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34.1</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cs="Times New Roman" w:hAnsi="Times New Roman" w:hint="eastAsia"/>
                      <w:color w:val="000000"/>
                      <w:kern w:val="0"/>
                      <w:sz w:val="21"/>
                      <w:szCs w:val="21"/>
                      <w:lang w:val="en-US" w:eastAsia="zh-CN"/>
                    </w:rPr>
                    <w:t>加油机5</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b w:val="0"/>
                      <w:bCs w:val="0"/>
                      <w:sz w:val="21"/>
                      <w:szCs w:val="21"/>
                      <w:vertAlign w:val="baseline"/>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25</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34.0</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cs="Times New Roman" w:hAnsi="Times New Roman" w:hint="eastAsia"/>
                      <w:color w:val="000000"/>
                      <w:kern w:val="0"/>
                      <w:sz w:val="21"/>
                      <w:szCs w:val="21"/>
                      <w:lang w:val="en-US" w:eastAsia="zh-CN"/>
                    </w:rPr>
                    <w:t>加油机6</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b w:val="0"/>
                      <w:bCs w:val="0"/>
                      <w:sz w:val="21"/>
                      <w:szCs w:val="21"/>
                      <w:vertAlign w:val="baseline"/>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26</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33.7</w:t>
                  </w:r>
                </w:p>
              </w:tc>
              <w:tc>
                <w:tcPr>
                  <w:tcW w:w="1353" w:type="dxa"/>
                  <w:vMerge/>
                  <w:tcBorders>
                    <w:tl2br w:val="nil"/>
                    <w:tr2bl w:val="nil"/>
                  </w:tcBorders>
                  <w:vAlign w:val="center"/>
                </w:tcPr>
                <w:p/>
              </w:tc>
            </w:tr>
            <w:tr>
              <w:trPr>
                <w:trHeight w:val="397"/>
              </w:trPr>
              <w:tc>
                <w:tcPr>
                  <w:tcW w:w="1701" w:type="dxa"/>
                  <w:vMerge w:val="restart"/>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hint="eastAsia"/>
                      <w:sz w:val="21"/>
                      <w:szCs w:val="21"/>
                      <w:lang w:val="en-US" w:eastAsia="zh-CN"/>
                      <w:highlight w:val="none"/>
                    </w:rPr>
                  </w:pPr>
                  <w:r>
                    <w:rPr>
                      <w:rFonts w:ascii="Times New Roman" w:cs="Times New Roman" w:hAnsi="Times New Roman" w:hint="eastAsia"/>
                      <w:sz w:val="21"/>
                      <w:szCs w:val="21"/>
                      <w:lang w:val="en-US" w:eastAsia="zh-CN"/>
                      <w:highlight w:val="none"/>
                    </w:rPr>
                    <w:t>南厂界</w:t>
                  </w: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1</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26</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33.7</w:t>
                  </w:r>
                </w:p>
              </w:tc>
              <w:tc>
                <w:tcPr>
                  <w:tcW w:w="1353" w:type="dxa"/>
                  <w:vMerge w:val="restart"/>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44.0</w:t>
                  </w: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2</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17</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37.4</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3</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12</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40.4</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4</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32</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31.9</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cs="Times New Roman" w:hAnsi="Times New Roman" w:hint="eastAsia"/>
                      <w:color w:val="000000"/>
                      <w:kern w:val="0"/>
                      <w:sz w:val="21"/>
                      <w:szCs w:val="21"/>
                      <w:lang w:val="en-US" w:eastAsia="zh-CN"/>
                    </w:rPr>
                    <w:t>加油机5</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b w:val="0"/>
                      <w:bCs w:val="0"/>
                      <w:sz w:val="21"/>
                      <w:szCs w:val="21"/>
                      <w:vertAlign w:val="baseline"/>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29</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32.8</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cs="Times New Roman" w:hAnsi="Times New Roman" w:hint="eastAsia"/>
                      <w:color w:val="000000"/>
                      <w:kern w:val="0"/>
                      <w:sz w:val="21"/>
                      <w:szCs w:val="21"/>
                      <w:lang w:val="en-US" w:eastAsia="zh-CN"/>
                    </w:rPr>
                    <w:t>加油机6</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b w:val="0"/>
                      <w:bCs w:val="0"/>
                      <w:sz w:val="21"/>
                      <w:szCs w:val="21"/>
                      <w:vertAlign w:val="baseline"/>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24</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34.4</w:t>
                  </w:r>
                </w:p>
              </w:tc>
              <w:tc>
                <w:tcPr>
                  <w:tcW w:w="1353" w:type="dxa"/>
                  <w:vMerge/>
                  <w:tcBorders>
                    <w:tl2br w:val="nil"/>
                    <w:tr2bl w:val="nil"/>
                  </w:tcBorders>
                  <w:vAlign w:val="center"/>
                </w:tcPr>
                <w:p/>
              </w:tc>
            </w:tr>
            <w:tr>
              <w:trPr>
                <w:trHeight w:val="397"/>
              </w:trPr>
              <w:tc>
                <w:tcPr>
                  <w:tcW w:w="1701" w:type="dxa"/>
                  <w:vMerge w:val="restart"/>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hint="eastAsia"/>
                      <w:sz w:val="21"/>
                      <w:szCs w:val="21"/>
                      <w:lang w:val="en-US" w:eastAsia="zh-CN"/>
                      <w:highlight w:val="none"/>
                    </w:rPr>
                  </w:pPr>
                  <w:r>
                    <w:rPr>
                      <w:rFonts w:ascii="Times New Roman" w:cs="Times New Roman" w:hAnsi="Times New Roman" w:hint="eastAsia"/>
                      <w:sz w:val="21"/>
                      <w:szCs w:val="21"/>
                      <w:lang w:val="en-US" w:eastAsia="zh-CN"/>
                      <w:highlight w:val="none"/>
                    </w:rPr>
                    <w:t>西厂界</w:t>
                  </w: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1</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27</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33.4</w:t>
                  </w:r>
                </w:p>
              </w:tc>
              <w:tc>
                <w:tcPr>
                  <w:tcW w:w="1353" w:type="dxa"/>
                  <w:vMerge w:val="restart"/>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39.0</w:t>
                  </w: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2</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27</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33.4</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3</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27</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33.4</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4</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57.5</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26.8</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cs="Times New Roman" w:hAnsi="Times New Roman" w:hint="eastAsia"/>
                      <w:color w:val="000000"/>
                      <w:kern w:val="0"/>
                      <w:sz w:val="21"/>
                      <w:szCs w:val="21"/>
                      <w:lang w:val="en-US" w:eastAsia="zh-CN"/>
                    </w:rPr>
                    <w:t>加油机5</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b w:val="0"/>
                      <w:bCs w:val="0"/>
                      <w:sz w:val="21"/>
                      <w:szCs w:val="21"/>
                      <w:vertAlign w:val="baseline"/>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57</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26.9</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shd w:val="clear" w:color="auto" w:fill="auto"/>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bidi="ar-SA"/>
                    </w:rPr>
                  </w:pPr>
                  <w:r>
                    <w:rPr>
                      <w:rFonts w:ascii="Times New Roman" w:cs="Times New Roman" w:hAnsi="Times New Roman" w:hint="eastAsia"/>
                      <w:color w:val="000000"/>
                      <w:kern w:val="0"/>
                      <w:sz w:val="21"/>
                      <w:szCs w:val="21"/>
                      <w:lang w:val="en-US" w:eastAsia="zh-CN"/>
                    </w:rPr>
                    <w:t>加油机6</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b w:val="0"/>
                      <w:bCs w:val="0"/>
                      <w:sz w:val="21"/>
                      <w:szCs w:val="21"/>
                      <w:vertAlign w:val="baseline"/>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57.5</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26.8</w:t>
                  </w:r>
                </w:p>
              </w:tc>
              <w:tc>
                <w:tcPr>
                  <w:tcW w:w="1353" w:type="dxa"/>
                  <w:vMerge/>
                  <w:tcBorders>
                    <w:tl2br w:val="nil"/>
                    <w:tr2bl w:val="nil"/>
                  </w:tcBorders>
                  <w:vAlign w:val="center"/>
                </w:tcPr>
                <w:p/>
              </w:tc>
            </w:tr>
            <w:tr>
              <w:trPr>
                <w:trHeight w:val="397"/>
              </w:trPr>
              <w:tc>
                <w:tcPr>
                  <w:tcW w:w="1701" w:type="dxa"/>
                  <w:vMerge w:val="restart"/>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rFonts w:hint="eastAsia"/>
                      <w:sz w:val="21"/>
                      <w:szCs w:val="21"/>
                      <w:lang w:val="en-US" w:eastAsia="zh-CN"/>
                      <w:highlight w:val="none"/>
                    </w:rPr>
                  </w:pPr>
                  <w:r>
                    <w:rPr>
                      <w:rFonts w:ascii="Times New Roman" w:cs="Times New Roman" w:hAnsi="Times New Roman" w:hint="eastAsia"/>
                      <w:sz w:val="21"/>
                      <w:szCs w:val="21"/>
                      <w:lang w:val="en-US" w:eastAsia="zh-CN"/>
                      <w:highlight w:val="none"/>
                    </w:rPr>
                    <w:t>北厂界</w:t>
                  </w: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1</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10</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42</w:t>
                  </w:r>
                </w:p>
              </w:tc>
              <w:tc>
                <w:tcPr>
                  <w:tcW w:w="1353" w:type="dxa"/>
                  <w:vMerge w:val="restart"/>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47.4</w:t>
                  </w: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2</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19</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36.4</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3</w:t>
                  </w:r>
                </w:p>
              </w:tc>
              <w:tc>
                <w:tcPr>
                  <w:tcW w:w="127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24</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34.4</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eastAsia"/>
                      <w:sz w:val="21"/>
                      <w:szCs w:val="21"/>
                      <w:lang w:val="en-US" w:eastAsia="zh-CN"/>
                      <w:highlight w:val="none"/>
                    </w:rPr>
                  </w:pPr>
                  <w:r>
                    <w:rPr>
                      <w:rFonts w:ascii="Times New Roman" w:eastAsia="宋体" w:cs="Times New Roman" w:hAnsi="Times New Roman"/>
                      <w:color w:val="000000"/>
                      <w:kern w:val="0"/>
                      <w:sz w:val="21"/>
                      <w:szCs w:val="21"/>
                    </w:rPr>
                    <w:t>加油机</w:t>
                  </w:r>
                  <w:r>
                    <w:rPr>
                      <w:rFonts w:ascii="Times New Roman" w:cs="Times New Roman" w:hAnsi="Times New Roman" w:hint="eastAsia"/>
                      <w:color w:val="000000"/>
                      <w:kern w:val="0"/>
                      <w:sz w:val="21"/>
                      <w:szCs w:val="21"/>
                      <w:lang w:val="en-US" w:eastAsia="zh-CN"/>
                    </w:rPr>
                    <w:t>4</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sz w:val="21"/>
                      <w:szCs w:val="21"/>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9.6</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42.4</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rPr>
                  </w:pPr>
                  <w:r>
                    <w:rPr>
                      <w:rFonts w:ascii="Times New Roman" w:cs="Times New Roman" w:hAnsi="Times New Roman" w:hint="eastAsia"/>
                      <w:color w:val="000000"/>
                      <w:kern w:val="0"/>
                      <w:sz w:val="21"/>
                      <w:szCs w:val="21"/>
                      <w:lang w:val="en-US" w:eastAsia="zh-CN"/>
                    </w:rPr>
                    <w:t>加油机5</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b w:val="0"/>
                      <w:bCs w:val="0"/>
                      <w:sz w:val="21"/>
                      <w:szCs w:val="21"/>
                      <w:vertAlign w:val="baseline"/>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12.6</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40.0</w:t>
                  </w:r>
                </w:p>
              </w:tc>
              <w:tc>
                <w:tcPr>
                  <w:tcW w:w="1353" w:type="dxa"/>
                  <w:vMerge/>
                  <w:tcBorders>
                    <w:tl2br w:val="nil"/>
                    <w:tr2bl w:val="nil"/>
                  </w:tcBorders>
                  <w:vAlign w:val="center"/>
                </w:tcPr>
                <w:p/>
              </w:tc>
            </w:tr>
            <w:tr>
              <w:trPr>
                <w:trHeight w:val="397"/>
              </w:trPr>
              <w:tc>
                <w:tcPr>
                  <w:tcW w:w="1701" w:type="dxa"/>
                  <w:vMerge/>
                  <w:tcBorders>
                    <w:tl2br w:val="nil"/>
                    <w:tr2bl w:val="nil"/>
                  </w:tcBorders>
                  <w:vAlign w:val="center"/>
                </w:tcPr>
                <w:p/>
              </w:tc>
              <w:tc>
                <w:tcPr>
                  <w:tcW w:w="1722"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color w:val="000000"/>
                      <w:kern w:val="0"/>
                      <w:sz w:val="21"/>
                      <w:szCs w:val="21"/>
                      <w:lang w:val="en-US" w:eastAsia="zh-CN"/>
                    </w:rPr>
                  </w:pPr>
                  <w:r>
                    <w:rPr>
                      <w:rFonts w:ascii="Times New Roman" w:cs="Times New Roman" w:hAnsi="Times New Roman" w:hint="eastAsia"/>
                      <w:color w:val="000000"/>
                      <w:kern w:val="0"/>
                      <w:sz w:val="21"/>
                      <w:szCs w:val="21"/>
                      <w:lang w:val="en-US" w:eastAsia="zh-CN"/>
                    </w:rPr>
                    <w:t>加油机6</w:t>
                  </w:r>
                </w:p>
              </w:tc>
              <w:tc>
                <w:tcPr>
                  <w:tcW w:w="1278" w:type="dxa"/>
                  <w:tcBorders>
                    <w:tl2br w:val="nil"/>
                    <w:tr2bl w:val="nil"/>
                  </w:tcBorders>
                  <w:vAlign w:val="center"/>
                </w:tcPr>
                <w:p>
                  <w:pPr>
                    <w:keepNext w:val="0"/>
                    <w:keepLines w:val="0"/>
                    <w:suppressLineNumbers w:val="0"/>
                    <w:spacing w:before="0" w:beforeAutospacing="0" w:after="0" w:afterAutospacing="0"/>
                    <w:ind w:left="0" w:right="0"/>
                    <w:jc w:val="center"/>
                    <w:rPr>
                      <w:rFonts w:hint="eastAsia"/>
                      <w:b w:val="0"/>
                      <w:bCs w:val="0"/>
                      <w:sz w:val="21"/>
                      <w:szCs w:val="21"/>
                      <w:vertAlign w:val="baseline"/>
                      <w:lang w:val="en-US" w:eastAsia="zh-CN"/>
                      <w:highlight w:val="none"/>
                    </w:rPr>
                  </w:pPr>
                  <w:r>
                    <w:rPr>
                      <w:rFonts w:ascii="Times New Roman" w:cs="Times New Roman" w:hAnsi="Times New Roman" w:hint="eastAsia"/>
                      <w:b w:val="0"/>
                      <w:bCs w:val="0"/>
                      <w:sz w:val="21"/>
                      <w:szCs w:val="21"/>
                      <w:vertAlign w:val="baseline"/>
                      <w:lang w:val="en-US" w:eastAsia="zh-CN"/>
                      <w:highlight w:val="none"/>
                    </w:rPr>
                    <w:t>70</w:t>
                  </w:r>
                </w:p>
              </w:tc>
              <w:tc>
                <w:tcPr>
                  <w:tcW w:w="145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17.6</w:t>
                  </w:r>
                </w:p>
              </w:tc>
              <w:tc>
                <w:tcPr>
                  <w:tcW w:w="1125" w:type="dxa"/>
                  <w:tcBorders>
                    <w:tl2br w:val="nil"/>
                    <w:tr2bl w:val="nil"/>
                  </w:tcBorders>
                  <w:vAlign w:val="center"/>
                </w:tcPr>
                <w:p>
                  <w:pPr>
                    <w:keepNext w:val="0"/>
                    <w:keepLines w:val="0"/>
                    <w:suppressLineNumbers w:val="0"/>
                    <w:tabs>
                      <w:tab w:val="left" w:pos="8370"/>
                      <w:tab w:val="left" w:pos="8600"/>
                    </w:tabs>
                    <w:spacing w:before="0" w:beforeAutospacing="0" w:after="0" w:afterAutospacing="0"/>
                    <w:ind w:left="0" w:right="0"/>
                    <w:jc w:val="center"/>
                    <w:rPr>
                      <w:sz w:val="21"/>
                      <w:szCs w:val="21"/>
                      <w:lang w:val="en-US" w:eastAsia="zh-CN"/>
                      <w:highlight w:val="none"/>
                    </w:rPr>
                  </w:pPr>
                  <w:r>
                    <w:rPr>
                      <w:rFonts w:ascii="Times New Roman" w:cs="Times New Roman" w:hAnsi="Times New Roman" w:hint="eastAsia"/>
                      <w:sz w:val="21"/>
                      <w:szCs w:val="21"/>
                      <w:lang w:val="en-US" w:eastAsia="zh-CN"/>
                      <w:highlight w:val="none"/>
                    </w:rPr>
                    <w:t>37.1</w:t>
                  </w:r>
                </w:p>
              </w:tc>
              <w:tc>
                <w:tcPr>
                  <w:tcW w:w="1353" w:type="dxa"/>
                  <w:vMerge/>
                  <w:tcBorders>
                    <w:tl2br w:val="nil"/>
                    <w:tr2bl w:val="nil"/>
                  </w:tcBorders>
                  <w:vAlign w:val="center"/>
                </w:tcPr>
                <w:p/>
              </w:tc>
            </w:tr>
          </w:tbl>
          <w:p>
            <w:pPr>
              <w:keepNext w:val="0"/>
              <w:keepLines w:val="0"/>
              <w:suppressLineNumbers w:val="0"/>
              <w:spacing w:before="0" w:beforeAutospacing="0" w:after="0" w:afterAutospacing="0" w:line="440" w:lineRule="exact"/>
              <w:ind w:left="0" w:right="0" w:firstLineChars="300" w:firstLine="720"/>
              <w:rPr>
                <w:color w:val="0000FF"/>
                <w:sz w:val="24"/>
                <w:highlight w:val="none"/>
              </w:rPr>
            </w:pPr>
            <w:r>
              <w:rPr>
                <w:rFonts w:ascii="Times New Roman" w:eastAsia="宋体" w:cs="Times New Roman" w:hAnsi="Times New Roman"/>
                <w:sz w:val="24"/>
                <w:szCs w:val="20"/>
                <w:u w:val="single"/>
                <w:highlight w:val="none"/>
              </w:rPr>
              <w:t>由</w:t>
            </w:r>
            <w:r>
              <w:rPr>
                <w:rFonts w:ascii="Times New Roman" w:eastAsia="宋体" w:cs="Times New Roman" w:hAnsi="Times New Roman" w:hint="eastAsia"/>
                <w:sz w:val="24"/>
                <w:szCs w:val="20"/>
                <w:u w:val="single"/>
                <w:lang w:val="en-US" w:eastAsia="zh-CN"/>
                <w:highlight w:val="none"/>
              </w:rPr>
              <w:t>上</w:t>
            </w:r>
            <w:r>
              <w:rPr>
                <w:rFonts w:ascii="Times New Roman" w:eastAsia="宋体" w:cs="Times New Roman" w:hAnsi="Times New Roman"/>
                <w:sz w:val="24"/>
                <w:szCs w:val="20"/>
                <w:u w:val="single"/>
                <w:highlight w:val="none"/>
              </w:rPr>
              <w:t>表可知，</w:t>
            </w:r>
            <w:r>
              <w:rPr>
                <w:rFonts w:ascii="Times New Roman" w:eastAsia="宋体" w:cs="Times New Roman" w:hAnsi="Times New Roman" w:hint="eastAsia"/>
                <w:sz w:val="24"/>
                <w:szCs w:val="20"/>
                <w:u w:val="single"/>
                <w:lang w:val="en-US" w:eastAsia="zh-CN"/>
                <w:highlight w:val="none"/>
              </w:rPr>
              <w:t>经过</w:t>
            </w:r>
            <w:r>
              <w:rPr>
                <w:rFonts w:ascii="Times New Roman" w:eastAsia="宋体" w:cs="Times New Roman" w:hAnsi="Times New Roman"/>
                <w:sz w:val="24"/>
                <w:szCs w:val="20"/>
                <w:u w:val="single"/>
                <w:highlight w:val="none"/>
              </w:rPr>
              <w:t>选用低噪声设备，设置减振垫</w:t>
            </w:r>
            <w:r>
              <w:rPr>
                <w:rFonts w:ascii="Times New Roman" w:eastAsia="宋体" w:cs="Times New Roman" w:hAnsi="Times New Roman" w:hint="eastAsia"/>
                <w:sz w:val="24"/>
                <w:szCs w:val="20"/>
                <w:u w:val="single"/>
                <w:lang w:val="en-US" w:eastAsia="zh-CN"/>
                <w:highlight w:val="none"/>
              </w:rPr>
              <w:t>等措施后，</w:t>
            </w:r>
            <w:r>
              <w:rPr>
                <w:rFonts w:ascii="Times New Roman" w:eastAsia="宋体" w:cs="Times New Roman" w:hAnsi="Times New Roman"/>
                <w:sz w:val="24"/>
                <w:szCs w:val="20"/>
                <w:u w:val="single"/>
                <w:highlight w:val="none"/>
              </w:rPr>
              <w:t>项目厂区四</w:t>
            </w:r>
            <w:r>
              <w:rPr>
                <w:rFonts w:ascii="Times New Roman" w:cs="Times New Roman" w:hAnsi="Times New Roman"/>
                <w:sz w:val="24"/>
                <w:szCs w:val="20"/>
                <w:u w:val="single"/>
                <w:highlight w:val="none"/>
              </w:rPr>
              <w:t>周噪声值</w:t>
            </w:r>
            <w:r>
              <w:rPr>
                <w:rFonts w:ascii="Times New Roman" w:cs="Times New Roman" w:hAnsi="Times New Roman" w:hint="eastAsia"/>
                <w:sz w:val="24"/>
                <w:szCs w:val="20"/>
                <w:u w:val="single"/>
                <w:highlight w:val="none"/>
              </w:rPr>
              <w:t>均</w:t>
            </w:r>
            <w:r>
              <w:rPr>
                <w:rFonts w:ascii="Times New Roman" w:cs="Times New Roman" w:hAnsi="Times New Roman"/>
                <w:sz w:val="24"/>
                <w:szCs w:val="20"/>
                <w:u w:val="single"/>
                <w:highlight w:val="none"/>
              </w:rPr>
              <w:t>满足《工业企业厂界环境噪声排放标准》（GB12348-2008）</w:t>
            </w:r>
            <w:r>
              <w:rPr>
                <w:rFonts w:ascii="Times New Roman" w:cs="Times New Roman" w:hAnsi="Times New Roman" w:hint="eastAsia"/>
                <w:sz w:val="24"/>
                <w:szCs w:val="20"/>
                <w:u w:val="single"/>
                <w:lang w:val="en-US" w:eastAsia="zh-CN"/>
                <w:highlight w:val="none"/>
              </w:rPr>
              <w:t>2</w:t>
            </w:r>
            <w:r>
              <w:rPr>
                <w:rFonts w:ascii="Times New Roman" w:cs="Times New Roman" w:hAnsi="Times New Roman"/>
                <w:sz w:val="24"/>
                <w:szCs w:val="20"/>
                <w:u w:val="single"/>
                <w:highlight w:val="none"/>
              </w:rPr>
              <w:t>类标准</w:t>
            </w:r>
            <w:r>
              <w:rPr>
                <w:rFonts w:ascii="Times New Roman" w:cs="Times New Roman" w:hAnsi="Times New Roman" w:hint="eastAsia"/>
                <w:sz w:val="24"/>
                <w:szCs w:val="20"/>
                <w:u w:val="single"/>
                <w:lang w:val="en-US" w:eastAsia="zh-CN"/>
                <w:highlight w:val="none"/>
              </w:rPr>
              <w:t>昼间60</w:t>
            </w:r>
            <w:r>
              <w:rPr>
                <w:rFonts w:ascii="Times New Roman" w:cs="Times New Roman" w:hAnsi="Times New Roman"/>
                <w:sz w:val="24"/>
                <w:szCs w:val="20"/>
                <w:u w:val="single"/>
                <w:highlight w:val="none"/>
              </w:rPr>
              <w:t>dB（A）</w:t>
            </w:r>
            <w:r>
              <w:rPr>
                <w:rFonts w:ascii="Times New Roman" w:cs="Times New Roman" w:hAnsi="Times New Roman" w:hint="eastAsia"/>
                <w:sz w:val="24"/>
                <w:szCs w:val="20"/>
                <w:u w:val="single"/>
                <w:lang w:val="en-US" w:eastAsia="zh-CN"/>
                <w:highlight w:val="none"/>
              </w:rPr>
              <w:t>夜间50</w:t>
            </w:r>
            <w:r>
              <w:rPr>
                <w:rFonts w:ascii="Times New Roman" w:cs="Times New Roman" w:hAnsi="Times New Roman"/>
                <w:sz w:val="24"/>
                <w:szCs w:val="20"/>
                <w:u w:val="single"/>
                <w:highlight w:val="none"/>
              </w:rPr>
              <w:t>dB（A）的要求</w:t>
            </w:r>
            <w:r>
              <w:rPr>
                <w:rFonts w:ascii="Times New Roman" w:cs="Times New Roman" w:hAnsi="Times New Roman"/>
                <w:color w:val="0000FF"/>
                <w:sz w:val="24"/>
                <w:szCs w:val="24"/>
                <w:u w:val="single"/>
              </w:rPr>
              <w:t>。</w:t>
            </w:r>
          </w:p>
          <w:p>
            <w:pPr>
              <w:keepNext w:val="0"/>
              <w:keepLines w:val="0"/>
              <w:pageBreakBefore w:val="0"/>
              <w:widowControl w:val="0"/>
              <w:suppressLineNumbers w:val="0"/>
              <w:tabs>
                <w:tab w:val="left" w:pos="3620"/>
              </w:tabs>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rFonts w:hint="eastAsia"/>
                <w:color w:val="auto"/>
                <w:sz w:val="24"/>
                <w:lang w:eastAsia="zh-CN"/>
              </w:rPr>
            </w:pPr>
            <w:r>
              <w:rPr>
                <w:rFonts w:ascii="Times New Roman" w:cs="Times New Roman" w:hAnsi="Times New Roman" w:hint="eastAsia"/>
                <w:color w:val="auto"/>
                <w:sz w:val="24"/>
                <w:szCs w:val="20"/>
                <w:highlight w:val="none"/>
              </w:rPr>
              <w:t>根据</w:t>
            </w:r>
            <w:r>
              <w:rPr>
                <w:rFonts w:ascii="Times New Roman" w:cs="Times New Roman" w:hAnsi="Times New Roman" w:hint="eastAsia"/>
                <w:color w:val="auto"/>
                <w:sz w:val="24"/>
                <w:szCs w:val="20"/>
                <w:lang w:eastAsia="zh-CN"/>
                <w:highlight w:val="none"/>
              </w:rPr>
              <w:t>《</w:t>
            </w:r>
            <w:r>
              <w:rPr>
                <w:rFonts w:ascii="Times New Roman" w:cs="Times New Roman" w:hAnsi="Times New Roman" w:hint="eastAsia"/>
                <w:color w:val="auto"/>
                <w:sz w:val="24"/>
                <w:szCs w:val="20"/>
                <w:highlight w:val="none"/>
              </w:rPr>
              <w:t>排污许可证申请与核发技术规范 工业噪声</w:t>
            </w:r>
            <w:r>
              <w:rPr>
                <w:rFonts w:ascii="Times New Roman" w:cs="Times New Roman" w:hAnsi="Times New Roman" w:hint="eastAsia"/>
                <w:color w:val="auto"/>
                <w:sz w:val="24"/>
                <w:szCs w:val="20"/>
                <w:lang w:eastAsia="zh-CN"/>
                <w:highlight w:val="none"/>
              </w:rPr>
              <w:t>》</w:t>
            </w:r>
            <w:r>
              <w:rPr>
                <w:rFonts w:ascii="Times New Roman" w:cs="Times New Roman" w:hAnsi="Times New Roman" w:hint="eastAsia"/>
                <w:color w:val="auto"/>
                <w:sz w:val="24"/>
                <w:szCs w:val="20"/>
                <w:highlight w:val="none"/>
              </w:rPr>
              <w:t>（HJ 1301—2023）</w:t>
            </w:r>
            <w:r>
              <w:rPr>
                <w:rFonts w:ascii="Times New Roman" w:cs="Times New Roman" w:hAnsi="Times New Roman"/>
                <w:color w:val="auto"/>
                <w:sz w:val="24"/>
                <w:szCs w:val="20"/>
                <w:highlight w:val="none"/>
              </w:rPr>
              <w:t>，本项目噪声监测要求</w:t>
            </w:r>
            <w:r>
              <w:rPr>
                <w:rFonts w:ascii="Times New Roman" w:cs="Times New Roman" w:hAnsi="Times New Roman"/>
                <w:color w:val="auto"/>
                <w:sz w:val="24"/>
                <w:szCs w:val="20"/>
              </w:rPr>
              <w:t>见</w:t>
            </w:r>
            <w:r>
              <w:rPr>
                <w:rFonts w:ascii="Times New Roman" w:cs="Times New Roman" w:hAnsi="Times New Roman" w:hint="eastAsia"/>
                <w:color w:val="auto"/>
                <w:sz w:val="24"/>
                <w:szCs w:val="20"/>
                <w:lang w:val="en-US" w:eastAsia="zh-CN"/>
              </w:rPr>
              <w:t>下表</w:t>
            </w:r>
            <w:r>
              <w:rPr>
                <w:rFonts w:ascii="Times New Roman" w:cs="Times New Roman" w:hAnsi="Times New Roman" w:hint="eastAsia"/>
                <w:color w:val="auto"/>
                <w:sz w:val="24"/>
                <w:szCs w:val="20"/>
                <w:lang w:eastAsia="zh-CN"/>
              </w:rPr>
              <w:t>：</w:t>
            </w:r>
          </w:p>
          <w:p>
            <w:pPr>
              <w:pStyle w:val="75"/>
              <w:keepNext/>
              <w:keepLines w:val="0"/>
              <w:suppressLineNumbers w:val="0"/>
              <w:bidi w:val="0"/>
              <w:spacing w:before="0" w:beforeAutospacing="0" w:after="0" w:afterAutospacing="0"/>
              <w:ind w:left="0" w:right="0" w:firstLine="420"/>
            </w:pPr>
            <w:r>
              <w:rPr>
                <w:rFonts w:ascii="Times New Roman" w:cs="Times New Roman" w:hAnsi="Times New Roman" w:hint="eastAsia"/>
                <w:sz w:val="24"/>
                <w:szCs w:val="20"/>
                <w:lang w:val="en-US" w:eastAsia="zh-CN"/>
              </w:rPr>
              <w:t xml:space="preserve">  </w:t>
            </w:r>
            <w:r>
              <w:rPr>
                <w:rFonts w:ascii="Times New Roman" w:cs="Times New Roman" w:hAnsi="Times New Roman"/>
                <w:sz w:val="24"/>
                <w:szCs w:val="20"/>
              </w:rPr>
              <w:t>本项目噪声监测要求</w:t>
            </w: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883"/>
              <w:gridCol w:w="1881"/>
              <w:gridCol w:w="2594"/>
              <w:gridCol w:w="2250"/>
            </w:tblGrid>
            <w:tr>
              <w:trPr>
                <w:trHeight w:val="397"/>
              </w:trPr>
              <w:tc>
                <w:tcPr>
                  <w:tcW w:w="1094" w:type="pct"/>
                  <w:tcBorders>
                    <w:tl2br w:val="nil"/>
                    <w:tr2bl w:val="nil"/>
                  </w:tcBorders>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b/>
                      <w:color w:val="auto"/>
                      <w:sz w:val="21"/>
                      <w:szCs w:val="21"/>
                      <w:highlight w:val="none"/>
                    </w:rPr>
                  </w:pPr>
                  <w:r>
                    <w:rPr>
                      <w:rFonts w:ascii="Times New Roman" w:cs="Times New Roman" w:hAnsi="宋体"/>
                      <w:b/>
                      <w:color w:val="auto"/>
                      <w:sz w:val="21"/>
                      <w:szCs w:val="21"/>
                      <w:highlight w:val="none"/>
                    </w:rPr>
                    <w:t>污染物</w:t>
                  </w:r>
                </w:p>
              </w:tc>
              <w:tc>
                <w:tcPr>
                  <w:tcW w:w="1093" w:type="pct"/>
                  <w:tcBorders>
                    <w:tl2br w:val="nil"/>
                    <w:tr2bl w:val="nil"/>
                  </w:tcBorders>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b/>
                      <w:color w:val="auto"/>
                      <w:sz w:val="21"/>
                      <w:szCs w:val="21"/>
                      <w:highlight w:val="none"/>
                    </w:rPr>
                  </w:pPr>
                  <w:r>
                    <w:rPr>
                      <w:rFonts w:ascii="Times New Roman" w:cs="Times New Roman" w:hAnsi="宋体"/>
                      <w:b/>
                      <w:color w:val="auto"/>
                      <w:sz w:val="21"/>
                      <w:szCs w:val="21"/>
                      <w:highlight w:val="none"/>
                    </w:rPr>
                    <w:t>监测点位</w:t>
                  </w:r>
                </w:p>
              </w:tc>
              <w:tc>
                <w:tcPr>
                  <w:tcW w:w="1507" w:type="pct"/>
                  <w:tcBorders>
                    <w:tl2br w:val="nil"/>
                    <w:tr2bl w:val="nil"/>
                  </w:tcBorders>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b/>
                      <w:color w:val="auto"/>
                      <w:sz w:val="21"/>
                      <w:szCs w:val="21"/>
                      <w:highlight w:val="none"/>
                    </w:rPr>
                  </w:pPr>
                  <w:r>
                    <w:rPr>
                      <w:rFonts w:ascii="Times New Roman" w:cs="Times New Roman" w:hAnsi="宋体"/>
                      <w:b/>
                      <w:color w:val="auto"/>
                      <w:sz w:val="21"/>
                      <w:szCs w:val="21"/>
                      <w:highlight w:val="none"/>
                    </w:rPr>
                    <w:t>监测因子</w:t>
                  </w:r>
                </w:p>
              </w:tc>
              <w:tc>
                <w:tcPr>
                  <w:tcW w:w="1307" w:type="pct"/>
                  <w:tcBorders>
                    <w:tl2br w:val="nil"/>
                    <w:tr2bl w:val="nil"/>
                  </w:tcBorders>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b/>
                      <w:color w:val="auto"/>
                      <w:sz w:val="21"/>
                      <w:szCs w:val="21"/>
                      <w:highlight w:val="none"/>
                    </w:rPr>
                  </w:pPr>
                  <w:r>
                    <w:rPr>
                      <w:rFonts w:ascii="Times New Roman" w:cs="Times New Roman" w:hAnsi="宋体"/>
                      <w:b/>
                      <w:color w:val="auto"/>
                      <w:sz w:val="21"/>
                      <w:szCs w:val="21"/>
                      <w:highlight w:val="none"/>
                    </w:rPr>
                    <w:t>监测频率</w:t>
                  </w:r>
                </w:p>
              </w:tc>
            </w:tr>
            <w:tr>
              <w:trPr>
                <w:trHeight w:val="397"/>
              </w:trPr>
              <w:tc>
                <w:tcPr>
                  <w:tcW w:w="1094" w:type="pct"/>
                  <w:tcBorders>
                    <w:tl2br w:val="nil"/>
                    <w:tr2bl w:val="nil"/>
                  </w:tcBorders>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color w:val="auto"/>
                      <w:sz w:val="21"/>
                      <w:szCs w:val="21"/>
                      <w:highlight w:val="none"/>
                    </w:rPr>
                  </w:pPr>
                  <w:r>
                    <w:rPr>
                      <w:rFonts w:ascii="Times New Roman" w:cs="Times New Roman" w:hAnsi="宋体"/>
                      <w:color w:val="auto"/>
                      <w:sz w:val="21"/>
                      <w:szCs w:val="21"/>
                      <w:highlight w:val="none"/>
                    </w:rPr>
                    <w:t>噪声</w:t>
                  </w:r>
                </w:p>
              </w:tc>
              <w:tc>
                <w:tcPr>
                  <w:tcW w:w="1093" w:type="pct"/>
                  <w:tcBorders>
                    <w:tl2br w:val="nil"/>
                    <w:tr2bl w:val="nil"/>
                  </w:tcBorders>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color w:val="auto"/>
                      <w:sz w:val="21"/>
                      <w:szCs w:val="21"/>
                      <w:lang w:val="en-GB"/>
                      <w:highlight w:val="none"/>
                    </w:rPr>
                  </w:pPr>
                  <w:r>
                    <w:rPr>
                      <w:rFonts w:ascii="Times New Roman" w:cs="Times New Roman" w:hAnsi="宋体"/>
                      <w:color w:val="auto"/>
                      <w:sz w:val="21"/>
                      <w:szCs w:val="21"/>
                      <w:lang w:val="en-GB"/>
                      <w:highlight w:val="none"/>
                    </w:rPr>
                    <w:t>厂界四周外</w:t>
                  </w:r>
                  <w:r>
                    <w:rPr>
                      <w:rFonts w:ascii="Times New Roman" w:cs="Times New Roman" w:hAnsi="Times New Roman"/>
                      <w:color w:val="auto"/>
                      <w:sz w:val="21"/>
                      <w:szCs w:val="21"/>
                      <w:lang w:val="en-GB"/>
                      <w:highlight w:val="none"/>
                    </w:rPr>
                    <w:t>1</w:t>
                  </w:r>
                  <w:r>
                    <w:rPr>
                      <w:rFonts w:ascii="Times New Roman" w:cs="Times New Roman" w:hAnsi="宋体"/>
                      <w:color w:val="auto"/>
                      <w:sz w:val="21"/>
                      <w:szCs w:val="21"/>
                      <w:lang w:val="en-GB"/>
                      <w:highlight w:val="none"/>
                    </w:rPr>
                    <w:t>米</w:t>
                  </w:r>
                </w:p>
              </w:tc>
              <w:tc>
                <w:tcPr>
                  <w:tcW w:w="1507" w:type="pct"/>
                  <w:tcBorders>
                    <w:tl2br w:val="nil"/>
                    <w:tr2bl w:val="nil"/>
                  </w:tcBorders>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color w:val="auto"/>
                      <w:sz w:val="21"/>
                      <w:szCs w:val="21"/>
                      <w:lang w:val="en-GB"/>
                      <w:highlight w:val="none"/>
                    </w:rPr>
                  </w:pPr>
                  <w:r>
                    <w:rPr>
                      <w:rFonts w:ascii="Times New Roman" w:cs="Times New Roman" w:hAnsi="宋体"/>
                      <w:color w:val="auto"/>
                      <w:sz w:val="21"/>
                      <w:szCs w:val="21"/>
                      <w:lang w:val="en-GB"/>
                      <w:highlight w:val="none"/>
                    </w:rPr>
                    <w:t>等效连续</w:t>
                  </w:r>
                  <w:r>
                    <w:rPr>
                      <w:rFonts w:ascii="Times New Roman" w:cs="Times New Roman" w:hAnsi="Times New Roman"/>
                      <w:color w:val="auto"/>
                      <w:sz w:val="21"/>
                      <w:szCs w:val="21"/>
                      <w:lang w:val="en-GB"/>
                      <w:highlight w:val="none"/>
                    </w:rPr>
                    <w:t>A</w:t>
                  </w:r>
                  <w:r>
                    <w:rPr>
                      <w:rFonts w:ascii="Times New Roman" w:cs="Times New Roman" w:hAnsi="宋体"/>
                      <w:color w:val="auto"/>
                      <w:sz w:val="21"/>
                      <w:szCs w:val="21"/>
                      <w:lang w:val="en-GB"/>
                      <w:highlight w:val="none"/>
                    </w:rPr>
                    <w:t>声级</w:t>
                  </w:r>
                </w:p>
              </w:tc>
              <w:tc>
                <w:tcPr>
                  <w:tcW w:w="1307" w:type="pct"/>
                  <w:tcBorders>
                    <w:tl2br w:val="nil"/>
                    <w:tr2bl w:val="nil"/>
                  </w:tcBorders>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color w:val="auto"/>
                      <w:sz w:val="21"/>
                      <w:szCs w:val="21"/>
                      <w:lang w:val="en-GB"/>
                      <w:highlight w:val="none"/>
                    </w:rPr>
                  </w:pPr>
                  <w:r>
                    <w:rPr>
                      <w:rFonts w:ascii="Times New Roman" w:cs="Times New Roman" w:hAnsi="宋体"/>
                      <w:color w:val="auto"/>
                      <w:sz w:val="21"/>
                      <w:szCs w:val="21"/>
                      <w:lang w:val="en-GB"/>
                      <w:highlight w:val="none"/>
                    </w:rPr>
                    <w:t>每季度</w:t>
                  </w:r>
                  <w:r>
                    <w:rPr>
                      <w:rFonts w:ascii="Times New Roman" w:cs="Times New Roman" w:hAnsi="宋体"/>
                      <w:color w:val="auto"/>
                      <w:sz w:val="21"/>
                      <w:szCs w:val="21"/>
                      <w:highlight w:val="none"/>
                    </w:rPr>
                    <w:t>一</w:t>
                  </w:r>
                  <w:r>
                    <w:rPr>
                      <w:rFonts w:ascii="Times New Roman" w:cs="Times New Roman" w:hAnsi="宋体"/>
                      <w:color w:val="auto"/>
                      <w:sz w:val="21"/>
                      <w:szCs w:val="21"/>
                      <w:lang w:val="en-GB"/>
                      <w:highlight w:val="none"/>
                    </w:rPr>
                    <w:t>次</w:t>
                  </w:r>
                </w:p>
              </w:tc>
            </w:tr>
          </w:tbl>
          <w:p>
            <w:pPr>
              <w:keepNext w:val="0"/>
              <w:keepLines w:val="0"/>
              <w:suppressLineNumbers w:val="0"/>
              <w:shd w:val="clear" w:color="auto" w:fill="auto"/>
              <w:tabs>
                <w:tab w:val="left" w:pos="3620"/>
              </w:tabs>
              <w:adjustRightInd w:val="0"/>
              <w:snapToGrid w:val="0"/>
              <w:spacing w:before="0" w:beforeAutospacing="0" w:after="0" w:afterAutospacing="0" w:line="440" w:lineRule="exact"/>
              <w:ind w:left="0" w:right="0" w:firstLineChars="200" w:firstLine="480"/>
              <w:rPr>
                <w:color w:val="auto"/>
                <w:sz w:val="24"/>
                <w:lang w:val="en-US" w:eastAsia="zh-CN"/>
                <w:highlight w:val="none"/>
              </w:rPr>
            </w:pPr>
            <w:r>
              <w:rPr>
                <w:rFonts w:ascii="宋体" w:cs="Times New Roman" w:hAnsi="宋体" w:hint="eastAsia"/>
                <w:b/>
                <w:color w:val="auto"/>
                <w:sz w:val="24"/>
                <w:szCs w:val="20"/>
                <w:highlight w:val="none"/>
              </w:rPr>
              <w:t>四、固废</w:t>
            </w:r>
          </w:p>
          <w:p>
            <w:pPr>
              <w:keepNext w:val="0"/>
              <w:keepLines w:val="0"/>
              <w:pageBreakBefore w:val="0"/>
              <w:widowControl w:val="0"/>
              <w:suppressLineNumbers w:val="0"/>
              <w:kinsoku/>
              <w:wordWrap/>
              <w:overflowPunct/>
              <w:topLinePunct w:val="0"/>
              <w:bidi w:val="0"/>
              <w:snapToGrid/>
              <w:spacing w:before="0" w:beforeAutospacing="0" w:after="0" w:afterAutospacing="0" w:line="440" w:lineRule="exact"/>
              <w:ind w:left="0" w:right="0" w:firstLineChars="200" w:firstLine="480"/>
              <w:contextualSpacing/>
              <w:textAlignment w:val="auto"/>
              <w:rPr>
                <w:color w:val="auto"/>
                <w:sz w:val="24"/>
                <w:lang w:val="en-US"/>
              </w:rPr>
            </w:pPr>
            <w:r>
              <w:rPr>
                <w:rFonts w:ascii="Times New Roman" w:cs="Times New Roman" w:hAnsi="Times New Roman" w:hint="eastAsia"/>
                <w:color w:val="auto"/>
                <w:sz w:val="24"/>
                <w:szCs w:val="20"/>
                <w:lang w:val="en-US" w:eastAsia="zh-CN"/>
                <w:highlight w:val="none"/>
              </w:rPr>
              <w:t>本项目运营期固体废物包括生活垃圾和危险废物。</w:t>
            </w:r>
            <w:r>
              <w:rPr>
                <w:rFonts w:ascii="Times New Roman" w:cs="Times New Roman" w:hAnsi="Times New Roman" w:hint="eastAsia"/>
                <w:color w:val="auto"/>
                <w:sz w:val="24"/>
                <w:szCs w:val="20"/>
                <w:lang w:val="en-US" w:eastAsia="zh-CN"/>
              </w:rPr>
              <w:t>危险废物包括清洗油罐产生的油罐油泥。</w:t>
            </w:r>
          </w:p>
          <w:p>
            <w:pPr>
              <w:keepNext w:val="0"/>
              <w:keepLines w:val="0"/>
              <w:suppressLineNumbers w:val="0"/>
              <w:adjustRightInd w:val="0"/>
              <w:snapToGrid w:val="0"/>
              <w:spacing w:before="0" w:beforeAutospacing="0" w:after="0" w:afterAutospacing="0" w:line="440" w:lineRule="exact"/>
              <w:ind w:left="0" w:right="0" w:firstLineChars="200" w:firstLine="480"/>
              <w:rPr>
                <w:rFonts w:ascii="Times New Roman" w:eastAsia="宋体" w:cs="Times New Roman" w:hAnsi="Times New Roman"/>
                <w:b/>
                <w:bCs/>
                <w:color w:val="auto"/>
                <w:sz w:val="24"/>
                <w:lang w:val="en-US" w:eastAsia="zh-CN"/>
                <w:highlight w:val="none"/>
              </w:rPr>
            </w:pPr>
            <w:r>
              <w:rPr>
                <w:rFonts w:ascii="Times New Roman" w:cs="Times New Roman" w:hAnsi="Times New Roman" w:hint="eastAsia"/>
                <w:b/>
                <w:bCs/>
                <w:color w:val="auto"/>
                <w:sz w:val="24"/>
                <w:szCs w:val="20"/>
                <w:lang w:val="en-US" w:eastAsia="zh-CN"/>
                <w:highlight w:val="none"/>
              </w:rPr>
              <w:t>1、生活垃圾</w:t>
            </w:r>
          </w:p>
          <w:p>
            <w:pPr>
              <w:keepNext w:val="0"/>
              <w:keepLines w:val="0"/>
              <w:suppressLineNumbers w:val="0"/>
              <w:adjustRightInd w:val="0"/>
              <w:snapToGrid w:val="0"/>
              <w:spacing w:before="0" w:beforeAutospacing="0" w:after="0" w:afterAutospacing="0" w:line="440" w:lineRule="exact"/>
              <w:ind w:left="0" w:right="0" w:firstLineChars="200" w:firstLine="480"/>
              <w:jc w:val="both"/>
              <w:rPr>
                <w:rFonts w:cs="Times New Roman" w:hint="eastAsia"/>
                <w:b/>
                <w:bCs/>
                <w:color w:val="auto"/>
                <w:sz w:val="24"/>
                <w:lang w:val="en-US" w:eastAsia="zh-CN"/>
                <w:highlight w:val="none"/>
              </w:rPr>
            </w:pPr>
            <w:r>
              <w:rPr>
                <w:rFonts w:ascii="Times New Roman" w:cs="Times New Roman" w:hAnsi="Times New Roman" w:hint="eastAsia"/>
                <w:color w:val="auto"/>
                <w:sz w:val="24"/>
                <w:szCs w:val="20"/>
                <w:lang w:val="en-US" w:eastAsia="zh-CN"/>
                <w:highlight w:val="none"/>
              </w:rPr>
              <w:t>本项目劳动定员8</w:t>
            </w:r>
            <w:r>
              <w:rPr>
                <w:rFonts w:ascii="Times New Roman" w:cs="Times New Roman" w:hAnsi="Times New Roman"/>
                <w:sz w:val="24"/>
                <w:szCs w:val="24"/>
                <w:highlight w:val="none"/>
              </w:rPr>
              <w:t>人，生活垃圾产生量按</w:t>
            </w:r>
            <w:r>
              <w:rPr>
                <w:rFonts w:ascii="Times New Roman" w:cs="Times New Roman" w:hAnsi="Times New Roman" w:hint="eastAsia"/>
                <w:sz w:val="24"/>
                <w:szCs w:val="24"/>
                <w:lang w:val="en-US" w:eastAsia="zh-CN"/>
                <w:highlight w:val="none"/>
              </w:rPr>
              <w:t>1人</w:t>
            </w:r>
            <w:r>
              <w:rPr>
                <w:rFonts w:ascii="Times New Roman" w:cs="Times New Roman" w:hAnsi="Times New Roman"/>
                <w:sz w:val="24"/>
                <w:szCs w:val="24"/>
                <w:highlight w:val="none"/>
              </w:rPr>
              <w:t>1kg/d计</w:t>
            </w:r>
            <w:r>
              <w:rPr>
                <w:rFonts w:ascii="Times New Roman" w:cs="Times New Roman" w:hAnsi="Times New Roman" w:hint="eastAsia"/>
                <w:sz w:val="24"/>
                <w:szCs w:val="24"/>
                <w:highlight w:val="none"/>
              </w:rPr>
              <w:t>；</w:t>
            </w:r>
            <w:r>
              <w:rPr>
                <w:rFonts w:ascii="Times New Roman" w:eastAsia="宋体" w:cs="Times New Roman" w:hAnsi="Times New Roman"/>
                <w:bCs/>
                <w:color w:val="000000"/>
                <w:sz w:val="24"/>
                <w:szCs w:val="20"/>
                <w:lang w:val="en-US" w:eastAsia="zh-CN"/>
              </w:rPr>
              <w:t>外来司机按最大</w:t>
            </w:r>
            <w:r>
              <w:rPr>
                <w:rFonts w:ascii="Times New Roman" w:cs="Times New Roman" w:hAnsi="Times New Roman" w:hint="eastAsia"/>
                <w:bCs/>
                <w:color w:val="000000"/>
                <w:sz w:val="24"/>
                <w:szCs w:val="20"/>
                <w:lang w:val="en-US" w:eastAsia="zh-CN"/>
              </w:rPr>
              <w:t>5</w:t>
            </w:r>
            <w:r>
              <w:rPr>
                <w:rFonts w:ascii="Times New Roman" w:eastAsia="宋体" w:cs="Times New Roman" w:hAnsi="Times New Roman"/>
                <w:bCs/>
                <w:color w:val="000000"/>
                <w:sz w:val="24"/>
                <w:szCs w:val="20"/>
                <w:lang w:val="en-US" w:eastAsia="zh-CN"/>
              </w:rPr>
              <w:t>0人次/d计，在站内活动</w:t>
            </w:r>
            <w:r>
              <w:rPr>
                <w:rFonts w:ascii="Times New Roman" w:cs="Times New Roman" w:hAnsi="Times New Roman" w:hint="eastAsia"/>
                <w:bCs/>
                <w:color w:val="000000"/>
                <w:sz w:val="24"/>
                <w:szCs w:val="20"/>
                <w:lang w:val="en-US" w:eastAsia="zh-CN"/>
              </w:rPr>
              <w:t>概率</w:t>
            </w:r>
            <w:r>
              <w:rPr>
                <w:rFonts w:ascii="Times New Roman" w:eastAsia="宋体" w:cs="Times New Roman" w:hAnsi="Times New Roman"/>
                <w:bCs/>
                <w:color w:val="000000"/>
                <w:sz w:val="24"/>
                <w:szCs w:val="20"/>
                <w:lang w:val="en-US" w:eastAsia="zh-CN"/>
              </w:rPr>
              <w:t>按照</w:t>
            </w:r>
            <w:r>
              <w:rPr>
                <w:rFonts w:ascii="Times New Roman" w:cs="Times New Roman" w:hAnsi="Times New Roman" w:hint="eastAsia"/>
                <w:bCs/>
                <w:color w:val="000000"/>
                <w:sz w:val="24"/>
                <w:szCs w:val="20"/>
                <w:lang w:val="en-US" w:eastAsia="zh-CN"/>
              </w:rPr>
              <w:t>5</w:t>
            </w:r>
            <w:r>
              <w:rPr>
                <w:rFonts w:ascii="Times New Roman" w:eastAsia="宋体" w:cs="Times New Roman" w:hAnsi="Times New Roman"/>
                <w:bCs/>
                <w:color w:val="000000"/>
                <w:sz w:val="24"/>
                <w:szCs w:val="20"/>
                <w:lang w:val="en-US" w:eastAsia="zh-CN"/>
              </w:rPr>
              <w:t>0%计，</w:t>
            </w:r>
            <w:r>
              <w:rPr>
                <w:rFonts w:ascii="Times New Roman" w:eastAsia="宋体" w:cs="Times New Roman" w:hAnsi="Times New Roman" w:hint="eastAsia"/>
                <w:bCs/>
                <w:color w:val="000000"/>
                <w:sz w:val="24"/>
                <w:szCs w:val="20"/>
                <w:lang w:val="en-US" w:eastAsia="zh-CN"/>
              </w:rPr>
              <w:t>则</w:t>
            </w:r>
            <w:r>
              <w:rPr>
                <w:rFonts w:ascii="Times New Roman" w:cs="Times New Roman" w:hAnsi="Times New Roman" w:hint="eastAsia"/>
                <w:sz w:val="24"/>
                <w:szCs w:val="24"/>
                <w:highlight w:val="none"/>
              </w:rPr>
              <w:t>司乘人员2</w:t>
            </w:r>
            <w:r>
              <w:rPr>
                <w:rFonts w:ascii="Times New Roman" w:cs="Times New Roman" w:hAnsi="Times New Roman" w:hint="eastAsia"/>
                <w:sz w:val="24"/>
                <w:szCs w:val="24"/>
                <w:lang w:val="en-US" w:eastAsia="zh-CN"/>
                <w:highlight w:val="none"/>
              </w:rPr>
              <w:t>5</w:t>
            </w:r>
            <w:r>
              <w:rPr>
                <w:rFonts w:ascii="Times New Roman" w:cs="Times New Roman" w:hAnsi="Times New Roman" w:hint="eastAsia"/>
                <w:sz w:val="24"/>
                <w:szCs w:val="24"/>
                <w:highlight w:val="none"/>
              </w:rPr>
              <w:t>人/d，垃圾产生量按</w:t>
            </w:r>
            <w:r>
              <w:rPr>
                <w:rFonts w:ascii="Times New Roman" w:cs="Times New Roman" w:hAnsi="Times New Roman" w:hint="eastAsia"/>
                <w:sz w:val="24"/>
                <w:szCs w:val="24"/>
                <w:lang w:val="en-US" w:eastAsia="zh-CN"/>
                <w:highlight w:val="none"/>
              </w:rPr>
              <w:t>1人</w:t>
            </w:r>
            <w:r>
              <w:rPr>
                <w:rFonts w:ascii="Times New Roman" w:cs="Times New Roman" w:hAnsi="Times New Roman" w:hint="eastAsia"/>
                <w:sz w:val="24"/>
                <w:szCs w:val="24"/>
                <w:highlight w:val="none"/>
              </w:rPr>
              <w:t>0.5</w:t>
            </w:r>
            <w:r>
              <w:rPr>
                <w:rFonts w:ascii="Times New Roman" w:cs="Times New Roman" w:hAnsi="Times New Roman"/>
                <w:sz w:val="24"/>
                <w:szCs w:val="24"/>
                <w:highlight w:val="none"/>
              </w:rPr>
              <w:t>kg/d</w:t>
            </w:r>
            <w:r>
              <w:rPr>
                <w:rFonts w:ascii="Times New Roman" w:cs="Times New Roman" w:hAnsi="Times New Roman" w:hint="eastAsia"/>
                <w:sz w:val="24"/>
                <w:szCs w:val="24"/>
                <w:highlight w:val="none"/>
              </w:rPr>
              <w:t>，</w:t>
            </w:r>
            <w:r>
              <w:rPr>
                <w:rFonts w:ascii="Times New Roman" w:cs="Times New Roman" w:hAnsi="Times New Roman"/>
                <w:color w:val="auto"/>
                <w:sz w:val="24"/>
                <w:szCs w:val="24"/>
                <w:highlight w:val="none"/>
              </w:rPr>
              <w:t>则加油站生活垃圾产生量为</w:t>
            </w:r>
            <w:r>
              <w:rPr>
                <w:rFonts w:ascii="Times New Roman" w:cs="Times New Roman" w:hAnsi="Times New Roman" w:hint="eastAsia"/>
                <w:color w:val="auto"/>
                <w:sz w:val="24"/>
                <w:szCs w:val="24"/>
                <w:lang w:val="en-US" w:eastAsia="zh-CN"/>
                <w:highlight w:val="none"/>
              </w:rPr>
              <w:t>20.5</w:t>
            </w:r>
            <w:r>
              <w:rPr>
                <w:rFonts w:ascii="Times New Roman" w:cs="Times New Roman" w:hAnsi="Times New Roman"/>
                <w:color w:val="auto"/>
                <w:sz w:val="24"/>
                <w:szCs w:val="24"/>
                <w:highlight w:val="none"/>
              </w:rPr>
              <w:t>kg/d</w:t>
            </w:r>
            <w:r>
              <w:rPr>
                <w:rFonts w:ascii="Times New Roman" w:cs="Times New Roman" w:hAnsi="Times New Roman" w:hint="eastAsia"/>
                <w:color w:val="auto"/>
                <w:sz w:val="24"/>
                <w:szCs w:val="24"/>
                <w:lang w:eastAsia="zh-CN"/>
                <w:highlight w:val="none"/>
              </w:rPr>
              <w:t>（</w:t>
            </w:r>
            <w:r>
              <w:rPr>
                <w:rFonts w:ascii="Times New Roman" w:cs="Times New Roman" w:hAnsi="Times New Roman" w:hint="eastAsia"/>
                <w:color w:val="auto"/>
                <w:sz w:val="24"/>
                <w:szCs w:val="24"/>
                <w:lang w:val="en-US" w:eastAsia="zh-CN"/>
                <w:highlight w:val="none"/>
              </w:rPr>
              <w:t>7.4825</w:t>
            </w:r>
            <w:r>
              <w:rPr>
                <w:rFonts w:ascii="Times New Roman" w:cs="Times New Roman" w:hAnsi="Times New Roman"/>
                <w:color w:val="auto"/>
                <w:sz w:val="24"/>
                <w:szCs w:val="24"/>
                <w:highlight w:val="none"/>
              </w:rPr>
              <w:t>t/a</w:t>
            </w:r>
            <w:r>
              <w:rPr>
                <w:rFonts w:ascii="Times New Roman" w:cs="Times New Roman" w:hAnsi="Times New Roman" w:hint="eastAsia"/>
                <w:color w:val="auto"/>
                <w:sz w:val="24"/>
                <w:szCs w:val="24"/>
                <w:lang w:eastAsia="zh-CN"/>
                <w:highlight w:val="none"/>
              </w:rPr>
              <w:t>）</w:t>
            </w:r>
            <w:r>
              <w:rPr>
                <w:rFonts w:ascii="Times New Roman" w:cs="Times New Roman" w:hAnsi="Times New Roman"/>
                <w:sz w:val="24"/>
                <w:szCs w:val="24"/>
                <w:highlight w:val="none"/>
              </w:rPr>
              <w:t>。生活垃圾集中收集后，</w:t>
            </w:r>
            <w:r>
              <w:rPr>
                <w:rFonts w:ascii="Times New Roman" w:eastAsia="宋体" w:cs="Times New Roman" w:hAnsi="Times New Roman" w:hint="eastAsia"/>
                <w:sz w:val="24"/>
                <w:szCs w:val="24"/>
                <w:lang w:val="en-US" w:eastAsia="zh-CN"/>
                <w:highlight w:val="none"/>
              </w:rPr>
              <w:t>由</w:t>
            </w:r>
            <w:r>
              <w:rPr>
                <w:rFonts w:ascii="Times New Roman" w:eastAsia="宋体" w:cs="Times New Roman" w:hAnsi="Times New Roman"/>
                <w:sz w:val="24"/>
                <w:szCs w:val="24"/>
                <w:lang w:val="en-US" w:eastAsia="zh-CN"/>
                <w:highlight w:val="none"/>
              </w:rPr>
              <w:t>环卫部门统一</w:t>
            </w:r>
            <w:r>
              <w:rPr>
                <w:rFonts w:ascii="Times New Roman" w:eastAsia="宋体" w:cs="Times New Roman" w:hAnsi="Times New Roman" w:hint="eastAsia"/>
                <w:sz w:val="24"/>
                <w:szCs w:val="24"/>
                <w:lang w:val="en-US" w:eastAsia="zh-CN"/>
                <w:highlight w:val="none"/>
              </w:rPr>
              <w:t>清运</w:t>
            </w:r>
            <w:r>
              <w:rPr>
                <w:rFonts w:ascii="Times New Roman" w:cs="Times New Roman" w:hAnsi="Times New Roman" w:hint="eastAsia"/>
                <w:sz w:val="24"/>
                <w:szCs w:val="20"/>
                <w:lang w:val="en-US" w:eastAsia="zh-CN"/>
                <w:highlight w:val="none"/>
              </w:rPr>
              <w:t>。</w:t>
            </w:r>
          </w:p>
          <w:p>
            <w:pPr>
              <w:keepNext w:val="0"/>
              <w:keepLines w:val="0"/>
              <w:suppressLineNumbers w:val="0"/>
              <w:adjustRightInd w:val="0"/>
              <w:snapToGrid w:val="0"/>
              <w:spacing w:before="0" w:beforeAutospacing="0" w:after="0" w:afterAutospacing="0" w:line="440" w:lineRule="exact"/>
              <w:ind w:left="0" w:right="0" w:firstLineChars="200" w:firstLine="480"/>
              <w:rPr>
                <w:rFonts w:hint="eastAsia"/>
                <w:sz w:val="24"/>
                <w:u w:val="single"/>
                <w:lang w:val="en-US" w:eastAsia="zh-CN"/>
                <w:highlight w:val="yellow"/>
              </w:rPr>
            </w:pPr>
            <w:r>
              <w:rPr>
                <w:rFonts w:ascii="Times New Roman" w:cs="Times New Roman" w:hAnsi="Times New Roman" w:hint="eastAsia"/>
                <w:b/>
                <w:bCs/>
                <w:color w:val="auto"/>
                <w:sz w:val="24"/>
                <w:szCs w:val="20"/>
                <w:lang w:val="en-US" w:eastAsia="zh-CN"/>
              </w:rPr>
              <w:t>2、</w:t>
            </w:r>
            <w:r>
              <w:rPr>
                <w:rFonts w:ascii="Times New Roman" w:cs="Times New Roman" w:hAnsi="Times New Roman" w:hint="eastAsia"/>
                <w:b/>
                <w:bCs/>
                <w:color w:val="auto"/>
                <w:sz w:val="24"/>
                <w:szCs w:val="20"/>
                <w:u w:val="single"/>
                <w:lang w:val="en-US" w:eastAsia="zh-CN"/>
              </w:rPr>
              <w:t>危险废物</w:t>
            </w:r>
          </w:p>
          <w:p>
            <w:pPr>
              <w:keepNext w:val="0"/>
              <w:keepLines w:val="0"/>
              <w:suppressLineNumbers w:val="0"/>
              <w:adjustRightInd w:val="0"/>
              <w:snapToGrid w:val="0"/>
              <w:spacing w:before="0" w:beforeAutospacing="0" w:after="0" w:afterAutospacing="0" w:line="440" w:lineRule="exact"/>
              <w:ind w:left="0" w:right="0" w:firstLineChars="200" w:firstLine="480"/>
              <w:jc w:val="both"/>
              <w:rPr>
                <w:rFonts w:cs="Times New Roman" w:hint="eastAsia"/>
                <w:color w:val="auto"/>
                <w:spacing w:val="4"/>
                <w:sz w:val="24"/>
                <w:szCs w:val="24"/>
                <w:u w:val="single"/>
                <w:lang w:val="en-US" w:eastAsia="zh-CN"/>
                <w:highlight w:val="none"/>
              </w:rPr>
            </w:pPr>
            <w:r>
              <w:rPr>
                <w:rFonts w:ascii="Times New Roman" w:eastAsia="宋体" w:cs="Times New Roman" w:hAnsi="Times New Roman" w:hint="eastAsia"/>
                <w:color w:val="auto"/>
                <w:sz w:val="24"/>
                <w:szCs w:val="20"/>
                <w:u w:val="single"/>
                <w:lang w:eastAsia="zh-CN"/>
              </w:rPr>
              <w:t>（</w:t>
            </w:r>
            <w:r>
              <w:rPr>
                <w:rFonts w:ascii="Times New Roman" w:cs="Times New Roman" w:hAnsi="Times New Roman" w:hint="eastAsia"/>
                <w:color w:val="auto"/>
                <w:sz w:val="24"/>
                <w:szCs w:val="20"/>
                <w:u w:val="single"/>
                <w:lang w:val="en-US" w:eastAsia="zh-CN"/>
              </w:rPr>
              <w:t>1</w:t>
            </w:r>
            <w:r>
              <w:rPr>
                <w:rFonts w:ascii="Times New Roman" w:eastAsia="宋体" w:cs="Times New Roman" w:hAnsi="Times New Roman" w:hint="eastAsia"/>
                <w:color w:val="auto"/>
                <w:sz w:val="24"/>
                <w:szCs w:val="20"/>
                <w:u w:val="single"/>
                <w:lang w:eastAsia="zh-CN"/>
              </w:rPr>
              <w:t>）</w:t>
            </w:r>
            <w:r>
              <w:rPr>
                <w:rFonts w:ascii="Times New Roman" w:cs="Times New Roman" w:hAnsi="Times New Roman" w:hint="eastAsia"/>
                <w:color w:val="auto"/>
                <w:spacing w:val="4"/>
                <w:sz w:val="24"/>
                <w:szCs w:val="24"/>
                <w:u w:val="single"/>
                <w:lang w:val="en-US" w:eastAsia="zh-CN"/>
                <w:highlight w:val="none"/>
              </w:rPr>
              <w:t>油罐油泥及清洗水</w:t>
            </w:r>
          </w:p>
          <w:p>
            <w:pPr>
              <w:keepNext w:val="0"/>
              <w:keepLines w:val="0"/>
              <w:suppressLineNumbers w:val="0"/>
              <w:adjustRightInd w:val="0"/>
              <w:snapToGrid w:val="0"/>
              <w:spacing w:before="0" w:beforeAutospacing="0" w:after="0" w:afterAutospacing="0" w:line="440" w:lineRule="exact"/>
              <w:ind w:left="0" w:right="0" w:firstLineChars="200" w:firstLine="480"/>
              <w:jc w:val="both"/>
              <w:rPr>
                <w:rFonts w:ascii="Times New Roman" w:eastAsia="宋体" w:cs="Times New Roman" w:hAnsi="Times New Roman"/>
                <w:color w:val="auto"/>
                <w:spacing w:val="4"/>
                <w:sz w:val="24"/>
                <w:szCs w:val="24"/>
                <w:u w:val="single"/>
                <w:highlight w:val="none"/>
              </w:rPr>
            </w:pPr>
            <w:r>
              <w:rPr>
                <w:rFonts w:ascii="Times New Roman" w:cs="Times New Roman" w:hAnsi="Times New Roman"/>
                <w:bCs/>
                <w:color w:val="000000"/>
                <w:sz w:val="24"/>
                <w:szCs w:val="28"/>
                <w:u w:val="single"/>
              </w:rPr>
              <w:t>本项目地埋式储罐需定期清理，每</w:t>
            </w:r>
            <w:r>
              <w:rPr>
                <w:rFonts w:ascii="Times New Roman" w:cs="Times New Roman" w:hAnsi="Times New Roman"/>
                <w:bCs/>
                <w:color w:val="000000"/>
                <w:sz w:val="24"/>
                <w:szCs w:val="28"/>
                <w:u w:val="single"/>
                <w:lang w:val="en-US" w:eastAsia="zh-CN"/>
              </w:rPr>
              <w:t>5</w:t>
            </w:r>
            <w:r>
              <w:rPr>
                <w:rFonts w:ascii="Times New Roman" w:cs="Times New Roman" w:hAnsi="Times New Roman"/>
                <w:bCs/>
                <w:color w:val="000000"/>
                <w:sz w:val="24"/>
                <w:szCs w:val="28"/>
                <w:u w:val="single"/>
              </w:rPr>
              <w:t>年清理1次，清理时委托专门清理公司进行清理</w:t>
            </w:r>
            <w:r>
              <w:rPr>
                <w:rFonts w:ascii="Times New Roman" w:cs="Times New Roman" w:hAnsi="Times New Roman"/>
                <w:bCs/>
                <w:color w:val="000000"/>
                <w:sz w:val="24"/>
                <w:szCs w:val="20"/>
                <w:u w:val="single"/>
              </w:rPr>
              <w:t>。</w:t>
            </w:r>
            <w:r>
              <w:rPr>
                <w:rFonts w:ascii="Times New Roman" w:cs="Times New Roman" w:hAnsi="Times New Roman"/>
                <w:bCs/>
                <w:color w:val="000000"/>
                <w:sz w:val="24"/>
                <w:szCs w:val="28"/>
                <w:u w:val="single"/>
              </w:rPr>
              <w:t>每次</w:t>
            </w:r>
            <w:r>
              <w:rPr>
                <w:rFonts w:ascii="Times New Roman" w:cs="Times New Roman" w:hAnsi="Times New Roman"/>
                <w:bCs/>
                <w:color w:val="000000"/>
                <w:sz w:val="24"/>
                <w:szCs w:val="28"/>
                <w:u w:val="single"/>
                <w:lang w:val="en-US" w:eastAsia="zh-CN"/>
              </w:rPr>
              <w:t>平均每个</w:t>
            </w:r>
            <w:r>
              <w:rPr>
                <w:rFonts w:ascii="Times New Roman" w:cs="Times New Roman" w:hAnsi="Times New Roman"/>
                <w:bCs/>
                <w:color w:val="000000"/>
                <w:sz w:val="24"/>
                <w:szCs w:val="28"/>
                <w:u w:val="single"/>
              </w:rPr>
              <w:t>储油罐清洗油泥产生量约为15kg，</w:t>
            </w:r>
            <w:r>
              <w:rPr>
                <w:rFonts w:ascii="Times New Roman" w:cs="Times New Roman" w:hAnsi="Times New Roman"/>
                <w:bCs/>
                <w:color w:val="000000"/>
                <w:sz w:val="24"/>
                <w:szCs w:val="28"/>
                <w:u w:val="single"/>
                <w:lang w:val="en-US" w:eastAsia="zh-CN"/>
              </w:rPr>
              <w:t>平均每个储油罐清洗产生的油水混合物约为200kg，</w:t>
            </w:r>
            <w:r>
              <w:rPr>
                <w:rFonts w:ascii="Times New Roman" w:cs="Times New Roman" w:hAnsi="Times New Roman"/>
                <w:bCs/>
                <w:color w:val="000000"/>
                <w:sz w:val="24"/>
                <w:szCs w:val="28"/>
                <w:u w:val="single"/>
              </w:rPr>
              <w:t>则</w:t>
            </w:r>
            <w:r>
              <w:rPr>
                <w:rFonts w:ascii="Times New Roman" w:cs="Times New Roman" w:hAnsi="Times New Roman"/>
                <w:color w:val="000000"/>
                <w:sz w:val="24"/>
                <w:szCs w:val="20"/>
                <w:u w:val="single"/>
              </w:rPr>
              <w:t>4个储油罐产生油泥60kg/次</w:t>
            </w:r>
            <w:r>
              <w:rPr>
                <w:rFonts w:ascii="Times New Roman" w:cs="Times New Roman" w:hAnsi="Times New Roman"/>
                <w:color w:val="000000"/>
                <w:sz w:val="24"/>
                <w:szCs w:val="20"/>
                <w:u w:val="single"/>
                <w:lang w:eastAsia="zh-CN"/>
              </w:rPr>
              <w:t>、</w:t>
            </w:r>
            <w:r>
              <w:rPr>
                <w:rFonts w:ascii="Times New Roman" w:cs="Times New Roman" w:hAnsi="Times New Roman"/>
                <w:bCs/>
                <w:color w:val="000000"/>
                <w:sz w:val="24"/>
                <w:szCs w:val="28"/>
                <w:u w:val="single"/>
                <w:lang w:val="en-US" w:eastAsia="zh-CN"/>
              </w:rPr>
              <w:t>油水混合物</w:t>
            </w:r>
            <w:r>
              <w:rPr>
                <w:rFonts w:ascii="Times New Roman" w:cs="Times New Roman" w:hAnsi="Times New Roman"/>
                <w:color w:val="000000"/>
                <w:sz w:val="24"/>
                <w:szCs w:val="20"/>
                <w:u w:val="single"/>
                <w:lang w:val="en-US" w:eastAsia="zh-CN"/>
              </w:rPr>
              <w:t>800</w:t>
            </w:r>
            <w:r>
              <w:rPr>
                <w:rFonts w:ascii="Times New Roman" w:cs="Times New Roman" w:hAnsi="Times New Roman"/>
                <w:color w:val="000000"/>
                <w:sz w:val="24"/>
                <w:szCs w:val="20"/>
                <w:u w:val="single"/>
              </w:rPr>
              <w:t>kg/次。</w:t>
            </w:r>
            <w:r>
              <w:rPr>
                <w:rFonts w:ascii="Times New Roman" w:cs="Times New Roman" w:hAnsi="Times New Roman"/>
                <w:bCs/>
                <w:color w:val="000000"/>
                <w:sz w:val="24"/>
                <w:szCs w:val="28"/>
                <w:u w:val="single"/>
              </w:rPr>
              <w:t>本项目按照</w:t>
            </w:r>
            <w:r>
              <w:rPr>
                <w:rFonts w:ascii="Times New Roman" w:cs="Times New Roman" w:hAnsi="Times New Roman"/>
                <w:bCs/>
                <w:color w:val="000000"/>
                <w:sz w:val="24"/>
                <w:szCs w:val="28"/>
                <w:u w:val="single"/>
                <w:lang w:val="en-US" w:eastAsia="zh-CN"/>
              </w:rPr>
              <w:t>5</w:t>
            </w:r>
            <w:r>
              <w:rPr>
                <w:rFonts w:ascii="Times New Roman" w:cs="Times New Roman" w:hAnsi="Times New Roman"/>
                <w:bCs/>
                <w:color w:val="000000"/>
                <w:sz w:val="24"/>
                <w:szCs w:val="28"/>
                <w:u w:val="single"/>
              </w:rPr>
              <w:t>年清理1次计算，则每年储油罐产生的油泥为</w:t>
            </w:r>
            <w:r>
              <w:rPr>
                <w:rFonts w:ascii="Times New Roman" w:cs="Times New Roman" w:hAnsi="Times New Roman"/>
                <w:bCs/>
                <w:color w:val="000000"/>
                <w:sz w:val="24"/>
                <w:szCs w:val="28"/>
                <w:u w:val="single"/>
                <w:lang w:val="en-US" w:eastAsia="zh-CN"/>
              </w:rPr>
              <w:t>12</w:t>
            </w:r>
            <w:r>
              <w:rPr>
                <w:rFonts w:ascii="Times New Roman" w:cs="Times New Roman" w:hAnsi="Times New Roman"/>
                <w:bCs/>
                <w:color w:val="000000"/>
                <w:sz w:val="24"/>
                <w:szCs w:val="28"/>
                <w:u w:val="single"/>
              </w:rPr>
              <w:t>kg/a</w:t>
            </w:r>
            <w:r>
              <w:rPr>
                <w:rFonts w:ascii="Times New Roman" w:cs="Times New Roman" w:hAnsi="Times New Roman"/>
                <w:bCs/>
                <w:color w:val="000000"/>
                <w:sz w:val="24"/>
                <w:szCs w:val="28"/>
                <w:u w:val="single"/>
                <w:lang w:val="en-US" w:eastAsia="zh-CN"/>
              </w:rPr>
              <w:t>(0.012t/a）</w:t>
            </w:r>
            <w:r>
              <w:rPr>
                <w:rFonts w:ascii="Times New Roman" w:cs="Times New Roman" w:hAnsi="Times New Roman"/>
                <w:bCs/>
                <w:color w:val="000000"/>
                <w:sz w:val="24"/>
                <w:szCs w:val="28"/>
                <w:u w:val="single"/>
                <w:lang w:eastAsia="zh-CN"/>
              </w:rPr>
              <w:t>、</w:t>
            </w:r>
            <w:r>
              <w:rPr>
                <w:rFonts w:ascii="Times New Roman" w:cs="Times New Roman" w:hAnsi="Times New Roman"/>
                <w:bCs/>
                <w:color w:val="000000"/>
                <w:sz w:val="24"/>
                <w:szCs w:val="28"/>
                <w:u w:val="single"/>
                <w:lang w:val="en-US" w:eastAsia="zh-CN"/>
              </w:rPr>
              <w:t>油水混合物</w:t>
            </w:r>
            <w:r>
              <w:rPr>
                <w:rFonts w:ascii="Times New Roman" w:cs="Times New Roman" w:hAnsi="Times New Roman"/>
                <w:color w:val="000000"/>
                <w:sz w:val="24"/>
                <w:szCs w:val="20"/>
                <w:u w:val="single"/>
                <w:lang w:val="en-US" w:eastAsia="zh-CN"/>
              </w:rPr>
              <w:t>160</w:t>
            </w:r>
            <w:r>
              <w:rPr>
                <w:rFonts w:ascii="Times New Roman" w:cs="Times New Roman" w:hAnsi="Times New Roman"/>
                <w:color w:val="000000"/>
                <w:sz w:val="24"/>
                <w:szCs w:val="20"/>
                <w:u w:val="single"/>
              </w:rPr>
              <w:t>kg/</w:t>
            </w:r>
            <w:r>
              <w:rPr>
                <w:rFonts w:ascii="Times New Roman" w:cs="Times New Roman" w:hAnsi="Times New Roman"/>
                <w:color w:val="000000"/>
                <w:sz w:val="24"/>
                <w:szCs w:val="20"/>
                <w:u w:val="single"/>
                <w:lang w:val="en-US" w:eastAsia="zh-CN"/>
              </w:rPr>
              <w:t>a</w:t>
            </w:r>
            <w:r>
              <w:rPr>
                <w:rFonts w:ascii="Times New Roman" w:cs="Times New Roman" w:hAnsi="Times New Roman"/>
                <w:bCs/>
                <w:color w:val="000000"/>
                <w:sz w:val="24"/>
                <w:szCs w:val="28"/>
                <w:u w:val="single"/>
                <w:lang w:val="en-US" w:eastAsia="zh-CN"/>
              </w:rPr>
              <w:t>(0.16t/a）</w:t>
            </w:r>
            <w:r>
              <w:rPr>
                <w:rFonts w:ascii="Times New Roman" w:cs="Times New Roman" w:hAnsi="Times New Roman"/>
                <w:bCs/>
                <w:color w:val="000000"/>
                <w:sz w:val="24"/>
                <w:szCs w:val="28"/>
                <w:u w:val="single"/>
              </w:rPr>
              <w:t>，</w:t>
            </w:r>
            <w:r>
              <w:rPr>
                <w:rFonts w:ascii="Times New Roman" w:cs="Times New Roman" w:hAnsi="Times New Roman"/>
                <w:color w:val="000000"/>
                <w:sz w:val="24"/>
                <w:szCs w:val="20"/>
                <w:u w:val="single"/>
              </w:rPr>
              <w:t>根据《国家危险废物名录》</w:t>
            </w:r>
            <w:r>
              <w:rPr>
                <w:rFonts w:ascii="Times New Roman" w:cs="Times New Roman" w:hAnsi="Times New Roman"/>
                <w:bCs/>
                <w:color w:val="000000"/>
                <w:sz w:val="24"/>
                <w:szCs w:val="28"/>
                <w:u w:val="single"/>
              </w:rPr>
              <w:t>（202</w:t>
            </w:r>
            <w:r>
              <w:rPr>
                <w:rFonts w:ascii="Times New Roman" w:cs="Times New Roman" w:hAnsi="Times New Roman" w:hint="eastAsia"/>
                <w:bCs/>
                <w:color w:val="000000"/>
                <w:sz w:val="24"/>
                <w:szCs w:val="28"/>
                <w:u w:val="single"/>
                <w:lang w:val="en-US" w:eastAsia="zh-CN"/>
              </w:rPr>
              <w:t>5</w:t>
            </w:r>
            <w:r>
              <w:rPr>
                <w:rFonts w:ascii="Times New Roman" w:cs="Times New Roman" w:hAnsi="Times New Roman"/>
                <w:bCs/>
                <w:color w:val="000000"/>
                <w:sz w:val="24"/>
                <w:szCs w:val="28"/>
                <w:u w:val="single"/>
              </w:rPr>
              <w:t>年）</w:t>
            </w:r>
            <w:r>
              <w:rPr>
                <w:rFonts w:ascii="Times New Roman" w:cs="Times New Roman" w:hAnsi="Times New Roman"/>
                <w:color w:val="000000"/>
                <w:sz w:val="24"/>
                <w:szCs w:val="20"/>
                <w:u w:val="single"/>
              </w:rPr>
              <w:t>，油泥</w:t>
            </w:r>
            <w:r>
              <w:rPr>
                <w:rFonts w:ascii="Times New Roman" w:cs="Times New Roman" w:hAnsi="Times New Roman"/>
                <w:color w:val="000000"/>
                <w:sz w:val="24"/>
                <w:szCs w:val="20"/>
                <w:u w:val="single"/>
                <w:lang w:val="en-US" w:eastAsia="zh-CN"/>
              </w:rPr>
              <w:t>和油水混合物</w:t>
            </w:r>
            <w:r>
              <w:rPr>
                <w:rFonts w:ascii="Times New Roman" w:cs="Times New Roman" w:hAnsi="Times New Roman"/>
                <w:color w:val="000000"/>
                <w:sz w:val="24"/>
                <w:szCs w:val="20"/>
                <w:u w:val="single"/>
              </w:rPr>
              <w:t>属于危险废物，</w:t>
            </w:r>
            <w:r>
              <w:rPr>
                <w:rFonts w:ascii="Times New Roman" w:cs="Times New Roman" w:hAnsi="Times New Roman"/>
                <w:color w:val="000000"/>
                <w:sz w:val="24"/>
                <w:szCs w:val="24"/>
                <w:u w:val="single"/>
              </w:rPr>
              <w:t>油泥废物类别为HW08，废物代码为900-221-08，</w:t>
            </w:r>
            <w:r>
              <w:rPr>
                <w:rFonts w:ascii="Times New Roman" w:cs="Times New Roman" w:hAnsi="Times New Roman"/>
                <w:color w:val="000000"/>
                <w:sz w:val="24"/>
                <w:szCs w:val="24"/>
                <w:u w:val="single"/>
                <w:lang w:eastAsia="zh-CN"/>
              </w:rPr>
              <w:t>“</w:t>
            </w:r>
            <w:r>
              <w:rPr>
                <w:rFonts w:ascii="Times New Roman" w:cs="Times New Roman" w:hAnsi="Times New Roman"/>
                <w:color w:val="000000"/>
                <w:sz w:val="24"/>
                <w:szCs w:val="24"/>
                <w:u w:val="single"/>
                <w:lang w:val="en-US" w:eastAsia="zh-CN"/>
              </w:rPr>
              <w:t>废燃料油及燃料油储存过程中产生的油泥”；油水混合物</w:t>
            </w:r>
            <w:r>
              <w:rPr>
                <w:rFonts w:ascii="Times New Roman" w:cs="Times New Roman" w:hAnsi="Times New Roman" w:hint="eastAsia"/>
                <w:color w:val="000000"/>
                <w:sz w:val="24"/>
                <w:szCs w:val="24"/>
                <w:u w:val="single"/>
                <w:lang w:val="en-US" w:eastAsia="zh-CN"/>
              </w:rPr>
              <w:t>的</w:t>
            </w:r>
            <w:r>
              <w:rPr>
                <w:rFonts w:ascii="Times New Roman" w:cs="Times New Roman" w:hAnsi="Times New Roman"/>
                <w:color w:val="000000"/>
                <w:sz w:val="24"/>
                <w:szCs w:val="24"/>
                <w:u w:val="single"/>
              </w:rPr>
              <w:t>废物类别为</w:t>
            </w:r>
            <w:r>
              <w:rPr>
                <w:rStyle w:val="10"/>
                <w:rFonts w:ascii="Times New Roman" w:eastAsia="宋体" w:cs="Times New Roman" w:hAnsi="Times New Roman"/>
                <w:color w:val="000000"/>
                <w:kern w:val="2"/>
                <w:sz w:val="24"/>
                <w:szCs w:val="24"/>
                <w:u w:val="single"/>
                <w:lang w:val="en-US" w:eastAsia="zh-CN" w:bidi="ar-SA"/>
              </w:rPr>
              <w:t>HW08</w:t>
            </w:r>
            <w:r>
              <w:rPr>
                <w:rStyle w:val="10"/>
                <w:rFonts w:ascii="Times New Roman" w:eastAsia="宋体" w:cs="Times New Roman" w:hAnsi="Times New Roman" w:hint="eastAsia"/>
                <w:color w:val="000000"/>
                <w:kern w:val="2"/>
                <w:sz w:val="24"/>
                <w:szCs w:val="24"/>
                <w:u w:val="single"/>
                <w:lang w:val="en-US" w:eastAsia="zh-CN" w:bidi="ar-SA"/>
              </w:rPr>
              <w:t>，</w:t>
            </w:r>
            <w:r>
              <w:rPr>
                <w:rFonts w:ascii="Times New Roman" w:cs="Times New Roman" w:hAnsi="Times New Roman"/>
                <w:color w:val="000000"/>
                <w:sz w:val="24"/>
                <w:szCs w:val="24"/>
                <w:u w:val="single"/>
              </w:rPr>
              <w:t>废物代码为</w:t>
            </w:r>
            <w:r>
              <w:rPr>
                <w:rStyle w:val="10"/>
                <w:rFonts w:ascii="Times New Roman" w:eastAsia="宋体" w:cs="Times New Roman" w:hAnsi="Times New Roman"/>
                <w:color w:val="000000"/>
                <w:kern w:val="2"/>
                <w:sz w:val="24"/>
                <w:szCs w:val="24"/>
                <w:u w:val="single"/>
                <w:lang w:val="en-US" w:eastAsia="zh-CN" w:bidi="ar-SA"/>
              </w:rPr>
              <w:t>251-001-08</w:t>
            </w:r>
            <w:r>
              <w:rPr>
                <w:rStyle w:val="10"/>
                <w:rFonts w:ascii="Times New Roman" w:eastAsia="宋体" w:cs="Times New Roman" w:hAnsi="Times New Roman" w:hint="eastAsia"/>
                <w:color w:val="000000"/>
                <w:kern w:val="2"/>
                <w:sz w:val="24"/>
                <w:szCs w:val="24"/>
                <w:u w:val="single"/>
                <w:lang w:val="en-US" w:eastAsia="zh-CN" w:bidi="ar-SA"/>
              </w:rPr>
              <w:t>，“</w:t>
            </w:r>
            <w:r>
              <w:rPr>
                <w:rStyle w:val="10"/>
                <w:rFonts w:ascii="Times New Roman" w:eastAsia="宋体" w:cs="Times New Roman" w:hAnsi="Times New Roman"/>
                <w:color w:val="000000"/>
                <w:kern w:val="2"/>
                <w:sz w:val="24"/>
                <w:szCs w:val="24"/>
                <w:u w:val="single"/>
                <w:lang w:val="en-US" w:eastAsia="zh-CN" w:bidi="ar-SA"/>
              </w:rPr>
              <w:t>清洗矿物油储存、输送设施过程中产生的油/水和烃/水混合物</w:t>
            </w:r>
            <w:r>
              <w:rPr>
                <w:rStyle w:val="10"/>
                <w:rFonts w:ascii="Times New Roman" w:eastAsia="宋体" w:cs="Times New Roman" w:hAnsi="Times New Roman" w:hint="eastAsia"/>
                <w:color w:val="000000"/>
                <w:kern w:val="2"/>
                <w:sz w:val="24"/>
                <w:szCs w:val="24"/>
                <w:u w:val="single"/>
                <w:lang w:val="en-US" w:eastAsia="zh-CN" w:bidi="ar-SA"/>
              </w:rPr>
              <w:t>”</w:t>
            </w:r>
            <w:r>
              <w:rPr>
                <w:rStyle w:val="10"/>
                <w:rFonts w:ascii="Times New Roman" w:eastAsia="宋体" w:cs="Times New Roman" w:hAnsi="Times New Roman"/>
                <w:color w:val="000000"/>
                <w:kern w:val="2"/>
                <w:sz w:val="24"/>
                <w:szCs w:val="24"/>
                <w:u w:val="single"/>
                <w:lang w:val="en-US" w:eastAsia="zh-CN" w:bidi="ar-SA"/>
              </w:rPr>
              <w:t>。</w:t>
            </w:r>
            <w:r>
              <w:rPr>
                <w:rFonts w:ascii="Times New Roman" w:cs="Times New Roman" w:hAnsi="Times New Roman"/>
                <w:b w:val="0"/>
                <w:bCs/>
                <w:color w:val="000000"/>
                <w:sz w:val="24"/>
                <w:szCs w:val="24"/>
                <w:u w:val="single"/>
              </w:rPr>
              <w:t>由有资质的</w:t>
            </w:r>
            <w:r>
              <w:rPr>
                <w:rFonts w:ascii="Times New Roman" w:cs="Times New Roman" w:hAnsi="Times New Roman"/>
                <w:color w:val="000000"/>
                <w:sz w:val="24"/>
                <w:szCs w:val="24"/>
                <w:u w:val="single"/>
              </w:rPr>
              <w:t>专业油罐清理公司清理后直接清运处理，不在站内暂存。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atLeast"/>
              <w:ind w:left="0" w:right="0" w:firstLineChars="200" w:firstLine="480"/>
              <w:jc w:val="both"/>
              <w:textAlignment w:val="auto"/>
              <w:rPr>
                <w:rFonts w:ascii="Times New Roman" w:eastAsia="宋体" w:cs="Times New Roman" w:hAnsi="Times New Roman"/>
                <w:b/>
                <w:bCs w:val="0"/>
                <w:kern w:val="0"/>
                <w:sz w:val="24"/>
                <w:szCs w:val="24"/>
                <w:u w:val="single"/>
              </w:rPr>
            </w:pPr>
            <w:r>
              <w:rPr>
                <w:rFonts w:ascii="Times New Roman" w:eastAsia="宋体" w:cs="Times New Roman" w:hAnsi="Times New Roman"/>
                <w:b/>
                <w:bCs w:val="0"/>
                <w:kern w:val="0"/>
                <w:sz w:val="24"/>
                <w:szCs w:val="24"/>
                <w:u w:val="single"/>
              </w:rPr>
              <w:t>危险废物的转运</w:t>
            </w:r>
          </w:p>
          <w:p>
            <w:pPr>
              <w:keepNext w:val="0"/>
              <w:keepLines w:val="0"/>
              <w:widowControl/>
              <w:suppressLineNumbers w:val="0"/>
              <w:spacing w:before="0" w:beforeAutospacing="0" w:after="0" w:afterAutospacing="0" w:line="440" w:lineRule="exact"/>
              <w:ind w:left="0" w:right="0" w:firstLineChars="200" w:firstLine="480"/>
              <w:jc w:val="both"/>
              <w:rPr>
                <w:rFonts w:hint="eastAsia"/>
                <w:sz w:val="24"/>
                <w:u w:val="single"/>
                <w:lang w:val="en-US" w:eastAsia="zh-CN"/>
              </w:rPr>
            </w:pPr>
            <w:r>
              <w:rPr>
                <w:rFonts w:ascii="Times New Roman" w:eastAsia="宋体" w:cs="Times New Roman" w:hAnsi="Times New Roman"/>
                <w:bCs/>
                <w:color w:val="auto"/>
                <w:kern w:val="0"/>
                <w:sz w:val="24"/>
                <w:szCs w:val="24"/>
                <w:u w:val="single"/>
              </w:rPr>
              <w:t>项目危险废物转运过程中采取篷布遮盖、防滴漏等措施，减少危险废物运输过程给环境带来污染。危险废物的转运还应按照《危险废物收集贮存运输技术规范》（HJ2025-2012）的要求进行，具体如下：①危险废物的运输由持有危险废物经营许可证的单位组织实施，并按照相关危险货物运输管理规定执行；②项目危险废物运输采用公路运输方式，应按照《道路危险货物运输管理规定》（交通运输部令2013年第2号）执行。运输单位承运危险废物时，应在危险废物包装上按照GB18597附录A设置标志，运输车辆应按GB13392设立车辆标志。危废运输车辆应配备符合有关国家标准以及与所载运的危险货物相适应的应急处理器材和安全防护设备。③危险废物运输时的装卸应遵照如下技术要求：装卸区的工作人员应熟悉危险废物的危险特性，并配备适当的个人防护装备。装卸区域应配备必要的消防设备和设施，并设置明显的指示标志。④</w:t>
            </w:r>
            <w:r>
              <w:rPr>
                <w:rFonts w:ascii="宋体" w:eastAsia="宋体" w:cs="宋体" w:hAnsi="宋体" w:hint="eastAsia"/>
                <w:b w:val="0"/>
                <w:bCs/>
                <w:kern w:val="0"/>
                <w:sz w:val="24"/>
                <w:szCs w:val="24"/>
                <w:u w:val="single"/>
                <w:lang w:val="en-US" w:eastAsia="zh-CN"/>
              </w:rPr>
              <w:t>危险废物转</w:t>
            </w:r>
            <w:r>
              <w:rPr>
                <w:rFonts w:ascii="宋体" w:eastAsia="宋体" w:cs="宋体" w:hAnsi="宋体" w:hint="eastAsia"/>
                <w:b w:val="0"/>
                <w:bCs/>
                <w:color w:val="auto"/>
                <w:kern w:val="0"/>
                <w:sz w:val="24"/>
                <w:szCs w:val="24"/>
                <w:u w:val="single"/>
                <w:lang w:val="en-US" w:eastAsia="zh-CN"/>
              </w:rPr>
              <w:t>移时应按</w:t>
            </w:r>
            <w:r>
              <w:rPr>
                <w:rFonts w:ascii="Times New Roman" w:eastAsia="宋体" w:cs="Times New Roman" w:hAnsi="Times New Roman"/>
                <w:b w:val="0"/>
                <w:bCs/>
                <w:color w:val="auto"/>
                <w:kern w:val="0"/>
                <w:sz w:val="24"/>
                <w:szCs w:val="24"/>
                <w:u w:val="single"/>
                <w:lang w:val="en-US" w:eastAsia="zh-CN"/>
              </w:rPr>
              <w:t>照《</w:t>
            </w:r>
            <w:r>
              <w:rPr>
                <w:rStyle w:val="33"/>
                <w:rFonts w:ascii="Times New Roman" w:eastAsia="宋体" w:cs="Times New Roman" w:hAnsi="Times New Roman"/>
                <w:b w:val="0"/>
                <w:bCs/>
                <w:i w:val="0"/>
                <w:caps w:val="0"/>
                <w:smallCaps w:val="0"/>
                <w:color w:val="auto"/>
                <w:spacing w:val="0"/>
                <w:sz w:val="24"/>
                <w:szCs w:val="24"/>
                <w:u w:val="single"/>
                <w:shd w:val="clear" w:color="auto" w:fill="FFFFFF"/>
              </w:rPr>
              <w:t>中华人民共和国固体废物污染环境防治法</w:t>
            </w:r>
            <w:r>
              <w:rPr>
                <w:rFonts w:ascii="Times New Roman" w:eastAsia="宋体" w:cs="Times New Roman" w:hAnsi="Times New Roman"/>
                <w:b w:val="0"/>
                <w:bCs/>
                <w:color w:val="auto"/>
                <w:kern w:val="0"/>
                <w:sz w:val="24"/>
                <w:szCs w:val="24"/>
                <w:u w:val="single"/>
                <w:lang w:val="en-US" w:eastAsia="zh-CN"/>
              </w:rPr>
              <w:t>》（2020年修订）中第八十二条要求进</w:t>
            </w:r>
            <w:r>
              <w:rPr>
                <w:rFonts w:ascii="宋体" w:eastAsia="宋体" w:cs="宋体" w:hAnsi="宋体" w:hint="eastAsia"/>
                <w:b w:val="0"/>
                <w:bCs/>
                <w:color w:val="auto"/>
                <w:kern w:val="0"/>
                <w:sz w:val="24"/>
                <w:szCs w:val="24"/>
                <w:u w:val="single"/>
                <w:lang w:val="en-US" w:eastAsia="zh-CN"/>
              </w:rPr>
              <w:t>行转移：</w:t>
            </w:r>
            <w:r>
              <w:rPr>
                <w:rFonts w:ascii="宋体" w:eastAsia="宋体" w:cs="宋体" w:hAnsi="宋体" w:hint="eastAsia"/>
                <w:b w:val="0"/>
                <w:bCs/>
                <w:i w:val="0"/>
                <w:caps w:val="0"/>
                <w:smallCaps w:val="0"/>
                <w:color w:val="auto"/>
                <w:spacing w:val="0"/>
                <w:sz w:val="24"/>
                <w:szCs w:val="24"/>
                <w:u w:val="single"/>
                <w:shd w:val="clear" w:color="auto" w:fill="FFFFFF"/>
              </w:rPr>
              <w:t>转</w:t>
            </w:r>
            <w:r>
              <w:rPr>
                <w:rFonts w:ascii="宋体" w:eastAsia="宋体" w:cs="宋体" w:hAnsi="宋体" w:hint="eastAsia"/>
                <w:i w:val="0"/>
                <w:caps w:val="0"/>
                <w:smallCaps w:val="0"/>
                <w:color w:val="auto"/>
                <w:spacing w:val="0"/>
                <w:sz w:val="24"/>
                <w:szCs w:val="24"/>
                <w:u w:val="single"/>
                <w:shd w:val="clear" w:color="auto" w:fill="FFFFFF"/>
              </w:rPr>
              <w:t>移危险废物的，应当按照国家有关规定填写、运行危险废物电子或者纸质转移联单。跨省、自治区、直辖市转移危险废物的，应当向危险废物移出地省、自治区、直辖市人民政府生态环境主管部门申请。移出地省、自治区、直辖市人民政府生态环境主管部门应当及时商经接受地省、自治区、直辖市人民政府生态环境主管部门同意后，在规定期限内批准转移该危险废物，并将批准信息通报相关省、自治区、直辖市人民政府生态环境主管部门和交通运输主管部门。未经批准的，不得转移。危险废物转移管理应当全程管控、提高效率，具体办法由国务院生态环境主管部门会同国务院交通运输主管部门和公安部门制定</w:t>
            </w:r>
            <w:r>
              <w:rPr>
                <w:rFonts w:ascii="宋体" w:eastAsia="宋体" w:cs="宋体" w:hAnsi="宋体" w:hint="eastAsia"/>
                <w:i w:val="0"/>
                <w:caps w:val="0"/>
                <w:smallCaps w:val="0"/>
                <w:color w:val="auto"/>
                <w:spacing w:val="0"/>
                <w:sz w:val="24"/>
                <w:szCs w:val="24"/>
                <w:u w:val="single"/>
                <w:shd w:val="clear" w:color="auto" w:fill="FFFFFF"/>
                <w:lang w:eastAsia="zh-CN"/>
              </w:rPr>
              <w:t>。</w:t>
            </w:r>
            <w:r>
              <w:rPr>
                <w:rFonts w:ascii="Times New Roman" w:eastAsia="宋体" w:cs="Times New Roman" w:hAnsi="Times New Roman"/>
                <w:bCs/>
                <w:kern w:val="0"/>
                <w:sz w:val="24"/>
                <w:szCs w:val="24"/>
                <w:u w:val="single"/>
              </w:rPr>
              <w:t>⑤废物处置单位的运输人员必须掌握危险废物运输的安全知识，了解所运载的危险废物的性质、危害特性、包装容器的使用特性和发生意外时的应急措施。运输车辆必须具有车辆危险货物运输许可证</w:t>
            </w:r>
          </w:p>
          <w:p>
            <w:pPr>
              <w:keepNext w:val="0"/>
              <w:keepLines w:val="0"/>
              <w:widowControl/>
              <w:suppressLineNumbers w:val="0"/>
              <w:spacing w:before="0" w:beforeAutospacing="0" w:after="0" w:afterAutospacing="0" w:line="440" w:lineRule="exact"/>
              <w:ind w:left="0" w:right="0" w:firstLineChars="200" w:firstLine="480"/>
              <w:jc w:val="both"/>
              <w:rPr>
                <w:rFonts w:hint="eastAsia"/>
                <w:sz w:val="24"/>
                <w:u w:val="single"/>
                <w:lang w:val="en-US" w:eastAsia="zh-CN"/>
                <w:highlight w:val="none"/>
              </w:rPr>
            </w:pPr>
            <w:r>
              <w:rPr>
                <w:rFonts w:ascii="Times New Roman" w:cs="Times New Roman" w:hAnsi="Times New Roman" w:hint="eastAsia"/>
                <w:sz w:val="24"/>
                <w:szCs w:val="20"/>
                <w:u w:val="single"/>
                <w:lang w:val="en-US" w:eastAsia="zh-CN"/>
              </w:rPr>
              <w:t>综上所述，项目产生的固体废物均能得到妥善的处理和处置，不会对周围环境造成二次污染</w:t>
            </w:r>
            <w:r>
              <w:rPr>
                <w:rFonts w:ascii="Times New Roman" w:eastAsia="宋体" w:cs="Times New Roman" w:hAnsi="Times New Roman"/>
                <w:sz w:val="24"/>
                <w:szCs w:val="20"/>
                <w:u w:val="single"/>
                <w:lang w:val="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jc w:val="left"/>
              <w:textAlignment w:val="auto"/>
              <w:rPr>
                <w:rFonts w:ascii="宋体" w:eastAsia="宋体" w:cs="宋体" w:hAnsi="宋体"/>
                <w:b w:val="0"/>
                <w:bCs w:val="0"/>
                <w:sz w:val="24"/>
                <w:szCs w:val="24"/>
                <w:lang w:val="en-US" w:eastAsia="zh-CN"/>
              </w:rPr>
            </w:pPr>
            <w:r>
              <w:rPr>
                <w:rFonts w:ascii="宋体" w:eastAsia="宋体" w:cs="宋体" w:hAnsi="宋体" w:hint="eastAsia"/>
                <w:b/>
                <w:bCs/>
                <w:sz w:val="24"/>
                <w:szCs w:val="24"/>
                <w:lang w:val="en-US" w:eastAsia="zh-CN"/>
              </w:rPr>
              <w:t>五、</w:t>
            </w:r>
            <w:r>
              <w:rPr>
                <w:rFonts w:ascii="宋体" w:cs="宋体" w:hAnsi="宋体" w:hint="eastAsia"/>
                <w:b/>
                <w:bCs/>
                <w:sz w:val="24"/>
                <w:szCs w:val="24"/>
                <w:lang w:val="en-US" w:eastAsia="zh-CN"/>
              </w:rPr>
              <w:t>地下水、土壤</w:t>
            </w:r>
          </w:p>
          <w:p>
            <w:pPr>
              <w:keepNext w:val="0"/>
              <w:keepLines w:val="0"/>
              <w:suppressLineNumbers w:val="0"/>
              <w:adjustRightInd w:val="0"/>
              <w:snapToGrid w:val="0"/>
              <w:spacing w:before="0" w:beforeAutospacing="0" w:after="0" w:afterAutospacing="0" w:line="440" w:lineRule="exact"/>
              <w:ind w:left="0" w:right="0" w:firstLineChars="200" w:firstLine="480"/>
              <w:jc w:val="both"/>
              <w:rPr>
                <w:rFonts w:ascii="Times New Roman" w:eastAsia="宋体" w:cs="Times New Roman" w:hAnsi="Times New Roman" w:hint="eastAsia"/>
                <w:b/>
                <w:bCs/>
                <w:sz w:val="24"/>
                <w:lang w:val="en-US" w:eastAsia="zh-CN"/>
                <w:highlight w:val="none"/>
              </w:rPr>
            </w:pPr>
            <w:r>
              <w:rPr>
                <w:rFonts w:ascii="Times New Roman" w:eastAsia="宋体" w:cs="Times New Roman" w:hAnsi="Times New Roman" w:hint="eastAsia"/>
                <w:b/>
                <w:bCs/>
                <w:sz w:val="24"/>
                <w:szCs w:val="20"/>
                <w:lang w:val="en-US" w:eastAsia="zh-CN"/>
                <w:highlight w:val="none"/>
              </w:rPr>
              <w:t>1、地下水</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Chars="200" w:firstLine="480"/>
              <w:jc w:val="both"/>
              <w:textAlignment w:val="auto"/>
              <w:rPr>
                <w:rFonts w:eastAsia="宋体"/>
                <w:color w:val="000000"/>
                <w:sz w:val="24"/>
                <w14:textFill>
                  <w14:solidFill>
                    <w14:srgbClr w14:val="000000"/>
                  </w14:solidFill>
                </w14:textFill>
                <w:lang w:val="en-US" w:eastAsia="zh-CN"/>
                <w:highlight w:val="none"/>
              </w:rPr>
            </w:pPr>
            <w:r>
              <w:rPr>
                <w:rFonts w:ascii="Times New Roman" w:cs="Times New Roman" w:hAnsi="Times New Roman" w:hint="eastAsia"/>
                <w:color w:val="000000"/>
                <w:sz w:val="24"/>
                <w:szCs w:val="20"/>
                <w14:textFill>
                  <w14:solidFill>
                    <w14:srgbClr w14:val="000000"/>
                  </w14:solidFill>
                </w14:textFill>
                <w:lang w:eastAsia="zh-CN"/>
                <w:highlight w:val="none"/>
              </w:rPr>
              <w:t>（</w:t>
            </w:r>
            <w:r>
              <w:rPr>
                <w:rFonts w:ascii="Times New Roman" w:cs="Times New Roman" w:hAnsi="Times New Roman" w:hint="eastAsia"/>
                <w:color w:val="000000"/>
                <w:sz w:val="24"/>
                <w:szCs w:val="20"/>
                <w14:textFill>
                  <w14:solidFill>
                    <w14:srgbClr w14:val="000000"/>
                  </w14:solidFill>
                </w14:textFill>
                <w:lang w:val="en-US" w:eastAsia="zh-CN"/>
                <w:highlight w:val="none"/>
              </w:rPr>
              <w:t>1</w:t>
            </w:r>
            <w:r>
              <w:rPr>
                <w:rFonts w:ascii="Times New Roman" w:cs="Times New Roman" w:hAnsi="Times New Roman" w:hint="eastAsia"/>
                <w:color w:val="000000"/>
                <w:sz w:val="24"/>
                <w:szCs w:val="20"/>
                <w14:textFill>
                  <w14:solidFill>
                    <w14:srgbClr w14:val="000000"/>
                  </w14:solidFill>
                </w14:textFill>
                <w:lang w:eastAsia="zh-CN"/>
                <w:highlight w:val="none"/>
              </w:rPr>
              <w:t>）</w:t>
            </w:r>
            <w:r>
              <w:rPr>
                <w:rFonts w:ascii="Times New Roman" w:cs="Times New Roman" w:hAnsi="Times New Roman" w:hint="eastAsia"/>
                <w:color w:val="000000"/>
                <w:sz w:val="24"/>
                <w:szCs w:val="20"/>
                <w14:textFill>
                  <w14:solidFill>
                    <w14:srgbClr w14:val="000000"/>
                  </w14:solidFill>
                </w14:textFill>
                <w:lang w:val="en-US" w:eastAsia="zh-CN"/>
                <w:highlight w:val="none"/>
              </w:rPr>
              <w:t>污染途径</w:t>
            </w:r>
          </w:p>
          <w:p>
            <w:pPr>
              <w:keepNext w:val="0"/>
              <w:keepLines w:val="0"/>
              <w:pageBreakBefore w:val="0"/>
              <w:widowControl w:val="0"/>
              <w:suppressLineNumbers w:val="0"/>
              <w:tabs>
                <w:tab w:val="left" w:pos="568"/>
              </w:tabs>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bCs/>
                <w:color w:val="000000"/>
                <w:kern w:val="0"/>
                <w:sz w:val="24"/>
                <w:szCs w:val="24"/>
                <w14:textFill>
                  <w14:solidFill>
                    <w14:srgbClr w14:val="000000"/>
                  </w14:solidFill>
                </w14:textFill>
              </w:rPr>
            </w:pPr>
            <w:r>
              <w:rPr>
                <w:rFonts w:ascii="Times New Roman" w:cs="Times New Roman" w:hAnsi="Times New Roman"/>
                <w:bCs/>
                <w:color w:val="000000"/>
                <w:kern w:val="0"/>
                <w:sz w:val="24"/>
                <w:szCs w:val="24"/>
                <w14:textFill>
                  <w14:solidFill>
                    <w14:srgbClr w14:val="000000"/>
                  </w14:solidFill>
                </w14:textFill>
              </w:rPr>
              <w:t>本项目</w:t>
            </w:r>
            <w:r>
              <w:rPr>
                <w:rFonts w:ascii="Times New Roman" w:cs="Times New Roman" w:hAnsi="Times New Roman"/>
                <w:bCs/>
                <w:color w:val="000000"/>
                <w:kern w:val="0"/>
                <w:sz w:val="24"/>
                <w:szCs w:val="24"/>
                <w14:textFill>
                  <w14:solidFill>
                    <w14:srgbClr w14:val="000000"/>
                  </w14:solidFill>
                </w14:textFill>
                <w:lang w:eastAsia="zh-CN"/>
              </w:rPr>
              <w:t>为加油站项目，站区设置</w:t>
            </w:r>
            <w:r>
              <w:rPr>
                <w:rFonts w:ascii="Times New Roman" w:cs="Times New Roman" w:hAnsi="Times New Roman" w:hint="eastAsia"/>
                <w:bCs/>
                <w:color w:val="000000"/>
                <w:kern w:val="0"/>
                <w:sz w:val="24"/>
                <w:szCs w:val="24"/>
                <w14:textFill>
                  <w14:solidFill>
                    <w14:srgbClr w14:val="000000"/>
                  </w14:solidFill>
                </w14:textFill>
                <w:lang w:val="en-US" w:eastAsia="zh-CN"/>
              </w:rPr>
              <w:t>4</w:t>
            </w:r>
            <w:r>
              <w:rPr>
                <w:rFonts w:ascii="Times New Roman" w:cs="Times New Roman" w:hAnsi="Times New Roman"/>
                <w:bCs/>
                <w:color w:val="000000"/>
                <w:kern w:val="0"/>
                <w:sz w:val="24"/>
                <w:szCs w:val="24"/>
                <w14:textFill>
                  <w14:solidFill>
                    <w14:srgbClr w14:val="000000"/>
                  </w14:solidFill>
                </w14:textFill>
              </w:rPr>
              <w:t>个</w:t>
            </w:r>
            <w:r>
              <w:rPr>
                <w:rFonts w:ascii="Times New Roman" w:cs="Times New Roman" w:hAnsi="Times New Roman"/>
                <w:bCs/>
                <w:color w:val="000000"/>
                <w:kern w:val="0"/>
                <w:sz w:val="24"/>
                <w:szCs w:val="24"/>
                <w14:textFill>
                  <w14:solidFill>
                    <w14:srgbClr w14:val="000000"/>
                  </w14:solidFill>
                </w14:textFill>
                <w:lang w:val="en-US" w:eastAsia="zh-CN"/>
              </w:rPr>
              <w:t>SF双层埋地油罐</w:t>
            </w:r>
            <w:r>
              <w:rPr>
                <w:rFonts w:ascii="Times New Roman" w:cs="Times New Roman" w:hAnsi="Times New Roman"/>
                <w:bCs/>
                <w:color w:val="000000"/>
                <w:kern w:val="0"/>
                <w:sz w:val="24"/>
                <w:szCs w:val="24"/>
                <w:vertAlign w:val="baseline"/>
                <w14:textFill>
                  <w14:solidFill>
                    <w14:srgbClr w14:val="000000"/>
                  </w14:solidFill>
                </w14:textFill>
                <w:lang w:eastAsia="zh-CN"/>
              </w:rPr>
              <w:t>。</w:t>
            </w:r>
            <w:r>
              <w:rPr>
                <w:rFonts w:ascii="Times New Roman" w:cs="Times New Roman" w:hAnsi="Times New Roman"/>
                <w:bCs/>
                <w:color w:val="000000"/>
                <w:kern w:val="0"/>
                <w:sz w:val="24"/>
                <w:szCs w:val="24"/>
                <w14:textFill>
                  <w14:solidFill>
                    <w14:srgbClr w14:val="000000"/>
                  </w14:solidFill>
                </w14:textFill>
              </w:rPr>
              <w:t>项目在正常工况下，不会污染地下水，</w:t>
            </w:r>
            <w:r>
              <w:rPr>
                <w:rFonts w:ascii="Times New Roman" w:cs="Times New Roman" w:hAnsi="Times New Roman" w:hint="eastAsia"/>
                <w:bCs/>
                <w:color w:val="000000"/>
                <w:kern w:val="0"/>
                <w:sz w:val="24"/>
                <w:szCs w:val="24"/>
                <w14:textFill>
                  <w14:solidFill>
                    <w14:srgbClr w14:val="000000"/>
                  </w14:solidFill>
                </w14:textFill>
                <w:lang w:val="en-US" w:eastAsia="zh-CN"/>
              </w:rPr>
              <w:t>非正常工况下</w:t>
            </w:r>
            <w:r>
              <w:rPr>
                <w:rFonts w:ascii="Times New Roman" w:cs="Times New Roman" w:hAnsi="Times New Roman"/>
                <w:bCs/>
                <w:color w:val="000000"/>
                <w:kern w:val="0"/>
                <w:sz w:val="24"/>
                <w:szCs w:val="24"/>
                <w14:textFill>
                  <w14:solidFill>
                    <w14:srgbClr w14:val="000000"/>
                  </w14:solidFill>
                </w14:textFill>
              </w:rPr>
              <w:t>发生油品泄漏，或其他原因导致油品进入土壤，便会造成地下水污染。因此，本项目对地下水环境可能造成影响的污染源主要是储罐和输油管道的渗漏，主要污染物为石油类。</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Chars="200" w:firstLine="480"/>
              <w:jc w:val="both"/>
              <w:textAlignment w:val="auto"/>
              <w:rPr>
                <w:rFonts w:hint="eastAsia"/>
                <w:color w:val="auto"/>
                <w:sz w:val="24"/>
                <w:highlight w:val="none"/>
              </w:rPr>
            </w:pPr>
            <w:r>
              <w:rPr>
                <w:rFonts w:ascii="Times New Roman" w:cs="Times New Roman" w:hAnsi="Times New Roman" w:hint="eastAsia"/>
                <w:color w:val="auto"/>
                <w:sz w:val="24"/>
                <w:szCs w:val="20"/>
                <w:highlight w:val="none"/>
              </w:rPr>
              <w:t>（2）防控措施</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color w:val="auto"/>
                <w:sz w:val="24"/>
                <w:szCs w:val="24"/>
                <w:lang w:eastAsia="zh-CN"/>
              </w:rPr>
            </w:pPr>
            <w:r>
              <w:rPr>
                <w:rFonts w:ascii="Times New Roman" w:cs="Times New Roman" w:hAnsi="Times New Roman"/>
                <w:bCs/>
                <w:color w:val="auto"/>
                <w:kern w:val="0"/>
                <w:sz w:val="24"/>
                <w:szCs w:val="24"/>
              </w:rPr>
              <w:t>根据建设单位提供资料，本项目油罐区采取</w:t>
            </w:r>
            <w:r>
              <w:rPr>
                <w:rFonts w:ascii="Times New Roman" w:cs="Times New Roman" w:hAnsi="Times New Roman"/>
                <w:bCs/>
                <w:color w:val="auto"/>
                <w:kern w:val="0"/>
                <w:sz w:val="24"/>
                <w:szCs w:val="24"/>
                <w:lang w:val="en-US" w:eastAsia="zh-CN"/>
              </w:rPr>
              <w:t>SF双层埋地油罐</w:t>
            </w:r>
            <w:r>
              <w:rPr>
                <w:rFonts w:ascii="Times New Roman" w:cs="Times New Roman" w:hAnsi="Times New Roman"/>
                <w:bCs/>
                <w:color w:val="auto"/>
                <w:kern w:val="0"/>
                <w:sz w:val="24"/>
                <w:szCs w:val="24"/>
              </w:rPr>
              <w:t>，为</w:t>
            </w:r>
            <w:r>
              <w:rPr>
                <w:rFonts w:ascii="Times New Roman" w:cs="Times New Roman" w:hAnsi="Times New Roman" w:hint="eastAsia"/>
                <w:bCs/>
                <w:color w:val="auto"/>
                <w:kern w:val="0"/>
                <w:sz w:val="24"/>
                <w:szCs w:val="24"/>
                <w:lang w:val="en-US" w:eastAsia="zh-CN"/>
              </w:rPr>
              <w:t>防止</w:t>
            </w:r>
            <w:r>
              <w:rPr>
                <w:rFonts w:ascii="Times New Roman" w:cs="Times New Roman" w:hAnsi="Times New Roman"/>
                <w:bCs/>
                <w:color w:val="auto"/>
                <w:kern w:val="0"/>
                <w:sz w:val="24"/>
                <w:szCs w:val="24"/>
              </w:rPr>
              <w:t>油品泄漏对地下水的影响，油罐区在建设过程中采取了以下措施：油罐采用双层储油罐，油罐配置防溢流阀、液位计和高低液位报警器，输油管道采用复合材料管道。卸油管道</w:t>
            </w:r>
            <w:r>
              <w:rPr>
                <w:rFonts w:ascii="Times New Roman" w:cs="Times New Roman" w:hAnsi="Times New Roman"/>
                <w:bCs/>
                <w:color w:val="auto"/>
                <w:kern w:val="0"/>
                <w:sz w:val="24"/>
                <w:szCs w:val="24"/>
                <w:lang w:val="en-US" w:eastAsia="zh-CN"/>
              </w:rPr>
              <w:t>和油气回收管道</w:t>
            </w:r>
            <w:r>
              <w:rPr>
                <w:rFonts w:ascii="Times New Roman" w:cs="Times New Roman" w:hAnsi="Times New Roman"/>
                <w:bCs/>
                <w:color w:val="auto"/>
                <w:kern w:val="0"/>
                <w:sz w:val="24"/>
                <w:szCs w:val="24"/>
              </w:rPr>
              <w:t>采用无缝钢管，</w:t>
            </w:r>
            <w:r>
              <w:rPr>
                <w:rFonts w:ascii="Times New Roman" w:cs="Times New Roman" w:hAnsi="Times New Roman"/>
                <w:bCs/>
                <w:color w:val="auto"/>
                <w:kern w:val="0"/>
                <w:sz w:val="24"/>
                <w:szCs w:val="24"/>
                <w:lang w:val="en-US" w:eastAsia="zh-CN"/>
              </w:rPr>
              <w:t>加油</w:t>
            </w:r>
            <w:r>
              <w:rPr>
                <w:rFonts w:ascii="Times New Roman" w:cs="Times New Roman" w:hAnsi="Times New Roman"/>
                <w:bCs/>
                <w:color w:val="auto"/>
                <w:kern w:val="0"/>
                <w:sz w:val="24"/>
                <w:szCs w:val="24"/>
              </w:rPr>
              <w:t>管道采用</w:t>
            </w:r>
            <w:r>
              <w:rPr>
                <w:rFonts w:ascii="Times New Roman" w:cs="Times New Roman" w:hAnsi="Times New Roman"/>
                <w:bCs/>
                <w:color w:val="auto"/>
                <w:kern w:val="0"/>
                <w:sz w:val="24"/>
                <w:szCs w:val="24"/>
                <w:lang w:val="en-US" w:eastAsia="zh-CN"/>
              </w:rPr>
              <w:t>双层复合管道，通气管为镀锌</w:t>
            </w:r>
            <w:r>
              <w:rPr>
                <w:rFonts w:ascii="Times New Roman" w:cs="Times New Roman" w:hAnsi="Times New Roman"/>
                <w:bCs/>
                <w:color w:val="auto"/>
                <w:kern w:val="0"/>
                <w:sz w:val="24"/>
                <w:szCs w:val="24"/>
              </w:rPr>
              <w:t>钢管。输油管线采用</w:t>
            </w:r>
            <w:r>
              <w:rPr>
                <w:rFonts w:ascii="Times New Roman" w:cs="Times New Roman" w:hAnsi="Times New Roman" w:hint="eastAsia"/>
                <w:bCs/>
                <w:color w:val="auto"/>
                <w:kern w:val="0"/>
                <w:sz w:val="24"/>
                <w:szCs w:val="24"/>
                <w:lang w:eastAsia="zh-CN"/>
              </w:rPr>
              <w:t>三</w:t>
            </w:r>
            <w:r>
              <w:rPr>
                <w:rFonts w:ascii="Times New Roman" w:cs="Times New Roman" w:hAnsi="Times New Roman"/>
                <w:bCs/>
                <w:color w:val="auto"/>
                <w:kern w:val="0"/>
                <w:sz w:val="24"/>
                <w:szCs w:val="24"/>
                <w:lang w:val="en-US" w:eastAsia="zh-CN"/>
              </w:rPr>
              <w:t>油</w:t>
            </w:r>
            <w:r>
              <w:rPr>
                <w:rFonts w:ascii="Times New Roman" w:cs="Times New Roman" w:hAnsi="Times New Roman" w:hint="eastAsia"/>
                <w:bCs/>
                <w:color w:val="auto"/>
                <w:kern w:val="0"/>
                <w:sz w:val="24"/>
                <w:szCs w:val="24"/>
                <w:lang w:val="en-US" w:eastAsia="zh-CN"/>
              </w:rPr>
              <w:t>两</w:t>
            </w:r>
            <w:r>
              <w:rPr>
                <w:rFonts w:ascii="Times New Roman" w:cs="Times New Roman" w:hAnsi="Times New Roman"/>
                <w:bCs/>
                <w:color w:val="auto"/>
                <w:kern w:val="0"/>
                <w:sz w:val="24"/>
                <w:szCs w:val="24"/>
                <w:lang w:val="en-US" w:eastAsia="zh-CN"/>
              </w:rPr>
              <w:t>布</w:t>
            </w:r>
            <w:r>
              <w:rPr>
                <w:rFonts w:ascii="Times New Roman" w:cs="Times New Roman" w:hAnsi="Times New Roman"/>
                <w:bCs/>
                <w:color w:val="auto"/>
                <w:kern w:val="0"/>
                <w:sz w:val="24"/>
                <w:szCs w:val="24"/>
              </w:rPr>
              <w:t>防腐</w:t>
            </w:r>
            <w:r>
              <w:rPr>
                <w:rFonts w:ascii="Times New Roman" w:cs="Times New Roman" w:hAnsi="Times New Roman"/>
                <w:bCs/>
                <w:color w:val="auto"/>
                <w:kern w:val="0"/>
                <w:sz w:val="24"/>
                <w:szCs w:val="24"/>
                <w:lang w:eastAsia="zh-CN"/>
              </w:rPr>
              <w:t>，</w:t>
            </w:r>
            <w:r>
              <w:rPr>
                <w:rFonts w:ascii="Times New Roman" w:cs="Times New Roman" w:hAnsi="Times New Roman" w:hint="eastAsia"/>
                <w:bCs/>
                <w:color w:val="auto"/>
                <w:kern w:val="0"/>
                <w:sz w:val="24"/>
                <w:szCs w:val="24"/>
                <w:lang w:eastAsia="zh-CN"/>
              </w:rPr>
              <w:t>符</w:t>
            </w:r>
            <w:r>
              <w:rPr>
                <w:rFonts w:ascii="Times New Roman" w:cs="Times New Roman" w:hAnsi="Times New Roman"/>
                <w:bCs/>
                <w:color w:val="auto"/>
                <w:kern w:val="0"/>
                <w:sz w:val="24"/>
                <w:szCs w:val="24"/>
                <w:lang w:val="en-US" w:eastAsia="zh-CN"/>
              </w:rPr>
              <w:t>合</w:t>
            </w:r>
            <w:r>
              <w:rPr>
                <w:rFonts w:ascii="Times New Roman" w:cs="Times New Roman" w:hAnsi="Times New Roman"/>
                <w:bCs/>
                <w:color w:val="auto"/>
                <w:kern w:val="0"/>
                <w:sz w:val="24"/>
                <w:szCs w:val="24"/>
              </w:rPr>
              <w:t>《钢制管道及储油罐腐蚀控制工程设计规范》</w:t>
            </w:r>
            <w:r>
              <w:rPr>
                <w:rFonts w:ascii="Times New Roman" w:cs="Times New Roman" w:hAnsi="Times New Roman"/>
                <w:bCs/>
                <w:color w:val="auto"/>
                <w:kern w:val="0"/>
                <w:sz w:val="24"/>
                <w:szCs w:val="24"/>
                <w:lang w:eastAsia="zh-CN"/>
              </w:rPr>
              <w:t>（</w:t>
            </w:r>
            <w:r>
              <w:rPr>
                <w:rFonts w:ascii="Times New Roman" w:cs="Times New Roman" w:hAnsi="Times New Roman"/>
                <w:bCs/>
                <w:color w:val="auto"/>
                <w:kern w:val="0"/>
                <w:sz w:val="24"/>
                <w:szCs w:val="24"/>
                <w:lang w:val="en-US" w:eastAsia="zh-CN"/>
              </w:rPr>
              <w:t>GB/T21447</w:t>
            </w:r>
            <w:r>
              <w:rPr>
                <w:rFonts w:ascii="Times New Roman" w:cs="Times New Roman" w:hAnsi="Times New Roman"/>
                <w:bCs/>
                <w:color w:val="auto"/>
                <w:kern w:val="0"/>
                <w:sz w:val="24"/>
                <w:szCs w:val="24"/>
                <w:lang w:eastAsia="zh-CN"/>
              </w:rPr>
              <w:t>）</w:t>
            </w:r>
            <w:r>
              <w:rPr>
                <w:rFonts w:ascii="Times New Roman" w:cs="Times New Roman" w:hAnsi="Times New Roman"/>
                <w:bCs/>
                <w:color w:val="auto"/>
                <w:kern w:val="0"/>
                <w:sz w:val="24"/>
                <w:szCs w:val="24"/>
                <w:lang w:val="en-US" w:eastAsia="zh-CN"/>
              </w:rPr>
              <w:t>的有关规定</w:t>
            </w:r>
            <w:r>
              <w:rPr>
                <w:rFonts w:ascii="Times New Roman" w:cs="Times New Roman" w:hAnsi="Times New Roman"/>
                <w:bCs/>
                <w:color w:val="auto"/>
                <w:kern w:val="0"/>
                <w:sz w:val="24"/>
                <w:szCs w:val="24"/>
              </w:rPr>
              <w:t>。</w:t>
            </w:r>
            <w:r>
              <w:rPr>
                <w:rFonts w:ascii="Times New Roman" w:cs="Times New Roman" w:hAnsi="Times New Roman"/>
                <w:bCs/>
                <w:color w:val="auto"/>
                <w:kern w:val="0"/>
                <w:sz w:val="24"/>
                <w:szCs w:val="24"/>
                <w:lang w:val="en-US" w:eastAsia="zh-CN"/>
              </w:rPr>
              <w:t>加油站其他区域</w:t>
            </w:r>
            <w:r>
              <w:rPr>
                <w:rFonts w:ascii="Times New Roman" w:cs="Times New Roman" w:hAnsi="Times New Roman"/>
                <w:bCs/>
                <w:color w:val="auto"/>
                <w:kern w:val="0"/>
                <w:sz w:val="24"/>
                <w:szCs w:val="24"/>
              </w:rPr>
              <w:t>采用混凝土浇筑硬化。</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color w:val="auto"/>
                <w:sz w:val="24"/>
                <w:szCs w:val="24"/>
                <w:lang w:eastAsia="zh-CN"/>
              </w:rPr>
            </w:pPr>
            <w:r>
              <w:rPr>
                <w:rFonts w:ascii="Times New Roman" w:cs="Times New Roman" w:hAnsi="Times New Roman"/>
                <w:color w:val="auto"/>
                <w:sz w:val="24"/>
                <w:szCs w:val="24"/>
                <w:lang w:eastAsia="zh-CN"/>
              </w:rPr>
              <w:t>为确保本区域地下水不受到本项目污染，将</w:t>
            </w:r>
            <w:r>
              <w:rPr>
                <w:rFonts w:ascii="Times New Roman" w:cs="Times New Roman" w:hAnsi="Times New Roman" w:hint="eastAsia"/>
                <w:color w:val="auto"/>
                <w:sz w:val="24"/>
                <w:szCs w:val="24"/>
                <w:lang w:val="en-US" w:eastAsia="zh-CN"/>
              </w:rPr>
              <w:t>加油站内</w:t>
            </w:r>
            <w:r>
              <w:rPr>
                <w:rFonts w:ascii="Times New Roman" w:cs="Times New Roman" w:hAnsi="Times New Roman"/>
                <w:color w:val="auto"/>
                <w:sz w:val="24"/>
                <w:szCs w:val="24"/>
                <w:lang w:eastAsia="zh-CN"/>
              </w:rPr>
              <w:t>发生物料泄漏是否容易和能否及时得到处理作为污染防治分区的划分原则，据此</w:t>
            </w:r>
            <w:r>
              <w:rPr>
                <w:rFonts w:ascii="Times New Roman" w:cs="Times New Roman" w:hAnsi="Times New Roman" w:hint="eastAsia"/>
                <w:color w:val="auto"/>
                <w:sz w:val="24"/>
                <w:szCs w:val="24"/>
                <w:lang w:val="en-US" w:eastAsia="zh-CN"/>
              </w:rPr>
              <w:t>加油站内</w:t>
            </w:r>
            <w:r>
              <w:rPr>
                <w:rFonts w:ascii="Times New Roman" w:cs="Times New Roman" w:hAnsi="Times New Roman"/>
                <w:color w:val="auto"/>
                <w:sz w:val="24"/>
                <w:szCs w:val="24"/>
                <w:lang w:eastAsia="zh-CN"/>
              </w:rPr>
              <w:t>划分</w:t>
            </w:r>
            <w:r>
              <w:rPr>
                <w:rFonts w:ascii="Times New Roman" w:cs="Times New Roman" w:hAnsi="Times New Roman" w:hint="eastAsia"/>
                <w:color w:val="auto"/>
                <w:sz w:val="24"/>
                <w:szCs w:val="24"/>
                <w:lang w:val="en-US" w:eastAsia="zh-CN"/>
              </w:rPr>
              <w:t>为</w:t>
            </w:r>
            <w:r>
              <w:rPr>
                <w:rFonts w:ascii="Times New Roman" w:cs="Times New Roman" w:hAnsi="Times New Roman"/>
                <w:color w:val="auto"/>
                <w:sz w:val="24"/>
                <w:szCs w:val="24"/>
                <w:lang w:eastAsia="zh-CN"/>
              </w:rPr>
              <w:t>重点防渗区、一般防渗区。</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40" w:lineRule="exact"/>
              <w:ind w:left="0" w:right="0" w:firstLineChars="200" w:firstLine="480"/>
              <w:textAlignment w:val="auto"/>
              <w:rPr>
                <w:rFonts w:ascii="Times New Roman" w:cs="Times New Roman" w:hAnsi="Times New Roman"/>
                <w:color w:val="000000"/>
                <w:sz w:val="24"/>
                <w14:textFill>
                  <w14:solidFill>
                    <w14:srgbClr w14:val="000000"/>
                  </w14:solidFill>
                </w14:textFill>
                <w:lang w:val="en-US"/>
              </w:rPr>
            </w:pPr>
            <w:r>
              <w:rPr>
                <w:rFonts w:ascii="Times New Roman" w:cs="Times New Roman" w:hAnsi="Times New Roman"/>
                <w:color w:val="000000"/>
                <w:sz w:val="24"/>
                <w:szCs w:val="24"/>
                <w14:textFill>
                  <w14:solidFill>
                    <w14:srgbClr w14:val="000000"/>
                  </w14:solidFill>
                </w14:textFill>
                <w:lang w:eastAsia="zh-CN"/>
              </w:rPr>
              <w:t>重点防渗区：本项目埋地油库、加油作业区、</w:t>
            </w:r>
            <w:r>
              <w:rPr>
                <w:rFonts w:ascii="Times New Roman" w:cs="Times New Roman" w:hAnsi="Times New Roman"/>
                <w:color w:val="000000"/>
                <w:sz w:val="24"/>
                <w:szCs w:val="24"/>
                <w14:textFill>
                  <w14:solidFill>
                    <w14:srgbClr w14:val="000000"/>
                  </w14:solidFill>
                </w14:textFill>
              </w:rPr>
              <w:t>厂区内的输油管线</w:t>
            </w:r>
            <w:r>
              <w:rPr>
                <w:rFonts w:ascii="Times New Roman" w:cs="Times New Roman" w:hAnsi="Times New Roman"/>
                <w:color w:val="000000"/>
                <w:sz w:val="24"/>
                <w:szCs w:val="24"/>
                <w14:textFill>
                  <w14:solidFill>
                    <w14:srgbClr w14:val="000000"/>
                  </w14:solidFill>
                </w14:textFill>
                <w:lang w:eastAsia="zh-CN"/>
              </w:rPr>
              <w:t>、化粪池</w:t>
            </w:r>
            <w:r>
              <w:rPr>
                <w:rFonts w:ascii="Times New Roman" w:cs="Times New Roman" w:hAnsi="Times New Roman"/>
                <w:color w:val="000000"/>
                <w:sz w:val="24"/>
                <w:szCs w:val="20"/>
                <w14:textFill>
                  <w14:solidFill>
                    <w14:srgbClr w14:val="000000"/>
                  </w14:solidFill>
                </w14:textFill>
                <w:lang w:eastAsia="zh-CN"/>
              </w:rPr>
              <w:t>按重点防渗区要求进行防腐防渗。重点防渗区指对地下水环境有污染的物料或污染物泄漏后，不能发现和处理的区域或部位，主要包括埋地油库、加油区、</w:t>
            </w:r>
            <w:r>
              <w:rPr>
                <w:rFonts w:ascii="Times New Roman" w:cs="Times New Roman" w:hAnsi="Times New Roman"/>
                <w:color w:val="000000"/>
                <w:sz w:val="24"/>
                <w:szCs w:val="20"/>
                <w14:textFill>
                  <w14:solidFill>
                    <w14:srgbClr w14:val="000000"/>
                  </w14:solidFill>
                </w14:textFill>
              </w:rPr>
              <w:t>厂区内的输油管线</w:t>
            </w:r>
            <w:r>
              <w:rPr>
                <w:rFonts w:ascii="Times New Roman" w:cs="Times New Roman" w:hAnsi="Times New Roman"/>
                <w:color w:val="000000"/>
                <w:sz w:val="24"/>
                <w:szCs w:val="20"/>
                <w14:textFill>
                  <w14:solidFill>
                    <w14:srgbClr w14:val="000000"/>
                  </w14:solidFill>
                </w14:textFill>
                <w:lang w:eastAsia="zh-CN"/>
              </w:rPr>
              <w:t>、化粪池等，加油作业区</w:t>
            </w:r>
            <w:r>
              <w:rPr>
                <w:rFonts w:ascii="Times New Roman" w:cs="Times New Roman" w:hAnsi="Times New Roman"/>
                <w:color w:val="000000"/>
                <w:sz w:val="24"/>
                <w:szCs w:val="20"/>
                <w14:textFill>
                  <w14:solidFill>
                    <w14:srgbClr w14:val="000000"/>
                  </w14:solidFill>
                </w14:textFill>
              </w:rPr>
              <w:t>地面硬化</w:t>
            </w:r>
            <w:r>
              <w:rPr>
                <w:rFonts w:ascii="Times New Roman" w:cs="Times New Roman" w:hAnsi="Times New Roman" w:hint="eastAsia"/>
                <w:color w:val="000000"/>
                <w:sz w:val="24"/>
                <w:szCs w:val="20"/>
                <w14:textFill>
                  <w14:solidFill>
                    <w14:srgbClr w14:val="000000"/>
                  </w14:solidFill>
                </w14:textFill>
                <w:lang w:eastAsia="zh-CN"/>
              </w:rPr>
              <w:t>。</w:t>
            </w:r>
            <w:r>
              <w:rPr>
                <w:rFonts w:ascii="Times New Roman" w:cs="Times New Roman" w:hAnsi="Times New Roman" w:hint="eastAsia"/>
                <w:color w:val="000000"/>
                <w:sz w:val="24"/>
                <w:szCs w:val="20"/>
                <w14:textFill>
                  <w14:solidFill>
                    <w14:srgbClr w14:val="000000"/>
                  </w14:solidFill>
                </w14:textFill>
                <w:lang w:val="en-US" w:eastAsia="zh-CN"/>
              </w:rPr>
              <w:t>项目采用双层卧式油罐</w:t>
            </w:r>
            <w:r>
              <w:rPr>
                <w:rFonts w:ascii="Times New Roman" w:cs="Times New Roman" w:hAnsi="Times New Roman"/>
                <w:color w:val="000000"/>
                <w:sz w:val="24"/>
                <w:szCs w:val="20"/>
                <w14:textFill>
                  <w14:solidFill>
                    <w14:srgbClr w14:val="000000"/>
                  </w14:solidFill>
                </w14:textFill>
                <w:lang w:eastAsia="zh-CN"/>
              </w:rPr>
              <w:t>，</w:t>
            </w:r>
            <w:r>
              <w:rPr>
                <w:rFonts w:ascii="Times New Roman" w:cs="Times New Roman" w:hAnsi="Times New Roman" w:hint="eastAsia"/>
                <w:color w:val="000000"/>
                <w:sz w:val="24"/>
                <w:szCs w:val="20"/>
                <w14:textFill>
                  <w14:solidFill>
                    <w14:srgbClr w14:val="000000"/>
                  </w14:solidFill>
                </w14:textFill>
                <w:lang w:val="en-US" w:eastAsia="zh-CN"/>
              </w:rPr>
              <w:t>地埋式储油罐材料为钢，可有效防止储油罐油气下渗。卸油、通气、油气回收工艺管道采用无缝钢管，管道组成件与无缝钢管材质相同，埋地管道外面涂有防腐绝缘保护层。</w:t>
            </w:r>
          </w:p>
          <w:p>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40" w:lineRule="exact"/>
              <w:ind w:left="0" w:right="0" w:firstLineChars="200" w:firstLine="480"/>
              <w:textAlignment w:val="auto"/>
              <w:rPr>
                <w:rFonts w:ascii="Times New Roman" w:cs="Times New Roman" w:hAnsi="Times New Roman"/>
                <w:color w:val="000000"/>
                <w:sz w:val="24"/>
                <w:szCs w:val="24"/>
                <w14:textFill>
                  <w14:solidFill>
                    <w14:srgbClr w14:val="000000"/>
                  </w14:solidFill>
                </w14:textFill>
                <w:lang w:val="en-US" w:eastAsia="zh-CN"/>
              </w:rPr>
            </w:pPr>
            <w:r>
              <w:rPr>
                <w:rFonts w:ascii="Times New Roman" w:cs="Times New Roman" w:hAnsi="Times New Roman"/>
                <w:color w:val="000000"/>
                <w:sz w:val="24"/>
                <w:szCs w:val="24"/>
                <w14:textFill>
                  <w14:solidFill>
                    <w14:srgbClr w14:val="000000"/>
                  </w14:solidFill>
                </w14:textFill>
                <w:lang w:eastAsia="zh-CN"/>
              </w:rPr>
              <w:t>一般防渗区：</w:t>
            </w:r>
            <w:r>
              <w:rPr>
                <w:rFonts w:ascii="Times New Roman" w:cs="Times New Roman" w:hAnsi="Times New Roman"/>
                <w:color w:val="000000"/>
                <w:sz w:val="24"/>
                <w:szCs w:val="24"/>
                <w14:textFill>
                  <w14:solidFill>
                    <w14:srgbClr w14:val="000000"/>
                  </w14:solidFill>
                </w14:textFill>
                <w:lang w:val="en-US" w:eastAsia="zh-CN"/>
              </w:rPr>
              <w:t>除油罐区和加油岛之外的所有区域地面采取粘土铺底，再在上层铺10</w:t>
            </w:r>
            <w:r>
              <w:rPr>
                <w:rFonts w:ascii="Times New Roman" w:cs="Times New Roman" w:hAnsi="Times New Roman" w:hint="eastAsia"/>
                <w:color w:val="000000"/>
                <w:sz w:val="24"/>
                <w:szCs w:val="24"/>
                <w14:textFill>
                  <w14:solidFill>
                    <w14:srgbClr w14:val="000000"/>
                  </w14:solidFill>
                </w14:textFill>
                <w:lang w:val="en-US" w:eastAsia="zh-CN"/>
              </w:rPr>
              <w:t>～</w:t>
            </w:r>
            <w:r>
              <w:rPr>
                <w:rFonts w:ascii="Times New Roman" w:cs="Times New Roman" w:hAnsi="Times New Roman"/>
                <w:color w:val="000000"/>
                <w:sz w:val="24"/>
                <w:szCs w:val="24"/>
                <w14:textFill>
                  <w14:solidFill>
                    <w14:srgbClr w14:val="000000"/>
                  </w14:solidFill>
                </w14:textFill>
                <w:lang w:val="en-US" w:eastAsia="zh-CN"/>
              </w:rPr>
              <w:t>15cm的水泥进行硬化。</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b w:val="0"/>
                <w:bCs/>
                <w:color w:val="000000"/>
                <w:kern w:val="0"/>
                <w:sz w:val="24"/>
                <w:szCs w:val="24"/>
                <w:u w:val="none"/>
                <w14:textFill>
                  <w14:solidFill>
                    <w14:srgbClr w14:val="000000"/>
                  </w14:solidFill>
                </w14:textFill>
              </w:rPr>
            </w:pPr>
            <w:r>
              <w:rPr>
                <w:rFonts w:ascii="Times New Roman" w:cs="Times New Roman" w:hAnsi="Times New Roman"/>
                <w:b w:val="0"/>
                <w:bCs/>
                <w:color w:val="000000"/>
                <w:kern w:val="0"/>
                <w:sz w:val="24"/>
                <w:szCs w:val="24"/>
                <w:u w:val="none"/>
                <w14:textFill>
                  <w14:solidFill>
                    <w14:srgbClr w14:val="000000"/>
                  </w14:solidFill>
                </w14:textFill>
                <w:lang w:eastAsia="zh-CN"/>
              </w:rPr>
              <w:t>根据《加油站地下水污染防治技术指南》（试行）</w:t>
            </w:r>
            <w:r>
              <w:rPr>
                <w:rFonts w:ascii="Times New Roman" w:cs="Times New Roman" w:hAnsi="Times New Roman"/>
                <w:b w:val="0"/>
                <w:bCs/>
                <w:color w:val="000000"/>
                <w:kern w:val="0"/>
                <w:sz w:val="24"/>
                <w:szCs w:val="24"/>
                <w:u w:val="none"/>
                <w14:textFill>
                  <w14:solidFill>
                    <w14:srgbClr w14:val="000000"/>
                  </w14:solidFill>
                </w14:textFill>
                <w:lang w:eastAsia="zh-CN"/>
                <w:highlight w:val="none"/>
              </w:rPr>
              <w:t>，</w:t>
            </w:r>
            <w:r>
              <w:rPr>
                <w:rFonts w:ascii="Times New Roman" w:cs="Times New Roman" w:hAnsi="Times New Roman"/>
                <w:b w:val="0"/>
                <w:bCs/>
                <w:color w:val="000000"/>
                <w:kern w:val="0"/>
                <w:sz w:val="24"/>
                <w:szCs w:val="24"/>
                <w:u w:val="none"/>
                <w14:textFill>
                  <w14:solidFill>
                    <w14:srgbClr w14:val="000000"/>
                  </w14:solidFill>
                </w14:textFill>
                <w:highlight w:val="none"/>
              </w:rPr>
              <w:t>本项目设置1个监测井</w:t>
            </w:r>
            <w:r>
              <w:rPr>
                <w:rFonts w:ascii="Times New Roman" w:cs="Times New Roman" w:hAnsi="Times New Roman"/>
                <w:b w:val="0"/>
                <w:bCs/>
                <w:color w:val="000000"/>
                <w:kern w:val="0"/>
                <w:sz w:val="24"/>
                <w:szCs w:val="24"/>
                <w:u w:val="none"/>
                <w14:textFill>
                  <w14:solidFill>
                    <w14:srgbClr w14:val="000000"/>
                  </w14:solidFill>
                </w14:textFill>
                <w:lang w:eastAsia="zh-CN"/>
                <w:highlight w:val="none"/>
              </w:rPr>
              <w:t>，</w:t>
            </w:r>
            <w:r>
              <w:rPr>
                <w:rFonts w:ascii="Times New Roman" w:cs="Times New Roman" w:hAnsi="Times New Roman"/>
                <w:b w:val="0"/>
                <w:bCs/>
                <w:color w:val="000000"/>
                <w:kern w:val="0"/>
                <w:sz w:val="24"/>
                <w:szCs w:val="24"/>
                <w:u w:val="none"/>
                <w14:textFill>
                  <w14:solidFill>
                    <w14:srgbClr w14:val="000000"/>
                  </w14:solidFill>
                </w14:textFill>
                <w:highlight w:val="none"/>
              </w:rPr>
              <w:t>地下水监测井设在</w:t>
            </w:r>
            <w:r>
              <w:rPr>
                <w:rFonts w:ascii="Times New Roman" w:cs="Times New Roman" w:hAnsi="Times New Roman"/>
                <w:b w:val="0"/>
                <w:bCs/>
                <w:color w:val="000000"/>
                <w:kern w:val="0"/>
                <w:sz w:val="24"/>
                <w:szCs w:val="24"/>
                <w:u w:val="none"/>
                <w14:textFill>
                  <w14:solidFill>
                    <w14:srgbClr w14:val="000000"/>
                  </w14:solidFill>
                </w14:textFill>
                <w:lang w:val="en-US" w:eastAsia="zh-CN"/>
                <w:highlight w:val="none"/>
              </w:rPr>
              <w:t>站房北侧墙边，</w:t>
            </w:r>
            <w:r>
              <w:rPr>
                <w:rFonts w:ascii="Times New Roman" w:cs="Times New Roman" w:hAnsi="Times New Roman"/>
                <w:b w:val="0"/>
                <w:bCs/>
                <w:color w:val="000000"/>
                <w:kern w:val="0"/>
                <w:sz w:val="24"/>
                <w:szCs w:val="24"/>
                <w:u w:val="none"/>
                <w14:textFill>
                  <w14:solidFill>
                    <w14:srgbClr w14:val="000000"/>
                  </w14:solidFill>
                </w14:textFill>
                <w:highlight w:val="none"/>
              </w:rPr>
              <w:t>可及时发现地</w:t>
            </w:r>
            <w:r>
              <w:rPr>
                <w:rFonts w:ascii="Times New Roman" w:cs="Times New Roman" w:hAnsi="Times New Roman"/>
                <w:b w:val="0"/>
                <w:bCs/>
                <w:color w:val="000000"/>
                <w:kern w:val="0"/>
                <w:sz w:val="24"/>
                <w:szCs w:val="24"/>
                <w:u w:val="none"/>
                <w14:textFill>
                  <w14:solidFill>
                    <w14:srgbClr w14:val="000000"/>
                  </w14:solidFill>
                </w14:textFill>
              </w:rPr>
              <w:t>下油罐渗漏与否，防止成品油泄漏造成大面积的地下水污染。</w:t>
            </w:r>
            <w:r>
              <w:rPr>
                <w:rFonts w:ascii="Times New Roman" w:cs="Times New Roman" w:hAnsi="Times New Roman"/>
                <w:b w:val="0"/>
                <w:bCs/>
                <w:color w:val="000000"/>
                <w:kern w:val="0"/>
                <w:sz w:val="24"/>
                <w:szCs w:val="24"/>
                <w:u w:val="none"/>
                <w14:textFill>
                  <w14:solidFill>
                    <w14:srgbClr w14:val="000000"/>
                  </w14:solidFill>
                </w14:textFill>
                <w:highlight w:val="none"/>
              </w:rPr>
              <w:t>地下水监测井结构采用一孔成井工艺。</w:t>
            </w:r>
            <w:r>
              <w:rPr>
                <w:rFonts w:ascii="Times New Roman" w:cs="Times New Roman" w:hAnsi="Times New Roman"/>
                <w:b w:val="0"/>
                <w:bCs/>
                <w:color w:val="000000"/>
                <w:kern w:val="0"/>
                <w:sz w:val="24"/>
                <w:szCs w:val="24"/>
                <w:u w:val="none"/>
                <w14:textFill>
                  <w14:solidFill>
                    <w14:srgbClr w14:val="000000"/>
                  </w14:solidFill>
                </w14:textFill>
                <w:lang w:val="en-US" w:eastAsia="zh-CN"/>
                <w:highlight w:val="none"/>
              </w:rPr>
              <w:t>地下水监测</w:t>
            </w:r>
            <w:r>
              <w:rPr>
                <w:rFonts w:ascii="Times New Roman" w:cs="Times New Roman" w:hAnsi="Times New Roman"/>
                <w:b w:val="0"/>
                <w:bCs/>
                <w:color w:val="000000"/>
                <w:kern w:val="0"/>
                <w:sz w:val="24"/>
                <w:szCs w:val="24"/>
                <w:u w:val="none"/>
                <w14:textFill>
                  <w14:solidFill>
                    <w14:srgbClr w14:val="000000"/>
                  </w14:solidFill>
                </w14:textFill>
                <w:highlight w:val="none"/>
              </w:rPr>
              <w:t>指标及频率：</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b w:val="0"/>
                <w:bCs/>
                <w:color w:val="000000"/>
                <w:kern w:val="0"/>
                <w:sz w:val="24"/>
                <w:szCs w:val="24"/>
                <w:u w:val="none"/>
                <w14:textFill>
                  <w14:solidFill>
                    <w14:srgbClr w14:val="000000"/>
                  </w14:solidFill>
                </w14:textFill>
              </w:rPr>
            </w:pPr>
            <w:r>
              <w:rPr>
                <w:rFonts w:ascii="Times New Roman" w:cs="Times New Roman" w:hAnsi="Times New Roman"/>
                <w:b w:val="0"/>
                <w:bCs/>
                <w:color w:val="000000"/>
                <w:kern w:val="0"/>
                <w:sz w:val="24"/>
                <w:szCs w:val="24"/>
                <w:u w:val="none"/>
                <w14:textFill>
                  <w14:solidFill>
                    <w14:srgbClr w14:val="000000"/>
                  </w14:solidFill>
                </w14:textFill>
              </w:rPr>
              <w:t>a</w:t>
            </w:r>
            <w:r>
              <w:rPr>
                <w:rFonts w:ascii="Times New Roman" w:cs="Times New Roman" w:hAnsi="Times New Roman" w:hint="eastAsia"/>
                <w:b w:val="0"/>
                <w:bCs/>
                <w:color w:val="000000"/>
                <w:kern w:val="0"/>
                <w:sz w:val="24"/>
                <w:szCs w:val="24"/>
                <w:u w:val="none"/>
                <w14:textFill>
                  <w14:solidFill>
                    <w14:srgbClr w14:val="000000"/>
                  </w14:solidFill>
                </w14:textFill>
                <w:lang w:eastAsia="zh-CN"/>
              </w:rPr>
              <w:t>.</w:t>
            </w:r>
            <w:r>
              <w:rPr>
                <w:rFonts w:ascii="Times New Roman" w:cs="Times New Roman" w:hAnsi="Times New Roman"/>
                <w:b w:val="0"/>
                <w:bCs/>
                <w:color w:val="000000"/>
                <w:kern w:val="0"/>
                <w:sz w:val="24"/>
                <w:szCs w:val="24"/>
                <w:u w:val="none"/>
                <w14:textFill>
                  <w14:solidFill>
                    <w14:srgbClr w14:val="000000"/>
                  </w14:solidFill>
                </w14:textFill>
              </w:rPr>
              <w:t>定性监测。</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b w:val="0"/>
                <w:bCs/>
                <w:color w:val="000000"/>
                <w:kern w:val="0"/>
                <w:sz w:val="24"/>
                <w:szCs w:val="24"/>
                <w:u w:val="none"/>
                <w14:textFill>
                  <w14:solidFill>
                    <w14:srgbClr w14:val="000000"/>
                  </w14:solidFill>
                </w14:textFill>
              </w:rPr>
            </w:pPr>
            <w:r>
              <w:rPr>
                <w:rFonts w:ascii="Times New Roman" w:cs="Times New Roman" w:hAnsi="Times New Roman"/>
                <w:b w:val="0"/>
                <w:bCs/>
                <w:color w:val="000000"/>
                <w:kern w:val="0"/>
                <w:sz w:val="24"/>
                <w:szCs w:val="24"/>
                <w:u w:val="none"/>
                <w14:textFill>
                  <w14:solidFill>
                    <w14:srgbClr w14:val="000000"/>
                  </w14:solidFill>
                </w14:textFill>
              </w:rPr>
              <w:t>可通过肉眼观察、使用测油膏、便携式气体监测仪等其他快速方法判定地下水监测井中是否存在油品污染，定性监测每周一次。</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b w:val="0"/>
                <w:bCs/>
                <w:color w:val="000000"/>
                <w:kern w:val="0"/>
                <w:sz w:val="24"/>
                <w:szCs w:val="24"/>
                <w:u w:val="none"/>
                <w14:textFill>
                  <w14:solidFill>
                    <w14:srgbClr w14:val="000000"/>
                  </w14:solidFill>
                </w14:textFill>
              </w:rPr>
            </w:pPr>
            <w:r>
              <w:rPr>
                <w:rFonts w:ascii="Times New Roman" w:cs="Times New Roman" w:hAnsi="Times New Roman"/>
                <w:b w:val="0"/>
                <w:bCs/>
                <w:color w:val="000000"/>
                <w:kern w:val="0"/>
                <w:sz w:val="24"/>
                <w:szCs w:val="24"/>
                <w:u w:val="none"/>
                <w14:textFill>
                  <w14:solidFill>
                    <w14:srgbClr w14:val="000000"/>
                  </w14:solidFill>
                </w14:textFill>
              </w:rPr>
              <w:t>b</w:t>
            </w:r>
            <w:r>
              <w:rPr>
                <w:rFonts w:ascii="Times New Roman" w:cs="Times New Roman" w:hAnsi="Times New Roman" w:hint="eastAsia"/>
                <w:b w:val="0"/>
                <w:bCs/>
                <w:color w:val="000000"/>
                <w:kern w:val="0"/>
                <w:sz w:val="24"/>
                <w:szCs w:val="24"/>
                <w:u w:val="none"/>
                <w14:textFill>
                  <w14:solidFill>
                    <w14:srgbClr w14:val="000000"/>
                  </w14:solidFill>
                </w14:textFill>
                <w:lang w:eastAsia="zh-CN"/>
              </w:rPr>
              <w:t>.</w:t>
            </w:r>
            <w:r>
              <w:rPr>
                <w:rFonts w:ascii="Times New Roman" w:cs="Times New Roman" w:hAnsi="Times New Roman"/>
                <w:b w:val="0"/>
                <w:bCs/>
                <w:color w:val="000000"/>
                <w:kern w:val="0"/>
                <w:sz w:val="24"/>
                <w:szCs w:val="24"/>
                <w:u w:val="none"/>
                <w14:textFill>
                  <w14:solidFill>
                    <w14:srgbClr w14:val="000000"/>
                  </w14:solidFill>
                </w14:textFill>
              </w:rPr>
              <w:t>定量监测。</w:t>
            </w:r>
          </w:p>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440" w:lineRule="exact"/>
              <w:ind w:left="0" w:right="0" w:firstLineChars="200" w:firstLine="480"/>
              <w:textAlignment w:val="auto"/>
            </w:pPr>
            <w:r>
              <w:rPr>
                <w:rFonts w:ascii="Times New Roman" w:cs="Times New Roman" w:hAnsi="Times New Roman"/>
                <w:b w:val="0"/>
                <w:bCs/>
                <w:color w:val="000000"/>
                <w:kern w:val="0"/>
                <w:sz w:val="24"/>
                <w:szCs w:val="24"/>
                <w:u w:val="none"/>
                <w14:textFill>
                  <w14:solidFill>
                    <w14:srgbClr w14:val="000000"/>
                  </w14:solidFill>
                </w14:textFill>
              </w:rPr>
              <w:t>若定性监测发现地下水存在油品污染，立即启动定量监测；若定性监测未发现问题，则每季度监测1次，具体监测指标见下表。</w:t>
            </w:r>
          </w:p>
          <w:p>
            <w:pPr>
              <w:pStyle w:val="75"/>
              <w:keepNext/>
              <w:keepLines w:val="0"/>
              <w:suppressLineNumbers w:val="0"/>
              <w:bidi w:val="0"/>
              <w:spacing w:before="0" w:beforeAutospacing="0" w:after="0" w:afterAutospacing="0"/>
              <w:ind w:left="0" w:right="0" w:firstLine="420"/>
              <w:rPr>
                <w:lang w:val="en-US"/>
              </w:rPr>
            </w:pPr>
            <w:r>
              <w:rPr>
                <w:rFonts w:ascii="Times New Roman" w:cs="Times New Roman" w:hAnsi="Times New Roman" w:hint="eastAsia"/>
                <w:sz w:val="24"/>
                <w:szCs w:val="20"/>
                <w:lang w:val="en-US" w:eastAsia="zh-CN"/>
              </w:rPr>
              <w:t xml:space="preserve">  </w:t>
            </w:r>
            <w:r>
              <w:rPr>
                <w:rFonts w:ascii="Times New Roman" w:cs="Times New Roman" w:hAnsi="Times New Roman"/>
                <w:sz w:val="24"/>
                <w:szCs w:val="20"/>
                <w:lang w:val="en-US" w:eastAsia="zh-CN"/>
              </w:rPr>
              <w:t>地下水污染源监测内容一览表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600" w:firstRow="0" w:lastRow="0" w:firstColumn="0" w:lastColumn="0" w:noHBand="1" w:noVBand="1"/>
            </w:tblPr>
            <w:tblGrid>
              <w:gridCol w:w="1561"/>
              <w:gridCol w:w="1755"/>
              <w:gridCol w:w="2880"/>
              <w:gridCol w:w="960"/>
              <w:gridCol w:w="1451"/>
            </w:tblGrid>
            <w:tr>
              <w:trPr>
                <w:trHeight w:val="397"/>
              </w:trPr>
              <w:tc>
                <w:tcPr>
                  <w:tcW w:w="1561" w:type="dxa"/>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b/>
                      <w:bCs/>
                      <w:color w:val="000000"/>
                      <w:sz w:val="21"/>
                      <w:szCs w:val="21"/>
                      <w:u w:val="none"/>
                      <w14:textFill>
                        <w14:solidFill>
                          <w14:srgbClr w14:val="000000"/>
                        </w14:solidFill>
                      </w14:textFill>
                    </w:rPr>
                  </w:pPr>
                  <w:r>
                    <w:rPr>
                      <w:rFonts w:ascii="Times New Roman" w:cs="Times New Roman" w:hAnsi="Times New Roman"/>
                      <w:b/>
                      <w:bCs/>
                      <w:color w:val="000000"/>
                      <w:sz w:val="21"/>
                      <w:szCs w:val="21"/>
                      <w:u w:val="none"/>
                      <w14:textFill>
                        <w14:solidFill>
                          <w14:srgbClr w14:val="000000"/>
                        </w14:solidFill>
                      </w14:textFill>
                      <w:lang w:val="en-US" w:eastAsia="zh-CN" w:bidi="ar-SA"/>
                    </w:rPr>
                    <w:t>污染物产生环节</w:t>
                  </w:r>
                </w:p>
              </w:tc>
              <w:tc>
                <w:tcPr>
                  <w:tcW w:w="1755" w:type="dxa"/>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b/>
                      <w:bCs/>
                      <w:color w:val="000000"/>
                      <w:sz w:val="21"/>
                      <w:szCs w:val="21"/>
                      <w:u w:val="none"/>
                      <w14:textFill>
                        <w14:solidFill>
                          <w14:srgbClr w14:val="000000"/>
                        </w14:solidFill>
                      </w14:textFill>
                    </w:rPr>
                  </w:pPr>
                  <w:r>
                    <w:rPr>
                      <w:rFonts w:ascii="Times New Roman" w:cs="Times New Roman" w:hAnsi="Times New Roman"/>
                      <w:b/>
                      <w:bCs/>
                      <w:color w:val="000000"/>
                      <w:sz w:val="21"/>
                      <w:szCs w:val="21"/>
                      <w:u w:val="none"/>
                      <w14:textFill>
                        <w14:solidFill>
                          <w14:srgbClr w14:val="000000"/>
                        </w14:solidFill>
                      </w14:textFill>
                      <w:lang w:val="en-US" w:eastAsia="zh-CN" w:bidi="ar-SA"/>
                    </w:rPr>
                    <w:t>监测点位</w:t>
                  </w:r>
                </w:p>
              </w:tc>
              <w:tc>
                <w:tcPr>
                  <w:tcW w:w="2880" w:type="dxa"/>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b/>
                      <w:bCs/>
                      <w:color w:val="000000"/>
                      <w:sz w:val="21"/>
                      <w:szCs w:val="21"/>
                      <w:u w:val="none"/>
                      <w14:textFill>
                        <w14:solidFill>
                          <w14:srgbClr w14:val="000000"/>
                        </w14:solidFill>
                      </w14:textFill>
                    </w:rPr>
                  </w:pPr>
                  <w:r>
                    <w:rPr>
                      <w:rFonts w:ascii="Times New Roman" w:cs="Times New Roman" w:hAnsi="Times New Roman"/>
                      <w:b/>
                      <w:bCs/>
                      <w:color w:val="000000"/>
                      <w:sz w:val="21"/>
                      <w:szCs w:val="21"/>
                      <w:u w:val="none"/>
                      <w14:textFill>
                        <w14:solidFill>
                          <w14:srgbClr w14:val="000000"/>
                        </w14:solidFill>
                      </w14:textFill>
                      <w:lang w:val="en-US" w:eastAsia="zh-CN" w:bidi="ar-SA"/>
                    </w:rPr>
                    <w:t>监测项目</w:t>
                  </w:r>
                </w:p>
              </w:tc>
              <w:tc>
                <w:tcPr>
                  <w:tcW w:w="960" w:type="dxa"/>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b/>
                      <w:bCs/>
                      <w:color w:val="000000"/>
                      <w:sz w:val="21"/>
                      <w:szCs w:val="21"/>
                      <w:u w:val="none"/>
                      <w14:textFill>
                        <w14:solidFill>
                          <w14:srgbClr w14:val="000000"/>
                        </w14:solidFill>
                      </w14:textFill>
                    </w:rPr>
                  </w:pPr>
                  <w:r>
                    <w:rPr>
                      <w:rFonts w:ascii="Times New Roman" w:cs="Times New Roman" w:hAnsi="Times New Roman"/>
                      <w:b/>
                      <w:bCs/>
                      <w:color w:val="000000"/>
                      <w:sz w:val="21"/>
                      <w:szCs w:val="21"/>
                      <w:u w:val="none"/>
                      <w14:textFill>
                        <w14:solidFill>
                          <w14:srgbClr w14:val="000000"/>
                        </w14:solidFill>
                      </w14:textFill>
                      <w:lang w:val="en-US" w:eastAsia="zh-CN" w:bidi="ar-SA"/>
                    </w:rPr>
                    <w:t>监测频次</w:t>
                  </w:r>
                </w:p>
              </w:tc>
              <w:tc>
                <w:tcPr>
                  <w:tcW w:w="1451" w:type="dxa"/>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b/>
                      <w:bCs/>
                      <w:color w:val="000000"/>
                      <w:sz w:val="21"/>
                      <w:szCs w:val="21"/>
                      <w:u w:val="none"/>
                      <w14:textFill>
                        <w14:solidFill>
                          <w14:srgbClr w14:val="000000"/>
                        </w14:solidFill>
                      </w14:textFill>
                      <w:lang w:val="en-US" w:eastAsia="zh-CN"/>
                    </w:rPr>
                  </w:pPr>
                  <w:r>
                    <w:rPr>
                      <w:rFonts w:ascii="Times New Roman" w:cs="Times New Roman" w:hAnsi="Times New Roman"/>
                      <w:b/>
                      <w:bCs/>
                      <w:color w:val="000000"/>
                      <w:sz w:val="21"/>
                      <w:szCs w:val="21"/>
                      <w:u w:val="none"/>
                      <w14:textFill>
                        <w14:solidFill>
                          <w14:srgbClr w14:val="000000"/>
                        </w14:solidFill>
                      </w14:textFill>
                      <w:lang w:val="en-US" w:eastAsia="zh-CN" w:bidi="ar-SA"/>
                    </w:rPr>
                    <w:t>备注</w:t>
                  </w:r>
                </w:p>
              </w:tc>
            </w:tr>
            <w:tr>
              <w:trPr>
                <w:trHeight w:val="397"/>
              </w:trPr>
              <w:tc>
                <w:tcPr>
                  <w:tcW w:w="1561" w:type="dxa"/>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b w:val="0"/>
                      <w:bCs w:val="0"/>
                      <w:color w:val="000000"/>
                      <w:sz w:val="21"/>
                      <w:szCs w:val="21"/>
                      <w:u w:val="none"/>
                      <w14:textFill>
                        <w14:solidFill>
                          <w14:srgbClr w14:val="000000"/>
                        </w14:solidFill>
                      </w14:textFill>
                      <w:lang w:val="en-US" w:eastAsia="zh-CN"/>
                    </w:rPr>
                  </w:pPr>
                  <w:r>
                    <w:rPr>
                      <w:rFonts w:ascii="Times New Roman" w:cs="Times New Roman" w:hAnsi="Times New Roman" w:hint="eastAsia"/>
                      <w:b w:val="0"/>
                      <w:bCs w:val="0"/>
                      <w:color w:val="000000"/>
                      <w:sz w:val="21"/>
                      <w:szCs w:val="21"/>
                      <w:u w:val="none"/>
                      <w14:textFill>
                        <w14:solidFill>
                          <w14:srgbClr w14:val="000000"/>
                        </w14:solidFill>
                      </w14:textFill>
                      <w:lang w:val="en-US" w:eastAsia="zh-CN" w:bidi="ar-SA"/>
                    </w:rPr>
                    <w:t>地下水</w:t>
                  </w:r>
                </w:p>
              </w:tc>
              <w:tc>
                <w:tcPr>
                  <w:tcW w:w="1755" w:type="dxa"/>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b w:val="0"/>
                      <w:bCs w:val="0"/>
                      <w:color w:val="953735"/>
                      <w:sz w:val="21"/>
                      <w:szCs w:val="21"/>
                      <w:u w:val="none"/>
                      <w:lang w:val="en-US" w:eastAsia="zh-CN"/>
                    </w:rPr>
                  </w:pPr>
                  <w:r>
                    <w:rPr>
                      <w:rFonts w:ascii="Times New Roman" w:cs="Times New Roman" w:hAnsi="Times New Roman" w:hint="eastAsia"/>
                      <w:b w:val="0"/>
                      <w:bCs w:val="0"/>
                      <w:color w:val="auto"/>
                      <w:sz w:val="21"/>
                      <w:szCs w:val="21"/>
                      <w:u w:val="none"/>
                      <w:lang w:val="en-US" w:eastAsia="zh-CN" w:bidi="ar-SA"/>
                      <w:highlight w:val="none"/>
                    </w:rPr>
                    <w:t>站内监测井</w:t>
                  </w:r>
                </w:p>
              </w:tc>
              <w:tc>
                <w:tcPr>
                  <w:tcW w:w="2880" w:type="dxa"/>
                  <w:vAlign w:val="center"/>
                </w:tcPr>
                <w:p>
                  <w:pPr>
                    <w:pStyle w:val="15"/>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b w:val="0"/>
                      <w:bCs w:val="0"/>
                      <w:color w:val="000000"/>
                      <w:sz w:val="21"/>
                      <w:szCs w:val="21"/>
                      <w:u w:val="none"/>
                      <w14:textFill>
                        <w14:solidFill>
                          <w14:srgbClr w14:val="000000"/>
                        </w14:solidFill>
                      </w14:textFill>
                      <w:lang w:val="en-US" w:eastAsia="zh-CN"/>
                    </w:rPr>
                  </w:pPr>
                  <w:r>
                    <w:rPr>
                      <w:rFonts w:ascii="Times New Roman" w:hAnsi="Times New Roman"/>
                      <w:b w:val="0"/>
                      <w:bCs w:val="0"/>
                      <w:color w:val="000000"/>
                      <w:kern w:val="0"/>
                      <w:sz w:val="21"/>
                      <w:szCs w:val="21"/>
                      <w:u w:val="none"/>
                      <w14:textFill>
                        <w14:solidFill>
                          <w14:srgbClr w14:val="000000"/>
                        </w14:solidFill>
                      </w14:textFill>
                      <w:lang w:val="en-US" w:bidi="ar-SA"/>
                    </w:rPr>
                    <w:t>萘</w:t>
                  </w:r>
                  <w:r>
                    <w:rPr>
                      <w:rFonts w:ascii="Times New Roman" w:hAnsi="Times New Roman" w:hint="eastAsia"/>
                      <w:b w:val="0"/>
                      <w:bCs w:val="0"/>
                      <w:color w:val="000000"/>
                      <w:kern w:val="0"/>
                      <w:sz w:val="21"/>
                      <w:szCs w:val="21"/>
                      <w:u w:val="none"/>
                      <w14:textFill>
                        <w14:solidFill>
                          <w14:srgbClr w14:val="000000"/>
                        </w14:solidFill>
                      </w14:textFill>
                      <w:lang w:val="en-US" w:eastAsia="zh-CN" w:bidi="ar-SA"/>
                    </w:rPr>
                    <w:t>、</w:t>
                  </w:r>
                  <w:r>
                    <w:rPr>
                      <w:rFonts w:ascii="Times New Roman" w:hAnsi="Times New Roman"/>
                      <w:b w:val="0"/>
                      <w:bCs w:val="0"/>
                      <w:color w:val="000000"/>
                      <w:kern w:val="0"/>
                      <w:sz w:val="21"/>
                      <w:szCs w:val="21"/>
                      <w:u w:val="none"/>
                      <w14:textFill>
                        <w14:solidFill>
                          <w14:srgbClr w14:val="000000"/>
                        </w14:solidFill>
                      </w14:textFill>
                      <w:lang w:val="en-US" w:eastAsia="zh-CN" w:bidi="ar-SA"/>
                    </w:rPr>
                    <w:t>苯、甲苯、乙苯、邻二甲苯、间（对）二甲苯</w:t>
                  </w:r>
                  <w:r>
                    <w:rPr>
                      <w:rFonts w:ascii="Times New Roman" w:hAnsi="Times New Roman" w:hint="eastAsia"/>
                      <w:b w:val="0"/>
                      <w:bCs w:val="0"/>
                      <w:color w:val="000000"/>
                      <w:kern w:val="0"/>
                      <w:sz w:val="21"/>
                      <w:szCs w:val="21"/>
                      <w:u w:val="none"/>
                      <w14:textFill>
                        <w14:solidFill>
                          <w14:srgbClr w14:val="000000"/>
                        </w14:solidFill>
                      </w14:textFill>
                      <w:lang w:val="en-US" w:eastAsia="zh-CN" w:bidi="ar-SA"/>
                    </w:rPr>
                    <w:t>、</w:t>
                  </w:r>
                  <w:r>
                    <w:rPr>
                      <w:rFonts w:ascii="Times New Roman" w:hAnsi="Times New Roman"/>
                      <w:b w:val="0"/>
                      <w:bCs w:val="0"/>
                      <w:color w:val="000000"/>
                      <w:kern w:val="0"/>
                      <w:sz w:val="21"/>
                      <w:szCs w:val="21"/>
                      <w:u w:val="none"/>
                      <w14:textFill>
                        <w14:solidFill>
                          <w14:srgbClr w14:val="000000"/>
                        </w14:solidFill>
                      </w14:textFill>
                      <w:lang w:val="en-US" w:eastAsia="zh-CN" w:bidi="ar-SA"/>
                    </w:rPr>
                    <w:t>甲基叔丁基醚</w:t>
                  </w:r>
                  <w:r>
                    <w:rPr>
                      <w:rFonts w:ascii="Times New Roman" w:hAnsi="Times New Roman" w:hint="eastAsia"/>
                      <w:b w:val="0"/>
                      <w:bCs w:val="0"/>
                      <w:color w:val="000000"/>
                      <w:kern w:val="0"/>
                      <w:sz w:val="21"/>
                      <w:szCs w:val="21"/>
                      <w:u w:val="none"/>
                      <w14:textFill>
                        <w14:solidFill>
                          <w14:srgbClr w14:val="000000"/>
                        </w14:solidFill>
                      </w14:textFill>
                      <w:lang w:val="en-US" w:eastAsia="zh-CN" w:bidi="ar-SA"/>
                    </w:rPr>
                    <w:t>、总石油烃等</w:t>
                  </w:r>
                </w:p>
              </w:tc>
              <w:tc>
                <w:tcPr>
                  <w:tcW w:w="960" w:type="dxa"/>
                  <w:vAlign w:val="center"/>
                </w:tcPr>
                <w:p>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240" w:lineRule="auto"/>
                    <w:ind w:left="0" w:right="0"/>
                    <w:jc w:val="center"/>
                    <w:textAlignment w:val="auto"/>
                    <w:rPr>
                      <w:rFonts w:ascii="Times New Roman" w:eastAsia="宋体" w:cs="Times New Roman" w:hAnsi="Times New Roman" w:hint="eastAsia"/>
                      <w:b w:val="0"/>
                      <w:bCs w:val="0"/>
                      <w:color w:val="000000"/>
                      <w:sz w:val="21"/>
                      <w:szCs w:val="21"/>
                      <w:u w:val="none"/>
                      <w14:textFill>
                        <w14:solidFill>
                          <w14:srgbClr w14:val="000000"/>
                        </w14:solidFill>
                      </w14:textFill>
                      <w:lang w:val="en-US" w:eastAsia="zh-CN"/>
                    </w:rPr>
                  </w:pPr>
                  <w:r>
                    <w:rPr>
                      <w:rFonts w:ascii="Times New Roman" w:eastAsia="宋体" w:cs="Times New Roman" w:hAnsi="Times New Roman"/>
                      <w:b w:val="0"/>
                      <w:bCs w:val="0"/>
                      <w:color w:val="000000"/>
                      <w:kern w:val="0"/>
                      <w:sz w:val="21"/>
                      <w:szCs w:val="21"/>
                      <w:u w:val="none"/>
                      <w14:textFill>
                        <w14:solidFill>
                          <w14:srgbClr w14:val="000000"/>
                        </w14:solidFill>
                      </w14:textFill>
                      <w:lang w:val="en-US" w:eastAsia="zh-CN" w:bidi="ar-SA"/>
                    </w:rPr>
                    <w:t>1次/</w:t>
                  </w:r>
                  <w:r>
                    <w:rPr>
                      <w:rFonts w:ascii="Times New Roman" w:eastAsia="宋体" w:cs="Times New Roman" w:hAnsi="Times New Roman" w:hint="eastAsia"/>
                      <w:b w:val="0"/>
                      <w:bCs w:val="0"/>
                      <w:color w:val="000000"/>
                      <w:kern w:val="0"/>
                      <w:sz w:val="21"/>
                      <w:szCs w:val="21"/>
                      <w:u w:val="none"/>
                      <w14:textFill>
                        <w14:solidFill>
                          <w14:srgbClr w14:val="000000"/>
                        </w14:solidFill>
                      </w14:textFill>
                      <w:lang w:val="en-US" w:eastAsia="zh-CN" w:bidi="ar-SA"/>
                    </w:rPr>
                    <w:t>季度</w:t>
                  </w:r>
                </w:p>
              </w:tc>
              <w:tc>
                <w:tcPr>
                  <w:tcW w:w="1451"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b w:val="0"/>
                      <w:bCs w:val="0"/>
                      <w:color w:val="000000"/>
                      <w:sz w:val="21"/>
                      <w:szCs w:val="21"/>
                      <w:u w:val="none"/>
                      <w14:textFill>
                        <w14:solidFill>
                          <w14:srgbClr w14:val="000000"/>
                        </w14:solidFill>
                      </w14:textFill>
                    </w:rPr>
                  </w:pPr>
                  <w:r>
                    <w:rPr>
                      <w:rFonts w:cs="宋体" w:hint="eastAsia"/>
                      <w:b w:val="0"/>
                      <w:bCs w:val="0"/>
                      <w:color w:val="000000"/>
                      <w:kern w:val="0"/>
                      <w:sz w:val="21"/>
                      <w:szCs w:val="21"/>
                      <w:u w:val="none"/>
                      <w14:textFill>
                        <w14:solidFill>
                          <w14:srgbClr w14:val="000000"/>
                        </w14:solidFill>
                      </w14:textFill>
                      <w:lang w:val="en-US" w:eastAsia="zh-CN" w:bidi="ar-SA"/>
                    </w:rPr>
                    <w:t>《加油站地下水污染防治技术指南》（试行）</w:t>
                  </w:r>
                </w:p>
              </w:tc>
            </w:tr>
          </w:tbl>
          <w:p>
            <w:pPr>
              <w:pStyle w:val="39"/>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440" w:lineRule="exact"/>
              <w:ind w:left="0" w:right="0" w:firstLineChars="200" w:firstLine="480"/>
              <w:textAlignment w:val="auto"/>
              <w:rPr>
                <w:rFonts w:ascii="Times New Roman" w:cs="Times New Roman" w:hAnsi="Times New Roman"/>
                <w:b w:val="0"/>
                <w:bCs w:val="0"/>
                <w:color w:val="000000"/>
                <w:sz w:val="24"/>
                <w:szCs w:val="24"/>
                <w14:textFill>
                  <w14:solidFill>
                    <w14:srgbClr w14:val="000000"/>
                  </w14:solidFill>
                </w14:textFill>
                <w:lang w:val="en-US" w:eastAsia="zh-CN"/>
              </w:rPr>
            </w:pPr>
            <w:r>
              <w:rPr>
                <w:rFonts w:ascii="Times New Roman" w:cs="Times New Roman" w:hAnsi="Times New Roman"/>
                <w:b w:val="0"/>
                <w:bCs w:val="0"/>
                <w:color w:val="000000"/>
                <w:sz w:val="24"/>
                <w:szCs w:val="24"/>
                <w14:textFill>
                  <w14:solidFill>
                    <w14:srgbClr w14:val="000000"/>
                  </w14:solidFill>
                </w14:textFill>
                <w:lang w:val="en-US" w:eastAsia="zh-CN"/>
              </w:rPr>
              <w:t>（3）地下水环境影响结论</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40" w:lineRule="exact"/>
              <w:ind w:left="0" w:right="0" w:firstLineChars="200" w:firstLine="480"/>
              <w:jc w:val="both"/>
              <w:textAlignment w:val="auto"/>
              <w:rPr>
                <w:rFonts w:hint="eastAsia"/>
                <w:color w:val="000000"/>
                <w:sz w:val="24"/>
                <w14:textFill>
                  <w14:solidFill>
                    <w14:srgbClr w14:val="000000"/>
                  </w14:solidFill>
                </w14:textFill>
                <w:highlight w:val="none"/>
              </w:rPr>
            </w:pPr>
            <w:r>
              <w:rPr>
                <w:rFonts w:ascii="Times New Roman" w:cs="Times New Roman" w:hAnsi="Times New Roman"/>
                <w:color w:val="000000"/>
                <w:sz w:val="24"/>
                <w:szCs w:val="24"/>
                <w14:textFill>
                  <w14:solidFill>
                    <w14:srgbClr w14:val="000000"/>
                  </w14:solidFill>
                </w14:textFill>
              </w:rPr>
              <w:t>项目储油罐采用双层卧式成品油储罐，具有良好的防腐性能，储罐区设置防渗罐池，防渗罐池采用防渗钢筋混凝土整体浇筑而成，防渗厚度为30cm，防渗罐池内均由</w:t>
            </w:r>
            <w:r>
              <w:rPr>
                <w:rFonts w:ascii="Times New Roman" w:cs="Times New Roman" w:hAnsi="Times New Roman" w:hint="eastAsia"/>
                <w:color w:val="000000"/>
                <w:sz w:val="24"/>
                <w:szCs w:val="24"/>
                <w14:textFill>
                  <w14:solidFill>
                    <w14:srgbClr w14:val="000000"/>
                  </w14:solidFill>
                </w14:textFill>
                <w:lang w:val="en-US" w:eastAsia="zh-CN"/>
              </w:rPr>
              <w:t>沙石</w:t>
            </w:r>
            <w:r>
              <w:rPr>
                <w:rFonts w:ascii="Times New Roman" w:cs="Times New Roman" w:hAnsi="Times New Roman"/>
                <w:color w:val="000000"/>
                <w:sz w:val="24"/>
                <w:szCs w:val="24"/>
                <w14:textFill>
                  <w14:solidFill>
                    <w14:srgbClr w14:val="000000"/>
                  </w14:solidFill>
                </w14:textFill>
              </w:rPr>
              <w:t>填实，加油站一旦发生溢出与渗漏事故，油品将由于防渗层的保护作用，积聚在储油区的防渗罐池内，对地下水不会造成影响。针对突发事故，在做好场地防渗的同时，需加强对监测点日常特征因子（石油类）的监测要求，</w:t>
            </w:r>
            <w:r>
              <w:rPr>
                <w:rFonts w:ascii="Times New Roman" w:cs="Times New Roman" w:hAnsi="Times New Roman" w:hint="eastAsia"/>
                <w:color w:val="000000"/>
                <w:sz w:val="24"/>
                <w:szCs w:val="24"/>
                <w14:textFill>
                  <w14:solidFill>
                    <w14:srgbClr w14:val="000000"/>
                  </w14:solidFill>
                </w14:textFill>
                <w:lang w:val="en-US" w:eastAsia="zh-CN"/>
              </w:rPr>
              <w:t>安装渗漏检测报警器，</w:t>
            </w:r>
            <w:r>
              <w:rPr>
                <w:rFonts w:ascii="Times New Roman" w:cs="Times New Roman" w:hAnsi="Times New Roman"/>
                <w:color w:val="000000"/>
                <w:sz w:val="24"/>
                <w:szCs w:val="24"/>
                <w14:textFill>
                  <w14:solidFill>
                    <w14:srgbClr w14:val="000000"/>
                  </w14:solidFill>
                </w14:textFill>
              </w:rPr>
              <w:t>一旦检测到异常，</w:t>
            </w:r>
            <w:r>
              <w:rPr>
                <w:rFonts w:ascii="Times New Roman" w:cs="Times New Roman" w:hAnsi="Times New Roman" w:hint="eastAsia"/>
                <w:color w:val="000000"/>
                <w:sz w:val="24"/>
                <w:szCs w:val="24"/>
                <w14:textFill>
                  <w14:solidFill>
                    <w14:srgbClr w14:val="000000"/>
                  </w14:solidFill>
                </w14:textFill>
                <w:lang w:val="en-US" w:eastAsia="zh-CN"/>
              </w:rPr>
              <w:t>立即</w:t>
            </w:r>
            <w:r>
              <w:rPr>
                <w:rFonts w:ascii="Times New Roman" w:cs="Times New Roman" w:hAnsi="Times New Roman"/>
                <w:color w:val="000000"/>
                <w:sz w:val="24"/>
                <w:szCs w:val="24"/>
                <w14:textFill>
                  <w14:solidFill>
                    <w14:srgbClr w14:val="000000"/>
                  </w14:solidFill>
                </w14:textFill>
              </w:rPr>
              <w:t>采取必要的措施，阻止继续污染地下水的可能，</w:t>
            </w:r>
            <w:r>
              <w:rPr>
                <w:rFonts w:ascii="Times New Roman" w:cs="Times New Roman" w:hAnsi="Times New Roman" w:hint="eastAsia"/>
                <w:color w:val="000000"/>
                <w:sz w:val="24"/>
                <w:szCs w:val="24"/>
                <w14:textFill>
                  <w14:solidFill>
                    <w14:srgbClr w14:val="000000"/>
                  </w14:solidFill>
                </w14:textFill>
                <w:lang w:val="en-US" w:eastAsia="zh-CN"/>
              </w:rPr>
              <w:t>本</w:t>
            </w:r>
            <w:r>
              <w:rPr>
                <w:rFonts w:ascii="Times New Roman" w:cs="宋体" w:hAnsi="Times New Roman" w:hint="eastAsia"/>
                <w:bCs/>
                <w:color w:val="000000"/>
                <w:kern w:val="0"/>
                <w:sz w:val="24"/>
                <w:szCs w:val="24"/>
                <w14:textFill>
                  <w14:solidFill>
                    <w14:srgbClr w14:val="000000"/>
                  </w14:solidFill>
                </w14:textFill>
              </w:rPr>
              <w:t>项目在采取并落实环评中所提的相关污染防控措施后，营运期不会对地下水造成明显影响。</w:t>
            </w:r>
            <w:r>
              <w:rPr>
                <w:rFonts w:ascii="Times New Roman" w:cs="Times New Roman" w:hAnsi="Times New Roman" w:hint="eastAsia"/>
                <w:color w:val="000000"/>
                <w:sz w:val="24"/>
                <w:szCs w:val="20"/>
                <w14:textFill>
                  <w14:solidFill>
                    <w14:srgbClr w14:val="000000"/>
                  </w14:solidFill>
                </w14:textFill>
                <w:highlight w:val="none"/>
              </w:rPr>
              <w:t>从地下水环境影响的角度，项目建设可行。</w:t>
            </w:r>
          </w:p>
          <w:p>
            <w:pPr>
              <w:keepNext w:val="0"/>
              <w:keepLines w:val="0"/>
              <w:suppressLineNumbers w:val="0"/>
              <w:adjustRightInd w:val="0"/>
              <w:snapToGrid w:val="0"/>
              <w:spacing w:before="0" w:beforeAutospacing="0" w:after="0" w:afterAutospacing="0" w:line="440" w:lineRule="exact"/>
              <w:ind w:left="0" w:right="0" w:firstLineChars="200" w:firstLine="480"/>
              <w:jc w:val="both"/>
              <w:rPr>
                <w:rFonts w:eastAsia="宋体"/>
                <w:b/>
                <w:bCs/>
                <w:sz w:val="24"/>
                <w:lang w:val="en-US" w:eastAsia="zh-CN"/>
                <w:highlight w:val="none"/>
              </w:rPr>
            </w:pPr>
            <w:r>
              <w:rPr>
                <w:rFonts w:ascii="Times New Roman" w:cs="Times New Roman" w:hAnsi="Times New Roman" w:hint="eastAsia"/>
                <w:b/>
                <w:bCs/>
                <w:sz w:val="24"/>
                <w:szCs w:val="20"/>
                <w:lang w:val="en-US" w:eastAsia="zh-CN"/>
                <w:highlight w:val="none"/>
              </w:rPr>
              <w:t>2、土壤</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hint="eastAsia"/>
                <w:bCs/>
                <w:sz w:val="24"/>
                <w:lang w:eastAsia="zh-CN"/>
              </w:rPr>
            </w:pPr>
            <w:r>
              <w:rPr>
                <w:rFonts w:ascii="Times New Roman" w:cs="Times New Roman" w:hAnsi="Times New Roman" w:hint="eastAsia"/>
                <w:bCs/>
                <w:sz w:val="24"/>
                <w:szCs w:val="20"/>
                <w:lang w:eastAsia="zh-CN"/>
              </w:rPr>
              <w:t>加油站对土壤的主要影响来自储油罐，储油罐泄漏或渗漏对土壤的污染较为严重，由于这种渗漏可穿越较厚的土壤层，使土壤层中吸附大量的燃料油，土壤层吸附的燃料油不仅会造成植物生物的死亡，还会使得土壤结构发生变化，造成土壤性质的改变。本项目加油站埋地油罐采用双层</w:t>
            </w:r>
            <w:r>
              <w:rPr>
                <w:rFonts w:ascii="Times New Roman" w:cs="Times New Roman" w:hAnsi="Times New Roman" w:hint="eastAsia"/>
                <w:bCs/>
                <w:sz w:val="24"/>
                <w:szCs w:val="20"/>
                <w:lang w:val="en-US" w:eastAsia="zh-CN"/>
              </w:rPr>
              <w:t>埋地</w:t>
            </w:r>
            <w:r>
              <w:rPr>
                <w:rFonts w:ascii="Times New Roman" w:cs="Times New Roman" w:hAnsi="Times New Roman" w:hint="eastAsia"/>
                <w:bCs/>
                <w:sz w:val="24"/>
                <w:szCs w:val="20"/>
                <w:lang w:eastAsia="zh-CN"/>
              </w:rPr>
              <w:t>卧式</w:t>
            </w:r>
            <w:r>
              <w:rPr>
                <w:rFonts w:ascii="Times New Roman" w:cs="Times New Roman" w:hAnsi="Times New Roman" w:hint="eastAsia"/>
                <w:bCs/>
                <w:sz w:val="24"/>
                <w:szCs w:val="20"/>
                <w:lang w:val="en-US" w:eastAsia="zh-CN"/>
              </w:rPr>
              <w:t>储</w:t>
            </w:r>
            <w:r>
              <w:rPr>
                <w:rFonts w:ascii="Times New Roman" w:cs="Times New Roman" w:hAnsi="Times New Roman" w:hint="eastAsia"/>
                <w:bCs/>
                <w:sz w:val="24"/>
                <w:szCs w:val="20"/>
                <w:lang w:eastAsia="zh-CN"/>
              </w:rPr>
              <w:t>罐，即使内壳产生泄漏，也能保证所容危险物仅在空隙中流动，不会马上溢出外界污染环境；同时油罐配备了</w:t>
            </w:r>
            <w:r>
              <w:rPr>
                <w:rFonts w:ascii="Times New Roman" w:cs="Times New Roman" w:hAnsi="Times New Roman" w:hint="eastAsia"/>
                <w:bCs/>
                <w:sz w:val="24"/>
                <w:szCs w:val="20"/>
                <w:lang w:val="en-US" w:eastAsia="zh-CN"/>
              </w:rPr>
              <w:t>液位仪自带高液位报警功能</w:t>
            </w:r>
            <w:r>
              <w:rPr>
                <w:rFonts w:ascii="Times New Roman" w:cs="Times New Roman" w:hAnsi="Times New Roman" w:hint="eastAsia"/>
                <w:bCs/>
                <w:sz w:val="24"/>
                <w:szCs w:val="20"/>
                <w:lang w:eastAsia="zh-CN"/>
              </w:rPr>
              <w:t>，一旦内部产生泄漏后，传感器能够感应泄漏流向流量产生峰鸣警报，保证在第一时间停止使用并及时修补，</w:t>
            </w:r>
            <w:r>
              <w:rPr>
                <w:rFonts w:ascii="Times New Roman" w:cs="Times New Roman" w:hAnsi="Times New Roman" w:hint="eastAsia"/>
                <w:bCs/>
                <w:sz w:val="24"/>
                <w:szCs w:val="20"/>
                <w:lang w:val="en-US" w:eastAsia="zh-CN"/>
              </w:rPr>
              <w:t>且卸油管路、油罐均设有防溢阀</w:t>
            </w:r>
            <w:r>
              <w:rPr>
                <w:rFonts w:ascii="Times New Roman" w:cs="Times New Roman" w:hAnsi="Times New Roman" w:hint="eastAsia"/>
                <w:bCs/>
                <w:sz w:val="24"/>
                <w:szCs w:val="20"/>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bCs/>
                <w:kern w:val="21"/>
                <w:sz w:val="24"/>
                <w:lang w:val="en-US" w:eastAsia="zh-CN"/>
              </w:rPr>
            </w:pPr>
            <w:r>
              <w:rPr>
                <w:rFonts w:ascii="Times New Roman" w:cs="Times New Roman" w:hAnsi="Times New Roman" w:hint="eastAsia"/>
                <w:bCs/>
                <w:sz w:val="24"/>
                <w:szCs w:val="20"/>
                <w:lang w:eastAsia="zh-CN"/>
              </w:rPr>
              <w:t>因此，项目可以有效避免储油罐发生泄漏事故，防止油罐</w:t>
            </w:r>
            <w:r>
              <w:rPr>
                <w:rFonts w:ascii="Times New Roman" w:cs="Times New Roman" w:hAnsi="Times New Roman" w:hint="eastAsia"/>
                <w:bCs/>
                <w:sz w:val="24"/>
                <w:szCs w:val="20"/>
                <w:lang w:val="en-US" w:eastAsia="zh-CN"/>
              </w:rPr>
              <w:t>区</w:t>
            </w:r>
            <w:r>
              <w:rPr>
                <w:rFonts w:ascii="Times New Roman" w:cs="Times New Roman" w:hAnsi="Times New Roman" w:hint="eastAsia"/>
                <w:bCs/>
                <w:sz w:val="24"/>
                <w:szCs w:val="20"/>
                <w:lang w:eastAsia="zh-CN"/>
              </w:rPr>
              <w:t>对土壤的污染。加油过程中，输油管线的法兰、丝扣等因日久磨损会有少量油品滴漏，但轻油可以很快挥发，残留部分油品按操作规范用拖布擦干净，因此，加油过程中基本无含油废水排出，且加油区内地面硬化，不会有残留油品渗入地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hint="eastAsia"/>
                <w:b/>
                <w:bCs/>
                <w:lang w:val="en-US" w:eastAsia="zh-CN"/>
              </w:rPr>
            </w:pPr>
            <w:r>
              <w:rPr>
                <w:rFonts w:ascii="Times New Roman" w:cs="Times New Roman" w:hAnsi="Times New Roman" w:hint="eastAsia"/>
                <w:b/>
                <w:bCs/>
                <w:sz w:val="24"/>
                <w:szCs w:val="20"/>
                <w:lang w:val="en-US" w:eastAsia="zh-CN"/>
              </w:rPr>
              <w:t>六、生态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hint="eastAsia"/>
              </w:rPr>
            </w:pPr>
            <w:r>
              <w:rPr>
                <w:rFonts w:ascii="Times New Roman" w:cs="Times New Roman" w:hAnsi="Times New Roman"/>
                <w:sz w:val="24"/>
                <w:szCs w:val="20"/>
              </w:rPr>
              <w:t>本项目位于</w:t>
            </w:r>
            <w:r>
              <w:rPr>
                <w:rFonts w:ascii="宋体" w:cs="宋体" w:hAnsi="宋体" w:hint="eastAsia"/>
                <w:color w:val="auto"/>
                <w:sz w:val="24"/>
                <w:szCs w:val="24"/>
                <w:lang w:val="en-US" w:eastAsia="zh-CN"/>
              </w:rPr>
              <w:t>新乡市延津县化工园区纬一路与榆林排交叉口东南角</w:t>
            </w:r>
            <w:r>
              <w:rPr>
                <w:rFonts w:ascii="Times New Roman" w:eastAsia="宋体" w:cs="Calibri" w:hAnsi="Times New Roman"/>
                <w:sz w:val="24"/>
                <w:szCs w:val="20"/>
              </w:rPr>
              <w:t>，</w:t>
            </w:r>
            <w:r>
              <w:rPr>
                <w:rFonts w:ascii="Times New Roman" w:cs="Times New Roman" w:hAnsi="Times New Roman"/>
                <w:sz w:val="24"/>
                <w:szCs w:val="20"/>
              </w:rPr>
              <w:t>项目周围无重点保护的野生动植物、风景名胜区、自然保护区及文化遗产等特殊保护目标</w:t>
            </w:r>
            <w:r>
              <w:rPr>
                <w:rFonts w:ascii="Times New Roman" w:cs="Times New Roman" w:hAnsi="Times New Roman" w:hint="eastAsia"/>
                <w:sz w:val="24"/>
                <w:szCs w:val="20"/>
                <w:lang w:eastAsia="zh-CN"/>
              </w:rPr>
              <w:t>，</w:t>
            </w:r>
            <w:r>
              <w:rPr>
                <w:rFonts w:ascii="Times New Roman" w:cs="Times New Roman" w:hAnsi="Times New Roman" w:hint="eastAsia"/>
                <w:sz w:val="24"/>
                <w:szCs w:val="20"/>
              </w:rPr>
              <w:t>因此不再对生态进行分析。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b/>
                <w:bCs/>
                <w:u w:val="single"/>
                <w:lang w:val="en-US" w:eastAsia="zh-CN"/>
              </w:rPr>
            </w:pPr>
            <w:r>
              <w:rPr>
                <w:rFonts w:ascii="Times New Roman" w:cs="Times New Roman" w:hAnsi="Times New Roman" w:hint="eastAsia"/>
                <w:b/>
                <w:bCs/>
                <w:sz w:val="24"/>
                <w:szCs w:val="20"/>
                <w:lang w:val="en-US" w:eastAsia="zh-CN"/>
              </w:rPr>
              <w:t>七、</w:t>
            </w:r>
            <w:r>
              <w:rPr>
                <w:rFonts w:ascii="Times New Roman" w:cs="Times New Roman" w:hAnsi="Times New Roman" w:hint="eastAsia"/>
                <w:b/>
                <w:bCs/>
                <w:sz w:val="24"/>
                <w:szCs w:val="20"/>
                <w:u w:val="single"/>
                <w:lang w:val="en-US" w:eastAsia="zh-CN"/>
              </w:rPr>
              <w:t>环境风险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outlineLvl w:val="9"/>
              <w:rPr>
                <w:rFonts w:ascii="Times New Roman" w:eastAsia="宋体" w:cs="Times New Roman" w:hAnsi="Times New Roman"/>
                <w:color w:val="000000"/>
                <w:sz w:val="24"/>
                <w:szCs w:val="24"/>
                <w:u w:val="single"/>
                <w14:textFill>
                  <w14:solidFill>
                    <w14:srgbClr w14:val="000000"/>
                  </w14:solidFill>
                </w14:textFill>
              </w:rPr>
            </w:pPr>
            <w:r>
              <w:rPr>
                <w:rFonts w:ascii="Times New Roman" w:eastAsia="宋体" w:cs="Times New Roman" w:hAnsi="Times New Roman"/>
                <w:color w:val="000000"/>
                <w:sz w:val="24"/>
                <w:szCs w:val="24"/>
                <w:u w:val="single"/>
                <w14:textFill>
                  <w14:solidFill>
                    <w14:srgbClr w14:val="000000"/>
                  </w14:solidFill>
                </w14:textFill>
              </w:rPr>
              <w:t>环境风险是指突发性事故对环境</w:t>
            </w:r>
            <w:r>
              <w:rPr>
                <w:rFonts w:ascii="Times New Roman" w:cs="Times New Roman" w:hAnsi="Times New Roman" w:hint="eastAsia"/>
                <w:color w:val="000000"/>
                <w:sz w:val="24"/>
                <w:szCs w:val="24"/>
                <w:u w:val="single"/>
                <w14:textFill>
                  <w14:solidFill>
                    <w14:srgbClr w14:val="000000"/>
                  </w14:solidFill>
                </w14:textFill>
                <w:lang w:eastAsia="zh-CN"/>
              </w:rPr>
              <w:t>（</w:t>
            </w:r>
            <w:r>
              <w:rPr>
                <w:rFonts w:ascii="Times New Roman" w:eastAsia="宋体" w:cs="Times New Roman" w:hAnsi="Times New Roman"/>
                <w:color w:val="000000"/>
                <w:sz w:val="24"/>
                <w:szCs w:val="24"/>
                <w:u w:val="single"/>
                <w14:textFill>
                  <w14:solidFill>
                    <w14:srgbClr w14:val="000000"/>
                  </w14:solidFill>
                </w14:textFill>
              </w:rPr>
              <w:t>或健康）的危害程度。建设项目环境风险评价，主要是对项目建设和运行期间发生的可预测突发性事件或事故（一般不包括人为破坏及自然灾害）引起有毒有害、易燃易爆等物质泄漏，或突发事件产生的新的有毒有害物质，所造成的对人身安全与环境的影响和损害进行评估，提出防范、应急与减缓措施，以使建设项目事故率、损失和环境影响达到可接受水平。</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outlineLvl w:val="9"/>
              <w:rPr>
                <w:rFonts w:ascii="Times New Roman" w:eastAsia="宋体" w:cs="Times New Roman" w:hAnsi="Times New Roman"/>
                <w:b w:val="0"/>
                <w:bCs w:val="0"/>
                <w:color w:val="000000"/>
                <w:sz w:val="24"/>
                <w:szCs w:val="24"/>
                <w:u w:val="single"/>
                <w14:textFill>
                  <w14:solidFill>
                    <w14:srgbClr w14:val="000000"/>
                  </w14:solidFill>
                </w14:textFill>
              </w:rPr>
            </w:pPr>
            <w:r>
              <w:rPr>
                <w:rFonts w:ascii="Times New Roman" w:cs="Times New Roman" w:hAnsi="Times New Roman" w:hint="eastAsia"/>
                <w:b w:val="0"/>
                <w:bCs w:val="0"/>
                <w:color w:val="000000"/>
                <w:sz w:val="24"/>
                <w:szCs w:val="24"/>
                <w:u w:val="single"/>
                <w14:textFill>
                  <w14:solidFill>
                    <w14:srgbClr w14:val="000000"/>
                  </w14:solidFill>
                </w14:textFill>
                <w:lang w:val="en-US" w:eastAsia="zh-CN"/>
              </w:rPr>
              <w:t>1、环境</w:t>
            </w:r>
            <w:r>
              <w:rPr>
                <w:rFonts w:ascii="Times New Roman" w:eastAsia="宋体" w:cs="Times New Roman" w:hAnsi="Times New Roman"/>
                <w:b w:val="0"/>
                <w:bCs w:val="0"/>
                <w:color w:val="000000"/>
                <w:sz w:val="24"/>
                <w:szCs w:val="24"/>
                <w:u w:val="single"/>
                <w14:textFill>
                  <w14:solidFill>
                    <w14:srgbClr w14:val="000000"/>
                  </w14:solidFill>
                </w14:textFill>
              </w:rPr>
              <w:t>风险识别</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rFonts w:hint="eastAsia"/>
                <w:lang w:val="en-US" w:eastAsia="zh-CN"/>
              </w:rPr>
            </w:pPr>
            <w:r>
              <w:rPr>
                <w:rFonts w:ascii="Times New Roman" w:eastAsia="宋体" w:cs="Times New Roman" w:hAnsi="Times New Roman"/>
                <w:b w:val="0"/>
                <w:bCs w:val="0"/>
                <w:color w:val="000000"/>
                <w:sz w:val="24"/>
                <w:szCs w:val="24"/>
                <w:u w:val="single"/>
                <w14:textFill>
                  <w14:solidFill>
                    <w14:srgbClr w14:val="000000"/>
                  </w14:solidFill>
                </w14:textFill>
                <w:lang w:val="en-US" w:eastAsia="zh-CN"/>
              </w:rPr>
              <w:t>经查询《建设项目环境风险评价技术导则》</w:t>
            </w:r>
            <w:r>
              <w:rPr>
                <w:rFonts w:ascii="Times New Roman" w:cs="Times New Roman" w:hAnsi="Times New Roman" w:hint="eastAsia"/>
                <w:b w:val="0"/>
                <w:bCs w:val="0"/>
                <w:color w:val="000000"/>
                <w:sz w:val="24"/>
                <w:szCs w:val="24"/>
                <w:u w:val="single"/>
                <w14:textFill>
                  <w14:solidFill>
                    <w14:srgbClr w14:val="000000"/>
                  </w14:solidFill>
                </w14:textFill>
                <w:lang w:val="en-US" w:eastAsia="zh-CN"/>
              </w:rPr>
              <w:t>（</w:t>
            </w:r>
            <w:r>
              <w:rPr>
                <w:rFonts w:ascii="Times New Roman" w:eastAsia="宋体" w:cs="Times New Roman" w:hAnsi="Times New Roman"/>
                <w:b w:val="0"/>
                <w:bCs w:val="0"/>
                <w:color w:val="000000"/>
                <w:sz w:val="24"/>
                <w:szCs w:val="24"/>
                <w:u w:val="single"/>
                <w14:textFill>
                  <w14:solidFill>
                    <w14:srgbClr w14:val="000000"/>
                  </w14:solidFill>
                </w14:textFill>
                <w:lang w:val="en-US" w:eastAsia="zh-CN"/>
              </w:rPr>
              <w:t>HJ 169—2018），</w:t>
            </w:r>
            <w:r>
              <w:rPr>
                <w:rFonts w:ascii="Times New Roman" w:eastAsia="宋体" w:cs="Times New Roman" w:hAnsi="Times New Roman"/>
                <w:color w:val="000000"/>
                <w:sz w:val="24"/>
                <w:szCs w:val="24"/>
                <w:u w:val="single"/>
                <w14:textFill>
                  <w14:solidFill>
                    <w14:srgbClr w14:val="000000"/>
                  </w14:solidFill>
                </w14:textFill>
                <w:lang w:val="en-US" w:eastAsia="zh-CN"/>
              </w:rPr>
              <w:t>项目</w:t>
            </w:r>
            <w:r>
              <w:rPr>
                <w:rFonts w:ascii="Times New Roman" w:eastAsia="宋体" w:cs="Times New Roman" w:hAnsi="Times New Roman"/>
                <w:color w:val="000000"/>
                <w:sz w:val="24"/>
                <w:szCs w:val="24"/>
                <w:u w:val="single"/>
                <w14:textFill>
                  <w14:solidFill>
                    <w14:srgbClr w14:val="000000"/>
                  </w14:solidFill>
                </w14:textFill>
                <w:highlight w:val="none"/>
              </w:rPr>
              <w:t>储存的物料</w:t>
            </w:r>
            <w:r>
              <w:rPr>
                <w:rFonts w:ascii="Times New Roman" w:cs="Times New Roman" w:hAnsi="Times New Roman" w:hint="eastAsia"/>
                <w:color w:val="000000"/>
                <w:sz w:val="24"/>
                <w:szCs w:val="24"/>
                <w:u w:val="single"/>
                <w14:textFill>
                  <w14:solidFill>
                    <w14:srgbClr w14:val="000000"/>
                  </w14:solidFill>
                </w14:textFill>
                <w:lang w:val="en-US" w:eastAsia="zh-CN"/>
              </w:rPr>
              <w:t>汽油、柴油</w:t>
            </w:r>
            <w:r>
              <w:rPr>
                <w:rFonts w:ascii="Times New Roman" w:eastAsia="宋体" w:cs="Times New Roman" w:hAnsi="Times New Roman"/>
                <w:color w:val="000000"/>
                <w:sz w:val="24"/>
                <w:szCs w:val="24"/>
                <w:u w:val="single"/>
                <w14:textFill>
                  <w14:solidFill>
                    <w14:srgbClr w14:val="000000"/>
                  </w14:solidFill>
                </w14:textFill>
                <w:lang w:val="en-US" w:eastAsia="zh-CN"/>
              </w:rPr>
              <w:t>属于风险物质，</w:t>
            </w:r>
            <w:r>
              <w:rPr>
                <w:rFonts w:ascii="Times New Roman" w:cs="Times New Roman" w:hAnsi="Times New Roman"/>
                <w:color w:val="000000"/>
                <w:kern w:val="0"/>
                <w:sz w:val="24"/>
                <w:szCs w:val="20"/>
                <w:u w:val="single"/>
                <w14:textFill>
                  <w14:solidFill>
                    <w14:srgbClr w14:val="000000"/>
                  </w14:solidFill>
                </w14:textFill>
              </w:rPr>
              <w:t>单罐分别为30m</w:t>
            </w:r>
            <w:r>
              <w:rPr>
                <w:rFonts w:ascii="Times New Roman" w:cs="Times New Roman" w:hAnsi="Times New Roman"/>
                <w:color w:val="000000"/>
                <w:kern w:val="0"/>
                <w:sz w:val="24"/>
                <w:szCs w:val="20"/>
                <w:u w:val="single"/>
                <w:vertAlign w:val="superscript"/>
                <w14:textFill>
                  <w14:solidFill>
                    <w14:srgbClr w14:val="000000"/>
                  </w14:solidFill>
                </w14:textFill>
              </w:rPr>
              <w:t>3</w:t>
            </w:r>
            <w:r>
              <w:rPr>
                <w:rFonts w:ascii="Times New Roman" w:cs="Times New Roman" w:hAnsi="Times New Roman"/>
                <w:color w:val="000000"/>
                <w:kern w:val="0"/>
                <w:sz w:val="24"/>
                <w:szCs w:val="20"/>
                <w:u w:val="single"/>
                <w14:textFill>
                  <w14:solidFill>
                    <w14:srgbClr w14:val="000000"/>
                  </w14:solidFill>
                </w14:textFill>
              </w:rPr>
              <w:t>汽油储罐</w:t>
            </w:r>
            <w:r>
              <w:rPr>
                <w:rFonts w:ascii="Times New Roman" w:cs="Times New Roman" w:hAnsi="Times New Roman" w:hint="eastAsia"/>
                <w:color w:val="000000"/>
                <w:kern w:val="0"/>
                <w:sz w:val="24"/>
                <w:szCs w:val="20"/>
                <w:u w:val="single"/>
                <w14:textFill>
                  <w14:solidFill>
                    <w14:srgbClr w14:val="000000"/>
                  </w14:solidFill>
                </w14:textFill>
                <w:lang w:eastAsia="zh-CN"/>
              </w:rPr>
              <w:t>，共</w:t>
            </w:r>
            <w:r>
              <w:rPr>
                <w:rFonts w:ascii="Times New Roman" w:cs="Times New Roman" w:hAnsi="Times New Roman" w:hint="eastAsia"/>
                <w:color w:val="000000"/>
                <w:kern w:val="0"/>
                <w:sz w:val="24"/>
                <w:szCs w:val="20"/>
                <w:u w:val="single"/>
                <w14:textFill>
                  <w14:solidFill>
                    <w14:srgbClr w14:val="000000"/>
                  </w14:solidFill>
                </w14:textFill>
                <w:lang w:val="en-US" w:eastAsia="zh-CN"/>
              </w:rPr>
              <w:t>4座</w:t>
            </w:r>
            <w:r>
              <w:rPr>
                <w:rFonts w:ascii="Times New Roman" w:cs="Times New Roman" w:hAnsi="Times New Roman"/>
                <w:color w:val="000000"/>
                <w:kern w:val="0"/>
                <w:sz w:val="24"/>
                <w:szCs w:val="20"/>
                <w:u w:val="single"/>
                <w14:textFill>
                  <w14:solidFill>
                    <w14:srgbClr w14:val="000000"/>
                  </w14:solidFill>
                </w14:textFill>
              </w:rPr>
              <w:t>。</w:t>
            </w:r>
            <w:r>
              <w:rPr>
                <w:rFonts w:ascii="Times New Roman" w:cs="Times New Roman" w:hAnsi="Times New Roman" w:hint="eastAsia"/>
                <w:color w:val="000000"/>
                <w:kern w:val="0"/>
                <w:sz w:val="24"/>
                <w:szCs w:val="20"/>
                <w:u w:val="single"/>
                <w14:textFill>
                  <w14:solidFill>
                    <w14:srgbClr w14:val="000000"/>
                  </w14:solidFill>
                </w14:textFill>
                <w:lang w:val="en-US" w:eastAsia="zh-CN"/>
              </w:rPr>
              <w:t>本项目涉及的主要油品及最大存储量见下表。</w:t>
            </w:r>
          </w:p>
          <w:p>
            <w:pPr>
              <w:pStyle w:val="75"/>
              <w:keepNext/>
              <w:keepLines w:val="0"/>
              <w:suppressLineNumbers w:val="0"/>
              <w:bidi w:val="0"/>
              <w:spacing w:before="0" w:beforeAutospacing="0" w:after="0" w:afterAutospacing="0"/>
              <w:ind w:left="0" w:right="0" w:firstLine="420"/>
              <w:rPr>
                <w:rFonts w:hint="eastAsia"/>
                <w:lang w:val="en-US" w:eastAsia="zh-CN"/>
              </w:rPr>
            </w:pPr>
            <w:r>
              <w:rPr>
                <w:rFonts w:ascii="Times New Roman" w:cs="Times New Roman" w:hAnsi="Times New Roman" w:hint="eastAsia"/>
                <w:sz w:val="24"/>
                <w:szCs w:val="20"/>
                <w:lang w:val="en-US" w:eastAsia="zh-CN"/>
              </w:rPr>
              <w:t xml:space="preserve">  本项目主要油品及最大存储量</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610"/>
              <w:gridCol w:w="3345"/>
              <w:gridCol w:w="3661"/>
            </w:tblGrid>
            <w:tr>
              <w:trPr>
                <w:trHeight w:val="397"/>
              </w:trPr>
              <w:tc>
                <w:tcPr>
                  <w:tcW w:w="161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eastAsia="宋体" w:cs="Times New Roman" w:hAnsi="Times New Roman"/>
                      <w:b/>
                      <w:bCs/>
                      <w:color w:val="000000"/>
                      <w:sz w:val="21"/>
                      <w:szCs w:val="21"/>
                      <w:vertAlign w:val="baseline"/>
                      <w14:textFill>
                        <w14:solidFill>
                          <w14:srgbClr w14:val="000000"/>
                        </w14:solidFill>
                      </w14:textFill>
                      <w:lang w:val="en-US" w:eastAsia="zh-CN"/>
                    </w:rPr>
                  </w:pPr>
                  <w:r>
                    <w:rPr>
                      <w:rFonts w:ascii="Times New Roman" w:cs="Times New Roman" w:hAnsi="Times New Roman" w:hint="eastAsia"/>
                      <w:b/>
                      <w:bCs/>
                      <w:color w:val="000000"/>
                      <w:sz w:val="21"/>
                      <w:szCs w:val="21"/>
                      <w:vertAlign w:val="baseline"/>
                      <w14:textFill>
                        <w14:solidFill>
                          <w14:srgbClr w14:val="000000"/>
                        </w14:solidFill>
                      </w14:textFill>
                      <w:lang w:val="en-US" w:eastAsia="zh-CN" w:bidi="ar-SA"/>
                    </w:rPr>
                    <w:t>油品名称</w:t>
                  </w:r>
                </w:p>
              </w:tc>
              <w:tc>
                <w:tcPr>
                  <w:tcW w:w="33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eastAsia="宋体" w:cs="Times New Roman" w:hAnsi="Times New Roman"/>
                      <w:b/>
                      <w:bCs/>
                      <w:color w:val="000000"/>
                      <w:sz w:val="21"/>
                      <w:szCs w:val="21"/>
                      <w:vertAlign w:val="baseline"/>
                      <w14:textFill>
                        <w14:solidFill>
                          <w14:srgbClr w14:val="000000"/>
                        </w14:solidFill>
                      </w14:textFill>
                      <w:lang w:val="en-US" w:eastAsia="zh-CN"/>
                    </w:rPr>
                  </w:pPr>
                  <w:r>
                    <w:rPr>
                      <w:rFonts w:ascii="Times New Roman" w:cs="Times New Roman" w:hAnsi="Times New Roman" w:hint="eastAsia"/>
                      <w:b/>
                      <w:bCs/>
                      <w:color w:val="000000"/>
                      <w:sz w:val="21"/>
                      <w:szCs w:val="21"/>
                      <w:vertAlign w:val="baseline"/>
                      <w14:textFill>
                        <w14:solidFill>
                          <w14:srgbClr w14:val="000000"/>
                        </w14:solidFill>
                      </w14:textFill>
                      <w:lang w:val="en-US" w:eastAsia="zh-CN" w:bidi="ar-SA"/>
                    </w:rPr>
                    <w:t>汽油</w:t>
                  </w:r>
                </w:p>
              </w:tc>
              <w:tc>
                <w:tcPr>
                  <w:tcW w:w="366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cs="Times New Roman" w:hAnsi="Times New Roman" w:hint="eastAsia"/>
                      <w:b/>
                      <w:bCs/>
                      <w:color w:val="000000"/>
                      <w:sz w:val="21"/>
                      <w:szCs w:val="21"/>
                      <w:vertAlign w:val="baseline"/>
                      <w14:textFill>
                        <w14:solidFill>
                          <w14:srgbClr w14:val="000000"/>
                        </w14:solidFill>
                      </w14:textFill>
                      <w:lang w:val="en-US" w:eastAsia="zh-CN"/>
                    </w:rPr>
                  </w:pPr>
                  <w:r>
                    <w:rPr>
                      <w:rFonts w:cs="Times New Roman" w:hint="eastAsia"/>
                      <w:b/>
                      <w:bCs/>
                      <w:color w:val="000000"/>
                      <w:sz w:val="21"/>
                      <w:szCs w:val="21"/>
                      <w:vertAlign w:val="baseline"/>
                      <w14:textFill>
                        <w14:solidFill>
                          <w14:srgbClr w14:val="000000"/>
                        </w14:solidFill>
                      </w14:textFill>
                      <w:lang w:val="en-US" w:eastAsia="zh-CN" w:bidi="ar-SA"/>
                    </w:rPr>
                    <w:t>柴油</w:t>
                  </w:r>
                </w:p>
              </w:tc>
            </w:tr>
            <w:tr>
              <w:trPr>
                <w:trHeight w:val="397"/>
              </w:trPr>
              <w:tc>
                <w:tcPr>
                  <w:tcW w:w="161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eastAsia="宋体" w:cs="Times New Roman" w:hAnsi="Times New Roman"/>
                      <w:color w:val="000000"/>
                      <w:sz w:val="21"/>
                      <w:szCs w:val="21"/>
                      <w:vertAlign w:val="baseline"/>
                      <w14:textFill>
                        <w14:solidFill>
                          <w14:srgbClr w14:val="000000"/>
                        </w14:solidFill>
                      </w14:textFill>
                      <w:lang w:val="en-US" w:eastAsia="zh-CN"/>
                    </w:rPr>
                  </w:pP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油罐容量</w:t>
                  </w:r>
                </w:p>
              </w:tc>
              <w:tc>
                <w:tcPr>
                  <w:tcW w:w="33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eastAsia="宋体" w:cs="Times New Roman" w:hAnsi="Times New Roman"/>
                      <w:color w:val="000000"/>
                      <w:sz w:val="21"/>
                      <w:szCs w:val="21"/>
                      <w:vertAlign w:val="baseline"/>
                      <w14:textFill>
                        <w14:solidFill>
                          <w14:srgbClr w14:val="000000"/>
                        </w14:solidFill>
                      </w14:textFill>
                      <w:lang w:val="en-US" w:eastAsia="zh-CN"/>
                    </w:rPr>
                  </w:pPr>
                  <w:r>
                    <w:rPr>
                      <w:rFonts w:ascii="Times New Roman" w:cs="Times New Roman" w:hAnsi="Times New Roman"/>
                      <w:color w:val="000000"/>
                      <w:sz w:val="21"/>
                      <w:szCs w:val="21"/>
                      <w:vertAlign w:val="baseline"/>
                      <w14:textFill>
                        <w14:solidFill>
                          <w14:srgbClr w14:val="000000"/>
                        </w14:solidFill>
                      </w14:textFill>
                      <w:lang w:val="en-US" w:eastAsia="zh-CN" w:bidi="ar-SA"/>
                    </w:rPr>
                    <w:t>30m</w:t>
                  </w:r>
                  <w:r>
                    <w:rPr>
                      <w:rFonts w:ascii="Times New Roman" w:cs="Times New Roman" w:hAnsi="Times New Roman"/>
                      <w:color w:val="000000"/>
                      <w:sz w:val="21"/>
                      <w:szCs w:val="21"/>
                      <w:vertAlign w:val="superscript"/>
                      <w14:textFill>
                        <w14:solidFill>
                          <w14:srgbClr w14:val="000000"/>
                        </w14:solidFill>
                      </w14:textFill>
                      <w:lang w:val="en-US" w:eastAsia="zh-CN" w:bidi="ar-SA"/>
                    </w:rPr>
                    <w:t>3</w:t>
                  </w:r>
                  <w:r>
                    <w:rPr>
                      <w:rFonts w:ascii="Times New Roman" w:cs="Times New Roman" w:hAnsi="Times New Roman"/>
                      <w:color w:val="000000"/>
                      <w:sz w:val="21"/>
                      <w:szCs w:val="21"/>
                      <w:vertAlign w:val="baseline"/>
                      <w14:textFill>
                        <w14:solidFill>
                          <w14:srgbClr w14:val="000000"/>
                        </w14:solidFill>
                      </w14:textFill>
                      <w:lang w:val="en-US" w:eastAsia="zh-CN" w:bidi="ar-SA"/>
                    </w:rPr>
                    <w:t>×2</w:t>
                  </w:r>
                </w:p>
              </w:tc>
              <w:tc>
                <w:tcPr>
                  <w:tcW w:w="366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cs="Times New Roman" w:hAnsi="Times New Roman"/>
                      <w:color w:val="000000"/>
                      <w:sz w:val="21"/>
                      <w:szCs w:val="21"/>
                      <w:vertAlign w:val="baseline"/>
                      <w14:textFill>
                        <w14:solidFill>
                          <w14:srgbClr w14:val="000000"/>
                        </w14:solidFill>
                      </w14:textFill>
                      <w:lang w:val="en-US" w:eastAsia="zh-CN"/>
                    </w:rPr>
                  </w:pPr>
                  <w:r>
                    <w:rPr>
                      <w:rFonts w:ascii="Times New Roman" w:cs="Times New Roman" w:hAnsi="Times New Roman"/>
                      <w:color w:val="000000"/>
                      <w:sz w:val="21"/>
                      <w:szCs w:val="21"/>
                      <w:vertAlign w:val="baseline"/>
                      <w14:textFill>
                        <w14:solidFill>
                          <w14:srgbClr w14:val="000000"/>
                        </w14:solidFill>
                      </w14:textFill>
                      <w:lang w:val="en-US" w:eastAsia="zh-CN" w:bidi="ar-SA"/>
                    </w:rPr>
                    <w:t>30m</w:t>
                  </w:r>
                  <w:r>
                    <w:rPr>
                      <w:rFonts w:ascii="Times New Roman" w:cs="Times New Roman" w:hAnsi="Times New Roman"/>
                      <w:color w:val="000000"/>
                      <w:sz w:val="21"/>
                      <w:szCs w:val="21"/>
                      <w:vertAlign w:val="superscript"/>
                      <w14:textFill>
                        <w14:solidFill>
                          <w14:srgbClr w14:val="000000"/>
                        </w14:solidFill>
                      </w14:textFill>
                      <w:lang w:val="en-US" w:eastAsia="zh-CN" w:bidi="ar-SA"/>
                    </w:rPr>
                    <w:t>3</w:t>
                  </w:r>
                  <w:r>
                    <w:rPr>
                      <w:rFonts w:ascii="Times New Roman" w:cs="Times New Roman" w:hAnsi="Times New Roman"/>
                      <w:color w:val="000000"/>
                      <w:sz w:val="21"/>
                      <w:szCs w:val="21"/>
                      <w:vertAlign w:val="baseline"/>
                      <w14:textFill>
                        <w14:solidFill>
                          <w14:srgbClr w14:val="000000"/>
                        </w14:solidFill>
                      </w14:textFill>
                      <w:lang w:val="en-US" w:eastAsia="zh-CN" w:bidi="ar-SA"/>
                    </w:rPr>
                    <w:t>×2</w:t>
                  </w:r>
                </w:p>
              </w:tc>
            </w:tr>
            <w:tr>
              <w:trPr>
                <w:trHeight w:val="397"/>
              </w:trPr>
              <w:tc>
                <w:tcPr>
                  <w:tcW w:w="161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eastAsia="宋体" w:cs="Times New Roman" w:hAnsi="Times New Roman"/>
                      <w:color w:val="000000"/>
                      <w:sz w:val="21"/>
                      <w:szCs w:val="21"/>
                      <w:vertAlign w:val="baseline"/>
                      <w14:textFill>
                        <w14:solidFill>
                          <w14:srgbClr w14:val="000000"/>
                        </w14:solidFill>
                      </w14:textFill>
                      <w:lang w:val="en-US" w:eastAsia="zh-CN"/>
                    </w:rPr>
                  </w:pP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有效容量</w:t>
                  </w:r>
                </w:p>
              </w:tc>
              <w:tc>
                <w:tcPr>
                  <w:tcW w:w="33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eastAsia="宋体" w:cs="Times New Roman" w:hAnsi="Times New Roman"/>
                      <w:color w:val="000000"/>
                      <w:sz w:val="21"/>
                      <w:szCs w:val="21"/>
                      <w:vertAlign w:val="baseline"/>
                      <w14:textFill>
                        <w14:solidFill>
                          <w14:srgbClr w14:val="000000"/>
                        </w14:solidFill>
                      </w14:textFill>
                      <w:lang w:val="en-US" w:eastAsia="zh-CN"/>
                    </w:rPr>
                  </w:pPr>
                  <w:r>
                    <w:rPr>
                      <w:rFonts w:cs="Times New Roman" w:hint="eastAsia"/>
                      <w:color w:val="000000"/>
                      <w:sz w:val="21"/>
                      <w:szCs w:val="21"/>
                      <w:vertAlign w:val="baseline"/>
                      <w14:textFill>
                        <w14:solidFill>
                          <w14:srgbClr w14:val="000000"/>
                        </w14:solidFill>
                      </w14:textFill>
                      <w:lang w:val="en-US" w:eastAsia="zh-CN" w:bidi="ar-SA"/>
                    </w:rPr>
                    <w:t>54</w:t>
                  </w: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m</w:t>
                  </w:r>
                  <w:r>
                    <w:rPr>
                      <w:rFonts w:ascii="Times New Roman" w:cs="Times New Roman" w:hAnsi="Times New Roman" w:hint="eastAsia"/>
                      <w:color w:val="000000"/>
                      <w:sz w:val="21"/>
                      <w:szCs w:val="21"/>
                      <w:vertAlign w:val="superscript"/>
                      <w14:textFill>
                        <w14:solidFill>
                          <w14:srgbClr w14:val="000000"/>
                        </w14:solidFill>
                      </w14:textFill>
                      <w:lang w:val="en-US" w:eastAsia="zh-CN" w:bidi="ar-SA"/>
                    </w:rPr>
                    <w:t>3</w:t>
                  </w:r>
                  <w:r>
                    <w:rPr>
                      <w:rFonts w:cs="Times New Roman" w:hint="eastAsia"/>
                      <w:color w:val="000000"/>
                      <w:sz w:val="21"/>
                      <w:szCs w:val="21"/>
                      <w:vertAlign w:val="baseline"/>
                      <w14:textFill>
                        <w14:solidFill>
                          <w14:srgbClr w14:val="000000"/>
                        </w14:solidFill>
                      </w14:textFill>
                      <w:lang w:val="en-US" w:eastAsia="zh-CN" w:bidi="ar-SA"/>
                    </w:rPr>
                    <w:t>（充装系数取0.9）</w:t>
                  </w:r>
                </w:p>
              </w:tc>
              <w:tc>
                <w:tcPr>
                  <w:tcW w:w="366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cs="Times New Roman" w:hAnsi="Times New Roman"/>
                      <w:color w:val="000000"/>
                      <w:sz w:val="21"/>
                      <w:szCs w:val="21"/>
                      <w:vertAlign w:val="baseline"/>
                      <w14:textFill>
                        <w14:solidFill>
                          <w14:srgbClr w14:val="000000"/>
                        </w14:solidFill>
                      </w14:textFill>
                      <w:lang w:val="en-US" w:eastAsia="zh-CN"/>
                    </w:rPr>
                  </w:pPr>
                  <w:r>
                    <w:rPr>
                      <w:rFonts w:cs="Times New Roman" w:hint="eastAsia"/>
                      <w:color w:val="000000"/>
                      <w:sz w:val="21"/>
                      <w:szCs w:val="21"/>
                      <w:vertAlign w:val="baseline"/>
                      <w14:textFill>
                        <w14:solidFill>
                          <w14:srgbClr w14:val="000000"/>
                        </w14:solidFill>
                      </w14:textFill>
                      <w:lang w:val="en-US" w:eastAsia="zh-CN" w:bidi="ar-SA"/>
                    </w:rPr>
                    <w:t>54</w:t>
                  </w: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m</w:t>
                  </w:r>
                  <w:r>
                    <w:rPr>
                      <w:rFonts w:ascii="Times New Roman" w:cs="Times New Roman" w:hAnsi="Times New Roman" w:hint="eastAsia"/>
                      <w:color w:val="000000"/>
                      <w:sz w:val="21"/>
                      <w:szCs w:val="21"/>
                      <w:vertAlign w:val="superscript"/>
                      <w14:textFill>
                        <w14:solidFill>
                          <w14:srgbClr w14:val="000000"/>
                        </w14:solidFill>
                      </w14:textFill>
                      <w:lang w:val="en-US" w:eastAsia="zh-CN" w:bidi="ar-SA"/>
                    </w:rPr>
                    <w:t>3</w:t>
                  </w:r>
                  <w:r>
                    <w:rPr>
                      <w:rFonts w:cs="Times New Roman" w:hint="eastAsia"/>
                      <w:color w:val="000000"/>
                      <w:sz w:val="21"/>
                      <w:szCs w:val="21"/>
                      <w:vertAlign w:val="baseline"/>
                      <w14:textFill>
                        <w14:solidFill>
                          <w14:srgbClr w14:val="000000"/>
                        </w14:solidFill>
                      </w14:textFill>
                      <w:lang w:val="en-US" w:eastAsia="zh-CN" w:bidi="ar-SA"/>
                    </w:rPr>
                    <w:t>（充装系数取0.9）</w:t>
                  </w:r>
                </w:p>
              </w:tc>
            </w:tr>
            <w:tr>
              <w:trPr>
                <w:trHeight w:val="397"/>
              </w:trPr>
              <w:tc>
                <w:tcPr>
                  <w:tcW w:w="161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eastAsia="宋体" w:cs="Times New Roman" w:hAnsi="Times New Roman"/>
                      <w:color w:val="000000"/>
                      <w:sz w:val="21"/>
                      <w:szCs w:val="21"/>
                      <w:vertAlign w:val="baseline"/>
                      <w14:textFill>
                        <w14:solidFill>
                          <w14:srgbClr w14:val="000000"/>
                        </w14:solidFill>
                      </w14:textFill>
                      <w:lang w:val="en-US" w:eastAsia="zh-CN"/>
                    </w:rPr>
                  </w:pP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最大储量</w:t>
                  </w:r>
                </w:p>
              </w:tc>
              <w:tc>
                <w:tcPr>
                  <w:tcW w:w="33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cs="Times New Roman" w:hAnsi="Times New Roman"/>
                      <w:color w:val="000000"/>
                      <w:kern w:val="0"/>
                      <w:sz w:val="21"/>
                      <w:szCs w:val="21"/>
                      <w14:textFill>
                        <w14:solidFill>
                          <w14:srgbClr w14:val="000000"/>
                        </w14:solidFill>
                      </w14:textFill>
                      <w:lang w:val="en-US" w:eastAsia="zh-CN"/>
                    </w:rPr>
                  </w:pPr>
                  <w:r>
                    <w:rPr>
                      <w:rFonts w:ascii="Times New Roman" w:cs="Times New Roman" w:hAnsi="Times New Roman"/>
                      <w:color w:val="000000"/>
                      <w:sz w:val="21"/>
                      <w:szCs w:val="21"/>
                      <w:vertAlign w:val="baseline"/>
                      <w14:textFill>
                        <w14:solidFill>
                          <w14:srgbClr w14:val="000000"/>
                        </w14:solidFill>
                      </w14:textFill>
                      <w:lang w:val="en-US" w:eastAsia="zh-CN" w:bidi="ar-SA"/>
                    </w:rPr>
                    <w:t>M=</w:t>
                  </w:r>
                  <w:r>
                    <w:rPr>
                      <w:rFonts w:cs="Times New Roman" w:hint="eastAsia"/>
                      <w:color w:val="000000"/>
                      <w:sz w:val="21"/>
                      <w:szCs w:val="21"/>
                      <w:vertAlign w:val="baseline"/>
                      <w14:textFill>
                        <w14:solidFill>
                          <w14:srgbClr w14:val="000000"/>
                        </w14:solidFill>
                      </w14:textFill>
                      <w:lang w:val="en-US" w:eastAsia="zh-CN" w:bidi="ar-SA"/>
                    </w:rPr>
                    <w:t>54</w:t>
                  </w:r>
                  <w:r>
                    <w:rPr>
                      <w:rFonts w:ascii="Times New Roman" w:cs="Times New Roman" w:hAnsi="Times New Roman"/>
                      <w:color w:val="000000"/>
                      <w:sz w:val="21"/>
                      <w:szCs w:val="21"/>
                      <w:vertAlign w:val="baseline"/>
                      <w14:textFill>
                        <w14:solidFill>
                          <w14:srgbClr w14:val="000000"/>
                        </w14:solidFill>
                      </w14:textFill>
                      <w:lang w:val="en-US" w:eastAsia="zh-CN" w:bidi="ar-SA"/>
                    </w:rPr>
                    <w:t>×0.7</w:t>
                  </w:r>
                  <w:r>
                    <w:rPr>
                      <w:rFonts w:cs="Times New Roman" w:hint="eastAsia"/>
                      <w:color w:val="000000"/>
                      <w:sz w:val="21"/>
                      <w:szCs w:val="21"/>
                      <w:vertAlign w:val="baseline"/>
                      <w14:textFill>
                        <w14:solidFill>
                          <w14:srgbClr w14:val="000000"/>
                        </w14:solidFill>
                      </w14:textFill>
                      <w:lang w:val="en-US" w:eastAsia="zh-CN" w:bidi="ar-SA"/>
                    </w:rPr>
                    <w:t>5</w:t>
                  </w:r>
                  <w:r>
                    <w:rPr>
                      <w:rFonts w:ascii="Times New Roman" w:cs="Times New Roman" w:hAnsi="Times New Roman"/>
                      <w:color w:val="000000"/>
                      <w:sz w:val="21"/>
                      <w:szCs w:val="21"/>
                      <w:vertAlign w:val="baseline"/>
                      <w14:textFill>
                        <w14:solidFill>
                          <w14:srgbClr w14:val="000000"/>
                        </w14:solidFill>
                      </w14:textFill>
                      <w:lang w:val="en-US" w:eastAsia="zh-CN" w:bidi="ar-SA"/>
                    </w:rPr>
                    <w:t>=</w:t>
                  </w:r>
                  <w:r>
                    <w:rPr>
                      <w:rFonts w:cs="Times New Roman" w:hint="eastAsia"/>
                      <w:color w:val="000000"/>
                      <w:sz w:val="21"/>
                      <w:szCs w:val="21"/>
                      <w:vertAlign w:val="baseline"/>
                      <w14:textFill>
                        <w14:solidFill>
                          <w14:srgbClr w14:val="000000"/>
                        </w14:solidFill>
                      </w14:textFill>
                      <w:lang w:val="en-US" w:eastAsia="zh-CN" w:bidi="ar-SA"/>
                    </w:rPr>
                    <w:t>40.5</w:t>
                  </w:r>
                  <w:r>
                    <w:rPr>
                      <w:rFonts w:ascii="Times New Roman" w:cs="Times New Roman" w:hAnsi="Times New Roman"/>
                      <w:color w:val="000000"/>
                      <w:kern w:val="0"/>
                      <w:sz w:val="21"/>
                      <w:szCs w:val="21"/>
                      <w14:textFill>
                        <w14:solidFill>
                          <w14:srgbClr w14:val="000000"/>
                        </w14:solidFill>
                      </w14:textFill>
                      <w:lang w:val="en-US" w:eastAsia="zh-CN" w:bidi="ar-SA"/>
                    </w:rPr>
                    <w:t>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eastAsia="宋体" w:cs="Times New Roman" w:hAnsi="Times New Roman"/>
                      <w:color w:val="000000"/>
                      <w:sz w:val="21"/>
                      <w:szCs w:val="21"/>
                      <w:vertAlign w:val="baseline"/>
                      <w14:textFill>
                        <w14:solidFill>
                          <w14:srgbClr w14:val="000000"/>
                        </w14:solidFill>
                      </w14:textFill>
                      <w:lang w:val="en-US" w:eastAsia="zh-CN"/>
                    </w:rPr>
                  </w:pP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（汽油相对密度取0.7</w:t>
                  </w:r>
                  <w:r>
                    <w:rPr>
                      <w:rFonts w:cs="Times New Roman" w:hint="eastAsia"/>
                      <w:color w:val="000000"/>
                      <w:sz w:val="21"/>
                      <w:szCs w:val="21"/>
                      <w:vertAlign w:val="baseline"/>
                      <w14:textFill>
                        <w14:solidFill>
                          <w14:srgbClr w14:val="000000"/>
                        </w14:solidFill>
                      </w14:textFill>
                      <w:lang w:val="en-US" w:eastAsia="zh-CN" w:bidi="ar-SA"/>
                    </w:rPr>
                    <w:t>5</w:t>
                  </w: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w:t>
                  </w:r>
                </w:p>
              </w:tc>
              <w:tc>
                <w:tcPr>
                  <w:tcW w:w="366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cs="Times New Roman" w:hAnsi="Times New Roman"/>
                      <w:color w:val="000000"/>
                      <w:kern w:val="0"/>
                      <w:sz w:val="21"/>
                      <w:szCs w:val="21"/>
                      <w14:textFill>
                        <w14:solidFill>
                          <w14:srgbClr w14:val="000000"/>
                        </w14:solidFill>
                      </w14:textFill>
                      <w:lang w:val="en-US" w:eastAsia="zh-CN"/>
                    </w:rPr>
                  </w:pPr>
                  <w:r>
                    <w:rPr>
                      <w:rFonts w:ascii="Times New Roman" w:cs="Times New Roman" w:hAnsi="Times New Roman"/>
                      <w:color w:val="000000"/>
                      <w:sz w:val="21"/>
                      <w:szCs w:val="21"/>
                      <w:vertAlign w:val="baseline"/>
                      <w14:textFill>
                        <w14:solidFill>
                          <w14:srgbClr w14:val="000000"/>
                        </w14:solidFill>
                      </w14:textFill>
                      <w:lang w:val="en-US" w:eastAsia="zh-CN" w:bidi="ar-SA"/>
                    </w:rPr>
                    <w:t>M=</w:t>
                  </w:r>
                  <w:r>
                    <w:rPr>
                      <w:rFonts w:cs="Times New Roman" w:hint="eastAsia"/>
                      <w:color w:val="000000"/>
                      <w:sz w:val="21"/>
                      <w:szCs w:val="21"/>
                      <w:vertAlign w:val="baseline"/>
                      <w14:textFill>
                        <w14:solidFill>
                          <w14:srgbClr w14:val="000000"/>
                        </w14:solidFill>
                      </w14:textFill>
                      <w:lang w:val="en-US" w:eastAsia="zh-CN" w:bidi="ar-SA"/>
                    </w:rPr>
                    <w:t>54</w:t>
                  </w:r>
                  <w:r>
                    <w:rPr>
                      <w:rFonts w:ascii="Times New Roman" w:cs="Times New Roman" w:hAnsi="Times New Roman"/>
                      <w:color w:val="000000"/>
                      <w:sz w:val="21"/>
                      <w:szCs w:val="21"/>
                      <w:vertAlign w:val="baseline"/>
                      <w14:textFill>
                        <w14:solidFill>
                          <w14:srgbClr w14:val="000000"/>
                        </w14:solidFill>
                      </w14:textFill>
                      <w:lang w:val="en-US" w:eastAsia="zh-CN" w:bidi="ar-SA"/>
                    </w:rPr>
                    <w:t>×0.</w:t>
                  </w: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8</w:t>
                  </w:r>
                  <w:r>
                    <w:rPr>
                      <w:rFonts w:cs="Times New Roman" w:hint="eastAsia"/>
                      <w:color w:val="000000"/>
                      <w:sz w:val="21"/>
                      <w:szCs w:val="21"/>
                      <w:vertAlign w:val="baseline"/>
                      <w14:textFill>
                        <w14:solidFill>
                          <w14:srgbClr w14:val="000000"/>
                        </w14:solidFill>
                      </w14:textFill>
                      <w:lang w:val="en-US" w:eastAsia="zh-CN" w:bidi="ar-SA"/>
                    </w:rPr>
                    <w:t>8</w:t>
                  </w:r>
                  <w:r>
                    <w:rPr>
                      <w:rFonts w:ascii="Times New Roman" w:cs="Times New Roman" w:hAnsi="Times New Roman"/>
                      <w:color w:val="000000"/>
                      <w:sz w:val="21"/>
                      <w:szCs w:val="21"/>
                      <w:vertAlign w:val="baseline"/>
                      <w14:textFill>
                        <w14:solidFill>
                          <w14:srgbClr w14:val="000000"/>
                        </w14:solidFill>
                      </w14:textFill>
                      <w:lang w:val="en-US" w:eastAsia="zh-CN" w:bidi="ar-SA"/>
                    </w:rPr>
                    <w:t>=</w:t>
                  </w:r>
                  <w:r>
                    <w:rPr>
                      <w:rFonts w:cs="Times New Roman" w:hint="eastAsia"/>
                      <w:color w:val="000000"/>
                      <w:sz w:val="21"/>
                      <w:szCs w:val="21"/>
                      <w:vertAlign w:val="baseline"/>
                      <w14:textFill>
                        <w14:solidFill>
                          <w14:srgbClr w14:val="000000"/>
                        </w14:solidFill>
                      </w14:textFill>
                      <w:lang w:val="en-US" w:eastAsia="zh-CN" w:bidi="ar-SA"/>
                    </w:rPr>
                    <w:t>47.52</w:t>
                  </w:r>
                  <w:r>
                    <w:rPr>
                      <w:rFonts w:ascii="Times New Roman" w:cs="Times New Roman" w:hAnsi="Times New Roman"/>
                      <w:color w:val="000000"/>
                      <w:kern w:val="0"/>
                      <w:sz w:val="21"/>
                      <w:szCs w:val="21"/>
                      <w14:textFill>
                        <w14:solidFill>
                          <w14:srgbClr w14:val="000000"/>
                        </w14:solidFill>
                      </w14:textFill>
                      <w:lang w:val="en-US" w:eastAsia="zh-CN" w:bidi="ar-SA"/>
                    </w:rPr>
                    <w:t>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ascii="Times New Roman" w:cs="Times New Roman" w:hAnsi="Times New Roman"/>
                      <w:color w:val="000000"/>
                      <w:sz w:val="21"/>
                      <w:szCs w:val="21"/>
                      <w:vertAlign w:val="baseline"/>
                      <w14:textFill>
                        <w14:solidFill>
                          <w14:srgbClr w14:val="000000"/>
                        </w14:solidFill>
                      </w14:textFill>
                      <w:lang w:val="en-US" w:eastAsia="zh-CN"/>
                    </w:rPr>
                  </w:pP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（柴油相对密度取0.8</w:t>
                  </w:r>
                  <w:r>
                    <w:rPr>
                      <w:rFonts w:cs="Times New Roman" w:hint="eastAsia"/>
                      <w:color w:val="000000"/>
                      <w:sz w:val="21"/>
                      <w:szCs w:val="21"/>
                      <w:vertAlign w:val="baseline"/>
                      <w14:textFill>
                        <w14:solidFill>
                          <w14:srgbClr w14:val="000000"/>
                        </w14:solidFill>
                      </w14:textFill>
                      <w:lang w:val="en-US" w:eastAsia="zh-CN" w:bidi="ar-SA"/>
                    </w:rPr>
                    <w:t>8</w:t>
                  </w:r>
                  <w:r>
                    <w:rPr>
                      <w:rFonts w:ascii="Times New Roman" w:cs="Times New Roman" w:hAnsi="Times New Roman" w:hint="eastAsia"/>
                      <w:color w:val="000000"/>
                      <w:sz w:val="21"/>
                      <w:szCs w:val="21"/>
                      <w:vertAlign w:val="baseline"/>
                      <w14:textFill>
                        <w14:solidFill>
                          <w14:srgbClr w14:val="000000"/>
                        </w14:solidFill>
                      </w14:textFill>
                      <w:lang w:val="en-US" w:eastAsia="zh-CN" w:bidi="ar-SA"/>
                    </w:rPr>
                    <w:t>）</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outlineLvl w:val="9"/>
              <w:rPr>
                <w:rFonts w:ascii="Times New Roman" w:eastAsia="宋体" w:cs="Times New Roman" w:hAnsi="Times New Roman"/>
                <w:color w:val="000000"/>
                <w:sz w:val="24"/>
                <w:szCs w:val="24"/>
                <w:u w:val="single"/>
                <w14:textFill>
                  <w14:solidFill>
                    <w14:srgbClr w14:val="000000"/>
                  </w14:solidFill>
                </w14:textFill>
                <w:lang w:val="en-US" w:eastAsia="zh-CN"/>
              </w:rPr>
            </w:pPr>
            <w:r>
              <w:rPr>
                <w:rFonts w:ascii="Times New Roman" w:cs="Times New Roman" w:hAnsi="Times New Roman"/>
                <w:color w:val="000000"/>
                <w:kern w:val="0"/>
                <w:sz w:val="24"/>
                <w:szCs w:val="20"/>
                <w:u w:val="single"/>
                <w14:textFill>
                  <w14:solidFill>
                    <w14:srgbClr w14:val="000000"/>
                  </w14:solidFill>
                </w14:textFill>
              </w:rPr>
              <w:t>根据《建设项目环境风险评价技术导则》（HJ/T169-2018）附录B的突发环境事件风险物质及临界量表，油类物质（矿物油类，如石油、汽油、柴油等；生物柴油等）的临界量为2500t</w:t>
            </w:r>
            <w:r>
              <w:rPr>
                <w:rFonts w:ascii="Times New Roman" w:cs="Times New Roman" w:hAnsi="Times New Roman"/>
                <w:color w:val="000000"/>
                <w:kern w:val="0"/>
                <w:sz w:val="24"/>
                <w:szCs w:val="20"/>
                <w:u w:val="single"/>
                <w14:textFill>
                  <w14:solidFill>
                    <w14:srgbClr w14:val="000000"/>
                  </w14:solidFill>
                </w14:textFill>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ascii="Times New Roman" w:cs="Times New Roman" w:hAnsi="Times New Roman"/>
                <w:color w:val="000000"/>
                <w:sz w:val="24"/>
                <w:szCs w:val="24"/>
                <w:u w:val="single"/>
                <w14:textFill>
                  <w14:solidFill>
                    <w14:srgbClr w14:val="000000"/>
                  </w14:solidFill>
                </w14:textFill>
              </w:rPr>
            </w:pPr>
            <w:r>
              <w:rPr>
                <w:rFonts w:ascii="Times New Roman" w:eastAsia="宋体" w:cs="Times New Roman" w:hAnsi="Times New Roman"/>
                <w:color w:val="000000"/>
                <w:sz w:val="24"/>
                <w:szCs w:val="24"/>
                <w:u w:val="single"/>
                <w14:textFill>
                  <w14:solidFill>
                    <w14:srgbClr w14:val="000000"/>
                  </w14:solidFill>
                </w14:textFill>
              </w:rPr>
              <w:t>当只涉及一种危险物质时，计算该物质的总量与其临界量比值，即为Q；</w:t>
            </w:r>
            <w:r>
              <w:rPr>
                <w:rFonts w:ascii="Times New Roman" w:cs="Times New Roman" w:hAnsi="Times New Roman"/>
                <w:color w:val="000000"/>
                <w:sz w:val="24"/>
                <w:szCs w:val="24"/>
                <w:u w:val="single"/>
                <w14:textFill>
                  <w14:solidFill>
                    <w14:srgbClr w14:val="000000"/>
                  </w14:solidFill>
                </w14:textFill>
              </w:rPr>
              <w:t>当存在多种危险物质时，则按下式计算物质总量与其临界量比值（Q）：</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600" w:firstLine="1440"/>
              <w:textAlignment w:val="auto"/>
              <w:rPr>
                <w:rFonts w:ascii="Times New Roman" w:cs="Times New Roman" w:hAnsi="Times New Roman"/>
                <w:color w:val="000000"/>
                <w:sz w:val="24"/>
                <w:szCs w:val="24"/>
                <w:u w:val="single"/>
                <w14:textFill>
                  <w14:solidFill>
                    <w14:srgbClr w14:val="000000"/>
                  </w14:solidFill>
                </w14:textFill>
              </w:rPr>
            </w:pPr>
            <w:r>
              <w:rPr>
                <w:rFonts w:ascii="Times New Roman" w:cs="Times New Roman" w:hAnsi="Times New Roman"/>
                <w:color w:val="000000"/>
                <w:sz w:val="24"/>
                <w:szCs w:val="24"/>
                <w:u w:val="single"/>
                <w14:textFill>
                  <w14:solidFill>
                    <w14:srgbClr w14:val="000000"/>
                  </w14:solidFill>
                </w14:textFill>
              </w:rPr>
              <w:t>Q=q</w:t>
            </w:r>
            <w:r>
              <w:rPr>
                <w:rFonts w:ascii="Times New Roman" w:cs="Times New Roman" w:hAnsi="Times New Roman"/>
                <w:color w:val="000000"/>
                <w:sz w:val="24"/>
                <w:szCs w:val="24"/>
                <w:u w:val="single"/>
                <w:vertAlign w:val="subscript"/>
                <w14:textFill>
                  <w14:solidFill>
                    <w14:srgbClr w14:val="000000"/>
                  </w14:solidFill>
                </w14:textFill>
              </w:rPr>
              <w:t>1</w:t>
            </w: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1</w:t>
            </w: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2</w:t>
            </w: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2</w:t>
            </w:r>
            <w:r>
              <w:rPr>
                <w:rFonts w:ascii="Times New Roman" w:cs="Times New Roman" w:hAnsi="Times New Roman"/>
                <w:color w:val="000000"/>
                <w:sz w:val="24"/>
                <w:szCs w:val="24"/>
                <w:u w:val="single"/>
                <w14:textFill>
                  <w14:solidFill>
                    <w14:srgbClr w14:val="000000"/>
                  </w14:solidFill>
                </w14:textFill>
              </w:rPr>
              <w:t>+ q</w:t>
            </w:r>
            <w:r>
              <w:rPr>
                <w:rFonts w:ascii="Times New Roman" w:cs="Times New Roman" w:hAnsi="Times New Roman"/>
                <w:color w:val="000000"/>
                <w:sz w:val="24"/>
                <w:szCs w:val="24"/>
                <w:u w:val="single"/>
                <w:vertAlign w:val="subscript"/>
                <w14:textFill>
                  <w14:solidFill>
                    <w14:srgbClr w14:val="000000"/>
                  </w14:solidFill>
                </w14:textFill>
              </w:rPr>
              <w:t>3</w:t>
            </w: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3</w:t>
            </w: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n</w:t>
            </w:r>
            <w:r>
              <w:rPr>
                <w:rFonts w:ascii="Times New Roman" w:cs="Times New Roman" w:hAnsi="Times New Roman"/>
                <w:color w:val="000000"/>
                <w:sz w:val="24"/>
                <w:szCs w:val="24"/>
                <w:u w:val="single"/>
                <w14:textFill>
                  <w14:solidFill>
                    <w14:srgbClr w14:val="000000"/>
                  </w14:solidFill>
                </w14:textFill>
              </w:rPr>
              <w:t>/Qn</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color w:val="000000"/>
                <w:sz w:val="24"/>
                <w:szCs w:val="24"/>
                <w:u w:val="single"/>
                <w14:textFill>
                  <w14:solidFill>
                    <w14:srgbClr w14:val="000000"/>
                  </w14:solidFill>
                </w14:textFill>
              </w:rPr>
            </w:pPr>
            <w:r>
              <w:rPr>
                <w:rFonts w:ascii="Times New Roman" w:cs="Times New Roman" w:hAnsi="Times New Roman"/>
                <w:color w:val="000000"/>
                <w:sz w:val="24"/>
                <w:szCs w:val="24"/>
                <w:u w:val="single"/>
                <w14:textFill>
                  <w14:solidFill>
                    <w14:srgbClr w14:val="000000"/>
                  </w14:solidFill>
                </w14:textFill>
              </w:rPr>
              <w:t>式中：</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300" w:firstLine="720"/>
              <w:textAlignment w:val="auto"/>
              <w:rPr>
                <w:rFonts w:ascii="Times New Roman" w:cs="Times New Roman" w:hAnsi="Times New Roman"/>
                <w:color w:val="000000"/>
                <w:sz w:val="24"/>
                <w:szCs w:val="24"/>
                <w:u w:val="single"/>
                <w14:textFill>
                  <w14:solidFill>
                    <w14:srgbClr w14:val="000000"/>
                  </w14:solidFill>
                </w14:textFill>
              </w:rPr>
            </w:pP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1</w:t>
            </w: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2</w:t>
            </w: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n</w:t>
            </w:r>
            <w:r>
              <w:rPr>
                <w:rFonts w:ascii="Times New Roman" w:cs="Times New Roman" w:hAnsi="Times New Roman"/>
                <w:color w:val="000000"/>
                <w:sz w:val="24"/>
                <w:szCs w:val="24"/>
                <w:u w:val="single"/>
                <w14:textFill>
                  <w14:solidFill>
                    <w14:srgbClr w14:val="000000"/>
                  </w14:solidFill>
                </w14:textFill>
              </w:rPr>
              <w:t>－每种危险物质的最大存在总量，t；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300" w:firstLine="720"/>
              <w:textAlignment w:val="auto"/>
              <w:rPr>
                <w:rFonts w:ascii="Times New Roman" w:cs="Times New Roman" w:hAnsi="Times New Roman"/>
                <w:color w:val="000000"/>
                <w:sz w:val="24"/>
                <w:szCs w:val="24"/>
                <w:u w:val="single"/>
                <w14:textFill>
                  <w14:solidFill>
                    <w14:srgbClr w14:val="000000"/>
                  </w14:solidFill>
                </w14:textFill>
              </w:rPr>
            </w:pP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1</w:t>
            </w: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2</w:t>
            </w:r>
            <w:r>
              <w:rPr>
                <w:rFonts w:ascii="Times New Roman" w:cs="Times New Roman" w:hAnsi="Times New Roman"/>
                <w:color w:val="000000"/>
                <w:sz w:val="24"/>
                <w:szCs w:val="24"/>
                <w:u w:val="single"/>
                <w14:textFill>
                  <w14:solidFill>
                    <w14:srgbClr w14:val="000000"/>
                  </w14:solidFill>
                </w14:textFill>
              </w:rPr>
              <w:t>，……Q</w:t>
            </w:r>
            <w:r>
              <w:rPr>
                <w:rFonts w:ascii="Times New Roman" w:cs="Times New Roman" w:hAnsi="Times New Roman"/>
                <w:color w:val="000000"/>
                <w:sz w:val="24"/>
                <w:szCs w:val="24"/>
                <w:u w:val="single"/>
                <w:vertAlign w:val="subscript"/>
                <w14:textFill>
                  <w14:solidFill>
                    <w14:srgbClr w14:val="000000"/>
                  </w14:solidFill>
                </w14:textFill>
              </w:rPr>
              <w:t>n</w:t>
            </w:r>
            <w:r>
              <w:rPr>
                <w:rFonts w:ascii="Times New Roman" w:cs="Times New Roman" w:hAnsi="Times New Roman"/>
                <w:color w:val="000000"/>
                <w:sz w:val="24"/>
                <w:szCs w:val="24"/>
                <w:u w:val="single"/>
                <w14:textFill>
                  <w14:solidFill>
                    <w14:srgbClr w14:val="000000"/>
                  </w14:solidFill>
                </w14:textFill>
              </w:rPr>
              <w:t>－每种危险物质的临界量，t。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rFonts w:ascii="Times New Roman" w:cs="Times New Roman" w:hAnsi="Times New Roman"/>
                <w:color w:val="000000"/>
                <w:sz w:val="24"/>
                <w:szCs w:val="24"/>
                <w:u w:val="single"/>
                <w14:textFill>
                  <w14:solidFill>
                    <w14:srgbClr w14:val="000000"/>
                  </w14:solidFill>
                </w14:textFill>
              </w:rPr>
            </w:pPr>
            <w:r>
              <w:rPr>
                <w:rFonts w:ascii="Times New Roman" w:cs="Times New Roman" w:hAnsi="Times New Roman"/>
                <w:color w:val="000000"/>
                <w:sz w:val="24"/>
                <w:szCs w:val="24"/>
                <w:u w:val="single"/>
                <w14:textFill>
                  <w14:solidFill>
                    <w14:srgbClr w14:val="000000"/>
                  </w14:solidFill>
                </w14:textFill>
              </w:rPr>
              <w:t>当Q＜1时，该项目环境风险潜势为Ⅰ。</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Chars="200" w:firstLine="480"/>
              <w:textAlignment w:val="auto"/>
              <w:rPr>
                <w:rFonts w:ascii="Times New Roman" w:eastAsia="宋体" w:cs="Times New Roman" w:hAnsi="Times New Roman"/>
                <w:color w:val="000000"/>
                <w:sz w:val="24"/>
                <w:szCs w:val="24"/>
                <w:u w:val="single"/>
                <w14:textFill>
                  <w14:solidFill>
                    <w14:srgbClr w14:val="000000"/>
                  </w14:solidFill>
                </w14:textFill>
                <w:lang w:val="en-US" w:eastAsia="zh-CN"/>
              </w:rPr>
            </w:pPr>
            <w:r>
              <w:rPr>
                <w:rFonts w:ascii="Times New Roman" w:cs="Times New Roman" w:hAnsi="Times New Roman"/>
                <w:color w:val="000000"/>
                <w:sz w:val="24"/>
                <w:szCs w:val="24"/>
                <w:u w:val="single"/>
                <w14:textFill>
                  <w14:solidFill>
                    <w14:srgbClr w14:val="000000"/>
                  </w14:solidFill>
                </w14:textFill>
              </w:rPr>
              <w:t>当Q≥1时，将Q值划分为：（1）1≤Q＜10；（2）10≤Q＜100；（3）Q≥100。</w:t>
            </w:r>
          </w:p>
          <w:p>
            <w:pPr>
              <w:pStyle w:val="17"/>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ascii="Times New Roman" w:eastAsia="宋体" w:cs="Times New Roman" w:hAnsi="Times New Roman"/>
                <w:b w:val="0"/>
                <w:bCs w:val="0"/>
                <w:color w:val="000000"/>
                <w:sz w:val="24"/>
                <w:szCs w:val="24"/>
                <w:u w:val="single"/>
                <w14:textFill>
                  <w14:solidFill>
                    <w14:srgbClr w14:val="000000"/>
                  </w14:solidFill>
                </w14:textFill>
                <w:lang w:val="en-US" w:eastAsia="zh-CN"/>
              </w:rPr>
            </w:pPr>
            <w:r>
              <w:rPr>
                <w:rFonts w:ascii="Times New Roman" w:eastAsia="宋体" w:cs="Times New Roman" w:hAnsi="Times New Roman"/>
                <w:color w:val="000000"/>
                <w:sz w:val="24"/>
                <w:szCs w:val="24"/>
                <w:u w:val="single"/>
                <w14:textFill>
                  <w14:solidFill>
                    <w14:srgbClr w14:val="000000"/>
                  </w14:solidFill>
                </w14:textFill>
                <w:lang w:val="en-US" w:eastAsia="zh-CN"/>
              </w:rPr>
              <w:t>经计算</w:t>
            </w:r>
            <w:r>
              <w:rPr>
                <w:rFonts w:ascii="Times New Roman" w:cs="Times New Roman" w:hAnsi="Times New Roman" w:hint="eastAsia"/>
                <w:color w:val="000000"/>
                <w:sz w:val="24"/>
                <w:szCs w:val="24"/>
                <w:u w:val="single"/>
                <w14:textFill>
                  <w14:solidFill>
                    <w14:srgbClr w14:val="000000"/>
                  </w14:solidFill>
                </w14:textFill>
                <w:lang w:val="en-US" w:eastAsia="zh-CN"/>
              </w:rPr>
              <w:t>本项目</w:t>
            </w:r>
            <w:r>
              <w:rPr>
                <w:rFonts w:ascii="Times New Roman" w:eastAsia="宋体" w:cs="Times New Roman" w:hAnsi="Times New Roman"/>
                <w:color w:val="000000"/>
                <w:sz w:val="24"/>
                <w:szCs w:val="24"/>
                <w:u w:val="single"/>
                <w14:textFill>
                  <w14:solidFill>
                    <w14:srgbClr w14:val="000000"/>
                  </w14:solidFill>
                </w14:textFill>
                <w:lang w:val="en-US" w:eastAsia="zh-CN"/>
              </w:rPr>
              <w:t>Q=</w:t>
            </w:r>
            <w:r>
              <w:rPr>
                <w:rFonts w:ascii="Times New Roman" w:cs="Times New Roman" w:hAnsi="Times New Roman" w:hint="eastAsia"/>
                <w:color w:val="000000"/>
                <w:sz w:val="24"/>
                <w:szCs w:val="24"/>
                <w:u w:val="single"/>
                <w14:textFill>
                  <w14:solidFill>
                    <w14:srgbClr w14:val="000000"/>
                  </w14:solidFill>
                </w14:textFill>
                <w:lang w:val="en-US" w:eastAsia="zh-CN"/>
              </w:rPr>
              <w:t>88.02</w:t>
            </w:r>
            <w:r>
              <w:rPr>
                <w:rFonts w:ascii="Times New Roman" w:cs="Times New Roman" w:hAnsi="Times New Roman"/>
                <w:color w:val="000000"/>
                <w:sz w:val="24"/>
                <w:szCs w:val="24"/>
                <w:u w:val="single"/>
                <w14:textFill>
                  <w14:solidFill>
                    <w14:srgbClr w14:val="000000"/>
                  </w14:solidFill>
                </w14:textFill>
                <w:lang w:val="en-US" w:eastAsia="zh-CN"/>
              </w:rPr>
              <w:t>÷</w:t>
            </w:r>
            <w:r>
              <w:rPr>
                <w:rFonts w:ascii="Times New Roman" w:cs="Times New Roman" w:hAnsi="Times New Roman" w:hint="eastAsia"/>
                <w:color w:val="000000"/>
                <w:sz w:val="24"/>
                <w:szCs w:val="24"/>
                <w:u w:val="single"/>
                <w14:textFill>
                  <w14:solidFill>
                    <w14:srgbClr w14:val="000000"/>
                  </w14:solidFill>
                </w14:textFill>
                <w:lang w:val="en-US" w:eastAsia="zh-CN"/>
              </w:rPr>
              <w:t>2500=</w:t>
            </w:r>
            <w:r>
              <w:rPr>
                <w:rFonts w:ascii="Times New Roman" w:eastAsia="宋体" w:cs="Times New Roman" w:hAnsi="Times New Roman"/>
                <w:color w:val="000000"/>
                <w:sz w:val="24"/>
                <w:szCs w:val="24"/>
                <w:u w:val="single"/>
                <w14:textFill>
                  <w14:solidFill>
                    <w14:srgbClr w14:val="000000"/>
                  </w14:solidFill>
                </w14:textFill>
                <w:lang w:val="en-US" w:eastAsia="zh-CN"/>
              </w:rPr>
              <w:t>0.0</w:t>
            </w:r>
            <w:r>
              <w:rPr>
                <w:rFonts w:ascii="Times New Roman" w:cs="Times New Roman" w:hAnsi="Times New Roman" w:hint="eastAsia"/>
                <w:color w:val="000000"/>
                <w:sz w:val="24"/>
                <w:szCs w:val="24"/>
                <w:u w:val="single"/>
                <w14:textFill>
                  <w14:solidFill>
                    <w14:srgbClr w14:val="000000"/>
                  </w14:solidFill>
                </w14:textFill>
                <w:lang w:val="en-US" w:eastAsia="zh-CN"/>
              </w:rPr>
              <w:t>35208</w:t>
            </w:r>
            <w:r>
              <w:rPr>
                <w:rFonts w:ascii="Times New Roman" w:eastAsia="宋体" w:cs="Times New Roman" w:hAnsi="Times New Roman"/>
                <w:color w:val="000000"/>
                <w:sz w:val="24"/>
                <w:szCs w:val="24"/>
                <w:u w:val="single"/>
                <w14:textFill>
                  <w14:solidFill>
                    <w14:srgbClr w14:val="000000"/>
                  </w14:solidFill>
                </w14:textFill>
                <w:lang w:val="en-US" w:eastAsia="zh-CN"/>
              </w:rPr>
              <w:t>，Q&lt;1，</w:t>
            </w:r>
            <w:r>
              <w:rPr>
                <w:rFonts w:ascii="Times New Roman" w:cs="Times New Roman" w:hAnsi="Times New Roman" w:hint="eastAsia"/>
                <w:color w:val="000000"/>
                <w:sz w:val="24"/>
                <w:szCs w:val="24"/>
                <w:u w:val="single"/>
                <w14:textFill>
                  <w14:solidFill>
                    <w14:srgbClr w14:val="000000"/>
                  </w14:solidFill>
                </w14:textFill>
                <w:lang w:val="en-US" w:eastAsia="zh-CN"/>
              </w:rPr>
              <w:t>无须设置</w:t>
            </w:r>
            <w:r>
              <w:rPr>
                <w:rFonts w:ascii="Times New Roman" w:cs="Times New Roman" w:hAnsi="Times New Roman"/>
                <w:sz w:val="24"/>
                <w:szCs w:val="20"/>
                <w:u w:val="single"/>
              </w:rPr>
              <w:t>环境风险专项评价</w:t>
            </w:r>
            <w:r>
              <w:rPr>
                <w:rFonts w:ascii="Times New Roman" w:cs="Times New Roman" w:hAnsi="Times New Roman" w:hint="eastAsia"/>
                <w:sz w:val="24"/>
                <w:szCs w:val="20"/>
                <w:u w:val="single"/>
              </w:rPr>
              <w:t>。本次进行环境风险简单分析。</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firstLineChars="200" w:firstLine="480"/>
              <w:jc w:val="left"/>
              <w:textAlignment w:val="auto"/>
            </w:pPr>
            <w:r>
              <w:rPr>
                <w:rFonts w:ascii="Times New Roman" w:cs="Times New Roman" w:hAnsi="Times New Roman"/>
                <w:color w:val="000000"/>
                <w:sz w:val="24"/>
                <w:szCs w:val="20"/>
                <w:u w:val="single"/>
                <w14:textFill>
                  <w14:solidFill>
                    <w14:srgbClr w14:val="000000"/>
                  </w14:solidFill>
                </w14:textFill>
                <w:lang w:val="en-US" w:eastAsia="zh-CN"/>
              </w:rPr>
              <w:t>本</w:t>
            </w:r>
            <w:r>
              <w:rPr>
                <w:rFonts w:ascii="Times New Roman" w:cs="Times New Roman" w:hAnsi="Times New Roman"/>
                <w:color w:val="000000"/>
                <w:sz w:val="24"/>
                <w:szCs w:val="20"/>
                <w:u w:val="single"/>
                <w14:textFill>
                  <w14:solidFill>
                    <w14:srgbClr w14:val="000000"/>
                  </w14:solidFill>
                </w14:textFill>
              </w:rPr>
              <w:t>项目</w:t>
            </w:r>
            <w:r>
              <w:rPr>
                <w:rFonts w:ascii="Times New Roman" w:cs="Times New Roman" w:hAnsi="Times New Roman" w:hint="eastAsia"/>
                <w:color w:val="000000"/>
                <w:sz w:val="24"/>
                <w:szCs w:val="20"/>
                <w:u w:val="single"/>
                <w14:textFill>
                  <w14:solidFill>
                    <w14:srgbClr w14:val="000000"/>
                  </w14:solidFill>
                </w14:textFill>
                <w:lang w:eastAsia="zh-CN"/>
              </w:rPr>
              <w:t>风险物质</w:t>
            </w:r>
            <w:r>
              <w:rPr>
                <w:rFonts w:ascii="Times New Roman" w:cs="Times New Roman" w:hAnsi="Times New Roman"/>
                <w:color w:val="000000"/>
                <w:sz w:val="24"/>
                <w:szCs w:val="20"/>
                <w:u w:val="single"/>
                <w14:textFill>
                  <w14:solidFill>
                    <w14:srgbClr w14:val="000000"/>
                  </w14:solidFill>
                </w14:textFill>
              </w:rPr>
              <w:t>的</w:t>
            </w:r>
            <w:r>
              <w:rPr>
                <w:rFonts w:ascii="Times New Roman" w:cs="Times New Roman" w:hAnsi="Times New Roman" w:hint="eastAsia"/>
                <w:color w:val="000000"/>
                <w:sz w:val="24"/>
                <w:szCs w:val="20"/>
                <w:u w:val="single"/>
                <w14:textFill>
                  <w14:solidFill>
                    <w14:srgbClr w14:val="000000"/>
                  </w14:solidFill>
                </w14:textFill>
                <w:lang w:val="en-US" w:eastAsia="zh-CN"/>
              </w:rPr>
              <w:t>理化</w:t>
            </w:r>
            <w:r>
              <w:rPr>
                <w:rFonts w:ascii="Times New Roman" w:cs="Times New Roman" w:hAnsi="Times New Roman"/>
                <w:color w:val="000000"/>
                <w:sz w:val="24"/>
                <w:szCs w:val="20"/>
                <w:u w:val="single"/>
                <w14:textFill>
                  <w14:solidFill>
                    <w14:srgbClr w14:val="000000"/>
                  </w14:solidFill>
                </w14:textFill>
              </w:rPr>
              <w:t>性质见</w:t>
            </w:r>
            <w:r>
              <w:rPr>
                <w:rFonts w:ascii="Times New Roman" w:cs="Times New Roman" w:hAnsi="Times New Roman" w:hint="eastAsia"/>
                <w:color w:val="000000"/>
                <w:sz w:val="24"/>
                <w:szCs w:val="20"/>
                <w:u w:val="single"/>
                <w14:textFill>
                  <w14:solidFill>
                    <w14:srgbClr w14:val="000000"/>
                  </w14:solidFill>
                </w14:textFill>
                <w:lang w:val="en-US" w:eastAsia="zh-CN"/>
              </w:rPr>
              <w:t>下</w:t>
            </w:r>
            <w:r>
              <w:rPr>
                <w:rFonts w:ascii="Times New Roman" w:cs="Times New Roman" w:hAnsi="Times New Roman"/>
                <w:color w:val="000000"/>
                <w:sz w:val="24"/>
                <w:szCs w:val="20"/>
                <w:u w:val="single"/>
                <w14:textFill>
                  <w14:solidFill>
                    <w14:srgbClr w14:val="000000"/>
                  </w14:solidFill>
                </w14:textFill>
              </w:rPr>
              <w:t>表</w:t>
            </w:r>
            <w:r>
              <w:rPr>
                <w:rFonts w:ascii="Times New Roman" w:cs="Times New Roman" w:hAnsi="Times New Roman"/>
                <w:color w:val="000000"/>
                <w:sz w:val="24"/>
                <w:szCs w:val="20"/>
                <w14:textFill>
                  <w14:solidFill>
                    <w14:srgbClr w14:val="000000"/>
                  </w14:solidFill>
                </w14:textFill>
              </w:rPr>
              <w:t>。</w:t>
            </w:r>
          </w:p>
          <w:p>
            <w:pPr>
              <w:pStyle w:val="75"/>
              <w:keepNext/>
              <w:keepLines w:val="0"/>
              <w:suppressLineNumbers w:val="0"/>
              <w:bidi w:val="0"/>
              <w:spacing w:before="0" w:beforeAutospacing="0" w:after="0" w:afterAutospacing="0"/>
              <w:ind w:left="0" w:right="0" w:firstLine="420"/>
              <w:rPr>
                <w:rFonts w:hint="eastAsia"/>
              </w:rPr>
            </w:pPr>
            <w:r>
              <w:rPr>
                <w:rFonts w:ascii="Times New Roman" w:cs="Times New Roman" w:hAnsi="Times New Roman" w:hint="eastAsia"/>
                <w:sz w:val="24"/>
                <w:szCs w:val="20"/>
                <w:lang w:val="en-US" w:eastAsia="zh-CN"/>
              </w:rPr>
              <w:t xml:space="preserve">  </w:t>
            </w:r>
            <w:r>
              <w:rPr>
                <w:rFonts w:ascii="Times New Roman" w:cs="Times New Roman" w:hAnsi="Times New Roman" w:hint="eastAsia"/>
                <w:sz w:val="24"/>
                <w:szCs w:val="20"/>
              </w:rPr>
              <w:t>汽油物化特性表</w:t>
            </w: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08"/>
              <w:gridCol w:w="1090"/>
              <w:gridCol w:w="1608"/>
              <w:gridCol w:w="1298"/>
              <w:gridCol w:w="1117"/>
              <w:gridCol w:w="1133"/>
              <w:gridCol w:w="1750"/>
            </w:tblGrid>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标识</w:t>
                  </w: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中文名</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乙醇汽油</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分子式</w:t>
                  </w:r>
                </w:p>
              </w:tc>
              <w:tc>
                <w:tcPr>
                  <w:tcW w:w="649"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危险性类别</w:t>
                  </w:r>
                </w:p>
              </w:tc>
              <w:tc>
                <w:tcPr>
                  <w:tcW w:w="1017"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r>
                    <w:rPr>
                      <w:rFonts w:ascii="Times New Roman" w:cs="Times New Roman" w:hAnsi="Times New Roman"/>
                      <w:sz w:val="21"/>
                      <w:szCs w:val="21"/>
                      <w:vertAlign w:val="baseline"/>
                      <w:lang w:val="en-US" w:eastAsia="zh-CN" w:bidi="ar-SA"/>
                    </w:rPr>
                    <w:t>易燃液体，类别2；生殖细胞致突变性，类别1B；致癌性，类别2；吸入危害，类别1；危害水生环境急性危害，类别2；危害水生环境-长期危害，类别2</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别名</w:t>
                  </w:r>
                </w:p>
              </w:tc>
              <w:tc>
                <w:tcPr>
                  <w:tcW w:w="934"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分子量</w:t>
                  </w:r>
                </w:p>
              </w:tc>
              <w:tc>
                <w:tcPr>
                  <w:tcW w:w="649"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危险化学品序号</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1630</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英文名</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Gasoline;petrol</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UN号</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1203</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CSA号</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8006-61-9</w:t>
                  </w: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理化性质</w:t>
                  </w: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外观与性状</w:t>
                  </w:r>
                </w:p>
              </w:tc>
              <w:tc>
                <w:tcPr>
                  <w:tcW w:w="2337" w:type="pct"/>
                  <w:gridSpan w:val="3"/>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无色或淡黄色易挥发液体，具有特殊臭味。</w:t>
                  </w:r>
                </w:p>
              </w:tc>
              <w:tc>
                <w:tcPr>
                  <w:tcW w:w="65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溶解性</w:t>
                  </w:r>
                </w:p>
              </w:tc>
              <w:tc>
                <w:tcPr>
                  <w:tcW w:w="101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lang w:val="en-US"/>
                    </w:rPr>
                  </w:pPr>
                  <w:r>
                    <w:rPr>
                      <w:rFonts w:ascii="Times New Roman" w:eastAsia="宋体" w:cs="Times New Roman" w:hAnsi="Times New Roman"/>
                      <w:color w:val="000000"/>
                      <w:kern w:val="0"/>
                      <w:sz w:val="21"/>
                      <w:szCs w:val="21"/>
                      <w:lang w:val="en-US" w:eastAsia="zh-CN" w:bidi="ar-SA"/>
                    </w:rPr>
                    <w:t>不溶于水，易溶于苯、二氧化碳、醇、脂肪。</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熔点</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＜-60</w:t>
                  </w:r>
                  <w:r>
                    <w:rPr>
                      <w:rFonts w:ascii="Times New Roman" w:eastAsia="宋体" w:cs="Times New Roman" w:hAnsi="Times New Roman"/>
                      <w:sz w:val="21"/>
                      <w:szCs w:val="21"/>
                      <w:vertAlign w:val="baseline"/>
                      <w:lang w:val="en-US" w:eastAsia="zh-CN" w:bidi="ar-SA"/>
                    </w:rPr>
                    <w:t>℃</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沸点</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40~200</w:t>
                  </w:r>
                  <w:r>
                    <w:rPr>
                      <w:rFonts w:ascii="Times New Roman" w:eastAsia="宋体" w:cs="Times New Roman" w:hAnsi="Times New Roman"/>
                      <w:sz w:val="21"/>
                      <w:szCs w:val="21"/>
                      <w:vertAlign w:val="baseline"/>
                      <w:lang w:val="en-US" w:eastAsia="zh-CN" w:bidi="ar-SA"/>
                    </w:rPr>
                    <w:t>℃</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燃烧热</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无资料</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相对密度（空气=1）</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3.5</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相对密度（水=1）</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0.72~0.775</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饱和蒸汽压</w:t>
                  </w:r>
                </w:p>
              </w:tc>
              <w:tc>
                <w:tcPr>
                  <w:tcW w:w="1017"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临界温度</w:t>
                  </w:r>
                </w:p>
              </w:tc>
              <w:tc>
                <w:tcPr>
                  <w:tcW w:w="934"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临界压力</w:t>
                  </w:r>
                </w:p>
              </w:tc>
              <w:tc>
                <w:tcPr>
                  <w:tcW w:w="649"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57"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禁忌物</w:t>
                  </w:r>
                </w:p>
              </w:tc>
              <w:tc>
                <w:tcPr>
                  <w:tcW w:w="1017"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强氧化剂</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稳定性</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稳定</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聚合危害</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不聚合</w:t>
                  </w:r>
                </w:p>
              </w:tc>
              <w:tc>
                <w:tcPr>
                  <w:tcW w:w="657" w:type="pct"/>
                  <w:vMerge/>
                  <w:vAlign w:val="center"/>
                </w:tcPr>
                <w:p/>
              </w:tc>
              <w:tc>
                <w:tcPr>
                  <w:tcW w:w="1017" w:type="pct"/>
                  <w:vMerge/>
                  <w:vAlign w:val="center"/>
                </w:tcP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燃爆危险与消防</w:t>
                  </w: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燃烧性</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易燃</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引燃温度</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415~530</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火灾危险性类别</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甲类</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爆炸极限</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1.7~9.9%</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闪点</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-50</w:t>
                  </w:r>
                  <w:r>
                    <w:rPr>
                      <w:rFonts w:ascii="Times New Roman" w:eastAsia="宋体" w:cs="Times New Roman" w:hAnsi="Times New Roman"/>
                      <w:sz w:val="21"/>
                      <w:szCs w:val="21"/>
                      <w:vertAlign w:val="baseline"/>
                      <w:lang w:val="en-US" w:eastAsia="zh-CN" w:bidi="ar-SA"/>
                    </w:rPr>
                    <w:t>℃</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燃烧（分解）产物</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一氧化碳、二氧化碳</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最小点火能</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无资料</w:t>
                  </w:r>
                </w:p>
              </w:tc>
              <w:tc>
                <w:tcPr>
                  <w:tcW w:w="752"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49"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最大爆炸压力</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0.813MPa</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危险特性</w:t>
                  </w:r>
                </w:p>
              </w:tc>
              <w:tc>
                <w:tcPr>
                  <w:tcW w:w="4012" w:type="pct"/>
                  <w:gridSpan w:val="5"/>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r>
                    <w:rPr>
                      <w:rFonts w:ascii="Times New Roman" w:cs="Times New Roman" w:hAnsi="Times New Roman"/>
                      <w:sz w:val="21"/>
                      <w:szCs w:val="21"/>
                      <w:vertAlign w:val="baseline"/>
                      <w:lang w:val="en-US" w:eastAsia="zh-CN" w:bidi="ar-SA"/>
                    </w:rPr>
                    <w:t>其蒸气可遇空气形成爆炸性混合物。遇明火、高热极易燃烧爆炸。遇氧化剂发生强烈反应。其蒸气比空气重，能在较低处扩散到相当远的地方，遇明火会引着回燃。</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灭火方法</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喷水冷却容器，可能的话将容器从火场移至空旷处。灭火剂：泡沫、二氧化碳、干粉。用水灭火无效。</w:t>
                  </w: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健康危害与防护</w:t>
                  </w:r>
                </w:p>
              </w:tc>
              <w:tc>
                <w:tcPr>
                  <w:tcW w:w="2321" w:type="pct"/>
                  <w:gridSpan w:val="3"/>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r>
                    <w:rPr>
                      <w:rFonts w:ascii="Times New Roman" w:cs="Times New Roman" w:hAnsi="Times New Roman"/>
                      <w:sz w:val="21"/>
                      <w:szCs w:val="21"/>
                      <w:vertAlign w:val="baseline"/>
                      <w:lang w:val="en-US" w:eastAsia="zh-CN" w:bidi="ar-SA"/>
                    </w:rPr>
                    <w:t>工作场所职业接触限制mg/m</w:t>
                  </w:r>
                  <w:r>
                    <w:rPr>
                      <w:rFonts w:ascii="Times New Roman" w:cs="Times New Roman" w:hAnsi="Times New Roman"/>
                      <w:sz w:val="21"/>
                      <w:szCs w:val="21"/>
                      <w:vertAlign w:val="superscript"/>
                      <w:lang w:val="en-US" w:eastAsia="zh-CN" w:bidi="ar-SA"/>
                    </w:rPr>
                    <w:t>3</w:t>
                  </w:r>
                </w:p>
              </w:tc>
              <w:tc>
                <w:tcPr>
                  <w:tcW w:w="1307" w:type="pct"/>
                  <w:gridSpan w:val="2"/>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职业毒性危害等级</w:t>
                  </w:r>
                </w:p>
              </w:tc>
              <w:tc>
                <w:tcPr>
                  <w:tcW w:w="101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侵入途径</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MAC：—</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PC-TWA：300</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PC-STEL：—</w:t>
                  </w:r>
                </w:p>
              </w:tc>
              <w:tc>
                <w:tcPr>
                  <w:tcW w:w="1307" w:type="pct"/>
                  <w:gridSpan w:val="2"/>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IV 级，轻度危害</w:t>
                  </w:r>
                </w:p>
              </w:tc>
              <w:tc>
                <w:tcPr>
                  <w:tcW w:w="101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吸入、食入、经皮肤吸收</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健康危害</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急性中毒：对中枢神经系统有麻醉作用。轻度中毒症状有头晕、头疼、恶心、呕吐、步态不稳、共剂失调。高浓度吸入出现中毒性脑病，极高浓度吸入引起意识突然丧失、反射性呼吸停止。可伴有中毒性周围神经病及化学性肺炎。溅入眼内可致角膜溃疡、穿孔至失明。皮肤接触致急性接触皮炎，甚至灼伤。 慢性中毒：神经衰弱综合症、植物神经功能紊乱、周围神经病。严重中毒出现中毒性脑病，症状类似精神分裂症。皮肤损害。</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防护措施</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工程控制：密闭系统，通风，防爆电器与照明。</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呼吸系统防护：一般不需要特殊防护，高浓度接触时可佩戴空气呼吸器。</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眼睛防护：一般不需要特殊防护。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手防护：戴一般作业防护手套。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其它：工作场所严禁吸烟。避免高浓度吸入。进入罐、限制性空间或其他高浓度区作业，须有人监护。</w:t>
                  </w: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急救与应急</w:t>
                  </w: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急救措施</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皮肤接触：立即脱去被污染衣着，用肥皂水和清水彻底冲洗。就医。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眼睛接触：立即提起眼睑，用大量流动清水或生理盐水彻底冲洗至少15min。就医。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吸入：迅速脱离现场至空气新鲜处。保持呼吸道通畅。如呼吸困难，给输氧。如呼吸停止，立即进行人工呼吸。就医。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食入：给饮牛奶或植物油洗胃和灌肠。就医。</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应急处理</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迅速撤离泄漏污染区人员至安全区，并立即进行隔离。严格限制出入。切断火源。建议应急处理人员戴自给正压式呼吸器，穿消防防护服。尽可能切断泄漏源防止进入下水道、排洪沟等限制区空间。小量泄露：用沙土、蛭石或其他惰性材料吸收。或在保证安全情况下，就地焚烧。大量泄露：构筑围堤或挖坑收容；用泡沫覆盖，降低蒸气灾害。用防爆泵转移至槽车或专用收容器内，回收或运至废物处理场所处置。</w:t>
                  </w: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储运与废弃</w:t>
                  </w: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包装分类</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Ⅰ</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包装标志</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7</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包装方法</w:t>
                  </w:r>
                </w:p>
              </w:tc>
              <w:tc>
                <w:tcPr>
                  <w:tcW w:w="101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小开口钢桶，安瓿瓶 外木板箱</w:t>
                  </w:r>
                </w:p>
              </w:tc>
            </w:tr>
            <w:tr>
              <w:trPr>
                <w:trHeight w:val="1801"/>
              </w:trP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储运事项</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储存于阴凉、通风仓间内。仓温不宜超过30℃。远离火种、热源，防止阳光直射。保持容器密封。应与氧化剂分开存放。储存间内的照明、通风等设施应采用防爆型，开关设在仓外。桶装堆垛不可过大，应留墙距、顶距、柱距及必要的防火检查走道。罐储时要有防火防爆技术措施。禁止使用易产生火花的机械设备和工具。罐装时应注意流速（不超过3m/s），且有接地装置，防止静电积聚。搬运时轻装轻卸，防止包装及容器破损。</w:t>
                  </w:r>
                </w:p>
              </w:tc>
            </w:tr>
            <w:tr>
              <w:trPr>
                <w:trHeight w:val="653"/>
              </w:trP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废弃处置</w:t>
                  </w:r>
                </w:p>
              </w:tc>
              <w:tc>
                <w:tcPr>
                  <w:tcW w:w="4012" w:type="pct"/>
                  <w:gridSpan w:val="5"/>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r>
                    <w:rPr>
                      <w:rFonts w:ascii="Times New Roman" w:cs="Times New Roman" w:hAnsi="Times New Roman"/>
                      <w:sz w:val="21"/>
                      <w:szCs w:val="21"/>
                      <w:vertAlign w:val="baseline"/>
                      <w:lang w:val="en-US" w:eastAsia="zh-CN" w:bidi="ar-SA"/>
                    </w:rPr>
                    <w:t>处置前应参阅国家和地方有关法规。在专用废弃场所掩埋。或用焚烧法处置。</w:t>
                  </w:r>
                </w:p>
              </w:tc>
            </w:tr>
          </w:tbl>
          <w:p>
            <w:pPr>
              <w:pStyle w:val="75"/>
              <w:keepNext/>
              <w:keepLines w:val="0"/>
              <w:suppressLineNumbers w:val="0"/>
              <w:bidi w:val="0"/>
              <w:spacing w:before="0" w:beforeAutospacing="0" w:after="0" w:afterAutospacing="0"/>
              <w:ind w:left="0" w:right="0" w:firstLine="420"/>
              <w:rPr>
                <w:rFonts w:hint="eastAsia"/>
              </w:rPr>
            </w:pPr>
            <w:r>
              <w:rPr>
                <w:rFonts w:ascii="Times New Roman" w:cs="Times New Roman" w:hAnsi="Times New Roman" w:hint="eastAsia"/>
                <w:sz w:val="24"/>
                <w:szCs w:val="20"/>
                <w:lang w:eastAsia="zh-CN"/>
              </w:rPr>
              <w:t>柴油</w:t>
            </w:r>
            <w:r>
              <w:rPr>
                <w:rFonts w:ascii="Times New Roman" w:cs="Times New Roman" w:hAnsi="Times New Roman" w:hint="eastAsia"/>
                <w:sz w:val="24"/>
                <w:szCs w:val="20"/>
              </w:rPr>
              <w:t>物化特性表</w:t>
            </w:r>
          </w:p>
          <w:tbl>
            <w:tblPr>
              <w:jc w:val="left"/>
              <w:tblInd w:w="0" w:type="dx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08"/>
              <w:gridCol w:w="1090"/>
              <w:gridCol w:w="1608"/>
              <w:gridCol w:w="1298"/>
              <w:gridCol w:w="1117"/>
              <w:gridCol w:w="1133"/>
              <w:gridCol w:w="1750"/>
            </w:tblGrid>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标识</w:t>
                  </w: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中文名</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柴油</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分子式</w:t>
                  </w:r>
                </w:p>
              </w:tc>
              <w:tc>
                <w:tcPr>
                  <w:tcW w:w="649"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危险性类别</w:t>
                  </w:r>
                </w:p>
              </w:tc>
              <w:tc>
                <w:tcPr>
                  <w:tcW w:w="1017"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r>
                    <w:rPr>
                      <w:rFonts w:ascii="Times New Roman" w:cs="Times New Roman" w:hAnsi="Times New Roman"/>
                      <w:sz w:val="21"/>
                      <w:szCs w:val="21"/>
                      <w:vertAlign w:val="baseline"/>
                      <w:lang w:val="en-US" w:eastAsia="zh-CN" w:bidi="ar-SA"/>
                    </w:rPr>
                    <w:t>易燃液体，类别3</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别名</w:t>
                  </w:r>
                </w:p>
              </w:tc>
              <w:tc>
                <w:tcPr>
                  <w:tcW w:w="934"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分子量</w:t>
                  </w:r>
                </w:p>
              </w:tc>
              <w:tc>
                <w:tcPr>
                  <w:tcW w:w="649"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危险化学品序号</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1630</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英文名</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Diesel oil</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UN号</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1820</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CSA号</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68334-30-5</w:t>
                  </w: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理化性质</w:t>
                  </w: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外观与性状</w:t>
                  </w:r>
                </w:p>
              </w:tc>
              <w:tc>
                <w:tcPr>
                  <w:tcW w:w="2337" w:type="pct"/>
                  <w:gridSpan w:val="3"/>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稍有粘性的棕色液体。</w:t>
                  </w:r>
                </w:p>
              </w:tc>
              <w:tc>
                <w:tcPr>
                  <w:tcW w:w="65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溶解性</w:t>
                  </w:r>
                </w:p>
              </w:tc>
              <w:tc>
                <w:tcPr>
                  <w:tcW w:w="101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lang w:val="en-US"/>
                    </w:rPr>
                  </w:pPr>
                  <w:r>
                    <w:rPr>
                      <w:rFonts w:ascii="Times New Roman" w:eastAsia="宋体" w:cs="Times New Roman" w:hAnsi="Times New Roman"/>
                      <w:color w:val="000000"/>
                      <w:kern w:val="0"/>
                      <w:sz w:val="21"/>
                      <w:szCs w:val="21"/>
                      <w:lang w:val="en-US" w:eastAsia="zh-CN" w:bidi="ar-SA"/>
                    </w:rPr>
                    <w:t>-</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熔点</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0</w:t>
                  </w:r>
                  <w:r>
                    <w:rPr>
                      <w:rFonts w:ascii="Times New Roman" w:eastAsia="宋体" w:cs="Times New Roman" w:hAnsi="Times New Roman"/>
                      <w:sz w:val="21"/>
                      <w:szCs w:val="21"/>
                      <w:vertAlign w:val="baseline"/>
                      <w:lang w:val="en-US" w:eastAsia="zh-CN" w:bidi="ar-SA"/>
                    </w:rPr>
                    <w:t>℃、-10℃</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沸点</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282~338</w:t>
                  </w:r>
                  <w:r>
                    <w:rPr>
                      <w:rFonts w:ascii="Times New Roman" w:eastAsia="宋体" w:cs="Times New Roman" w:hAnsi="Times New Roman"/>
                      <w:sz w:val="21"/>
                      <w:szCs w:val="21"/>
                      <w:vertAlign w:val="baseline"/>
                      <w:lang w:val="en-US" w:eastAsia="zh-CN" w:bidi="ar-SA"/>
                    </w:rPr>
                    <w:t>℃</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燃烧热</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3.3×10</w:t>
                  </w:r>
                  <w:r>
                    <w:rPr>
                      <w:rFonts w:ascii="Times New Roman" w:cs="Times New Roman" w:hAnsi="Times New Roman"/>
                      <w:sz w:val="21"/>
                      <w:szCs w:val="21"/>
                      <w:vertAlign w:val="superscript"/>
                      <w:lang w:val="en-US" w:eastAsia="zh-CN" w:bidi="ar-SA"/>
                    </w:rPr>
                    <w:t>4</w:t>
                  </w:r>
                  <w:r>
                    <w:rPr>
                      <w:rFonts w:ascii="Times New Roman" w:cs="Times New Roman" w:hAnsi="Times New Roman"/>
                      <w:sz w:val="21"/>
                      <w:szCs w:val="21"/>
                      <w:vertAlign w:val="baseline"/>
                      <w:lang w:val="en-US" w:eastAsia="zh-CN" w:bidi="ar-SA"/>
                    </w:rPr>
                    <w:t>kJ/kg</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相对密度（空气=1）</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相对密度（水=1）</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eastAsia="宋体" w:cs="Times New Roman" w:hAnsi="Times New Roman"/>
                      <w:sz w:val="21"/>
                      <w:szCs w:val="21"/>
                      <w:vertAlign w:val="baseline"/>
                      <w:lang w:val="en-US" w:eastAsia="zh-CN" w:bidi="ar-SA"/>
                    </w:rPr>
                    <w:t>液态0.87-0.9</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饱和蒸汽压</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临界温度</w:t>
                  </w:r>
                </w:p>
              </w:tc>
              <w:tc>
                <w:tcPr>
                  <w:tcW w:w="934"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临界压力</w:t>
                  </w:r>
                </w:p>
              </w:tc>
              <w:tc>
                <w:tcPr>
                  <w:tcW w:w="649"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57"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禁忌物</w:t>
                  </w:r>
                </w:p>
              </w:tc>
              <w:tc>
                <w:tcPr>
                  <w:tcW w:w="1017"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强氧化剂、卤素</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稳定性</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稳定</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聚合危害</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不聚合</w:t>
                  </w:r>
                </w:p>
              </w:tc>
              <w:tc>
                <w:tcPr>
                  <w:tcW w:w="657" w:type="pct"/>
                  <w:vMerge/>
                  <w:vAlign w:val="center"/>
                </w:tcPr>
                <w:p/>
              </w:tc>
              <w:tc>
                <w:tcPr>
                  <w:tcW w:w="1017" w:type="pct"/>
                  <w:vMerge/>
                  <w:vAlign w:val="center"/>
                </w:tcP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燃爆危险与消防</w:t>
                  </w: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燃烧性</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易燃</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引燃温度</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257</w:t>
                  </w:r>
                  <w:r>
                    <w:rPr>
                      <w:rFonts w:ascii="Times New Roman" w:eastAsia="宋体" w:cs="Times New Roman" w:hAnsi="Times New Roman"/>
                      <w:sz w:val="21"/>
                      <w:szCs w:val="21"/>
                      <w:vertAlign w:val="baseline"/>
                      <w:lang w:val="en-US" w:eastAsia="zh-CN" w:bidi="ar-SA"/>
                    </w:rPr>
                    <w:t>℃</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火灾危险性类别</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乙类</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爆炸极限</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闪点</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55-60</w:t>
                  </w:r>
                  <w:r>
                    <w:rPr>
                      <w:rFonts w:ascii="Times New Roman" w:eastAsia="宋体" w:cs="Times New Roman" w:hAnsi="Times New Roman"/>
                      <w:sz w:val="21"/>
                      <w:szCs w:val="21"/>
                      <w:vertAlign w:val="baseline"/>
                      <w:lang w:val="en-US" w:eastAsia="zh-CN" w:bidi="ar-SA"/>
                    </w:rPr>
                    <w:t>℃</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燃烧（分解）产物</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一氧化碳、二氧化碳</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最小点火能</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p>
              </w:tc>
              <w:tc>
                <w:tcPr>
                  <w:tcW w:w="752"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49"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最大爆炸压力</w:t>
                  </w:r>
                </w:p>
              </w:tc>
              <w:tc>
                <w:tcPr>
                  <w:tcW w:w="101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危险特性</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遇明火、高热或与氧化剂接触，有引起燃烧爆炸的危险。若遇高热，容器内压增大，有开裂和爆炸的危险。</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灭火方法</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消防人员须佩戴防毒面具、穿全身消防服，在上风向灭火。尽可能将容器从火场移至空旷处。喷水保持火场容器冷却，直至灭火结束。处在火场中的容器若已变色或从安全泄压装置中产生声音，必须马上撤离。</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灭火剂：泡沫、二氧化碳、干粉、1211 灭火剂、砂土。</w:t>
                  </w: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健康危害与防护</w:t>
                  </w:r>
                </w:p>
              </w:tc>
              <w:tc>
                <w:tcPr>
                  <w:tcW w:w="2321" w:type="pct"/>
                  <w:gridSpan w:val="3"/>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rPr>
                  </w:pPr>
                  <w:r>
                    <w:rPr>
                      <w:rFonts w:ascii="Times New Roman" w:cs="Times New Roman" w:hAnsi="Times New Roman"/>
                      <w:sz w:val="21"/>
                      <w:szCs w:val="21"/>
                      <w:vertAlign w:val="baseline"/>
                      <w:lang w:val="en-US" w:eastAsia="zh-CN" w:bidi="ar-SA"/>
                    </w:rPr>
                    <w:t>工作场所职业接触限制mg/m</w:t>
                  </w:r>
                  <w:r>
                    <w:rPr>
                      <w:rFonts w:ascii="Times New Roman" w:cs="Times New Roman" w:hAnsi="Times New Roman"/>
                      <w:sz w:val="21"/>
                      <w:szCs w:val="21"/>
                      <w:vertAlign w:val="superscript"/>
                      <w:lang w:val="en-US" w:eastAsia="zh-CN" w:bidi="ar-SA"/>
                    </w:rPr>
                    <w:t>3</w:t>
                  </w:r>
                </w:p>
              </w:tc>
              <w:tc>
                <w:tcPr>
                  <w:tcW w:w="1307" w:type="pct"/>
                  <w:gridSpan w:val="2"/>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职业毒性危害等级</w:t>
                  </w:r>
                </w:p>
              </w:tc>
              <w:tc>
                <w:tcPr>
                  <w:tcW w:w="101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侵入途径</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MAC：—</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TWA：300</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STEL：—</w:t>
                  </w:r>
                </w:p>
              </w:tc>
              <w:tc>
                <w:tcPr>
                  <w:tcW w:w="1307" w:type="pct"/>
                  <w:gridSpan w:val="2"/>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cs="Times New Roman" w:hAnsi="Times New Roman"/>
                      <w:sz w:val="21"/>
                      <w:szCs w:val="21"/>
                      <w:vertAlign w:val="baseline"/>
                      <w:lang w:val="en-US" w:eastAsia="zh-CN" w:bidi="ar-SA"/>
                    </w:rPr>
                    <w:t>—</w:t>
                  </w:r>
                </w:p>
              </w:tc>
              <w:tc>
                <w:tcPr>
                  <w:tcW w:w="101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吸入、食入、经皮肤吸收</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健康危害</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皮肤接触可引起接触性皮炎、油性痤疮，吸入可引起吸入性肺炎。能经胎盘进入胎儿血中。柴油废气可引起眼、鼻刺激症状，头晕及头痛。</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防护措施</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工程控制：密闭操作，注意通风。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呼吸系统防护：一般不需特殊防护，但建议特殊情况下，佩带供气式呼吸器。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眼睛防护：必要时戴安全防护眼镜。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身体防护：穿一般作业防护服。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手防护：戴橡胶耐油手套。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其它：工作场所禁止吸烟。避免长期反复接触。</w:t>
                  </w: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急救与应急</w:t>
                  </w: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急救措施</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皮肤接触：脱去污染的衣着，用肥皂和大量清水清洗污染皮肤。</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眼睛接触：立即翻开上下眼睑，用流动清水冲洗，至少15min。就医。</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rPr>
                  </w:pPr>
                  <w:r>
                    <w:rPr>
                      <w:rFonts w:ascii="Times New Roman" w:eastAsia="宋体" w:cs="Times New Roman" w:hAnsi="Times New Roman"/>
                      <w:color w:val="000000"/>
                      <w:kern w:val="0"/>
                      <w:sz w:val="21"/>
                      <w:szCs w:val="21"/>
                      <w:lang w:val="en-US" w:eastAsia="zh-CN" w:bidi="ar-SA"/>
                    </w:rPr>
                    <w:t xml:space="preserve">吸入：脱离现场。脱去污染的衣着，至空气新鲜处，就医。防治吸入性肺炎。 </w:t>
                  </w:r>
                </w:p>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食入：误服者饮牛奶或植物油，洗胃并灌肠，就医。</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应急处理</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迅速撤离泄漏污染区人员至安全区，并进行隔离，严格限制出入。切断火源。建议应急处理人员戴自给正压式呼吸器，穿一般作业工作服。尽可能切断泄漏源。防止流入下水道、排洪沟等限制性空间。小量泄漏：用活性炭或其它惰性材料吸收。大量泄漏：构筑围堤或挖坑收容。用泵转移至槽车或专用收集器内，回收或运至废物处理场所处置。</w:t>
                  </w:r>
                </w:p>
              </w:tc>
            </w:tr>
            <w:tr>
              <w:tc>
                <w:tcPr>
                  <w:tcW w:w="353" w:type="pct"/>
                  <w:vMerge w:val="restar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储运与废弃</w:t>
                  </w: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包装分类</w:t>
                  </w:r>
                </w:p>
              </w:tc>
              <w:tc>
                <w:tcPr>
                  <w:tcW w:w="934"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Ⅲ</w:t>
                  </w:r>
                </w:p>
              </w:tc>
              <w:tc>
                <w:tcPr>
                  <w:tcW w:w="752"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包装标志</w:t>
                  </w:r>
                </w:p>
              </w:tc>
              <w:tc>
                <w:tcPr>
                  <w:tcW w:w="649"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5</w:t>
                  </w:r>
                </w:p>
              </w:tc>
              <w:tc>
                <w:tcPr>
                  <w:tcW w:w="657" w:type="pct"/>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包装方法</w:t>
                  </w:r>
                </w:p>
              </w:tc>
              <w:tc>
                <w:tcPr>
                  <w:tcW w:w="1017" w:type="pct"/>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内螺纹口玻璃瓶、铁盖压口玻璃、塑料瓶或金属桶（罐），木箱</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储运事项</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储存于阴凉、储存于阴凉、通风仓间内。远离火种、热源。防止阳光直射。保持容器密封。应与氧化剂分开存放。桶装堆垛不可过大，应留墙距、顶距、柱距及必要的防火检查走道。罐储时要有防火防爆技术措施。禁止使用易产生火花的机械设备和工具。充装要控制流速，注意防止静电积聚。搬运时要轻装轻卸，防止包装及容器损坏。</w:t>
                  </w:r>
                </w:p>
              </w:tc>
            </w:tr>
            <w:tr>
              <w:tc>
                <w:tcPr>
                  <w:tcW w:w="353" w:type="pct"/>
                  <w:vMerge/>
                  <w:vAlign w:val="center"/>
                </w:tcPr>
                <w:p/>
              </w:tc>
              <w:tc>
                <w:tcPr>
                  <w:tcW w:w="633" w:type="pct"/>
                  <w:vAlign w:val="center"/>
                </w:tcPr>
                <w:p>
                  <w:pPr>
                    <w:keepNext w:val="0"/>
                    <w:keepLines w:val="0"/>
                    <w:suppressLineNumbers w:val="0"/>
                    <w:spacing w:before="0" w:beforeAutospacing="0" w:after="0" w:afterAutospacing="0"/>
                    <w:ind w:left="0" w:right="0"/>
                    <w:jc w:val="center"/>
                    <w:rPr>
                      <w:rFonts w:ascii="Times New Roman" w:cs="Times New Roman" w:hAnsi="Times New Roman"/>
                      <w:sz w:val="21"/>
                      <w:szCs w:val="21"/>
                      <w:vertAlign w:val="baseline"/>
                      <w:lang w:val="en-US" w:eastAsia="zh-CN"/>
                    </w:rPr>
                  </w:pPr>
                  <w:r>
                    <w:rPr>
                      <w:rFonts w:ascii="Times New Roman" w:cs="Times New Roman" w:hAnsi="Times New Roman"/>
                      <w:sz w:val="21"/>
                      <w:szCs w:val="21"/>
                      <w:vertAlign w:val="baseline"/>
                      <w:lang w:val="en-US" w:eastAsia="zh-CN" w:bidi="ar-SA"/>
                    </w:rPr>
                    <w:t>废弃处置</w:t>
                  </w:r>
                </w:p>
              </w:tc>
              <w:tc>
                <w:tcPr>
                  <w:tcW w:w="4012" w:type="pct"/>
                  <w:gridSpan w:val="5"/>
                  <w:vAlign w:val="center"/>
                </w:tcPr>
                <w:p>
                  <w:pPr>
                    <w:keepNext w:val="0"/>
                    <w:keepLines w:val="0"/>
                    <w:widowControl/>
                    <w:suppressLineNumbers w:val="0"/>
                    <w:spacing w:before="0" w:beforeAutospacing="0" w:after="0" w:afterAutospacing="0"/>
                    <w:ind w:left="0" w:right="0"/>
                    <w:jc w:val="left"/>
                    <w:rPr>
                      <w:rFonts w:ascii="Times New Roman" w:cs="Times New Roman" w:hAnsi="Times New Roman"/>
                      <w:sz w:val="21"/>
                      <w:szCs w:val="21"/>
                      <w:vertAlign w:val="baseline"/>
                    </w:rPr>
                  </w:pPr>
                  <w:r>
                    <w:rPr>
                      <w:rFonts w:ascii="Times New Roman" w:eastAsia="宋体" w:cs="Times New Roman" w:hAnsi="Times New Roman"/>
                      <w:color w:val="000000"/>
                      <w:kern w:val="0"/>
                      <w:sz w:val="21"/>
                      <w:szCs w:val="21"/>
                      <w:lang w:val="en-US" w:eastAsia="zh-CN" w:bidi="ar-SA"/>
                    </w:rPr>
                    <w:t>处置前应参阅国家和地方有关法规。建议用焚烧法处置。</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outlineLvl w:val="9"/>
              <w:rPr>
                <w:rFonts w:ascii="Times New Roman" w:eastAsia="宋体" w:cs="Times New Roman" w:hAnsi="Times New Roman" w:hint="eastAsia"/>
                <w:b/>
                <w:bCs/>
                <w:color w:val="000000"/>
                <w:sz w:val="24"/>
                <w:u w:val="single"/>
                <w:lang w:val="en-US" w:eastAsia="zh-CN"/>
              </w:rPr>
            </w:pPr>
            <w:r>
              <w:rPr>
                <w:rFonts w:ascii="Times New Roman" w:eastAsia="宋体" w:cs="Times New Roman" w:hAnsi="Times New Roman" w:hint="eastAsia"/>
                <w:b/>
                <w:bCs/>
                <w:color w:val="000000"/>
                <w:sz w:val="24"/>
                <w:szCs w:val="20"/>
                <w:u w:val="single"/>
                <w:lang w:val="en-US" w:eastAsia="zh-CN"/>
              </w:rPr>
              <w:t>2、风险识别范围和类型</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b/>
                <w:color w:val="000000"/>
                <w:szCs w:val="24"/>
                <w:u w:val="single"/>
              </w:rPr>
            </w:pPr>
            <w:r>
              <w:rPr>
                <w:rFonts w:ascii="Times New Roman" w:cs="Times New Roman" w:hAnsi="Times New Roman"/>
                <w:b/>
                <w:color w:val="000000"/>
                <w:sz w:val="24"/>
                <w:szCs w:val="24"/>
                <w:u w:val="single"/>
              </w:rPr>
              <w:t>（1）识别范围</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hint="eastAsia"/>
                <w:color w:val="000000"/>
                <w:sz w:val="24"/>
                <w:szCs w:val="24"/>
                <w:u w:val="single"/>
                <w:lang w:eastAsia="zh-CN"/>
              </w:rPr>
              <w:t>本</w:t>
            </w:r>
            <w:r>
              <w:rPr>
                <w:rFonts w:ascii="Times New Roman" w:cs="Times New Roman" w:hAnsi="Times New Roman"/>
                <w:color w:val="000000"/>
                <w:sz w:val="24"/>
                <w:szCs w:val="24"/>
                <w:u w:val="single"/>
              </w:rPr>
              <w:t>项目环境</w:t>
            </w:r>
            <w:r>
              <w:rPr>
                <w:rFonts w:ascii="Times New Roman" w:cs="Times New Roman" w:hAnsi="Times New Roman" w:hint="eastAsia"/>
                <w:color w:val="000000"/>
                <w:sz w:val="24"/>
                <w:szCs w:val="24"/>
                <w:u w:val="single"/>
                <w:lang w:eastAsia="zh-CN"/>
              </w:rPr>
              <w:t>风险</w:t>
            </w:r>
            <w:r>
              <w:rPr>
                <w:rFonts w:ascii="Times New Roman" w:cs="Times New Roman" w:hAnsi="Times New Roman"/>
                <w:color w:val="000000"/>
                <w:sz w:val="24"/>
                <w:szCs w:val="24"/>
                <w:u w:val="single"/>
              </w:rPr>
              <w:t>识别范围包括生产设施风险识别和涉及的物质风险识别。通过工程分析和同行业类比确定，</w:t>
            </w:r>
            <w:r>
              <w:rPr>
                <w:rFonts w:ascii="Times New Roman" w:cs="Times New Roman" w:hAnsi="Times New Roman" w:hint="eastAsia"/>
                <w:color w:val="000000"/>
                <w:sz w:val="24"/>
                <w:szCs w:val="24"/>
                <w:u w:val="single"/>
                <w:lang w:eastAsia="zh-CN"/>
              </w:rPr>
              <w:t>本</w:t>
            </w:r>
            <w:r>
              <w:rPr>
                <w:rFonts w:ascii="Times New Roman" w:cs="Times New Roman" w:hAnsi="Times New Roman"/>
                <w:color w:val="000000"/>
                <w:sz w:val="24"/>
                <w:szCs w:val="24"/>
                <w:u w:val="single"/>
              </w:rPr>
              <w:t>项目在营运过程中具有发生潜在风险事故的设施主要为储油罐、输油管道；具有潜在风险的物质主要为汽油。</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b/>
                <w:color w:val="000000"/>
                <w:szCs w:val="24"/>
                <w:u w:val="single"/>
              </w:rPr>
            </w:pPr>
            <w:r>
              <w:rPr>
                <w:rFonts w:ascii="Times New Roman" w:cs="Times New Roman" w:hAnsi="Times New Roman"/>
                <w:b/>
                <w:color w:val="000000"/>
                <w:sz w:val="24"/>
                <w:szCs w:val="24"/>
                <w:u w:val="single"/>
              </w:rPr>
              <w:t>（2）识别类型</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根据相关事故资料类比，加油站在营运期间可能发生的风险事故包括以下几个方面：</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A泄露</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在加油站日常生产过程中，由于部件损坏以及操作不当常常会引起油罐油品的溢出和泄漏事故。</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B火灾、爆炸事故</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在泄漏事故发生后，由于汽油粘度较低，流动扩散性较强，如有泄漏很快向四周渗透或扩散，如遇明火将引发火灾事故。汽油燃烧后蒸汽压升高、体积膨胀，若容器罐装过满或储存密闭容器中，会导致油罐膨胀，甚至爆炸引起火灾。此外，在加油作业时由于油品输出使罐内形成负压，在罐外燃烧的火焰可能会被吸入储油罐内，也会使罐内回火燃烧发生爆炸。</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b/>
                <w:bCs/>
                <w:color w:val="000000"/>
                <w:sz w:val="24"/>
                <w:u w:val="single"/>
                <w:lang w:val="en-US" w:eastAsia="zh-CN"/>
              </w:rPr>
            </w:pPr>
            <w:r>
              <w:rPr>
                <w:rFonts w:ascii="Times New Roman" w:eastAsia="宋体" w:cs="Times New Roman" w:hAnsi="Times New Roman" w:hint="eastAsia"/>
                <w:b/>
                <w:bCs/>
                <w:color w:val="000000"/>
                <w:sz w:val="24"/>
                <w:szCs w:val="20"/>
                <w:u w:val="single"/>
                <w:lang w:val="en-US" w:eastAsia="zh-CN"/>
              </w:rPr>
              <w:t>3、风险事故分析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 xml:space="preserve">本工程的功能主要是对各种油品进行储存及加油，工艺流程包括汽车卸油、储存、发油等。根据工程的特点并调研同类型项目的事故类型，本加油站主要事故类型可以分为火灾与爆炸、溢出与泄漏两大类。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 xml:space="preserve">（1）火灾与爆炸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 xml:space="preserve">有资料表明，在发油时，因为液位下降，罐中气体空间增大，罐内气体压力小于大气压力，大量空气补充进入罐内，当达到爆炸极限时，遇火就会发生爆炸。同时，油品输出使罐内形成负压，在罐外燃烧的火焰还会被吸入储油罐内，使罐内油蒸气爆炸。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加油站若要发生火灾及爆炸，必须具备下列条件：①油类泄漏或油气蒸发；②有足够的空气助燃；③油气必须与空气混和，并达到一定的浓度；④现场有明火；只有以上四个条件同时具备时，才可能发生火灾和爆炸。根据全国统计，储罐火灾及爆炸事故发生的概率远远低于3.1×10</w:t>
            </w:r>
            <w:r>
              <w:rPr>
                <w:rFonts w:ascii="Times New Roman" w:cs="Times New Roman" w:hAnsi="Times New Roman"/>
                <w:color w:val="000000"/>
                <w:kern w:val="0"/>
                <w:sz w:val="24"/>
                <w:szCs w:val="20"/>
                <w:u w:val="single"/>
                <w:vertAlign w:val="superscript"/>
              </w:rPr>
              <w:t>-5</w:t>
            </w:r>
            <w:r>
              <w:rPr>
                <w:rFonts w:ascii="Times New Roman" w:cs="Times New Roman" w:hAnsi="Times New Roman"/>
                <w:color w:val="000000"/>
                <w:kern w:val="0"/>
                <w:sz w:val="24"/>
                <w:szCs w:val="20"/>
                <w:u w:val="single"/>
              </w:rPr>
              <w:t xml:space="preserve">次/年。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 xml:space="preserve">该事故出现的频率较低，但其危害性较大，一旦出现瞬间即可完成，并且很难进行补救和应急，其后果十分严重。本加油站采用卧式油罐埋地设置，根据《汽车加油加气站设计与施工规范》(GB50156-2012)，采用卧式油罐埋地设置比较安全。从国内外的有关调查资料统计来看，油罐埋地设置，发生火灾的几率很小。即油罐发生着火，也容易扑救。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 xml:space="preserve">（2）油罐溢出、泄漏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 xml:space="preserve">根据统计，储油罐可能发生溢出的原因如下：①油罐计量仪表失灵，致使油罐加油过程中灌满溢出；②在为储罐加油过程中，由于存在气障气阻，致使油类溢出；③在加油过程中，由于接口不同，衔接不严密，致使油类溢出。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 xml:space="preserve">可能发生油罐泄漏的原因如下：①输油管道腐蚀致使油类泄漏；②由于施工而破坏输油管道；③在收发油过程中，由于操作失误，致使油类泄漏；④各个管道接口不严，致使跑、冒、滴、漏现象的发生。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该类事故的发生频率相对第一类事故要高一些，其发生带有明显的随机性和偶然性。这类事故的出现对环境的影响将会持续一定的时间，带来的后果也较为严重。 本项目各输油管道与油罐都按照有关规范进行了设计与施工，并采取了有效的检测渗漏的设施，只要加强管理，按照行业操作规范作业，产生该类事故的几率也很小。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b/>
                <w:bCs/>
                <w:color w:val="000000"/>
                <w:sz w:val="24"/>
                <w:u w:val="single"/>
                <w:lang w:val="en-US" w:eastAsia="zh-CN"/>
              </w:rPr>
            </w:pPr>
            <w:r>
              <w:rPr>
                <w:rFonts w:ascii="Times New Roman" w:eastAsia="宋体" w:cs="Times New Roman" w:hAnsi="Times New Roman" w:hint="eastAsia"/>
                <w:b/>
                <w:bCs/>
                <w:color w:val="000000"/>
                <w:sz w:val="24"/>
                <w:szCs w:val="20"/>
                <w:u w:val="single"/>
                <w:lang w:val="en-US" w:eastAsia="zh-CN"/>
              </w:rPr>
              <w:t>4、影响途径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eastAsia="宋体" w:hint="eastAsia"/>
                <w:color w:val="000000"/>
                <w:kern w:val="0"/>
                <w:sz w:val="24"/>
                <w:u w:val="single"/>
                <w:lang w:eastAsia="zh-CN"/>
              </w:rPr>
            </w:pPr>
            <w:r>
              <w:rPr>
                <w:rFonts w:ascii="Times New Roman" w:cs="Times New Roman" w:hAnsi="Times New Roman" w:hint="eastAsia"/>
                <w:color w:val="000000"/>
                <w:kern w:val="0"/>
                <w:sz w:val="24"/>
                <w:szCs w:val="20"/>
                <w:u w:val="single"/>
                <w:lang w:eastAsia="zh-CN"/>
              </w:rPr>
              <w:t>（</w:t>
            </w:r>
            <w:r>
              <w:rPr>
                <w:rFonts w:ascii="Times New Roman" w:cs="Times New Roman" w:hAnsi="Times New Roman" w:hint="eastAsia"/>
                <w:color w:val="000000"/>
                <w:kern w:val="0"/>
                <w:sz w:val="24"/>
                <w:szCs w:val="20"/>
                <w:u w:val="single"/>
                <w:lang w:val="en-US" w:eastAsia="zh-CN"/>
              </w:rPr>
              <w:t>1</w:t>
            </w:r>
            <w:r>
              <w:rPr>
                <w:rFonts w:ascii="Times New Roman" w:cs="Times New Roman" w:hAnsi="Times New Roman" w:hint="eastAsia"/>
                <w:color w:val="000000"/>
                <w:kern w:val="0"/>
                <w:sz w:val="24"/>
                <w:szCs w:val="20"/>
                <w:u w:val="single"/>
                <w:lang w:eastAsia="zh-CN"/>
              </w:rPr>
              <w:t>）火灾影响途径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hint="eastAsia"/>
                <w:color w:val="000000"/>
                <w:kern w:val="0"/>
                <w:sz w:val="24"/>
                <w:szCs w:val="20"/>
                <w:u w:val="single"/>
                <w:lang w:eastAsia="zh-CN"/>
              </w:rPr>
              <w:t>本项目燃油</w:t>
            </w:r>
            <w:r>
              <w:rPr>
                <w:rFonts w:ascii="Times New Roman" w:cs="Times New Roman" w:hAnsi="Times New Roman"/>
                <w:color w:val="000000"/>
                <w:kern w:val="0"/>
                <w:sz w:val="24"/>
                <w:szCs w:val="20"/>
                <w:u w:val="single"/>
              </w:rPr>
              <w:t>储存在埋地罐内，发生火灾的可能性</w:t>
            </w:r>
            <w:r>
              <w:rPr>
                <w:rFonts w:ascii="Times New Roman" w:cs="Times New Roman" w:hAnsi="Times New Roman" w:hint="eastAsia"/>
                <w:color w:val="000000"/>
                <w:kern w:val="0"/>
                <w:sz w:val="24"/>
                <w:szCs w:val="20"/>
                <w:u w:val="single"/>
                <w:lang w:eastAsia="zh-CN"/>
              </w:rPr>
              <w:t>很小，一旦发生火灾可能的影响途径是燃料燃烧产生的废气及未燃烧的燃油挥发对周围大气产生影响，短时间内对周围环境及下风向环境空气造成污染</w:t>
            </w:r>
            <w:r>
              <w:rPr>
                <w:rFonts w:ascii="Times New Roman" w:cs="Times New Roman" w:hAnsi="Times New Roman"/>
                <w:color w:val="000000"/>
                <w:kern w:val="0"/>
                <w:sz w:val="24"/>
                <w:szCs w:val="20"/>
                <w:u w:val="single"/>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eastAsia="宋体" w:hint="eastAsia"/>
                <w:color w:val="000000"/>
                <w:kern w:val="0"/>
                <w:sz w:val="24"/>
                <w:u w:val="single"/>
                <w:lang w:eastAsia="zh-CN"/>
              </w:rPr>
            </w:pPr>
            <w:r>
              <w:rPr>
                <w:rFonts w:ascii="Times New Roman" w:cs="Times New Roman" w:hAnsi="Times New Roman" w:hint="eastAsia"/>
                <w:color w:val="000000"/>
                <w:kern w:val="0"/>
                <w:sz w:val="24"/>
                <w:szCs w:val="20"/>
                <w:u w:val="single"/>
                <w:lang w:eastAsia="zh-CN"/>
              </w:rPr>
              <w:t>（</w:t>
            </w:r>
            <w:r>
              <w:rPr>
                <w:rFonts w:ascii="Times New Roman" w:cs="Times New Roman" w:hAnsi="Times New Roman" w:hint="eastAsia"/>
                <w:color w:val="000000"/>
                <w:kern w:val="0"/>
                <w:sz w:val="24"/>
                <w:szCs w:val="20"/>
                <w:u w:val="single"/>
                <w:lang w:val="en-US" w:eastAsia="zh-CN"/>
              </w:rPr>
              <w:t>2</w:t>
            </w:r>
            <w:r>
              <w:rPr>
                <w:rFonts w:ascii="Times New Roman" w:cs="Times New Roman" w:hAnsi="Times New Roman" w:hint="eastAsia"/>
                <w:color w:val="000000"/>
                <w:kern w:val="0"/>
                <w:sz w:val="24"/>
                <w:szCs w:val="20"/>
                <w:u w:val="single"/>
                <w:lang w:eastAsia="zh-CN"/>
              </w:rPr>
              <w:t>）油品泄漏影响途径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eastAsia="宋体" w:hint="eastAsia"/>
                <w:color w:val="000000"/>
                <w:kern w:val="0"/>
                <w:sz w:val="24"/>
                <w:u w:val="single"/>
                <w:lang w:eastAsia="zh-CN"/>
              </w:rPr>
            </w:pPr>
            <w:r>
              <w:rPr>
                <w:rFonts w:ascii="Times New Roman" w:cs="Times New Roman" w:hAnsi="Times New Roman"/>
                <w:color w:val="000000"/>
                <w:kern w:val="0"/>
                <w:sz w:val="24"/>
                <w:szCs w:val="20"/>
                <w:u w:val="single"/>
              </w:rPr>
              <w:t>①对地表水的</w:t>
            </w:r>
            <w:r>
              <w:rPr>
                <w:rFonts w:ascii="Times New Roman" w:cs="Times New Roman" w:hAnsi="Times New Roman" w:hint="eastAsia"/>
                <w:color w:val="000000"/>
                <w:kern w:val="0"/>
                <w:sz w:val="24"/>
                <w:szCs w:val="20"/>
                <w:u w:val="single"/>
                <w:lang w:eastAsia="zh-CN"/>
              </w:rPr>
              <w:t>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 xml:space="preserve">泄漏或渗漏的成品油一旦进入地表河流，将造成地表河流的污染，影响范围小到几公里大到几十公里。污染首先将造成地表河流的景观破坏，产生严重的刺鼻气味；其次，由于有机烃类物质难溶于水，大部分上浮在水层表面，形成一层油膜使空气与水隔离，造成水中溶解氧浓度降低，逐渐形成死水，致使水中生物死亡；再次，成品油的主要成分是C4～C9的烃类、芳烃类、醇酮类以及卤代烃类有机物，一旦进入水环境，由于可生化性较差，造成被污染水体长时间得不到净化，完全恢复则需十几年、甚至几十年的时间。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本项目库容较小，油罐区容积约为</w:t>
            </w:r>
            <w:r>
              <w:rPr>
                <w:rFonts w:ascii="Times New Roman" w:cs="Times New Roman" w:hAnsi="Times New Roman" w:hint="eastAsia"/>
                <w:color w:val="000000"/>
                <w:kern w:val="0"/>
                <w:sz w:val="24"/>
                <w:szCs w:val="20"/>
                <w:u w:val="single"/>
                <w:lang w:val="en-US" w:eastAsia="zh-CN"/>
              </w:rPr>
              <w:t>120</w:t>
            </w:r>
            <w:r>
              <w:rPr>
                <w:rFonts w:ascii="Times New Roman" w:cs="Times New Roman" w:hAnsi="Times New Roman"/>
                <w:color w:val="000000"/>
                <w:kern w:val="0"/>
                <w:sz w:val="24"/>
                <w:szCs w:val="20"/>
                <w:u w:val="single"/>
              </w:rPr>
              <w:t>m</w:t>
            </w:r>
            <w:r>
              <w:rPr>
                <w:rFonts w:ascii="Times New Roman" w:cs="Times New Roman" w:hAnsi="Times New Roman"/>
                <w:color w:val="000000"/>
                <w:kern w:val="0"/>
                <w:sz w:val="24"/>
                <w:szCs w:val="20"/>
                <w:u w:val="single"/>
                <w:vertAlign w:val="superscript"/>
              </w:rPr>
              <w:t>3</w:t>
            </w:r>
            <w:r>
              <w:rPr>
                <w:rFonts w:ascii="Times New Roman" w:cs="Times New Roman" w:hAnsi="Times New Roman"/>
                <w:color w:val="000000"/>
                <w:kern w:val="0"/>
                <w:sz w:val="24"/>
                <w:szCs w:val="20"/>
                <w:u w:val="single"/>
              </w:rPr>
              <w:t xml:space="preserve">，且为埋地式油罐，设有储油罐罐基及防渗层。因此当加油站一旦发生渗漏与溢出事故时，油品将积聚在油罐区，基本不会溢出油罐区，也不会进入地表水体。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hint="eastAsia"/>
                <w:color w:val="000000"/>
                <w:kern w:val="0"/>
                <w:sz w:val="24"/>
                <w:u w:val="single"/>
                <w:lang w:val="en-US" w:eastAsia="zh-CN"/>
              </w:rPr>
            </w:pPr>
            <w:r>
              <w:rPr>
                <w:rFonts w:ascii="Times New Roman" w:cs="Times New Roman" w:hAnsi="Times New Roman"/>
                <w:color w:val="000000"/>
                <w:kern w:val="0"/>
                <w:sz w:val="24"/>
                <w:szCs w:val="20"/>
                <w:u w:val="single"/>
              </w:rPr>
              <w:t>②</w:t>
            </w:r>
            <w:r>
              <w:rPr>
                <w:rFonts w:ascii="Times New Roman" w:cs="Times New Roman" w:hAnsi="Times New Roman" w:hint="eastAsia"/>
                <w:color w:val="000000"/>
                <w:kern w:val="0"/>
                <w:sz w:val="24"/>
                <w:szCs w:val="20"/>
                <w:u w:val="single"/>
                <w:lang w:eastAsia="zh-CN"/>
              </w:rPr>
              <w:t>对</w:t>
            </w:r>
            <w:r>
              <w:rPr>
                <w:rFonts w:ascii="Times New Roman" w:cs="Times New Roman" w:hAnsi="Times New Roman" w:hint="eastAsia"/>
                <w:color w:val="000000"/>
                <w:kern w:val="0"/>
                <w:sz w:val="24"/>
                <w:szCs w:val="20"/>
                <w:u w:val="single"/>
                <w:lang w:val="en-US" w:eastAsia="zh-CN"/>
              </w:rPr>
              <w:t>地下水影响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hint="eastAsia"/>
                <w:color w:val="000000"/>
                <w:kern w:val="0"/>
                <w:sz w:val="24"/>
                <w:szCs w:val="20"/>
                <w:u w:val="single"/>
                <w:lang w:val="en-US" w:eastAsia="zh-CN"/>
              </w:rPr>
              <w:t>储油罐和输油管线的泄漏或渗漏对地下水的污染较为严重，地下水一旦遭到成品油的污染，将使地下水产生严重异味，并具有较强的致畸致癌性，无法饮用。又由于这种渗漏必然穿过较厚的土壤层，使土壤层中吸附了大量油质，土壤层吸附的油质不仅会造成植物生物的死亡，而且土壤层吸附的油质还会随着地表水的下渗对土壤层的冲刷作用补充到地下水，这样即便污染源得到及时控制，地下水要完全恢复也需几十年甚至上百年的时间。采用双层罐并将储罐设置在储罐池内的措施后，可有效避免泄漏及渗漏事故的发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hint="eastAsia"/>
                <w:color w:val="000000"/>
                <w:kern w:val="0"/>
                <w:sz w:val="24"/>
                <w:szCs w:val="20"/>
                <w:u w:val="single"/>
                <w:lang w:val="en-US" w:eastAsia="zh-CN"/>
              </w:rPr>
              <w:t>③</w:t>
            </w:r>
            <w:r>
              <w:rPr>
                <w:rFonts w:ascii="Times New Roman" w:cs="Times New Roman" w:hAnsi="Times New Roman"/>
                <w:color w:val="000000"/>
                <w:kern w:val="0"/>
                <w:sz w:val="24"/>
                <w:szCs w:val="20"/>
                <w:u w:val="single"/>
              </w:rPr>
              <w:t>对大气环境的</w:t>
            </w:r>
            <w:r>
              <w:rPr>
                <w:rFonts w:ascii="Times New Roman" w:cs="Times New Roman" w:hAnsi="Times New Roman" w:hint="eastAsia"/>
                <w:color w:val="000000"/>
                <w:kern w:val="0"/>
                <w:sz w:val="24"/>
                <w:szCs w:val="20"/>
                <w:u w:val="single"/>
                <w:lang w:eastAsia="zh-CN"/>
              </w:rPr>
              <w:t>影响</w:t>
            </w:r>
            <w:r>
              <w:rPr>
                <w:rFonts w:ascii="Times New Roman" w:cs="Times New Roman" w:hAnsi="Times New Roman"/>
                <w:color w:val="000000"/>
                <w:kern w:val="0"/>
                <w:sz w:val="24"/>
                <w:szCs w:val="20"/>
                <w:u w:val="single"/>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 xml:space="preserve">根据国内外的研究，对于突发性的事故溢油，油品溢出后在地面呈不规则的面源分布，油品的挥发速度重要影响因素为油品蒸汽压、现场风速、油品溢出面积、油品蒸汽分子平均重度。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本项目采用地埋式储油罐工艺，加油站一旦发生渗漏与溢出事故时，由于本项目采取了防渗漏检查孔等渗漏溢出检测设施，因此可及时发现储油罐渗漏，油品渗漏量较小，再由于受储油罐罐基及防渗层的保护，渗漏出的成品油将积聚在储油区。储油区表面采用了混凝土硬化，较为密闭，油品将主要通过储油区通气管及人孔井非密封处挥发，不会造成大面积的扩散，对大气环境影响较小。</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cs="Times New Roman" w:hAnsi="Times New Roman"/>
                <w:color w:val="000000"/>
                <w:sz w:val="24"/>
                <w:szCs w:val="24"/>
                <w:u w:val="single"/>
              </w:rPr>
            </w:pPr>
            <w:r>
              <w:rPr>
                <w:rFonts w:ascii="Times New Roman" w:cs="Times New Roman" w:hAnsi="Times New Roman"/>
                <w:color w:val="000000"/>
                <w:sz w:val="24"/>
                <w:szCs w:val="24"/>
                <w:u w:val="single"/>
                <w:lang w:val="en-US" w:eastAsia="zh-CN"/>
              </w:rPr>
              <w:t>5、</w:t>
            </w:r>
            <w:r>
              <w:rPr>
                <w:rFonts w:ascii="Times New Roman" w:cs="Times New Roman" w:hAnsi="Times New Roman"/>
                <w:color w:val="000000"/>
                <w:sz w:val="24"/>
                <w:szCs w:val="24"/>
                <w:u w:val="single"/>
              </w:rPr>
              <w:t>风险防范措施</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b/>
                <w:bCs/>
                <w:color w:val="000000"/>
                <w:sz w:val="24"/>
                <w:szCs w:val="24"/>
                <w:u w:val="single"/>
                <w:lang w:val="en-US" w:eastAsia="zh-CN"/>
              </w:rPr>
            </w:pPr>
            <w:r>
              <w:rPr>
                <w:rFonts w:ascii="Times New Roman" w:eastAsia="宋体" w:cs="Times New Roman" w:hAnsi="Times New Roman"/>
                <w:b/>
                <w:bCs/>
                <w:color w:val="000000"/>
                <w:sz w:val="24"/>
                <w:szCs w:val="24"/>
                <w:u w:val="single"/>
                <w:lang w:val="en-US" w:eastAsia="zh-CN"/>
              </w:rPr>
              <w:t>5.1泄漏风险防范措施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color w:val="000000"/>
                <w:kern w:val="0"/>
                <w:sz w:val="24"/>
                <w:u w:val="single"/>
              </w:rPr>
            </w:pPr>
            <w:r>
              <w:rPr>
                <w:rFonts w:ascii="Times New Roman" w:cs="Times New Roman" w:hAnsi="Times New Roman"/>
                <w:color w:val="000000"/>
                <w:kern w:val="0"/>
                <w:sz w:val="24"/>
                <w:szCs w:val="20"/>
                <w:u w:val="single"/>
              </w:rPr>
              <w:t>（1）储油罐设带有高液位报警功能的液位计，避免卸油时计量失误使罐内液位过高造成冒油。</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（2）定期对油品储存、输送、零售环节的设备、管道、阀门、法兰盘等进行检修、维护和保养，同时将油罐区输油管道埋于地下。</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（3）加油站配备有灭火毯、灭火沙子、手提式干粉灭火器、消防砂池和移动式水泵、医用急救包等，对每个工作人员进行消防培训、加油站内设立禁止吸烟、禁止打</w:t>
            </w:r>
            <w:r>
              <w:rPr>
                <w:rFonts w:ascii="Times New Roman" w:cs="Times New Roman" w:hAnsi="Times New Roman" w:hint="eastAsia"/>
                <w:color w:val="000000"/>
                <w:sz w:val="24"/>
                <w:szCs w:val="24"/>
                <w:u w:val="single"/>
                <w:lang w:eastAsia="zh-CN"/>
              </w:rPr>
              <w:t>火</w:t>
            </w:r>
            <w:r>
              <w:rPr>
                <w:rFonts w:ascii="Times New Roman" w:cs="Times New Roman" w:hAnsi="Times New Roman"/>
                <w:color w:val="000000"/>
                <w:sz w:val="24"/>
                <w:szCs w:val="24"/>
                <w:u w:val="single"/>
              </w:rPr>
              <w:t>机的警示牌，严格禁止站内明火、电焊、电割，加油软管设拉断截止阀；加强设备、管道的检修维护；加强员工的安全技术培训，提高安全防范意识。</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4）埋地油罐基底采用防渗混凝土处理，底板采用外防水，面层细石混凝土，防水层用改性沥青防水卷材，结构层采用钢筋砼结构；油罐顶部及周边均采用粘土夯实，为砖混结构，做有防渗处理，主要是防止油品泄漏时，有足够容积的围堤收集泄漏的油品。</w:t>
            </w:r>
          </w:p>
          <w:p>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eastAsia="宋体" w:cs="Times New Roman" w:hAnsi="Times New Roman" w:hint="eastAsia"/>
                <w:b/>
                <w:bCs/>
                <w:color w:val="000000"/>
                <w:sz w:val="24"/>
                <w:szCs w:val="24"/>
                <w:u w:val="single"/>
                <w:lang w:val="en-US" w:eastAsia="zh-CN"/>
              </w:rPr>
            </w:pPr>
            <w:r>
              <w:rPr>
                <w:rFonts w:ascii="Times New Roman" w:eastAsia="宋体" w:cs="Times New Roman" w:hAnsi="Times New Roman" w:hint="eastAsia"/>
                <w:b/>
                <w:bCs/>
                <w:color w:val="000000"/>
                <w:sz w:val="24"/>
                <w:szCs w:val="24"/>
                <w:u w:val="single"/>
                <w:lang w:val="en-US" w:eastAsia="zh-CN"/>
              </w:rPr>
              <w:t>5.2火灾事故风险防范措施</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（1）建立、完善安全管理制度</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auto"/>
                <w:szCs w:val="24"/>
                <w:u w:val="single"/>
              </w:rPr>
            </w:pPr>
            <w:r>
              <w:rPr>
                <w:rFonts w:ascii="Times New Roman" w:cs="Times New Roman" w:hAnsi="Times New Roman"/>
                <w:color w:val="auto"/>
                <w:sz w:val="24"/>
                <w:szCs w:val="24"/>
                <w:u w:val="single"/>
              </w:rPr>
              <w:t>严格按照《汽车加油加气站设计与施工规范</w:t>
            </w:r>
            <w:r>
              <w:rPr>
                <w:rFonts w:ascii="Times New Roman" w:cs="Times New Roman" w:hAnsi="Times New Roman"/>
                <w:color w:val="auto"/>
                <w:spacing w:val="-4"/>
                <w:sz w:val="24"/>
                <w:szCs w:val="24"/>
                <w:u w:val="single"/>
              </w:rPr>
              <w:t>(2014年</w:t>
            </w:r>
            <w:r>
              <w:rPr>
                <w:rFonts w:ascii="Times New Roman" w:cs="Times New Roman" w:hAnsi="Times New Roman" w:hint="eastAsia"/>
                <w:color w:val="auto"/>
                <w:spacing w:val="-4"/>
                <w:sz w:val="24"/>
                <w:szCs w:val="24"/>
                <w:u w:val="single"/>
                <w:lang w:val="en-US" w:eastAsia="zh-CN"/>
              </w:rPr>
              <w:t>局部修订</w:t>
            </w:r>
            <w:r>
              <w:rPr>
                <w:rFonts w:ascii="Times New Roman" w:cs="Times New Roman" w:hAnsi="Times New Roman"/>
                <w:color w:val="auto"/>
                <w:spacing w:val="-4"/>
                <w:sz w:val="24"/>
                <w:szCs w:val="24"/>
                <w:u w:val="single"/>
              </w:rPr>
              <w:t>版）</w:t>
            </w:r>
            <w:r>
              <w:rPr>
                <w:rFonts w:ascii="Times New Roman" w:cs="Times New Roman" w:hAnsi="Times New Roman"/>
                <w:color w:val="auto"/>
                <w:sz w:val="24"/>
                <w:szCs w:val="24"/>
                <w:u w:val="single"/>
              </w:rPr>
              <w:t>》（GB50156-2012）的规定进行工程建设情况的自查、整改和验收，并制定和执行相应的消防管理、安全防火培训、用火用电安全管理、灭火器材维护使用、岗位消防安全等一系列安全制度，并严格遵守执行。</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auto"/>
                <w:szCs w:val="24"/>
                <w:u w:val="single"/>
              </w:rPr>
            </w:pPr>
            <w:r>
              <w:rPr>
                <w:rFonts w:ascii="Times New Roman" w:cs="Times New Roman" w:hAnsi="Times New Roman"/>
                <w:color w:val="auto"/>
                <w:sz w:val="24"/>
                <w:szCs w:val="24"/>
                <w:u w:val="single"/>
              </w:rPr>
              <w:t>（2）改进设备、工艺</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auto"/>
                <w:szCs w:val="24"/>
                <w:u w:val="single"/>
              </w:rPr>
            </w:pPr>
            <w:r>
              <w:rPr>
                <w:rFonts w:ascii="Times New Roman" w:cs="Times New Roman" w:hAnsi="Times New Roman"/>
                <w:color w:val="auto"/>
                <w:sz w:val="24"/>
                <w:szCs w:val="24"/>
                <w:u w:val="single"/>
              </w:rPr>
              <w:t>①加油站内的电气设备严格按照防爆区划分配置，防爆区内电气设备和仪表均选用防爆型产品。</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auto"/>
                <w:szCs w:val="24"/>
                <w:u w:val="single"/>
              </w:rPr>
            </w:pPr>
            <w:r>
              <w:rPr>
                <w:rFonts w:ascii="Times New Roman" w:cs="Times New Roman" w:hAnsi="Times New Roman"/>
                <w:color w:val="auto"/>
                <w:sz w:val="24"/>
                <w:szCs w:val="24"/>
                <w:u w:val="single"/>
              </w:rPr>
              <w:t>②加油站内汽油加油枪采取油气回收装置进行油气回收处理，处理后的油品外售。</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auto"/>
                <w:szCs w:val="24"/>
                <w:u w:val="single"/>
              </w:rPr>
            </w:pPr>
            <w:r>
              <w:rPr>
                <w:rFonts w:ascii="Times New Roman" w:cs="Times New Roman" w:hAnsi="Times New Roman"/>
                <w:color w:val="auto"/>
                <w:sz w:val="24"/>
                <w:szCs w:val="24"/>
                <w:u w:val="single"/>
              </w:rPr>
              <w:t>③采用全密封式卸油法和加油技术。在油罐车、储油罐、加油枪上安装气相管，那么作业时被挤出的油蒸气就会通过气相管回流到油罐车或油罐中，避免油罐中的油蒸气从呼吸管及油箱口中压出，最大限度防止油气散逸污染和产生聚积的可能。</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auto"/>
                <w:szCs w:val="24"/>
                <w:u w:val="single"/>
              </w:rPr>
            </w:pPr>
            <w:r>
              <w:rPr>
                <w:rFonts w:ascii="Times New Roman" w:cs="Times New Roman" w:hAnsi="Times New Roman"/>
                <w:color w:val="auto"/>
                <w:sz w:val="24"/>
                <w:szCs w:val="24"/>
                <w:u w:val="single"/>
              </w:rPr>
              <w:t>（3）做好防雷工作</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auto"/>
                <w:sz w:val="24"/>
                <w:szCs w:val="24"/>
                <w:u w:val="single"/>
              </w:rPr>
              <w:t>按《汽车加油加气站设计与施工规范</w:t>
            </w:r>
            <w:r>
              <w:rPr>
                <w:rFonts w:ascii="Times New Roman" w:cs="Times New Roman" w:hAnsi="Times New Roman"/>
                <w:color w:val="auto"/>
                <w:spacing w:val="-4"/>
                <w:sz w:val="24"/>
                <w:szCs w:val="24"/>
                <w:u w:val="single"/>
              </w:rPr>
              <w:t>(2014年</w:t>
            </w:r>
            <w:r>
              <w:rPr>
                <w:rFonts w:ascii="Times New Roman" w:cs="Times New Roman" w:hAnsi="Times New Roman" w:hint="eastAsia"/>
                <w:color w:val="auto"/>
                <w:spacing w:val="-4"/>
                <w:sz w:val="24"/>
                <w:szCs w:val="24"/>
                <w:u w:val="single"/>
                <w:lang w:val="en-US" w:eastAsia="zh-CN"/>
              </w:rPr>
              <w:t>局部修订</w:t>
            </w:r>
            <w:r>
              <w:rPr>
                <w:rFonts w:ascii="Times New Roman" w:cs="Times New Roman" w:hAnsi="Times New Roman"/>
                <w:color w:val="auto"/>
                <w:spacing w:val="-4"/>
                <w:sz w:val="24"/>
                <w:szCs w:val="24"/>
                <w:u w:val="single"/>
              </w:rPr>
              <w:t>版）</w:t>
            </w:r>
            <w:r>
              <w:rPr>
                <w:rFonts w:ascii="Times New Roman" w:cs="Times New Roman" w:hAnsi="Times New Roman"/>
                <w:color w:val="auto"/>
                <w:sz w:val="24"/>
                <w:szCs w:val="24"/>
                <w:u w:val="single"/>
              </w:rPr>
              <w:t>》(GB50156-2012)规定，加油站油罐及其金属附件应进行可靠的防雷接地，接地点不得少于两处。接地线与接地体的连接处要用焊接，接地线与被接地</w:t>
            </w:r>
            <w:r>
              <w:rPr>
                <w:rFonts w:ascii="Times New Roman" w:cs="Times New Roman" w:hAnsi="Times New Roman"/>
                <w:color w:val="000000"/>
                <w:sz w:val="24"/>
                <w:szCs w:val="24"/>
                <w:u w:val="single"/>
              </w:rPr>
              <w:t>设备的连接要设断接卡，并用双螺栓连接，埋地部分均用焊接。另外，在雷雨天应该停止卸油和发油作业。</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（4）加强设备管理</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加油站的储油设备和发油设备无时不在和油品打交道，一旦设备出现跑、冒、滴、漏等现象，将直接威胁加油站的安全。所以对它们进行定期的检测和加强日常养护十分必要。另外，电气设备的使用不当也是加油站发生火灾的一个重要原因，所以加油站应严格照章办事，不可私拉、乱接电线，不可适应不防爆的开关、插座等电器设备。</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（5）消除静电危害</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油品在运输、装卸、加注时极易产生静电，处理不当即发生放电，引发爆炸事故。所以在接卸油品时，应按规定接地并稳油15min以上方可对油罐车进行计量；在卸油后也应稳油15min以上才可对储油罐进行计量；不得采取喷溅式卸油，提倡自流油品；尽量避免带泵作业。另外，禁止用加油枪直接向塑料容器内加注油品；工作人员应穿防静电工作服。</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（6）加强作业现场的安全管理</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很多火灾的出现都是由于对作业现场的监管不力造成的。如对外来施工人员的安全教育流于形式，外来施工人员在加油站内吸烟，不按规定用电、用火等均有可能造成加油站的火灾。</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（7）设立安全标识、规范安全操作</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①在公路接近加油站前设置减速带和减速标志等防范措施。</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②在油罐区、加油作业区等生产现场设置事故照明、安全疏散指示标志，加油站进出口处及油罐区必须设立“严禁烟火”和“禁止使用手机”等有关警告牌。</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③在操作和维修设备时，应采用防爆工具；动火作业前，设备、管线必须清理、置换彻底，并进行气体分析。动火期间，安全监护人员应到现场监督。动火人员应按动火审批的具体要求作业，动火完毕，监护人员和动火人员应共同检查和清理现场。电气设备检修，应清除电气设备内的尘土及异物，严禁带点作业。</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（8）灭火设施</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加油站内应按照规范要求备足灭火器材及消防灭火沙等用品。消防器材要做到“三保证”，即一保证数量充足，二保证种类齐全，三保证使用有效。</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（9）加强日常防火巡查</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每天对站内电气设备、照明设施，油罐区的油罐口、量油口、卸油口、阀门、人孔等油罐附进以及卸、输油管线、防雷防静电接地接线状况等巡查不少于2次，并做好记录，一经发现油品渗漏等问题要即使报告和处理。对设备渗漏要立即采取修复措施，严禁“带病”运行。</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（10）加大培训力度，提高员工素质，增加安全意识</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ascii="Times New Roman" w:hAnsi="Times New Roman"/>
                <w:color w:val="000000"/>
                <w:szCs w:val="24"/>
                <w:u w:val="single"/>
              </w:rPr>
            </w:pPr>
            <w:r>
              <w:rPr>
                <w:rFonts w:ascii="Times New Roman" w:cs="Times New Roman" w:hAnsi="Times New Roman"/>
                <w:color w:val="000000"/>
                <w:sz w:val="24"/>
                <w:szCs w:val="24"/>
                <w:u w:val="single"/>
              </w:rPr>
              <w:t>高素质的员工对待安全的问题时能充分发挥主观能动性，为企业的发展提供保障。所以，应该注重对员工的培训和学习，开展安全教育和消防演练，使员工连接油品易燃、易爆、易挥发、易产生静电、有毒等基本特性，了解油品火灾的特点，熟练掌握各种消防器材的使用方法和基本灭火技能，牢固树立“安全第一、预防为主”的意识，自觉遵守规章制度，从而避免由于人为因素而引发的火灾。</w:t>
            </w:r>
          </w:p>
          <w:p>
            <w:pPr>
              <w:keepNext w:val="0"/>
              <w:keepLines w:val="0"/>
              <w:suppressLineNumbers w:val="0"/>
              <w:adjustRightInd w:val="0"/>
              <w:snapToGrid w:val="0"/>
              <w:spacing w:before="0" w:beforeAutospacing="0" w:after="0" w:afterAutospacing="0" w:line="520" w:lineRule="exact"/>
              <w:ind w:left="0" w:right="0" w:firstLineChars="200" w:firstLine="480"/>
              <w:rPr>
                <w:b w:val="0"/>
                <w:bCs w:val="0"/>
                <w:color w:val="000000"/>
                <w:sz w:val="24"/>
                <w:u w:val="single"/>
              </w:rPr>
            </w:pPr>
            <w:r>
              <w:rPr>
                <w:rFonts w:ascii="Times New Roman" w:cs="Times New Roman" w:hAnsi="Times New Roman"/>
                <w:b w:val="0"/>
                <w:bCs w:val="0"/>
                <w:color w:val="000000"/>
                <w:sz w:val="24"/>
                <w:szCs w:val="20"/>
                <w:u w:val="single"/>
              </w:rPr>
              <w:t>（</w:t>
            </w:r>
            <w:r>
              <w:rPr>
                <w:rFonts w:ascii="Times New Roman" w:cs="Times New Roman" w:hAnsi="Times New Roman" w:hint="eastAsia"/>
                <w:b w:val="0"/>
                <w:bCs w:val="0"/>
                <w:color w:val="000000"/>
                <w:sz w:val="24"/>
                <w:szCs w:val="20"/>
                <w:u w:val="single"/>
                <w:lang w:val="en-US" w:eastAsia="zh-CN"/>
              </w:rPr>
              <w:t>11</w:t>
            </w:r>
            <w:r>
              <w:rPr>
                <w:rFonts w:ascii="Times New Roman" w:cs="Times New Roman" w:hAnsi="Times New Roman"/>
                <w:b w:val="0"/>
                <w:bCs w:val="0"/>
                <w:color w:val="000000"/>
                <w:sz w:val="24"/>
                <w:szCs w:val="20"/>
                <w:u w:val="single"/>
              </w:rPr>
              <w:t>）风险应急预案</w:t>
            </w:r>
          </w:p>
          <w:p>
            <w:pPr>
              <w:keepNext w:val="0"/>
              <w:keepLines w:val="0"/>
              <w:suppressLineNumbers w:val="0"/>
              <w:adjustRightInd w:val="0"/>
              <w:snapToGrid w:val="0"/>
              <w:spacing w:before="0" w:beforeAutospacing="0" w:after="0" w:afterAutospacing="0" w:line="520" w:lineRule="exact"/>
              <w:ind w:left="0" w:right="0" w:firstLineChars="200" w:firstLine="480"/>
              <w:rPr>
                <w:b w:val="0"/>
                <w:bCs w:val="0"/>
                <w:color w:val="000000"/>
                <w:sz w:val="24"/>
                <w:szCs w:val="22"/>
                <w:u w:val="single"/>
              </w:rPr>
            </w:pPr>
            <w:r>
              <w:rPr>
                <w:rFonts w:ascii="Times New Roman" w:cs="Times New Roman" w:hAnsi="Times New Roman"/>
                <w:b w:val="0"/>
                <w:bCs w:val="0"/>
                <w:color w:val="000000"/>
                <w:sz w:val="24"/>
                <w:szCs w:val="22"/>
                <w:u w:val="single"/>
              </w:rPr>
              <w:t>制定风险应急预案的目的是为了在发生风险事故时，能够以最快的速度发挥最大的能效，有序的实施救援，尽快控制事态的发展，降低事故造成的危害，减少事故造成的损失。应急预案应以“预防为主，防救结合”为原则，</w:t>
            </w:r>
            <w:r>
              <w:rPr>
                <w:rFonts w:ascii="Times New Roman" w:cs="Times New Roman" w:hAnsi="Times New Roman" w:hint="eastAsia"/>
                <w:b w:val="0"/>
                <w:bCs w:val="0"/>
                <w:color w:val="000000"/>
                <w:sz w:val="24"/>
                <w:szCs w:val="22"/>
                <w:u w:val="single"/>
              </w:rPr>
              <w:t>建设单位</w:t>
            </w:r>
            <w:r>
              <w:rPr>
                <w:rFonts w:ascii="Times New Roman" w:cs="Times New Roman" w:hAnsi="Times New Roman"/>
                <w:b w:val="0"/>
                <w:bCs w:val="0"/>
                <w:color w:val="000000"/>
                <w:sz w:val="24"/>
                <w:szCs w:val="22"/>
                <w:u w:val="single"/>
              </w:rPr>
              <w:t>建立《</w:t>
            </w:r>
            <w:r>
              <w:rPr>
                <w:rFonts w:ascii="宋体" w:cs="Times New Roman" w:hAnsi="宋体" w:hint="eastAsia"/>
                <w:color w:val="000000"/>
                <w:sz w:val="24"/>
                <w:szCs w:val="20"/>
                <w:u w:val="single"/>
                <w:lang w:val="en-US" w:eastAsia="zh-CN"/>
                <w:highlight w:val="none"/>
              </w:rPr>
              <w:t>延津县平延园区运营管理有限公司加油站建设项目</w:t>
            </w:r>
            <w:r>
              <w:rPr>
                <w:rFonts w:ascii="Times New Roman" w:cs="Times New Roman" w:hAnsi="Times New Roman"/>
                <w:b w:val="0"/>
                <w:bCs w:val="0"/>
                <w:color w:val="000000"/>
                <w:sz w:val="24"/>
                <w:szCs w:val="22"/>
                <w:u w:val="single"/>
              </w:rPr>
              <w:t>生产安全</w:t>
            </w:r>
            <w:r>
              <w:rPr>
                <w:rFonts w:ascii="Times New Roman" w:cs="Times New Roman" w:hAnsi="Times New Roman" w:hint="eastAsia"/>
                <w:b w:val="0"/>
                <w:bCs w:val="0"/>
                <w:color w:val="000000"/>
                <w:sz w:val="24"/>
                <w:szCs w:val="22"/>
                <w:u w:val="single"/>
              </w:rPr>
              <w:t>事故应急</w:t>
            </w:r>
            <w:r>
              <w:rPr>
                <w:rFonts w:ascii="Times New Roman" w:cs="Times New Roman" w:hAnsi="Times New Roman"/>
                <w:b w:val="0"/>
                <w:bCs w:val="0"/>
                <w:color w:val="000000"/>
                <w:sz w:val="24"/>
                <w:szCs w:val="22"/>
                <w:u w:val="single"/>
              </w:rPr>
              <w:t>救援预案》</w:t>
            </w:r>
            <w:r>
              <w:rPr>
                <w:rFonts w:ascii="Times New Roman" w:cs="Times New Roman" w:hAnsi="Times New Roman" w:hint="eastAsia"/>
                <w:b w:val="0"/>
                <w:bCs w:val="0"/>
                <w:color w:val="000000"/>
                <w:sz w:val="24"/>
                <w:szCs w:val="22"/>
                <w:u w:val="single"/>
              </w:rPr>
              <w:t>。</w:t>
            </w:r>
          </w:p>
          <w:p>
            <w:pPr>
              <w:keepNext w:val="0"/>
              <w:keepLines w:val="0"/>
              <w:suppressLineNumbers w:val="0"/>
              <w:adjustRightInd w:val="0"/>
              <w:snapToGrid w:val="0"/>
              <w:spacing w:before="0" w:beforeAutospacing="0" w:after="0" w:afterAutospacing="0" w:line="520" w:lineRule="exact"/>
              <w:ind w:left="0" w:right="0" w:firstLineChars="200" w:firstLine="480"/>
              <w:rPr>
                <w:b w:val="0"/>
                <w:bCs w:val="0"/>
                <w:color w:val="000000"/>
                <w:sz w:val="24"/>
                <w:szCs w:val="22"/>
                <w:u w:val="single"/>
              </w:rPr>
            </w:pPr>
            <w:r>
              <w:rPr>
                <w:rFonts w:ascii="Times New Roman" w:cs="Times New Roman" w:hAnsi="Times New Roman" w:hint="eastAsia"/>
                <w:b w:val="0"/>
                <w:bCs w:val="0"/>
                <w:color w:val="000000"/>
                <w:sz w:val="24"/>
                <w:szCs w:val="22"/>
                <w:u w:val="single"/>
              </w:rPr>
              <w:t>1）</w:t>
            </w:r>
            <w:r>
              <w:rPr>
                <w:rFonts w:ascii="Times New Roman" w:cs="Times New Roman" w:hAnsi="Times New Roman"/>
                <w:b w:val="0"/>
                <w:bCs w:val="0"/>
                <w:color w:val="000000"/>
                <w:sz w:val="24"/>
                <w:szCs w:val="22"/>
                <w:u w:val="single"/>
              </w:rPr>
              <w:t>成立</w:t>
            </w:r>
            <w:r>
              <w:rPr>
                <w:rFonts w:ascii="Times New Roman" w:cs="Times New Roman" w:hAnsi="Times New Roman" w:hint="eastAsia"/>
                <w:b w:val="0"/>
                <w:bCs w:val="0"/>
                <w:color w:val="000000"/>
                <w:sz w:val="24"/>
                <w:szCs w:val="22"/>
                <w:u w:val="single"/>
              </w:rPr>
              <w:t>事故</w:t>
            </w:r>
            <w:r>
              <w:rPr>
                <w:rFonts w:ascii="Times New Roman" w:cs="Times New Roman" w:hAnsi="Times New Roman"/>
                <w:b w:val="0"/>
                <w:bCs w:val="0"/>
                <w:color w:val="000000"/>
                <w:sz w:val="24"/>
                <w:szCs w:val="22"/>
                <w:u w:val="single"/>
              </w:rPr>
              <w:t>应急</w:t>
            </w:r>
            <w:r>
              <w:rPr>
                <w:rFonts w:ascii="Times New Roman" w:cs="Times New Roman" w:hAnsi="Times New Roman" w:hint="eastAsia"/>
                <w:b w:val="0"/>
                <w:bCs w:val="0"/>
                <w:color w:val="000000"/>
                <w:sz w:val="24"/>
                <w:szCs w:val="22"/>
                <w:u w:val="single"/>
              </w:rPr>
              <w:t>救援</w:t>
            </w:r>
            <w:r>
              <w:rPr>
                <w:rFonts w:ascii="Times New Roman" w:cs="Times New Roman" w:hAnsi="Times New Roman"/>
                <w:b w:val="0"/>
                <w:bCs w:val="0"/>
                <w:color w:val="000000"/>
                <w:sz w:val="24"/>
                <w:szCs w:val="22"/>
                <w:u w:val="single"/>
              </w:rPr>
              <w:t>小组，</w:t>
            </w:r>
            <w:r>
              <w:rPr>
                <w:rFonts w:ascii="Times New Roman" w:cs="Times New Roman" w:hAnsi="Times New Roman" w:hint="eastAsia"/>
                <w:b w:val="0"/>
                <w:bCs w:val="0"/>
                <w:color w:val="000000"/>
                <w:sz w:val="24"/>
                <w:szCs w:val="22"/>
                <w:u w:val="single"/>
              </w:rPr>
              <w:t>站长担任</w:t>
            </w:r>
            <w:r>
              <w:rPr>
                <w:rFonts w:ascii="Times New Roman" w:cs="Times New Roman" w:hAnsi="Times New Roman"/>
                <w:b w:val="0"/>
                <w:bCs w:val="0"/>
                <w:color w:val="000000"/>
                <w:sz w:val="24"/>
                <w:szCs w:val="22"/>
                <w:u w:val="single"/>
              </w:rPr>
              <w:t>事故应急</w:t>
            </w:r>
            <w:r>
              <w:rPr>
                <w:rFonts w:ascii="Times New Roman" w:cs="Times New Roman" w:hAnsi="Times New Roman" w:hint="eastAsia"/>
                <w:b w:val="0"/>
                <w:bCs w:val="0"/>
                <w:color w:val="000000"/>
                <w:sz w:val="24"/>
                <w:szCs w:val="22"/>
                <w:u w:val="single"/>
              </w:rPr>
              <w:t>救援</w:t>
            </w:r>
            <w:r>
              <w:rPr>
                <w:rFonts w:ascii="Times New Roman" w:cs="Times New Roman" w:hAnsi="Times New Roman"/>
                <w:b w:val="0"/>
                <w:bCs w:val="0"/>
                <w:color w:val="000000"/>
                <w:sz w:val="24"/>
                <w:szCs w:val="22"/>
                <w:u w:val="single"/>
              </w:rPr>
              <w:t>小组组长，员工为事故应急</w:t>
            </w:r>
            <w:r>
              <w:rPr>
                <w:rFonts w:ascii="Times New Roman" w:cs="Times New Roman" w:hAnsi="Times New Roman" w:hint="eastAsia"/>
                <w:b w:val="0"/>
                <w:bCs w:val="0"/>
                <w:color w:val="000000"/>
                <w:sz w:val="24"/>
                <w:szCs w:val="22"/>
                <w:u w:val="single"/>
              </w:rPr>
              <w:t>救援</w:t>
            </w:r>
            <w:r>
              <w:rPr>
                <w:rFonts w:ascii="Times New Roman" w:cs="Times New Roman" w:hAnsi="Times New Roman"/>
                <w:b w:val="0"/>
                <w:bCs w:val="0"/>
                <w:color w:val="000000"/>
                <w:sz w:val="24"/>
                <w:szCs w:val="22"/>
                <w:u w:val="single"/>
              </w:rPr>
              <w:t>小组成员，组长和组员担负疏散引导、通讯联络及安全防护救护的职责。明确</w:t>
            </w:r>
            <w:r>
              <w:rPr>
                <w:rFonts w:ascii="Times New Roman" w:cs="Times New Roman" w:hAnsi="Times New Roman" w:hint="eastAsia"/>
                <w:b w:val="0"/>
                <w:bCs w:val="0"/>
                <w:color w:val="000000"/>
                <w:sz w:val="24"/>
                <w:szCs w:val="22"/>
                <w:u w:val="single"/>
              </w:rPr>
              <w:t>人员</w:t>
            </w:r>
            <w:r>
              <w:rPr>
                <w:rFonts w:ascii="Times New Roman" w:cs="Times New Roman" w:hAnsi="Times New Roman"/>
                <w:b w:val="0"/>
                <w:bCs w:val="0"/>
                <w:color w:val="000000"/>
                <w:sz w:val="24"/>
                <w:szCs w:val="22"/>
                <w:u w:val="single"/>
              </w:rPr>
              <w:t>职责</w:t>
            </w:r>
            <w:r>
              <w:rPr>
                <w:rFonts w:ascii="Times New Roman" w:cs="Times New Roman" w:hAnsi="Times New Roman" w:hint="eastAsia"/>
                <w:b w:val="0"/>
                <w:bCs w:val="0"/>
                <w:color w:val="000000"/>
                <w:sz w:val="24"/>
                <w:szCs w:val="22"/>
                <w:u w:val="single"/>
              </w:rPr>
              <w:t>。</w:t>
            </w:r>
          </w:p>
          <w:p>
            <w:pPr>
              <w:keepNext w:val="0"/>
              <w:keepLines w:val="0"/>
              <w:suppressLineNumbers w:val="0"/>
              <w:adjustRightInd w:val="0"/>
              <w:snapToGrid w:val="0"/>
              <w:spacing w:before="0" w:beforeAutospacing="0" w:after="0" w:afterAutospacing="0" w:line="520" w:lineRule="exact"/>
              <w:ind w:left="0" w:right="0" w:firstLineChars="200" w:firstLine="480"/>
              <w:rPr>
                <w:rFonts w:hint="eastAsia"/>
                <w:b w:val="0"/>
                <w:bCs w:val="0"/>
                <w:color w:val="000000"/>
                <w:sz w:val="24"/>
                <w:szCs w:val="22"/>
                <w:u w:val="single"/>
              </w:rPr>
            </w:pPr>
            <w:r>
              <w:rPr>
                <w:rFonts w:ascii="Times New Roman" w:cs="Times New Roman" w:hAnsi="Times New Roman"/>
                <w:b w:val="0"/>
                <w:bCs w:val="0"/>
                <w:color w:val="000000"/>
                <w:sz w:val="24"/>
                <w:szCs w:val="22"/>
                <w:u w:val="single"/>
              </w:rPr>
              <w:t>2</w:t>
            </w:r>
            <w:r>
              <w:rPr>
                <w:rFonts w:ascii="Times New Roman" w:cs="Times New Roman" w:hAnsi="Times New Roman" w:hint="eastAsia"/>
                <w:b w:val="0"/>
                <w:bCs w:val="0"/>
                <w:color w:val="000000"/>
                <w:sz w:val="24"/>
                <w:szCs w:val="22"/>
                <w:u w:val="single"/>
              </w:rPr>
              <w:t>）配备应急救援</w:t>
            </w:r>
            <w:r>
              <w:rPr>
                <w:rFonts w:ascii="Times New Roman" w:cs="Times New Roman" w:hAnsi="Times New Roman"/>
                <w:b w:val="0"/>
                <w:bCs w:val="0"/>
                <w:color w:val="000000"/>
                <w:sz w:val="24"/>
                <w:szCs w:val="22"/>
                <w:u w:val="single"/>
              </w:rPr>
              <w:t>器材，</w:t>
            </w:r>
            <w:r>
              <w:rPr>
                <w:rFonts w:ascii="Times New Roman" w:cs="Times New Roman" w:hAnsi="Times New Roman" w:hint="eastAsia"/>
                <w:b w:val="0"/>
                <w:bCs w:val="0"/>
                <w:color w:val="000000"/>
                <w:sz w:val="24"/>
                <w:szCs w:val="22"/>
                <w:u w:val="single"/>
              </w:rPr>
              <w:t>如</w:t>
            </w:r>
            <w:r>
              <w:rPr>
                <w:rFonts w:ascii="Times New Roman" w:cs="Times New Roman" w:hAnsi="Times New Roman"/>
                <w:b w:val="0"/>
                <w:bCs w:val="0"/>
                <w:color w:val="000000"/>
                <w:sz w:val="24"/>
                <w:szCs w:val="22"/>
                <w:u w:val="single"/>
              </w:rPr>
              <w:t>防护服、防护手套、防爆手电筒、应急药箱</w:t>
            </w:r>
            <w:r>
              <w:rPr>
                <w:rFonts w:ascii="Times New Roman" w:cs="Times New Roman" w:hAnsi="Times New Roman" w:hint="eastAsia"/>
                <w:b w:val="0"/>
                <w:bCs w:val="0"/>
                <w:color w:val="000000"/>
                <w:sz w:val="24"/>
                <w:szCs w:val="22"/>
                <w:u w:val="single"/>
              </w:rPr>
              <w:t>、</w:t>
            </w:r>
            <w:r>
              <w:rPr>
                <w:rFonts w:ascii="Times New Roman" w:cs="Times New Roman" w:hAnsi="Times New Roman"/>
                <w:b w:val="0"/>
                <w:bCs w:val="0"/>
                <w:color w:val="000000"/>
                <w:sz w:val="24"/>
                <w:szCs w:val="22"/>
                <w:u w:val="single"/>
              </w:rPr>
              <w:t>灭火器、灭火毯、消防沙、消防桶、铁锹</w:t>
            </w:r>
            <w:r>
              <w:rPr>
                <w:rFonts w:ascii="Times New Roman" w:cs="Times New Roman" w:hAnsi="Times New Roman" w:hint="eastAsia"/>
                <w:b w:val="0"/>
                <w:bCs w:val="0"/>
                <w:color w:val="000000"/>
                <w:sz w:val="24"/>
                <w:szCs w:val="22"/>
                <w:u w:val="single"/>
              </w:rPr>
              <w:t>、</w:t>
            </w:r>
            <w:r>
              <w:rPr>
                <w:rFonts w:ascii="Times New Roman" w:cs="Times New Roman" w:hAnsi="Times New Roman"/>
                <w:b w:val="0"/>
                <w:bCs w:val="0"/>
                <w:color w:val="000000"/>
                <w:sz w:val="24"/>
                <w:szCs w:val="22"/>
                <w:u w:val="single"/>
              </w:rPr>
              <w:t>防暴恐器材等</w:t>
            </w:r>
            <w:r>
              <w:rPr>
                <w:rFonts w:ascii="Times New Roman" w:cs="Times New Roman" w:hAnsi="Times New Roman" w:hint="eastAsia"/>
                <w:b w:val="0"/>
                <w:bCs w:val="0"/>
                <w:color w:val="000000"/>
                <w:sz w:val="24"/>
                <w:szCs w:val="22"/>
                <w:u w:val="single"/>
              </w:rPr>
              <w:t>。</w:t>
            </w:r>
          </w:p>
          <w:p>
            <w:pPr>
              <w:keepNext w:val="0"/>
              <w:keepLines w:val="0"/>
              <w:suppressLineNumbers w:val="0"/>
              <w:adjustRightInd w:val="0"/>
              <w:snapToGrid w:val="0"/>
              <w:spacing w:before="0" w:beforeAutospacing="0" w:after="0" w:afterAutospacing="0" w:line="520" w:lineRule="exact"/>
              <w:ind w:left="0" w:right="0" w:firstLineChars="200" w:firstLine="480"/>
              <w:rPr>
                <w:rFonts w:hint="eastAsia"/>
                <w:b w:val="0"/>
                <w:bCs w:val="0"/>
                <w:color w:val="000000"/>
                <w:sz w:val="24"/>
                <w:szCs w:val="22"/>
                <w:u w:val="single"/>
              </w:rPr>
            </w:pPr>
            <w:r>
              <w:rPr>
                <w:rFonts w:ascii="Times New Roman" w:cs="Times New Roman" w:hAnsi="Times New Roman"/>
                <w:b w:val="0"/>
                <w:bCs w:val="0"/>
                <w:color w:val="000000"/>
                <w:sz w:val="24"/>
                <w:szCs w:val="22"/>
                <w:u w:val="single"/>
              </w:rPr>
              <w:t>3</w:t>
            </w:r>
            <w:r>
              <w:rPr>
                <w:rFonts w:ascii="Times New Roman" w:cs="Times New Roman" w:hAnsi="Times New Roman" w:hint="eastAsia"/>
                <w:b w:val="0"/>
                <w:bCs w:val="0"/>
                <w:color w:val="000000"/>
                <w:sz w:val="24"/>
                <w:szCs w:val="22"/>
                <w:u w:val="single"/>
              </w:rPr>
              <w:t>）应急救援</w:t>
            </w:r>
            <w:r>
              <w:rPr>
                <w:rFonts w:ascii="Times New Roman" w:cs="Times New Roman" w:hAnsi="Times New Roman"/>
                <w:b w:val="0"/>
                <w:bCs w:val="0"/>
                <w:color w:val="000000"/>
                <w:sz w:val="24"/>
                <w:szCs w:val="22"/>
                <w:u w:val="single"/>
              </w:rPr>
              <w:t>措施</w:t>
            </w:r>
            <w:r>
              <w:rPr>
                <w:rFonts w:ascii="Times New Roman" w:cs="Times New Roman" w:hAnsi="Times New Roman" w:hint="eastAsia"/>
                <w:b w:val="0"/>
                <w:bCs w:val="0"/>
                <w:color w:val="000000"/>
                <w:sz w:val="24"/>
                <w:szCs w:val="22"/>
                <w:u w:val="single"/>
              </w:rPr>
              <w:t>主要包括人员疏散、撤离、危险区隔离、抢险救援、受伤人员现场救护与医院救治、现场保护与洗消、应急救援保障等。</w:t>
            </w:r>
          </w:p>
          <w:p>
            <w:pPr>
              <w:pStyle w:val="2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hint="eastAsia"/>
                <w:b/>
                <w:bCs/>
                <w:u w:val="single"/>
                <w:lang w:val="en-US" w:eastAsia="zh-CN"/>
              </w:rPr>
            </w:pPr>
            <w:r>
              <w:rPr>
                <w:rFonts w:ascii="Times New Roman" w:cs="Times New Roman" w:hAnsi="Times New Roman" w:hint="eastAsia"/>
                <w:b w:val="0"/>
                <w:bCs w:val="0"/>
                <w:color w:val="000000"/>
                <w:sz w:val="24"/>
                <w:szCs w:val="20"/>
                <w:u w:val="single"/>
              </w:rPr>
              <w:t>综上所述</w:t>
            </w:r>
            <w:r>
              <w:rPr>
                <w:rFonts w:ascii="Times New Roman" w:cs="Times New Roman" w:hAnsi="Times New Roman"/>
                <w:b w:val="0"/>
                <w:bCs w:val="0"/>
                <w:color w:val="000000"/>
                <w:sz w:val="24"/>
                <w:szCs w:val="20"/>
                <w:u w:val="single"/>
              </w:rPr>
              <w:t>，建设单位严格按照国家有关</w:t>
            </w:r>
            <w:r>
              <w:rPr>
                <w:rFonts w:ascii="Times New Roman" w:cs="Times New Roman" w:hAnsi="Times New Roman" w:hint="eastAsia"/>
                <w:b w:val="0"/>
                <w:bCs w:val="0"/>
                <w:color w:val="000000"/>
                <w:sz w:val="24"/>
                <w:szCs w:val="20"/>
                <w:u w:val="single"/>
              </w:rPr>
              <w:t>技术</w:t>
            </w:r>
            <w:r>
              <w:rPr>
                <w:rFonts w:ascii="Times New Roman" w:cs="Times New Roman" w:hAnsi="Times New Roman"/>
                <w:b w:val="0"/>
                <w:bCs w:val="0"/>
                <w:color w:val="000000"/>
                <w:sz w:val="24"/>
                <w:szCs w:val="20"/>
                <w:u w:val="single"/>
              </w:rPr>
              <w:t>标准进行设计、施工与生产，并落实本项目提出的</w:t>
            </w:r>
            <w:r>
              <w:rPr>
                <w:rFonts w:ascii="Times New Roman" w:cs="Times New Roman" w:hAnsi="Times New Roman" w:hint="eastAsia"/>
                <w:b w:val="0"/>
                <w:bCs w:val="0"/>
                <w:color w:val="000000"/>
                <w:sz w:val="24"/>
                <w:szCs w:val="20"/>
                <w:u w:val="single"/>
              </w:rPr>
              <w:t>防范</w:t>
            </w:r>
            <w:r>
              <w:rPr>
                <w:rFonts w:ascii="Times New Roman" w:cs="Times New Roman" w:hAnsi="Times New Roman"/>
                <w:b w:val="0"/>
                <w:bCs w:val="0"/>
                <w:color w:val="000000"/>
                <w:sz w:val="24"/>
                <w:szCs w:val="20"/>
                <w:u w:val="single"/>
              </w:rPr>
              <w:t>措施，</w:t>
            </w:r>
            <w:r>
              <w:rPr>
                <w:rFonts w:ascii="Times New Roman" w:cs="Times New Roman" w:hAnsi="Times New Roman" w:hint="eastAsia"/>
                <w:b w:val="0"/>
                <w:bCs w:val="0"/>
                <w:color w:val="000000"/>
                <w:sz w:val="24"/>
                <w:szCs w:val="20"/>
                <w:u w:val="single"/>
              </w:rPr>
              <w:t>制定</w:t>
            </w:r>
            <w:r>
              <w:rPr>
                <w:rFonts w:ascii="Times New Roman" w:cs="Times New Roman" w:hAnsi="Times New Roman"/>
                <w:b w:val="0"/>
                <w:bCs w:val="0"/>
                <w:color w:val="000000"/>
                <w:sz w:val="24"/>
                <w:szCs w:val="20"/>
                <w:u w:val="single"/>
              </w:rPr>
              <w:t>详细、可行的风险应急预案</w:t>
            </w:r>
            <w:r>
              <w:rPr>
                <w:rFonts w:ascii="Times New Roman" w:cs="Times New Roman" w:hAnsi="Times New Roman" w:hint="eastAsia"/>
                <w:b w:val="0"/>
                <w:bCs w:val="0"/>
                <w:color w:val="000000"/>
                <w:sz w:val="24"/>
                <w:szCs w:val="20"/>
                <w:u w:val="single"/>
              </w:rPr>
              <w:t>，则</w:t>
            </w:r>
            <w:r>
              <w:rPr>
                <w:rFonts w:ascii="Times New Roman" w:cs="Times New Roman" w:hAnsi="Times New Roman"/>
                <w:b w:val="0"/>
                <w:bCs w:val="0"/>
                <w:color w:val="000000"/>
                <w:sz w:val="24"/>
                <w:szCs w:val="20"/>
                <w:u w:val="single"/>
              </w:rPr>
              <w:t>项目</w:t>
            </w:r>
            <w:r>
              <w:rPr>
                <w:rFonts w:ascii="Times New Roman" w:cs="Times New Roman" w:hAnsi="Times New Roman" w:hint="eastAsia"/>
                <w:b w:val="0"/>
                <w:bCs w:val="0"/>
                <w:color w:val="000000"/>
                <w:sz w:val="24"/>
                <w:szCs w:val="20"/>
                <w:u w:val="single"/>
              </w:rPr>
              <w:t>环境</w:t>
            </w:r>
            <w:r>
              <w:rPr>
                <w:rFonts w:ascii="Times New Roman" w:cs="Times New Roman" w:hAnsi="Times New Roman"/>
                <w:b w:val="0"/>
                <w:bCs w:val="0"/>
                <w:color w:val="000000"/>
                <w:sz w:val="24"/>
                <w:szCs w:val="20"/>
                <w:u w:val="single"/>
              </w:rPr>
              <w:t>风险在可接受范围内。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eastAsia="宋体"/>
                <w:lang w:val="en-US" w:eastAsia="zh-CN"/>
              </w:rPr>
            </w:pPr>
            <w:r>
              <w:rPr>
                <w:rFonts w:ascii="Times New Roman" w:cs="Times New Roman" w:hAnsi="Times New Roman" w:hint="eastAsia"/>
                <w:b/>
                <w:bCs/>
                <w:sz w:val="24"/>
                <w:szCs w:val="20"/>
                <w:lang w:val="en-US" w:eastAsia="zh-CN"/>
              </w:rPr>
              <w:t>八、电磁辐射</w:t>
            </w:r>
          </w:p>
          <w:p>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both"/>
              <w:textAlignment w:val="auto"/>
              <w:rPr>
                <w:rFonts w:ascii="Times New Roman" w:eastAsia="宋体" w:cs="Times New Roman" w:hAnsi="Times New Roman"/>
                <w:b w:val="0"/>
                <w:bCs/>
                <w:color w:val="000000"/>
                <w:sz w:val="24"/>
                <w:lang w:val="en-US" w:eastAsia="zh-CN"/>
                <w:highlight w:val="none"/>
              </w:rPr>
            </w:pPr>
            <w:r>
              <w:rPr>
                <w:rFonts w:ascii="Times New Roman" w:eastAsia="宋体" w:cs="Times New Roman" w:hAnsi="Times New Roman"/>
                <w:b w:val="0"/>
                <w:bCs/>
                <w:color w:val="000000"/>
                <w:sz w:val="24"/>
                <w:szCs w:val="20"/>
                <w:lang w:val="en-US" w:eastAsia="zh-CN"/>
                <w:highlight w:val="none"/>
              </w:rPr>
              <w:t>本项目不涉及辐射源，故不对电磁辐射做评价分析</w:t>
            </w:r>
            <w:r>
              <w:rPr>
                <w:rFonts w:ascii="Times New Roman" w:cs="Times New Roman" w:hAnsi="Times New Roman" w:hint="eastAsia"/>
                <w:b w:val="0"/>
                <w:bCs/>
                <w:color w:val="000000"/>
                <w:sz w:val="24"/>
                <w:szCs w:val="20"/>
                <w:lang w:val="en-US" w:eastAsia="zh-CN"/>
                <w:highlight w:val="none"/>
              </w:rPr>
              <w:t>。</w:t>
            </w:r>
          </w:p>
          <w:p>
            <w:pPr>
              <w:pStyle w:val="2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ascii="Times New Roman" w:eastAsia="宋体" w:cs="Times New Roman" w:hAnsi="Times New Roman"/>
                <w:b w:val="0"/>
                <w:bCs/>
                <w:color w:val="000000"/>
                <w:sz w:val="24"/>
                <w:lang w:val="en-US" w:eastAsia="zh-CN"/>
                <w:highlight w:val="none"/>
              </w:rPr>
            </w:pPr>
          </w:p>
          <w:p>
            <w:pPr>
              <w:pStyle w:val="1"/>
              <w:keepNext/>
              <w:keepLines w:val="0"/>
              <w:suppressLineNumbers w:val="0"/>
              <w:spacing w:beforeAutospacing="0" w:afterAutospacing="0"/>
              <w:ind w:left="0" w:right="0" w:firstLine="0"/>
              <w:rPr>
                <w:rFonts w:eastAsia="宋体" w:hint="eastAsia"/>
                <w:bCs/>
                <w:spacing w:val="-10"/>
                <w:sz w:val="24"/>
                <w:lang w:eastAsia="zh-CN"/>
              </w:rPr>
            </w:pPr>
          </w:p>
          <w:p>
            <w:pPr>
              <w:keepNext w:val="0"/>
              <w:keepLines w:val="0"/>
              <w:suppressLineNumbers w:val="0"/>
              <w:spacing w:before="0" w:beforeAutospacing="0" w:after="0" w:afterAutospacing="0"/>
              <w:ind w:left="0" w:right="0"/>
              <w:rPr>
                <w:rFonts w:hint="eastAsia"/>
                <w:lang w:eastAsia="zh-CN"/>
              </w:rPr>
            </w:pPr>
          </w:p>
          <w:p>
            <w:pPr>
              <w:keepNext w:val="0"/>
              <w:keepLines w:val="0"/>
              <w:suppressLineNumbers w:val="0"/>
              <w:spacing w:before="0" w:beforeAutospacing="0" w:after="0" w:afterAutospacing="0"/>
              <w:ind w:left="0" w:right="0"/>
              <w:rPr>
                <w:rFonts w:eastAsia="宋体" w:hint="eastAsia"/>
                <w:bCs/>
                <w:spacing w:val="-10"/>
                <w:sz w:val="24"/>
                <w:lang w:eastAsia="zh-CN"/>
              </w:rPr>
            </w:pPr>
          </w:p>
          <w:p>
            <w:pPr>
              <w:pStyle w:val="1"/>
              <w:keepNext/>
              <w:keepLines w:val="0"/>
              <w:suppressLineNumbers w:val="0"/>
              <w:spacing w:beforeAutospacing="0" w:afterAutospacing="0"/>
              <w:ind w:left="0" w:right="0" w:firstLine="0"/>
              <w:rPr>
                <w:rFonts w:hint="eastAsia"/>
                <w:lang w:eastAsia="zh-CN"/>
              </w:rPr>
            </w:pPr>
          </w:p>
          <w:p>
            <w:pPr>
              <w:keepNext w:val="0"/>
              <w:keepLines w:val="0"/>
              <w:suppressLineNumbers w:val="0"/>
              <w:spacing w:before="0" w:beforeAutospacing="0" w:after="0" w:afterAutospacing="0"/>
              <w:ind w:left="0" w:right="0"/>
              <w:rPr>
                <w:rFonts w:hint="eastAsia"/>
                <w:lang w:eastAsia="zh-CN"/>
              </w:rPr>
            </w:pPr>
          </w:p>
          <w:p>
            <w:pPr>
              <w:keepNext w:val="0"/>
              <w:keepLines w:val="0"/>
              <w:suppressLineNumbers w:val="0"/>
              <w:spacing w:before="0" w:beforeAutospacing="0" w:after="0" w:afterAutospacing="0"/>
              <w:ind w:left="0" w:right="0"/>
              <w:rPr>
                <w:rFonts w:hint="eastAsia"/>
                <w:lang w:eastAsia="zh-CN"/>
              </w:rPr>
            </w:pPr>
          </w:p>
          <w:p>
            <w:pPr>
              <w:keepNext w:val="0"/>
              <w:keepLines w:val="0"/>
              <w:suppressLineNumbers w:val="0"/>
              <w:spacing w:before="0" w:beforeAutospacing="0" w:after="0" w:afterAutospacing="0"/>
              <w:ind w:left="0" w:right="0"/>
              <w:rPr>
                <w:rFonts w:hint="eastAsia"/>
                <w:lang w:eastAsia="zh-CN"/>
              </w:rPr>
            </w:pPr>
          </w:p>
        </w:tc>
      </w:tr>
    </w:tbl>
    <w:p>
      <w:pPr>
        <w:adjustRightInd w:val="0"/>
        <w:snapToGrid w:val="0"/>
        <w:spacing w:line="360" w:lineRule="auto"/>
        <w:rPr>
          <w:rFonts w:ascii="宋体" w:cs="宋体" w:hint="eastAsia"/>
          <w:b/>
          <w:kern w:val="0"/>
          <w:sz w:val="28"/>
          <w:szCs w:val="28"/>
        </w:rPr>
        <w:sectPr>
          <w:pgSz w:w="11907" w:h="16840"/>
          <w:pgMar w:top="1701" w:right="1531" w:bottom="1701" w:left="1531" w:header="851" w:footer="851" w:gutter="0"/>
          <w:pgBorders>
            <w:top w:val="none" w:sz="0" w:space="0" w:color="auto"/>
            <w:left w:val="none" w:sz="0" w:space="0" w:color="auto"/>
            <w:bottom w:val="none" w:sz="0" w:space="0" w:color="auto"/>
            <w:right w:val="none" w:sz="0" w:space="0" w:color="auto"/>
          </w:pgBorders>
          <w:cols w:num="1" w:space="720"/>
          <w:docGrid w:linePitch="312" w:charSpace="0"/>
        </w:sectPr>
      </w:pPr>
    </w:p>
    <w:p>
      <w:pPr>
        <w:pStyle w:val="29"/>
        <w:jc w:val="center"/>
        <w:outlineLvl w:val="0"/>
        <w:rPr>
          <w:rFonts w:ascii="黑体" w:eastAsia="黑体" w:cs="黑体" w:hAnsi="黑体" w:hint="eastAsia"/>
          <w:b w:val="0"/>
          <w:bCs w:val="0"/>
          <w:snapToGrid w:val="0"/>
          <w:sz w:val="30"/>
          <w:szCs w:val="30"/>
        </w:rPr>
      </w:pPr>
      <w:r>
        <w:rPr>
          <w:rFonts w:ascii="黑体" w:eastAsia="黑体" w:cs="黑体" w:hAnsi="黑体" w:hint="eastAsia"/>
          <w:b w:val="0"/>
          <w:bCs w:val="0"/>
          <w:snapToGrid w:val="0"/>
          <w:sz w:val="30"/>
          <w:szCs w:val="30"/>
        </w:rPr>
        <w:t>五、</w:t>
      </w:r>
      <w:bookmarkStart w:id="7" w:name="_Hlk54167917"/>
      <w:r>
        <w:rPr>
          <w:rFonts w:ascii="黑体" w:eastAsia="黑体" w:cs="黑体" w:hAnsi="黑体" w:hint="eastAsia"/>
          <w:b w:val="0"/>
          <w:bCs w:val="0"/>
          <w:snapToGrid w:val="0"/>
          <w:sz w:val="30"/>
          <w:szCs w:val="30"/>
        </w:rPr>
        <w:t>环境保护措施监督检查清单</w:t>
      </w:r>
      <w:bookmarkEnd w:id="7"/>
    </w:p>
    <w:tbl>
      <w:tblPr>
        <w:jc w:val="center"/>
        <w:tblW w:w="532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371"/>
        <w:gridCol w:w="1259"/>
        <w:gridCol w:w="1024"/>
        <w:gridCol w:w="2807"/>
        <w:gridCol w:w="3430"/>
      </w:tblGrid>
      <w:tr>
        <w:trPr>
          <w:trHeight w:val="397"/>
        </w:trPr>
        <w:tc>
          <w:tcPr>
            <w:tcW w:w="1371" w:type="dxa"/>
            <w:tcBorders>
              <w:tl2br w:val="single" w:sz="4" w:space="0" w:color="auto"/>
            </w:tcBorders>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right"/>
              <w:rPr>
                <w:rFonts w:ascii="Times New Roman" w:cs="Times New Roman" w:hAnsi="Times New Roman"/>
                <w:b/>
                <w:sz w:val="24"/>
                <w:szCs w:val="24"/>
                <w:highlight w:val="none"/>
              </w:rPr>
            </w:pPr>
            <w:r>
              <w:rPr>
                <w:rFonts w:ascii="Times New Roman" w:cs="Times New Roman" w:hAnsi="Times New Roman"/>
                <w:b/>
                <w:sz w:val="24"/>
                <w:szCs w:val="24"/>
                <w:highlight w:val="none"/>
              </w:rPr>
              <w:t>内容</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rPr>
                <w:rFonts w:ascii="Times New Roman" w:cs="Times New Roman" w:hAnsi="Times New Roman"/>
                <w:b/>
                <w:sz w:val="24"/>
                <w:szCs w:val="24"/>
                <w:highlight w:val="none"/>
              </w:rPr>
            </w:pPr>
            <w:r>
              <w:rPr>
                <w:rFonts w:ascii="Times New Roman" w:cs="Times New Roman" w:hAnsi="Times New Roman"/>
                <w:b/>
                <w:sz w:val="24"/>
                <w:szCs w:val="24"/>
                <w:highlight w:val="none"/>
              </w:rPr>
              <w:t>要素</w:t>
            </w:r>
          </w:p>
        </w:tc>
        <w:tc>
          <w:tcPr>
            <w:tcW w:w="1259"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rPr>
                <w:rFonts w:ascii="Times New Roman" w:cs="Times New Roman" w:hAnsi="Times New Roman"/>
                <w:b/>
                <w:sz w:val="24"/>
                <w:szCs w:val="24"/>
                <w:highlight w:val="none"/>
              </w:rPr>
            </w:pPr>
            <w:r>
              <w:rPr>
                <w:rFonts w:ascii="Times New Roman" w:cs="Times New Roman" w:hAnsi="Times New Roman"/>
                <w:b/>
                <w:sz w:val="24"/>
                <w:szCs w:val="24"/>
                <w:highlight w:val="none"/>
              </w:rPr>
              <w:t>排放口</w:t>
            </w:r>
            <w:r>
              <w:rPr>
                <w:rFonts w:ascii="Times New Roman" w:cs="Times New Roman" w:hAnsi="Times New Roman"/>
                <w:b/>
                <w:sz w:val="24"/>
                <w:szCs w:val="24"/>
                <w:lang w:eastAsia="zh-CN"/>
                <w:highlight w:val="none"/>
              </w:rPr>
              <w:t>（</w:t>
            </w:r>
            <w:r>
              <w:rPr>
                <w:rFonts w:ascii="Times New Roman" w:cs="Times New Roman" w:hAnsi="Times New Roman"/>
                <w:b/>
                <w:sz w:val="24"/>
                <w:szCs w:val="24"/>
                <w:highlight w:val="none"/>
              </w:rPr>
              <w:t>编号、名称</w:t>
            </w:r>
            <w:r>
              <w:rPr>
                <w:rFonts w:ascii="Times New Roman" w:cs="Times New Roman" w:hAnsi="Times New Roman"/>
                <w:b/>
                <w:sz w:val="24"/>
                <w:szCs w:val="24"/>
                <w:lang w:eastAsia="zh-CN"/>
                <w:highlight w:val="none"/>
              </w:rPr>
              <w:t>）</w:t>
            </w:r>
            <w:r>
              <w:rPr>
                <w:rFonts w:ascii="Times New Roman" w:cs="Times New Roman" w:hAnsi="Times New Roman"/>
                <w:b/>
                <w:sz w:val="24"/>
                <w:szCs w:val="24"/>
                <w:highlight w:val="none"/>
              </w:rPr>
              <w:t>/污染源</w:t>
            </w:r>
          </w:p>
        </w:tc>
        <w:tc>
          <w:tcPr>
            <w:tcW w:w="1024"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rPr>
                <w:rFonts w:ascii="Times New Roman" w:cs="Times New Roman" w:hAnsi="Times New Roman"/>
                <w:b/>
                <w:sz w:val="24"/>
                <w:szCs w:val="24"/>
                <w:highlight w:val="none"/>
              </w:rPr>
            </w:pPr>
            <w:r>
              <w:rPr>
                <w:rFonts w:ascii="Times New Roman" w:cs="Times New Roman" w:hAnsi="Times New Roman"/>
                <w:b/>
                <w:sz w:val="24"/>
                <w:szCs w:val="24"/>
                <w:highlight w:val="none"/>
              </w:rPr>
              <w:t>污染物项目</w:t>
            </w:r>
          </w:p>
        </w:tc>
        <w:tc>
          <w:tcPr>
            <w:tcW w:w="2807"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rPr>
                <w:rFonts w:ascii="Times New Roman" w:cs="Times New Roman" w:hAnsi="Times New Roman"/>
                <w:b/>
                <w:sz w:val="24"/>
                <w:szCs w:val="24"/>
                <w:highlight w:val="none"/>
              </w:rPr>
            </w:pPr>
            <w:r>
              <w:rPr>
                <w:rFonts w:ascii="Times New Roman" w:cs="Times New Roman" w:hAnsi="Times New Roman"/>
                <w:b/>
                <w:sz w:val="24"/>
                <w:szCs w:val="24"/>
                <w:highlight w:val="none"/>
              </w:rPr>
              <w:t>环境保护措施</w:t>
            </w:r>
          </w:p>
        </w:tc>
        <w:tc>
          <w:tcPr>
            <w:tcW w:w="3430"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rPr>
                <w:rFonts w:ascii="Times New Roman" w:cs="Times New Roman" w:hAnsi="Times New Roman"/>
                <w:b/>
                <w:sz w:val="24"/>
                <w:szCs w:val="24"/>
                <w:highlight w:val="none"/>
              </w:rPr>
            </w:pPr>
            <w:r>
              <w:rPr>
                <w:rFonts w:ascii="Times New Roman" w:cs="Times New Roman" w:hAnsi="Times New Roman"/>
                <w:b/>
                <w:sz w:val="24"/>
                <w:szCs w:val="24"/>
                <w:highlight w:val="none"/>
              </w:rPr>
              <w:t>执行标准</w:t>
            </w:r>
          </w:p>
        </w:tc>
      </w:tr>
      <w:tr>
        <w:trPr>
          <w:trHeight w:val="397"/>
        </w:trPr>
        <w:tc>
          <w:tcPr>
            <w:tcW w:w="1371"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color w:val="auto"/>
                <w:sz w:val="24"/>
                <w:szCs w:val="24"/>
                <w:highlight w:val="none"/>
              </w:rPr>
            </w:pPr>
            <w:r>
              <w:rPr>
                <w:rFonts w:ascii="Times New Roman" w:cs="Times New Roman" w:hAnsi="Times New Roman"/>
                <w:color w:val="auto"/>
                <w:sz w:val="24"/>
                <w:szCs w:val="24"/>
                <w:highlight w:val="none"/>
              </w:rPr>
              <w:t>大气</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color w:val="auto"/>
                <w:sz w:val="24"/>
                <w:szCs w:val="24"/>
                <w:highlight w:val="none"/>
              </w:rPr>
            </w:pPr>
            <w:r>
              <w:rPr>
                <w:rFonts w:ascii="Times New Roman" w:cs="Times New Roman" w:hAnsi="Times New Roman"/>
                <w:color w:val="auto"/>
                <w:sz w:val="24"/>
                <w:szCs w:val="24"/>
                <w:highlight w:val="none"/>
              </w:rPr>
              <w:t>环境</w:t>
            </w:r>
          </w:p>
        </w:tc>
        <w:tc>
          <w:tcPr>
            <w:tcW w:w="1259"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color w:val="auto"/>
                <w:kern w:val="0"/>
                <w:sz w:val="24"/>
                <w:szCs w:val="24"/>
                <w:lang w:val="en-US" w:eastAsia="zh-CN"/>
                <w:highlight w:val="none"/>
              </w:rPr>
            </w:pPr>
            <w:r>
              <w:rPr>
                <w:rFonts w:ascii="Times New Roman" w:cs="Times New Roman" w:hAnsi="Times New Roman"/>
                <w:color w:val="auto"/>
                <w:sz w:val="24"/>
                <w:szCs w:val="24"/>
                <w:lang w:val="en-US" w:eastAsia="zh-CN"/>
                <w:highlight w:val="none"/>
              </w:rPr>
              <w:t>加油站废气</w:t>
            </w:r>
          </w:p>
        </w:tc>
        <w:tc>
          <w:tcPr>
            <w:tcW w:w="1024"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color w:val="auto"/>
                <w:sz w:val="24"/>
                <w:szCs w:val="24"/>
                <w:lang w:val="en-US" w:eastAsia="zh-CN"/>
                <w:highlight w:val="none"/>
              </w:rPr>
            </w:pPr>
            <w:r>
              <w:rPr>
                <w:rFonts w:ascii="Times New Roman" w:cs="Times New Roman" w:hAnsi="Times New Roman"/>
                <w:color w:val="auto"/>
                <w:sz w:val="24"/>
                <w:szCs w:val="24"/>
                <w:lang w:val="en-US" w:eastAsia="zh-CN"/>
                <w:highlight w:val="none"/>
              </w:rPr>
              <w:t>非甲烷总烃</w:t>
            </w:r>
          </w:p>
        </w:tc>
        <w:tc>
          <w:tcPr>
            <w:tcW w:w="2807"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bCs/>
                <w:color w:val="auto"/>
                <w:sz w:val="24"/>
                <w:szCs w:val="24"/>
                <w:lang w:val="en-US" w:eastAsia="zh-CN"/>
                <w:highlight w:val="none"/>
              </w:rPr>
            </w:pPr>
            <w:r>
              <w:rPr>
                <w:rFonts w:ascii="Times New Roman" w:eastAsia="宋体" w:cs="Times New Roman" w:hAnsi="Times New Roman"/>
                <w:color w:val="auto"/>
                <w:sz w:val="24"/>
                <w:szCs w:val="24"/>
                <w:lang w:val="en-US" w:eastAsia="zh-CN"/>
                <w:highlight w:val="none"/>
              </w:rPr>
              <w:t>汽油储罐呼吸废气和卸油、加油作业废气均配置相应的油气回收系统</w:t>
            </w:r>
          </w:p>
        </w:tc>
        <w:tc>
          <w:tcPr>
            <w:tcW w:w="3430" w:type="dxa"/>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both"/>
              <w:textAlignment w:val="auto"/>
              <w:rPr>
                <w:rFonts w:ascii="Times New Roman" w:eastAsia="宋体" w:cs="Times New Roman" w:hAnsi="Times New Roman"/>
                <w:color w:val="auto"/>
                <w:sz w:val="24"/>
                <w:szCs w:val="24"/>
                <w:u w:val="none"/>
                <w:vertAlign w:val="baseline"/>
                <w:lang w:val="en-US" w:eastAsia="zh-CN"/>
                <w:highlight w:val="none"/>
              </w:rPr>
            </w:pPr>
            <w:r>
              <w:rPr>
                <w:rFonts w:ascii="Times New Roman" w:cs="Times New Roman" w:hAnsi="Times New Roman"/>
                <w:b w:val="0"/>
                <w:bCs/>
                <w:color w:val="auto"/>
                <w:sz w:val="24"/>
                <w:szCs w:val="24"/>
                <w:u w:val="none"/>
                <w:highlight w:val="none"/>
              </w:rPr>
              <w:t>《关于全省开展工业企业挥发性有机物专项治理工作中排放建议值的通知》（豫环攻坚办</w:t>
            </w:r>
            <w:r>
              <w:rPr>
                <w:rFonts w:ascii="Times New Roman" w:cs="Times New Roman" w:hAnsi="Times New Roman"/>
                <w:b w:val="0"/>
                <w:bCs/>
                <w:color w:val="auto"/>
                <w:sz w:val="24"/>
                <w:szCs w:val="24"/>
                <w:u w:val="none"/>
                <w:lang w:eastAsia="zh-CN"/>
                <w:highlight w:val="none"/>
              </w:rPr>
              <w:t>〔</w:t>
            </w:r>
            <w:r>
              <w:rPr>
                <w:rFonts w:ascii="Times New Roman" w:cs="Times New Roman" w:hAnsi="Times New Roman"/>
                <w:b w:val="0"/>
                <w:bCs/>
                <w:color w:val="auto"/>
                <w:sz w:val="24"/>
                <w:szCs w:val="24"/>
                <w:u w:val="none"/>
                <w:highlight w:val="none"/>
              </w:rPr>
              <w:t>2017</w:t>
            </w:r>
            <w:r>
              <w:rPr>
                <w:rFonts w:ascii="Times New Roman" w:cs="Times New Roman" w:hAnsi="Times New Roman"/>
                <w:b w:val="0"/>
                <w:bCs/>
                <w:color w:val="auto"/>
                <w:sz w:val="24"/>
                <w:szCs w:val="24"/>
                <w:u w:val="none"/>
                <w:lang w:eastAsia="zh-CN"/>
                <w:highlight w:val="none"/>
              </w:rPr>
              <w:t>〕</w:t>
            </w:r>
            <w:r>
              <w:rPr>
                <w:rFonts w:ascii="Times New Roman" w:cs="Times New Roman" w:hAnsi="Times New Roman"/>
                <w:b w:val="0"/>
                <w:bCs/>
                <w:color w:val="auto"/>
                <w:sz w:val="24"/>
                <w:szCs w:val="24"/>
                <w:u w:val="none"/>
                <w:highlight w:val="none"/>
              </w:rPr>
              <w:t>162号）：</w:t>
            </w:r>
            <w:r>
              <w:rPr>
                <w:rFonts w:ascii="Times New Roman" w:cs="Times New Roman" w:hAnsi="Times New Roman"/>
                <w:b w:val="0"/>
                <w:bCs/>
                <w:color w:val="auto"/>
                <w:sz w:val="24"/>
                <w:szCs w:val="24"/>
                <w:u w:val="none"/>
                <w:lang w:val="en-US" w:eastAsia="zh-CN"/>
                <w:highlight w:val="none"/>
              </w:rPr>
              <w:t>边界浓度限值</w:t>
            </w:r>
            <w:r>
              <w:rPr>
                <w:rFonts w:ascii="Times New Roman" w:cs="Times New Roman" w:hAnsi="Times New Roman"/>
                <w:b w:val="0"/>
                <w:bCs/>
                <w:color w:val="auto"/>
                <w:sz w:val="24"/>
                <w:szCs w:val="24"/>
                <w:u w:val="none"/>
                <w:highlight w:val="none"/>
              </w:rPr>
              <w:t>2.0mg/m</w:t>
            </w:r>
            <w:r>
              <w:rPr>
                <w:rFonts w:ascii="Times New Roman" w:cs="Times New Roman" w:hAnsi="Times New Roman"/>
                <w:b w:val="0"/>
                <w:bCs/>
                <w:color w:val="auto"/>
                <w:sz w:val="24"/>
                <w:szCs w:val="24"/>
                <w:u w:val="none"/>
                <w:vertAlign w:val="superscript"/>
                <w:highlight w:val="none"/>
              </w:rPr>
              <w:t>3</w:t>
            </w:r>
            <w:r>
              <w:rPr>
                <w:rFonts w:ascii="Times New Roman" w:cs="Times New Roman" w:hAnsi="Times New Roman"/>
                <w:b w:val="0"/>
                <w:bCs/>
                <w:color w:val="auto"/>
                <w:sz w:val="24"/>
                <w:szCs w:val="24"/>
                <w:u w:val="none"/>
                <w:lang w:eastAsia="zh-CN"/>
                <w:highlight w:val="none"/>
              </w:rPr>
              <w:t>；</w:t>
            </w:r>
            <w:r>
              <w:rPr>
                <w:rFonts w:ascii="Times New Roman" w:cs="Times New Roman" w:hAnsi="Times New Roman"/>
                <w:b w:val="0"/>
                <w:bCs/>
                <w:color w:val="auto"/>
                <w:sz w:val="24"/>
                <w:szCs w:val="24"/>
                <w:u w:val="none"/>
                <w:highlight w:val="none"/>
              </w:rPr>
              <w:t>《加油站大气污染物排放标准》</w:t>
            </w:r>
            <w:r>
              <w:rPr>
                <w:rFonts w:ascii="Times New Roman" w:cs="Times New Roman" w:hAnsi="Times New Roman"/>
                <w:b w:val="0"/>
                <w:bCs/>
                <w:color w:val="auto"/>
                <w:sz w:val="24"/>
                <w:szCs w:val="24"/>
                <w:u w:val="none"/>
                <w:lang w:eastAsia="zh-CN"/>
                <w:highlight w:val="none"/>
              </w:rPr>
              <w:t>（</w:t>
            </w:r>
            <w:r>
              <w:rPr>
                <w:rFonts w:ascii="Times New Roman" w:cs="Times New Roman" w:hAnsi="Times New Roman"/>
                <w:b w:val="0"/>
                <w:bCs/>
                <w:color w:val="auto"/>
                <w:sz w:val="24"/>
                <w:szCs w:val="24"/>
                <w:u w:val="none"/>
                <w:highlight w:val="none"/>
              </w:rPr>
              <w:t>GB20952-20</w:t>
            </w:r>
            <w:r>
              <w:rPr>
                <w:rFonts w:ascii="Times New Roman" w:cs="Times New Roman" w:hAnsi="Times New Roman"/>
                <w:b w:val="0"/>
                <w:bCs/>
                <w:color w:val="auto"/>
                <w:sz w:val="24"/>
                <w:szCs w:val="24"/>
                <w:u w:val="none"/>
                <w:lang w:val="en-US" w:eastAsia="zh-CN"/>
                <w:highlight w:val="none"/>
              </w:rPr>
              <w:t>20）</w:t>
            </w:r>
            <w:r>
              <w:rPr>
                <w:rFonts w:ascii="Times New Roman" w:cs="Times New Roman" w:hAnsi="Times New Roman"/>
                <w:b w:val="0"/>
                <w:bCs/>
                <w:color w:val="auto"/>
                <w:sz w:val="24"/>
                <w:szCs w:val="24"/>
                <w:u w:val="none"/>
                <w:highlight w:val="none"/>
              </w:rPr>
              <w:t>处理装置油气排放浓度</w:t>
            </w:r>
            <w:r>
              <w:rPr>
                <w:rFonts w:ascii="Times New Roman" w:cs="Times New Roman" w:hAnsi="Times New Roman"/>
                <w:b w:val="0"/>
                <w:bCs/>
                <w:color w:val="auto"/>
                <w:sz w:val="24"/>
                <w:szCs w:val="24"/>
                <w:u w:val="none"/>
                <w:lang w:val="en-US" w:eastAsia="zh-CN"/>
                <w:highlight w:val="none"/>
              </w:rPr>
              <w:t>1小时平均浓度值</w:t>
            </w:r>
            <w:r>
              <w:rPr>
                <w:rFonts w:ascii="Times New Roman" w:cs="Times New Roman" w:hAnsi="Times New Roman"/>
                <w:b w:val="0"/>
                <w:bCs/>
                <w:color w:val="auto"/>
                <w:sz w:val="24"/>
                <w:szCs w:val="24"/>
                <w:u w:val="none"/>
                <w:highlight w:val="none"/>
              </w:rPr>
              <w:t>≤25g/m</w:t>
            </w:r>
            <w:r>
              <w:rPr>
                <w:rFonts w:ascii="Times New Roman" w:cs="Times New Roman" w:hAnsi="Times New Roman"/>
                <w:b w:val="0"/>
                <w:bCs/>
                <w:color w:val="auto"/>
                <w:sz w:val="24"/>
                <w:szCs w:val="24"/>
                <w:u w:val="none"/>
                <w:vertAlign w:val="superscript"/>
                <w:highlight w:val="none"/>
              </w:rPr>
              <w:t>3</w:t>
            </w:r>
            <w:r>
              <w:rPr>
                <w:rFonts w:ascii="Times New Roman" w:cs="Times New Roman" w:hAnsi="Times New Roman"/>
                <w:b w:val="0"/>
                <w:bCs/>
                <w:color w:val="auto"/>
                <w:sz w:val="24"/>
                <w:szCs w:val="24"/>
                <w:u w:val="none"/>
                <w:highlight w:val="none"/>
              </w:rPr>
              <w:t>，排放口距地平面高度不低于4m</w:t>
            </w:r>
            <w:r>
              <w:rPr>
                <w:rFonts w:ascii="Times New Roman" w:cs="Times New Roman" w:hAnsi="Times New Roman"/>
                <w:b w:val="0"/>
                <w:bCs/>
                <w:color w:val="auto"/>
                <w:sz w:val="24"/>
                <w:szCs w:val="24"/>
                <w:u w:val="none"/>
                <w:lang w:eastAsia="zh-CN"/>
                <w:highlight w:val="none"/>
              </w:rPr>
              <w:t>，</w:t>
            </w:r>
            <w:r>
              <w:rPr>
                <w:rFonts w:ascii="Times New Roman" w:cs="Times New Roman" w:hAnsi="Times New Roman"/>
                <w:bCs/>
                <w:sz w:val="24"/>
                <w:szCs w:val="24"/>
                <w:lang w:val="en-US" w:eastAsia="zh-CN"/>
                <w:highlight w:val="none"/>
              </w:rPr>
              <w:t>加油站边界非甲烷总烃1小时平均浓度值4.0</w:t>
            </w:r>
            <w:r>
              <w:rPr>
                <w:rFonts w:ascii="Times New Roman" w:cs="Times New Roman" w:hAnsi="Times New Roman"/>
                <w:color w:val="000000"/>
                <w:sz w:val="24"/>
                <w:szCs w:val="24"/>
                <w:highlight w:val="none"/>
              </w:rPr>
              <w:t>mg/m</w:t>
            </w:r>
            <w:r>
              <w:rPr>
                <w:rFonts w:ascii="Times New Roman" w:cs="Times New Roman" w:hAnsi="Times New Roman"/>
                <w:color w:val="000000"/>
                <w:sz w:val="24"/>
                <w:szCs w:val="24"/>
                <w:vertAlign w:val="superscript"/>
                <w:highlight w:val="none"/>
              </w:rPr>
              <w:t>3</w:t>
            </w:r>
          </w:p>
        </w:tc>
      </w:tr>
      <w:tr>
        <w:trPr>
          <w:trHeight w:val="1362"/>
        </w:trPr>
        <w:tc>
          <w:tcPr>
            <w:tcW w:w="1371"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color w:val="auto"/>
                <w:sz w:val="24"/>
                <w:szCs w:val="24"/>
                <w:lang w:eastAsia="zh-CN"/>
                <w:highlight w:val="none"/>
              </w:rPr>
            </w:pPr>
            <w:r>
              <w:rPr>
                <w:rFonts w:ascii="Times New Roman" w:cs="Times New Roman" w:hAnsi="Times New Roman"/>
                <w:color w:val="auto"/>
                <w:sz w:val="24"/>
                <w:szCs w:val="24"/>
                <w:lang w:eastAsia="zh-CN"/>
                <w:highlight w:val="none"/>
              </w:rPr>
              <w:t>地表水环境</w:t>
            </w:r>
          </w:p>
        </w:tc>
        <w:tc>
          <w:tcPr>
            <w:tcW w:w="1259" w:type="dxa"/>
            <w:vAlign w:val="center"/>
          </w:tcPr>
          <w:p>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240" w:lineRule="auto"/>
              <w:ind w:left="0" w:right="0"/>
              <w:jc w:val="center"/>
              <w:textAlignment w:val="auto"/>
              <w:rPr>
                <w:rFonts w:ascii="Times New Roman" w:cs="Times New Roman" w:hAnsi="Times New Roman"/>
                <w:color w:val="auto"/>
                <w:kern w:val="0"/>
                <w:sz w:val="24"/>
                <w:szCs w:val="24"/>
                <w:lang w:val="en-US" w:eastAsia="zh-CN"/>
                <w:highlight w:val="none"/>
              </w:rPr>
            </w:pPr>
            <w:r>
              <w:rPr>
                <w:rFonts w:ascii="Times New Roman" w:cs="Times New Roman" w:hAnsi="Times New Roman"/>
                <w:color w:val="auto"/>
                <w:kern w:val="0"/>
                <w:sz w:val="24"/>
                <w:szCs w:val="24"/>
                <w:lang w:val="en-US" w:eastAsia="zh-CN"/>
                <w:highlight w:val="none"/>
              </w:rPr>
              <w:t>职工生活</w:t>
            </w:r>
          </w:p>
        </w:tc>
        <w:tc>
          <w:tcPr>
            <w:tcW w:w="1024"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color w:val="auto"/>
                <w:kern w:val="0"/>
                <w:sz w:val="24"/>
                <w:szCs w:val="24"/>
                <w:lang w:val="en-US" w:eastAsia="zh-CN"/>
                <w:highlight w:val="none"/>
              </w:rPr>
            </w:pPr>
            <w:r>
              <w:rPr>
                <w:rFonts w:ascii="Times New Roman" w:cs="Times New Roman" w:hAnsi="Times New Roman"/>
                <w:color w:val="auto"/>
                <w:kern w:val="0"/>
                <w:sz w:val="24"/>
                <w:szCs w:val="24"/>
                <w:lang w:val="en-US" w:eastAsia="zh-CN"/>
                <w:highlight w:val="none"/>
              </w:rPr>
              <w:t>生活</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color w:val="auto"/>
                <w:kern w:val="0"/>
                <w:sz w:val="24"/>
                <w:szCs w:val="24"/>
                <w:lang w:val="en-US" w:eastAsia="zh-CN"/>
                <w:highlight w:val="none"/>
              </w:rPr>
            </w:pPr>
            <w:r>
              <w:rPr>
                <w:rFonts w:ascii="Times New Roman" w:cs="Times New Roman" w:hAnsi="Times New Roman"/>
                <w:color w:val="auto"/>
                <w:kern w:val="0"/>
                <w:sz w:val="24"/>
                <w:szCs w:val="24"/>
                <w:lang w:val="en-US" w:eastAsia="zh-CN"/>
                <w:highlight w:val="none"/>
              </w:rPr>
              <w:t>污水</w:t>
            </w:r>
          </w:p>
        </w:tc>
        <w:tc>
          <w:tcPr>
            <w:tcW w:w="2807"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left"/>
              <w:textAlignment w:val="auto"/>
              <w:rPr>
                <w:rFonts w:ascii="Times New Roman" w:cs="Times New Roman" w:hAnsi="Times New Roman"/>
                <w:color w:val="auto"/>
                <w:sz w:val="24"/>
                <w:szCs w:val="24"/>
                <w:lang w:val="en-US"/>
                <w:highlight w:val="none"/>
              </w:rPr>
            </w:pPr>
            <w:r>
              <w:rPr>
                <w:rFonts w:ascii="Times New Roman" w:cs="Times New Roman" w:hAnsi="Times New Roman"/>
                <w:b w:val="0"/>
                <w:bCs w:val="0"/>
                <w:color w:val="auto"/>
                <w:sz w:val="24"/>
                <w:szCs w:val="24"/>
                <w:lang w:val="en-US" w:eastAsia="zh-CN"/>
                <w:highlight w:val="none"/>
              </w:rPr>
              <w:t>经厂区化粪池处理后</w:t>
            </w:r>
            <w:r>
              <w:rPr>
                <w:rFonts w:ascii="Times New Roman" w:cs="Times New Roman" w:hAnsi="Times New Roman" w:hint="eastAsia"/>
                <w:sz w:val="24"/>
                <w:szCs w:val="20"/>
              </w:rPr>
              <w:t>由管网排入延津县第二污水处理厂进行处理</w:t>
            </w:r>
          </w:p>
        </w:tc>
        <w:tc>
          <w:tcPr>
            <w:tcW w:w="3430"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b w:val="0"/>
                <w:bCs w:val="0"/>
                <w:color w:val="auto"/>
                <w:sz w:val="24"/>
                <w:szCs w:val="24"/>
                <w:lang w:val="en-US" w:eastAsia="zh-CN"/>
                <w:highlight w:val="none"/>
              </w:rPr>
            </w:pPr>
            <w:r>
              <w:rPr>
                <w:rFonts w:ascii="Times New Roman" w:cs="Times New Roman" w:hAnsi="Times New Roman" w:hint="eastAsia"/>
                <w:sz w:val="24"/>
                <w:szCs w:val="20"/>
              </w:rPr>
              <w:t>延津县第二污水处理厂</w:t>
            </w:r>
            <w:r>
              <w:rPr>
                <w:rFonts w:ascii="Times New Roman" w:cs="Times New Roman" w:hAnsi="Times New Roman" w:hint="eastAsia"/>
                <w:sz w:val="24"/>
                <w:szCs w:val="20"/>
                <w:lang w:val="en-US" w:eastAsia="zh-CN"/>
              </w:rPr>
              <w:t>收水标准</w:t>
            </w:r>
            <w:r>
              <w:rPr>
                <w:rFonts w:ascii="Times New Roman" w:cs="Times New Roman" w:hAnsi="Times New Roman"/>
                <w:sz w:val="24"/>
                <w:szCs w:val="18"/>
              </w:rPr>
              <w:t xml:space="preserve">：COD </w:t>
            </w:r>
            <w:r>
              <w:rPr>
                <w:rFonts w:ascii="Times New Roman" w:cs="Times New Roman" w:hAnsi="Times New Roman" w:hint="eastAsia"/>
                <w:sz w:val="24"/>
                <w:szCs w:val="18"/>
                <w:lang w:eastAsia="zh-CN"/>
              </w:rPr>
              <w:t>26</w:t>
            </w:r>
            <w:r>
              <w:rPr>
                <w:rFonts w:ascii="Times New Roman" w:cs="Times New Roman" w:hAnsi="Times New Roman"/>
                <w:sz w:val="24"/>
                <w:szCs w:val="18"/>
              </w:rPr>
              <w:t>0mg/L、SS</w:t>
            </w:r>
            <w:r>
              <w:rPr>
                <w:rFonts w:ascii="Times New Roman" w:cs="Times New Roman" w:hAnsi="Times New Roman" w:hint="eastAsia"/>
                <w:sz w:val="24"/>
                <w:szCs w:val="18"/>
                <w:lang w:eastAsia="zh-CN"/>
              </w:rPr>
              <w:t xml:space="preserve"> 19</w:t>
            </w:r>
            <w:r>
              <w:rPr>
                <w:rFonts w:ascii="Times New Roman" w:cs="Times New Roman" w:hAnsi="Times New Roman"/>
                <w:sz w:val="24"/>
                <w:szCs w:val="18"/>
              </w:rPr>
              <w:t>0mg/L</w:t>
            </w:r>
            <w:r>
              <w:rPr>
                <w:rFonts w:ascii="Times New Roman" w:cs="Times New Roman" w:hAnsi="Times New Roman" w:hint="eastAsia"/>
                <w:sz w:val="24"/>
                <w:szCs w:val="18"/>
              </w:rPr>
              <w:t>、</w:t>
            </w:r>
            <w:r>
              <w:rPr>
                <w:rFonts w:ascii="Times New Roman" w:cs="Times New Roman" w:hAnsi="Times New Roman"/>
                <w:sz w:val="24"/>
                <w:szCs w:val="18"/>
              </w:rPr>
              <w:t>NH</w:t>
            </w:r>
            <w:r>
              <w:rPr>
                <w:rFonts w:ascii="Times New Roman" w:cs="Times New Roman" w:hAnsi="Times New Roman"/>
                <w:sz w:val="24"/>
                <w:szCs w:val="18"/>
                <w:vertAlign w:val="subscript"/>
              </w:rPr>
              <w:t>3</w:t>
            </w:r>
            <w:r>
              <w:rPr>
                <w:rFonts w:ascii="Times New Roman" w:cs="Times New Roman" w:hAnsi="Times New Roman"/>
                <w:sz w:val="24"/>
                <w:szCs w:val="18"/>
              </w:rPr>
              <w:t>-N 3</w:t>
            </w:r>
            <w:r>
              <w:rPr>
                <w:rFonts w:ascii="Times New Roman" w:cs="Times New Roman" w:hAnsi="Times New Roman" w:hint="eastAsia"/>
                <w:sz w:val="24"/>
                <w:szCs w:val="18"/>
                <w:lang w:eastAsia="zh-CN"/>
              </w:rPr>
              <w:t>5</w:t>
            </w:r>
            <w:r>
              <w:rPr>
                <w:rFonts w:ascii="Times New Roman" w:cs="Times New Roman" w:hAnsi="Times New Roman"/>
                <w:sz w:val="24"/>
                <w:szCs w:val="18"/>
              </w:rPr>
              <w:t xml:space="preserve">mg/L、TP </w:t>
            </w:r>
            <w:r>
              <w:rPr>
                <w:rFonts w:ascii="Times New Roman" w:cs="Times New Roman" w:hAnsi="Times New Roman" w:hint="eastAsia"/>
                <w:sz w:val="24"/>
                <w:szCs w:val="18"/>
                <w:lang w:eastAsia="zh-CN"/>
              </w:rPr>
              <w:t>4</w:t>
            </w:r>
            <w:r>
              <w:rPr>
                <w:rFonts w:ascii="Times New Roman" w:cs="Times New Roman" w:hAnsi="Times New Roman"/>
                <w:sz w:val="24"/>
                <w:szCs w:val="18"/>
              </w:rPr>
              <w:t>mg/L</w:t>
            </w:r>
          </w:p>
        </w:tc>
      </w:tr>
      <w:tr>
        <w:trPr>
          <w:trHeight w:val="397"/>
        </w:trPr>
        <w:tc>
          <w:tcPr>
            <w:tcW w:w="1371"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sz w:val="24"/>
                <w:szCs w:val="24"/>
                <w:highlight w:val="none"/>
              </w:rPr>
            </w:pPr>
            <w:r>
              <w:rPr>
                <w:rFonts w:ascii="Times New Roman" w:cs="Times New Roman" w:hAnsi="Times New Roman"/>
                <w:sz w:val="24"/>
                <w:szCs w:val="24"/>
                <w:highlight w:val="none"/>
              </w:rPr>
              <w:t>声环境</w:t>
            </w:r>
          </w:p>
        </w:tc>
        <w:tc>
          <w:tcPr>
            <w:tcW w:w="1259"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sz w:val="24"/>
                <w:szCs w:val="24"/>
                <w:lang w:val="en-US" w:eastAsia="zh-CN"/>
                <w:highlight w:val="none"/>
              </w:rPr>
            </w:pPr>
            <w:r>
              <w:rPr>
                <w:rFonts w:ascii="Times New Roman" w:cs="Times New Roman" w:hAnsi="Times New Roman"/>
                <w:sz w:val="24"/>
                <w:szCs w:val="24"/>
                <w:lang w:val="en-US" w:eastAsia="zh-CN"/>
                <w:highlight w:val="none"/>
              </w:rPr>
              <w:t>加油机、加油车辆</w:t>
            </w:r>
          </w:p>
        </w:tc>
        <w:tc>
          <w:tcPr>
            <w:tcW w:w="1024"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sz w:val="24"/>
                <w:szCs w:val="24"/>
                <w:highlight w:val="none"/>
              </w:rPr>
            </w:pPr>
            <w:r>
              <w:rPr>
                <w:rFonts w:ascii="Times New Roman" w:cs="Times New Roman" w:hAnsi="Times New Roman"/>
                <w:sz w:val="24"/>
                <w:szCs w:val="24"/>
                <w:highlight w:val="none"/>
              </w:rPr>
              <w:t>噪声</w:t>
            </w:r>
          </w:p>
        </w:tc>
        <w:tc>
          <w:tcPr>
            <w:tcW w:w="2807"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both"/>
              <w:textAlignment w:val="auto"/>
              <w:rPr>
                <w:rFonts w:ascii="Times New Roman" w:cs="Times New Roman" w:hAnsi="Times New Roman"/>
                <w:color w:val="auto"/>
                <w:sz w:val="24"/>
                <w:szCs w:val="24"/>
                <w:highlight w:val="none"/>
              </w:rPr>
            </w:pPr>
            <w:r>
              <w:rPr>
                <w:rFonts w:ascii="Times New Roman" w:eastAsia="宋体" w:cs="Times New Roman" w:hAnsi="Times New Roman"/>
                <w:sz w:val="24"/>
                <w:szCs w:val="24"/>
                <w:lang w:val="en-US" w:eastAsia="zh-CN"/>
                <w:highlight w:val="none"/>
              </w:rPr>
              <w:t>加油机设置减振垫，并加强设备的日常维护管理</w:t>
            </w:r>
            <w:r>
              <w:rPr>
                <w:rFonts w:ascii="Times New Roman" w:cs="Times New Roman" w:hAnsi="Times New Roman"/>
                <w:sz w:val="24"/>
                <w:szCs w:val="24"/>
                <w:lang w:val="en-US" w:eastAsia="zh-CN"/>
                <w:highlight w:val="none"/>
              </w:rPr>
              <w:t>；加强管理，减速慢行，禁止鸣笛，距离衰减</w:t>
            </w:r>
          </w:p>
        </w:tc>
        <w:tc>
          <w:tcPr>
            <w:tcW w:w="3430"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left"/>
              <w:textAlignment w:val="auto"/>
              <w:rPr>
                <w:rFonts w:ascii="Times New Roman" w:cs="Times New Roman" w:hAnsi="Times New Roman"/>
                <w:color w:val="auto"/>
                <w:sz w:val="24"/>
                <w:szCs w:val="24"/>
                <w:highlight w:val="none"/>
              </w:rPr>
            </w:pPr>
            <w:r>
              <w:rPr>
                <w:rFonts w:ascii="Times New Roman" w:cs="Times New Roman" w:hAnsi="Times New Roman"/>
                <w:color w:val="auto"/>
                <w:sz w:val="24"/>
                <w:szCs w:val="24"/>
                <w:highlight w:val="none"/>
              </w:rPr>
              <w:t>《工业企业厂界环境噪声排放标准》（GB12348-2008）</w:t>
            </w:r>
            <w:r>
              <w:rPr>
                <w:rFonts w:ascii="Times New Roman" w:cs="Times New Roman" w:hAnsi="Times New Roman"/>
                <w:color w:val="auto"/>
                <w:sz w:val="24"/>
                <w:szCs w:val="24"/>
                <w:lang w:val="en-US" w:eastAsia="zh-CN"/>
                <w:highlight w:val="none"/>
              </w:rPr>
              <w:t>2</w:t>
            </w:r>
            <w:r>
              <w:rPr>
                <w:rFonts w:ascii="Times New Roman" w:cs="Times New Roman" w:hAnsi="Times New Roman"/>
                <w:color w:val="auto"/>
                <w:sz w:val="24"/>
                <w:szCs w:val="24"/>
                <w:highlight w:val="none"/>
              </w:rPr>
              <w:t>类</w:t>
            </w:r>
          </w:p>
        </w:tc>
      </w:tr>
      <w:tr>
        <w:trPr>
          <w:trHeight w:val="940"/>
        </w:trPr>
        <w:tc>
          <w:tcPr>
            <w:tcW w:w="1371" w:type="dxa"/>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sz w:val="24"/>
                <w:szCs w:val="24"/>
                <w:highlight w:val="none"/>
              </w:rPr>
            </w:pPr>
            <w:r>
              <w:rPr>
                <w:rFonts w:ascii="Times New Roman" w:cs="Times New Roman" w:hAnsi="Times New Roman"/>
                <w:sz w:val="24"/>
                <w:szCs w:val="24"/>
                <w:highlight w:val="none"/>
              </w:rPr>
              <w:t>固体废物</w:t>
            </w:r>
          </w:p>
        </w:tc>
        <w:tc>
          <w:tcPr>
            <w:tcW w:w="8520" w:type="dxa"/>
            <w:gridSpan w:val="4"/>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firstLineChars="200" w:firstLine="480"/>
              <w:jc w:val="both"/>
              <w:textAlignment w:val="auto"/>
              <w:rPr>
                <w:rFonts w:ascii="Times New Roman" w:cs="Times New Roman" w:hAnsi="Times New Roman"/>
                <w:color w:val="auto"/>
                <w:sz w:val="24"/>
                <w:szCs w:val="24"/>
                <w:highlight w:val="none"/>
              </w:rPr>
            </w:pPr>
            <w:r>
              <w:rPr>
                <w:rFonts w:ascii="宋体" w:cs="宋体" w:hAnsi="宋体" w:hint="eastAsia"/>
                <w:color w:val="000000"/>
                <w:sz w:val="24"/>
                <w:szCs w:val="24"/>
              </w:rPr>
              <w:t>油罐</w:t>
            </w:r>
            <w:r>
              <w:rPr>
                <w:rFonts w:ascii="宋体" w:cs="宋体" w:hAnsi="宋体" w:hint="eastAsia"/>
                <w:color w:val="000000"/>
                <w:sz w:val="24"/>
                <w:szCs w:val="24"/>
                <w:lang w:val="en-US" w:eastAsia="zh-CN"/>
              </w:rPr>
              <w:t>清罐</w:t>
            </w:r>
            <w:r>
              <w:rPr>
                <w:rFonts w:ascii="宋体" w:cs="宋体" w:hAnsi="宋体" w:hint="eastAsia"/>
                <w:color w:val="000000"/>
                <w:sz w:val="24"/>
                <w:szCs w:val="24"/>
              </w:rPr>
              <w:t>废油泥</w:t>
            </w:r>
            <w:r>
              <w:rPr>
                <w:rFonts w:ascii="宋体" w:cs="宋体" w:hAnsi="宋体" w:hint="eastAsia"/>
                <w:color w:val="000000"/>
                <w:sz w:val="24"/>
                <w:szCs w:val="24"/>
                <w:lang w:val="en-US" w:eastAsia="zh-CN"/>
              </w:rPr>
              <w:t>和油水混合物</w:t>
            </w:r>
            <w:r>
              <w:rPr>
                <w:rFonts w:ascii="宋体" w:cs="宋体" w:hAnsi="宋体" w:hint="eastAsia"/>
                <w:color w:val="000000"/>
                <w:sz w:val="24"/>
                <w:szCs w:val="24"/>
              </w:rPr>
              <w:t>由有资质</w:t>
            </w:r>
            <w:r>
              <w:rPr>
                <w:rFonts w:ascii="宋体" w:cs="宋体" w:hAnsi="宋体"/>
                <w:color w:val="000000"/>
                <w:sz w:val="24"/>
                <w:szCs w:val="24"/>
              </w:rPr>
              <w:t>的</w:t>
            </w:r>
            <w:r>
              <w:rPr>
                <w:rFonts w:ascii="宋体" w:cs="宋体" w:hAnsi="宋体" w:hint="eastAsia"/>
                <w:color w:val="000000"/>
                <w:sz w:val="24"/>
                <w:szCs w:val="24"/>
              </w:rPr>
              <w:t>油罐清洗公司清理</w:t>
            </w:r>
            <w:r>
              <w:rPr>
                <w:rFonts w:ascii="宋体" w:cs="宋体" w:hAnsi="宋体"/>
                <w:color w:val="000000"/>
                <w:sz w:val="24"/>
                <w:szCs w:val="24"/>
              </w:rPr>
              <w:t>后</w:t>
            </w:r>
            <w:r>
              <w:rPr>
                <w:rFonts w:ascii="宋体" w:cs="宋体" w:hAnsi="宋体" w:hint="eastAsia"/>
                <w:color w:val="000000"/>
                <w:sz w:val="24"/>
                <w:szCs w:val="24"/>
              </w:rPr>
              <w:t>现场带走</w:t>
            </w:r>
            <w:r>
              <w:rPr>
                <w:rFonts w:ascii="宋体" w:cs="宋体" w:hAnsi="宋体" w:hint="eastAsia"/>
                <w:color w:val="000000"/>
                <w:sz w:val="24"/>
                <w:szCs w:val="24"/>
                <w:lang w:eastAsia="zh-CN"/>
              </w:rPr>
              <w:t>，</w:t>
            </w:r>
            <w:r>
              <w:rPr>
                <w:rFonts w:ascii="Times New Roman" w:cs="Times New Roman" w:hAnsi="Times New Roman"/>
                <w:color w:val="0C0C0C"/>
                <w:sz w:val="24"/>
                <w:szCs w:val="24"/>
                <w:u w:val="none"/>
                <w:lang w:val="en-US" w:eastAsia="zh-CN"/>
                <w:highlight w:val="none"/>
              </w:rPr>
              <w:t>不在加油站内暂存；</w:t>
            </w:r>
          </w:p>
        </w:tc>
      </w:tr>
      <w:tr>
        <w:trPr>
          <w:trHeight w:val="1110"/>
        </w:trPr>
        <w:tc>
          <w:tcPr>
            <w:tcW w:w="1371"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cs="Times New Roman" w:hAnsi="Times New Roman"/>
                <w:sz w:val="24"/>
                <w:szCs w:val="24"/>
                <w:highlight w:val="none"/>
              </w:rPr>
            </w:pPr>
            <w:r>
              <w:rPr>
                <w:rFonts w:ascii="Times New Roman" w:cs="Times New Roman" w:hAnsi="Times New Roman"/>
                <w:sz w:val="24"/>
                <w:szCs w:val="24"/>
                <w:highlight w:val="none"/>
              </w:rPr>
              <w:t>土壤及地下水污染防治措施</w:t>
            </w:r>
          </w:p>
        </w:tc>
        <w:tc>
          <w:tcPr>
            <w:tcW w:w="8520" w:type="dxa"/>
            <w:gridSpan w:val="4"/>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200" w:firstLine="480"/>
              <w:jc w:val="left"/>
              <w:textAlignment w:val="auto"/>
              <w:rPr>
                <w:rFonts w:ascii="Times New Roman" w:eastAsia="宋体" w:cs="Times New Roman" w:hAnsi="Times New Roman"/>
                <w:sz w:val="24"/>
                <w:szCs w:val="24"/>
                <w:lang w:val="en-US" w:eastAsia="zh-CN"/>
                <w:highlight w:val="none"/>
              </w:rPr>
            </w:pPr>
            <w:r>
              <w:rPr>
                <w:rFonts w:ascii="Times New Roman" w:cs="Times New Roman" w:hAnsi="Times New Roman"/>
                <w:color w:val="auto"/>
                <w:sz w:val="24"/>
                <w:szCs w:val="24"/>
                <w:highlight w:val="none"/>
              </w:rPr>
              <w:t>本项目设置的油品储罐为</w:t>
            </w:r>
            <w:r>
              <w:rPr>
                <w:rFonts w:ascii="Times New Roman" w:cs="Times New Roman" w:hAnsi="Times New Roman" w:hint="eastAsia"/>
                <w:color w:val="auto"/>
                <w:sz w:val="24"/>
                <w:szCs w:val="24"/>
                <w:lang w:eastAsia="zh-CN"/>
                <w:highlight w:val="none"/>
              </w:rPr>
              <w:t>SF双层埋地油罐</w:t>
            </w:r>
            <w:r>
              <w:rPr>
                <w:rFonts w:ascii="Times New Roman" w:cs="Times New Roman" w:hAnsi="Times New Roman"/>
                <w:color w:val="auto"/>
                <w:sz w:val="24"/>
                <w:szCs w:val="24"/>
                <w:highlight w:val="none"/>
              </w:rPr>
              <w:t>，油罐配置防溢流阀、液位计和高低液位报警器；加油站场地硬化防渗</w:t>
            </w:r>
            <w:r>
              <w:rPr>
                <w:rFonts w:ascii="Times New Roman" w:cs="Times New Roman" w:hAnsi="Times New Roman"/>
                <w:color w:val="auto"/>
                <w:sz w:val="24"/>
                <w:szCs w:val="24"/>
                <w:lang w:val="en-US" w:eastAsia="zh-CN"/>
                <w:highlight w:val="none"/>
              </w:rPr>
              <w:t>等防治措施</w:t>
            </w:r>
            <w:r>
              <w:rPr>
                <w:rFonts w:ascii="Times New Roman" w:cs="Times New Roman" w:hAnsi="Times New Roman"/>
                <w:color w:val="auto"/>
                <w:sz w:val="24"/>
                <w:szCs w:val="24"/>
                <w:lang w:eastAsia="zh-CN"/>
                <w:highlight w:val="none"/>
              </w:rPr>
              <w:t>。</w:t>
            </w:r>
          </w:p>
        </w:tc>
      </w:tr>
      <w:tr>
        <w:trPr>
          <w:trHeight w:val="850"/>
        </w:trPr>
        <w:tc>
          <w:tcPr>
            <w:tcW w:w="1371"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cs="Times New Roman" w:hAnsi="Times New Roman"/>
                <w:sz w:val="24"/>
                <w:szCs w:val="24"/>
                <w:highlight w:val="none"/>
              </w:rPr>
            </w:pPr>
            <w:r>
              <w:rPr>
                <w:rFonts w:ascii="Times New Roman" w:cs="Times New Roman" w:hAnsi="Times New Roman"/>
                <w:sz w:val="24"/>
                <w:szCs w:val="24"/>
                <w:highlight w:val="none"/>
              </w:rPr>
              <w:t>生态保护措施</w:t>
            </w:r>
          </w:p>
        </w:tc>
        <w:tc>
          <w:tcPr>
            <w:tcW w:w="8520" w:type="dxa"/>
            <w:gridSpan w:val="4"/>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cs="Times New Roman" w:hAnsi="Times New Roman"/>
                <w:sz w:val="24"/>
                <w:szCs w:val="24"/>
                <w:highlight w:val="none"/>
              </w:rPr>
            </w:pPr>
            <w:r>
              <w:rPr>
                <w:rFonts w:ascii="Times New Roman" w:cs="Times New Roman" w:hAnsi="Times New Roman"/>
                <w:sz w:val="24"/>
                <w:szCs w:val="24"/>
                <w:highlight w:val="none"/>
              </w:rPr>
              <w:t>/</w:t>
            </w:r>
          </w:p>
        </w:tc>
      </w:tr>
      <w:tr>
        <w:trPr>
          <w:trHeight w:val="1896"/>
        </w:trPr>
        <w:tc>
          <w:tcPr>
            <w:tcW w:w="1371"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cs="Times New Roman" w:hAnsi="Times New Roman"/>
                <w:spacing w:val="-8"/>
                <w:sz w:val="24"/>
                <w:szCs w:val="24"/>
                <w:highlight w:val="none"/>
              </w:rPr>
            </w:pPr>
            <w:r>
              <w:rPr>
                <w:rFonts w:ascii="Times New Roman" w:cs="Times New Roman" w:hAnsi="Times New Roman"/>
                <w:spacing w:val="-8"/>
                <w:sz w:val="24"/>
                <w:szCs w:val="24"/>
                <w:highlight w:val="none"/>
              </w:rPr>
              <w:t>环境风险防范措施</w:t>
            </w:r>
          </w:p>
        </w:tc>
        <w:tc>
          <w:tcPr>
            <w:tcW w:w="8520"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Chars="200" w:firstLine="480"/>
              <w:jc w:val="left"/>
              <w:textAlignment w:val="auto"/>
              <w:rPr>
                <w:rFonts w:ascii="Times New Roman" w:eastAsia="宋体" w:cs="Times New Roman" w:hAnsi="Times New Roman"/>
                <w:sz w:val="24"/>
                <w:szCs w:val="24"/>
                <w:lang w:val="en-US" w:eastAsia="zh-CN"/>
                <w:highlight w:val="none"/>
              </w:rPr>
            </w:pPr>
            <w:r>
              <w:rPr>
                <w:rFonts w:ascii="Times New Roman" w:eastAsia="宋体" w:cs="Times New Roman" w:hAnsi="Times New Roman" w:hint="eastAsia"/>
                <w:color w:val="000000"/>
                <w:kern w:val="21"/>
                <w:sz w:val="24"/>
                <w:szCs w:val="20"/>
              </w:rPr>
              <w:t>加油站配备有灭火毯、灭火沙子、手提式干粉灭火器、消防砂池和移动式水泵、医用急救包等，对每个工作人员进行消防培训、埋地油罐基底采用防渗混凝土处理，油罐顶部及周边均采用粘土夯实，加油站内设立禁止吸烟、禁止打</w:t>
            </w:r>
            <w:r>
              <w:rPr>
                <w:rFonts w:ascii="Times New Roman" w:eastAsia="宋体" w:cs="Times New Roman" w:hAnsi="Times New Roman" w:hint="eastAsia"/>
                <w:color w:val="000000"/>
                <w:kern w:val="21"/>
                <w:sz w:val="24"/>
                <w:szCs w:val="20"/>
                <w:lang w:eastAsia="zh-CN"/>
              </w:rPr>
              <w:t>火</w:t>
            </w:r>
            <w:r>
              <w:rPr>
                <w:rFonts w:ascii="Times New Roman" w:eastAsia="宋体" w:cs="Times New Roman" w:hAnsi="Times New Roman" w:hint="eastAsia"/>
                <w:color w:val="000000"/>
                <w:kern w:val="21"/>
                <w:sz w:val="24"/>
                <w:szCs w:val="20"/>
              </w:rPr>
              <w:t>机的警示牌，严格禁止站内明火、电焊、电割，加油软管设拉断截止阀；加强员工的安全技术培训，提高安全防范意识</w:t>
            </w:r>
            <w:r>
              <w:rPr>
                <w:rFonts w:ascii="Times New Roman" w:cs="Times New Roman" w:hAnsi="Times New Roman"/>
                <w:sz w:val="24"/>
                <w:szCs w:val="24"/>
                <w:highlight w:val="none"/>
              </w:rPr>
              <w:t>。</w:t>
            </w:r>
          </w:p>
        </w:tc>
      </w:tr>
      <w:tr>
        <w:trPr>
          <w:trHeight w:val="397"/>
        </w:trPr>
        <w:tc>
          <w:tcPr>
            <w:tcW w:w="1371"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spacing w:val="-8"/>
                <w:sz w:val="24"/>
                <w:szCs w:val="24"/>
                <w:highlight w:val="none"/>
              </w:rPr>
            </w:pPr>
            <w:r>
              <w:rPr>
                <w:rFonts w:ascii="Times New Roman" w:eastAsia="宋体" w:cs="Times New Roman" w:hAnsi="Times New Roman"/>
                <w:sz w:val="24"/>
                <w:szCs w:val="24"/>
                <w:highlight w:val="none"/>
              </w:rPr>
              <w:t>电磁辐射</w:t>
            </w:r>
          </w:p>
        </w:tc>
        <w:tc>
          <w:tcPr>
            <w:tcW w:w="8520" w:type="dxa"/>
            <w:gridSpan w:val="4"/>
            <w:vAlign w:val="center"/>
          </w:tcPr>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sz w:val="24"/>
                <w:szCs w:val="24"/>
                <w:lang w:val="en-US" w:eastAsia="zh-CN"/>
                <w:highlight w:val="none"/>
              </w:rPr>
            </w:pPr>
            <w:r>
              <w:rPr>
                <w:rFonts w:ascii="Times New Roman" w:cs="Times New Roman" w:hAnsi="Times New Roman"/>
                <w:b w:val="0"/>
                <w:bCs/>
                <w:color w:val="000000"/>
                <w:sz w:val="24"/>
                <w:szCs w:val="24"/>
                <w:lang w:val="en-US" w:eastAsia="zh-CN"/>
                <w:highlight w:val="none"/>
              </w:rPr>
              <w:t>/</w:t>
            </w:r>
          </w:p>
        </w:tc>
      </w:tr>
      <w:tr>
        <w:trPr>
          <w:trHeight w:val="397"/>
        </w:trPr>
        <w:tc>
          <w:tcPr>
            <w:tcW w:w="1371"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ascii="Times New Roman" w:eastAsia="宋体" w:cs="Times New Roman" w:hAnsi="Times New Roman"/>
                <w:sz w:val="24"/>
                <w:szCs w:val="24"/>
                <w:highlight w:val="none"/>
              </w:rPr>
            </w:pPr>
            <w:r>
              <w:rPr>
                <w:rFonts w:ascii="Times New Roman" w:cs="Times New Roman" w:hAnsi="Times New Roman"/>
                <w:spacing w:val="-8"/>
                <w:sz w:val="24"/>
                <w:szCs w:val="24"/>
                <w:highlight w:val="none"/>
              </w:rPr>
              <w:t>其他环境管理要求</w:t>
            </w:r>
          </w:p>
        </w:tc>
        <w:tc>
          <w:tcPr>
            <w:tcW w:w="8520" w:type="dxa"/>
            <w:gridSpan w:val="4"/>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200" w:firstLine="480"/>
              <w:textAlignment w:val="auto"/>
              <w:rPr>
                <w:rFonts w:ascii="Times New Roman" w:cs="Times New Roman" w:hAnsi="Times New Roman"/>
                <w:sz w:val="24"/>
                <w:szCs w:val="24"/>
                <w:u w:val="single"/>
                <w:lang w:val="en-US" w:eastAsia="zh-CN"/>
                <w:highlight w:val="none"/>
              </w:rPr>
            </w:pPr>
            <w:r>
              <w:rPr>
                <w:rFonts w:ascii="Times New Roman" w:cs="Times New Roman" w:hAnsi="Times New Roman"/>
                <w:sz w:val="24"/>
                <w:szCs w:val="24"/>
                <w:u w:val="single"/>
                <w:lang w:val="en-US" w:eastAsia="zh-CN"/>
                <w:highlight w:val="none"/>
              </w:rPr>
              <w:t>1、排污许可证管理要求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200" w:firstLine="480"/>
              <w:textAlignment w:val="auto"/>
              <w:rPr>
                <w:rFonts w:ascii="Times New Roman" w:cs="Times New Roman" w:hAnsi="Times New Roman"/>
                <w:sz w:val="24"/>
                <w:szCs w:val="24"/>
                <w:u w:val="single"/>
                <w:lang w:val="en-US" w:eastAsia="zh-CN"/>
                <w:highlight w:val="none"/>
              </w:rPr>
            </w:pPr>
            <w:r>
              <w:rPr>
                <w:rFonts w:ascii="Times New Roman" w:cs="Times New Roman" w:hAnsi="Times New Roman"/>
                <w:sz w:val="24"/>
                <w:szCs w:val="24"/>
                <w:u w:val="single"/>
                <w:lang w:val="en-US" w:eastAsia="zh-CN"/>
                <w:highlight w:val="none"/>
              </w:rPr>
              <w:t>根据《固定污染源排污许可分类管理名录（2019年版）》（生态环境部第11号）要求进行填报排污许可。因此，建设单位应当在启动生产设施或者发生实际排污之前在全国排污许可证管理信息平台进行排污许可申请。</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200" w:firstLine="480"/>
              <w:textAlignment w:val="auto"/>
              <w:rPr>
                <w:rFonts w:ascii="Times New Roman" w:cs="Times New Roman" w:hAnsi="Times New Roman"/>
                <w:sz w:val="24"/>
                <w:szCs w:val="24"/>
                <w:u w:val="single"/>
                <w:lang w:val="en-US" w:eastAsia="zh-CN"/>
                <w:highlight w:val="none"/>
              </w:rPr>
            </w:pPr>
            <w:r>
              <w:rPr>
                <w:rFonts w:ascii="Times New Roman" w:cs="Times New Roman" w:hAnsi="Times New Roman"/>
                <w:sz w:val="24"/>
                <w:szCs w:val="24"/>
                <w:u w:val="single"/>
                <w:lang w:val="en-US" w:eastAsia="zh-CN"/>
                <w:highlight w:val="none"/>
              </w:rPr>
              <w:t>2、竣工环境保护验收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200" w:firstLine="480"/>
              <w:textAlignment w:val="auto"/>
              <w:rPr>
                <w:rFonts w:ascii="Times New Roman" w:cs="Times New Roman" w:hAnsi="Times New Roman"/>
                <w:sz w:val="24"/>
                <w:szCs w:val="24"/>
                <w:u w:val="single"/>
                <w:lang w:val="en-US" w:eastAsia="zh-CN"/>
                <w:highlight w:val="none"/>
              </w:rPr>
            </w:pPr>
            <w:r>
              <w:rPr>
                <w:rFonts w:ascii="Times New Roman" w:cs="Times New Roman" w:hAnsi="Times New Roman"/>
                <w:sz w:val="24"/>
                <w:szCs w:val="24"/>
                <w:u w:val="single"/>
                <w:lang w:val="en-US" w:eastAsia="zh-CN"/>
                <w:highlight w:val="none"/>
              </w:rPr>
              <w:t>根据《建设项目竣工环境保护验收暂行办法》的规定，建设项目竣工后，建设单位应当如实查验、监测、记载建设项目环境保护设施的建设和调试情况，编制验收监测报告表。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Chars="200" w:firstLine="480"/>
              <w:textAlignment w:val="auto"/>
              <w:rPr>
                <w:rFonts w:hAnsi="宋体" w:hint="eastAsia"/>
                <w:color w:val="auto"/>
                <w:sz w:val="24"/>
                <w:szCs w:val="24"/>
                <w:u w:val="single"/>
                <w:lang w:val="en-US" w:eastAsia="zh-CN"/>
                <w:highlight w:val="none"/>
              </w:rPr>
            </w:pPr>
            <w:r>
              <w:rPr>
                <w:rFonts w:ascii="Times New Roman" w:cs="Times New Roman" w:hAnsi="宋体" w:hint="eastAsia"/>
                <w:color w:val="auto"/>
                <w:sz w:val="24"/>
                <w:szCs w:val="24"/>
                <w:u w:val="single"/>
                <w:lang w:val="en-US" w:eastAsia="zh-CN"/>
                <w:highlight w:val="none"/>
              </w:rPr>
              <w:t>3、排放口规范化建设</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Chars="200" w:firstLine="480"/>
              <w:textAlignment w:val="auto"/>
              <w:rPr>
                <w:rFonts w:ascii="Times New Roman" w:cs="Times New Roman" w:hAnsi="Times New Roman"/>
                <w:sz w:val="24"/>
                <w:szCs w:val="24"/>
                <w:lang w:eastAsia="zh-CN"/>
                <w:highlight w:val="none"/>
              </w:rPr>
            </w:pPr>
            <w:r>
              <w:rPr>
                <w:rFonts w:ascii="Times New Roman" w:cs="Times New Roman" w:hAnsi="宋体" w:hint="eastAsia"/>
                <w:color w:val="auto"/>
                <w:sz w:val="24"/>
                <w:szCs w:val="24"/>
                <w:u w:val="single"/>
                <w:lang w:val="en-US" w:eastAsia="zh-CN"/>
                <w:highlight w:val="none"/>
              </w:rPr>
              <w:t>根据《环境保护图形标志－排放口（源）》（GB15562.1-1995）、《环境保护图形标志—固体废物贮存（处置）场》（GB15562.2-1995）及其修改单标准要求，本项目应在废气排放口和噪声排放源分别设置环境保护图形标志牌，按照排污许可技术规范、年度污染防治攻坚方案、专项整治方案等要求安装相关环保监控、监测设备，便于污染源监督管理及常规监测工作的进行</w:t>
            </w:r>
            <w:r>
              <w:rPr>
                <w:rFonts w:ascii="Times New Roman" w:cs="Times New Roman" w:hAnsi="Times New Roman" w:hint="eastAsia"/>
                <w:color w:val="auto"/>
                <w:sz w:val="24"/>
                <w:szCs w:val="24"/>
                <w:u w:val="single"/>
                <w:lang w:eastAsia="zh-CN"/>
                <w:highlight w:val="none"/>
              </w:rPr>
              <w:t>。</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Chars="200" w:firstLine="480"/>
              <w:textAlignment w:val="auto"/>
              <w:rPr>
                <w:rFonts w:ascii="Times New Roman" w:cs="Times New Roman" w:hAnsi="Times New Roman"/>
                <w:sz w:val="24"/>
                <w:szCs w:val="24"/>
                <w:lang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pStyle w:val="1"/>
              <w:keepNext/>
              <w:keepLines w:val="0"/>
              <w:suppressLineNumbers w:val="0"/>
              <w:spacing w:beforeAutospacing="0" w:afterAutospacing="0"/>
              <w:ind w:right="0"/>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textAlignment w:val="auto"/>
              <w:rPr>
                <w:rFonts w:ascii="Times New Roman" w:cs="Times New Roman" w:hAnsi="Times New Roman"/>
                <w:sz w:val="24"/>
                <w:szCs w:val="24"/>
                <w:lang w:val="en-US" w:eastAsia="zh-CN"/>
                <w:highlight w:val="none"/>
              </w:rPr>
            </w:pPr>
          </w:p>
        </w:tc>
      </w:tr>
    </w:tbl>
    <w:p>
      <w:pPr>
        <w:rPr>
          <w:rFonts w:ascii="黑体" w:eastAsia="黑体" w:hAnsi="黑体" w:hint="eastAsia"/>
          <w:snapToGrid w:val="0"/>
          <w:sz w:val="30"/>
          <w:szCs w:val="30"/>
        </w:rPr>
      </w:pPr>
      <w:r>
        <w:rPr>
          <w:rFonts w:ascii="黑体" w:eastAsia="黑体" w:hAnsi="黑体" w:hint="eastAsia"/>
          <w:snapToGrid w:val="0"/>
          <w:sz w:val="30"/>
          <w:szCs w:val="30"/>
        </w:rPr>
        <w:br w:type="page"/>
      </w:r>
    </w:p>
    <w:p>
      <w:pPr>
        <w:pStyle w:val="29"/>
        <w:jc w:val="center"/>
        <w:outlineLvl w:val="0"/>
        <w:rPr>
          <w:rFonts w:ascii="黑体" w:eastAsia="黑体" w:hAnsi="黑体"/>
          <w:snapToGrid w:val="0"/>
          <w:sz w:val="30"/>
          <w:szCs w:val="30"/>
        </w:rPr>
      </w:pPr>
      <w:r>
        <w:rPr>
          <w:rFonts w:ascii="黑体" w:eastAsia="黑体" w:hAnsi="黑体" w:hint="eastAsia"/>
          <w:snapToGrid w:val="0"/>
          <w:sz w:val="30"/>
          <w:szCs w:val="30"/>
        </w:rPr>
        <w:t>六、结论</w:t>
      </w:r>
    </w:p>
    <w:tbl>
      <w:tblPr>
        <w:jc w:val="center"/>
        <w:tblW w:w="96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639"/>
      </w:tblGrid>
      <w:tr>
        <w:trPr>
          <w:trHeight w:val="12677"/>
        </w:trPr>
        <w:tc>
          <w:tcPr>
            <w:tcW w:w="8865"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both"/>
              <w:textAlignment w:val="auto"/>
              <w:rPr>
                <w:rFonts w:eastAsia="宋体" w:hint="eastAsia"/>
                <w:lang w:eastAsia="zh-CN"/>
              </w:rPr>
            </w:pPr>
            <w:r>
              <w:rPr>
                <w:rFonts w:ascii="宋体" w:cs="Times New Roman" w:hAnsi="宋体" w:hint="eastAsia"/>
                <w:color w:val="000000"/>
                <w:sz w:val="24"/>
                <w:szCs w:val="20"/>
                <w:lang w:val="en-US" w:eastAsia="zh-CN"/>
              </w:rPr>
              <w:t>延津县平延园区运营管理有限公司加油站建设项目</w:t>
            </w:r>
            <w:r>
              <w:rPr>
                <w:rFonts w:ascii="Times New Roman" w:cs="Times New Roman" w:hAnsi="宋体"/>
                <w:sz w:val="24"/>
                <w:szCs w:val="20"/>
                <w:highlight w:val="none"/>
              </w:rPr>
              <w:t>选址位于</w:t>
            </w:r>
            <w:r>
              <w:rPr>
                <w:rFonts w:ascii="宋体" w:cs="宋体" w:hAnsi="宋体" w:hint="eastAsia"/>
                <w:color w:val="auto"/>
                <w:sz w:val="24"/>
                <w:szCs w:val="24"/>
                <w:lang w:val="en-US" w:eastAsia="zh-CN"/>
                <w:highlight w:val="none"/>
              </w:rPr>
              <w:t>新乡市延津县化工园区纬一路与榆林排交叉口东南角</w:t>
            </w:r>
            <w:r>
              <w:rPr>
                <w:rFonts w:ascii="Times New Roman" w:eastAsia="宋体" w:cs="Times New Roman" w:hAnsi="Times New Roman"/>
                <w:sz w:val="24"/>
                <w:szCs w:val="24"/>
                <w:highlight w:val="none"/>
              </w:rPr>
              <w:t>，</w:t>
            </w:r>
            <w:r>
              <w:rPr>
                <w:rFonts w:ascii="Times New Roman" w:cs="Times New Roman" w:hAnsi="Times New Roman"/>
                <w:sz w:val="24"/>
                <w:szCs w:val="32"/>
                <w:highlight w:val="none"/>
              </w:rPr>
              <w:t>项目属于</w:t>
            </w:r>
            <w:r>
              <w:rPr>
                <w:rFonts w:ascii="Times New Roman" w:cs="Times New Roman" w:hAnsi="Times New Roman" w:hint="eastAsia"/>
                <w:sz w:val="24"/>
                <w:szCs w:val="32"/>
                <w:lang w:val="en-US" w:eastAsia="zh-CN"/>
                <w:highlight w:val="none"/>
              </w:rPr>
              <w:t>允许类</w:t>
            </w:r>
            <w:r>
              <w:rPr>
                <w:rFonts w:ascii="Times New Roman" w:cs="Times New Roman" w:hAnsi="Times New Roman"/>
                <w:sz w:val="24"/>
                <w:szCs w:val="32"/>
                <w:highlight w:val="none"/>
              </w:rPr>
              <w:t>，符合国家产业政策，</w:t>
            </w:r>
            <w:r>
              <w:rPr>
                <w:rFonts w:ascii="Times New Roman" w:cs="Times New Roman" w:hAnsi="Times New Roman" w:hint="eastAsia"/>
                <w:sz w:val="24"/>
                <w:szCs w:val="32"/>
                <w:lang w:val="en-US" w:eastAsia="zh-CN"/>
                <w:highlight w:val="none"/>
              </w:rPr>
              <w:t>选址可行</w:t>
            </w:r>
            <w:r>
              <w:rPr>
                <w:rFonts w:ascii="Times New Roman" w:cs="Times New Roman" w:hAnsi="宋体" w:hint="eastAsia"/>
                <w:sz w:val="24"/>
                <w:szCs w:val="20"/>
                <w:highlight w:val="none"/>
              </w:rPr>
              <w:t>。</w:t>
            </w:r>
            <w:r>
              <w:rPr>
                <w:rFonts w:ascii="Times New Roman" w:eastAsia="宋体" w:cs="Times New Roman" w:hAnsi="Times New Roman"/>
                <w:sz w:val="24"/>
                <w:szCs w:val="24"/>
                <w:highlight w:val="none"/>
              </w:rPr>
              <w:t>项目产生的污染物经采用合理的环保措施治理后，均可做到妥善治理和处置，可以实现其经济效益、社会效益和环境效益的协调发展。因此，从环保角度分析，项目建设可行</w:t>
            </w:r>
            <w:r>
              <w:rPr>
                <w:rFonts w:ascii="Times New Roman" w:cs="Times New Roman" w:hAnsi="Times New Roman" w:hint="eastAsia"/>
                <w:sz w:val="24"/>
                <w:szCs w:val="24"/>
                <w:lang w:eastAsia="zh-CN"/>
                <w:highlight w:val="none"/>
              </w:rPr>
              <w:t>。</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textAlignment w:val="auto"/>
              <w:rPr>
                <w:rFonts w:hAnsi="宋体" w:hint="eastAsia"/>
                <w:sz w:val="24"/>
              </w:rPr>
            </w:pP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Ansi="宋体" w:hint="eastAsia"/>
                <w:sz w:val="24"/>
              </w:rPr>
            </w:pP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Chars="200" w:firstLine="480"/>
              <w:jc w:val="right"/>
              <w:textAlignment w:val="auto"/>
              <w:rPr>
                <w:rFonts w:eastAsia="宋体" w:hAnsi="宋体" w:hint="eastAsia"/>
                <w:sz w:val="24"/>
                <w:lang w:eastAsia="zh-CN"/>
              </w:rPr>
            </w:pPr>
            <w:r>
              <w:rPr>
                <w:rFonts w:ascii="Times New Roman" w:cs="Times New Roman" w:hAnsi="宋体" w:hint="eastAsia"/>
                <w:sz w:val="24"/>
                <w:szCs w:val="20"/>
                <w:lang w:val="en-US" w:eastAsia="zh-CN"/>
              </w:rPr>
              <w:t>河南瑞海环保科技</w:t>
            </w:r>
            <w:r>
              <w:rPr>
                <w:rFonts w:ascii="Times New Roman" w:cs="Times New Roman" w:hAnsi="宋体" w:hint="eastAsia"/>
                <w:sz w:val="24"/>
                <w:szCs w:val="20"/>
                <w:lang w:eastAsia="zh-CN"/>
              </w:rPr>
              <w:t>有限公司</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720" w:firstLineChars="200" w:firstLine="480"/>
              <w:jc w:val="right"/>
              <w:textAlignment w:val="auto"/>
              <w:rPr>
                <w:rFonts w:eastAsia="宋体" w:hAnsi="宋体" w:hint="eastAsia"/>
                <w:sz w:val="24"/>
                <w:lang w:eastAsia="zh-CN"/>
              </w:rPr>
            </w:pPr>
            <w:r>
              <w:rPr>
                <w:rFonts w:ascii="Times New Roman" w:cs="Times New Roman" w:hAnsi="宋体" w:hint="eastAsia"/>
                <w:sz w:val="24"/>
                <w:szCs w:val="20"/>
              </w:rPr>
              <w:t>202</w:t>
            </w:r>
            <w:r>
              <w:rPr>
                <w:rFonts w:ascii="Times New Roman" w:cs="Times New Roman" w:hAnsi="宋体" w:hint="eastAsia"/>
                <w:sz w:val="24"/>
                <w:szCs w:val="20"/>
                <w:lang w:val="en-US" w:eastAsia="zh-CN"/>
              </w:rPr>
              <w:t>6</w:t>
            </w:r>
            <w:r>
              <w:rPr>
                <w:rFonts w:ascii="Times New Roman" w:cs="Times New Roman" w:hAnsi="宋体" w:hint="eastAsia"/>
                <w:sz w:val="24"/>
                <w:szCs w:val="20"/>
              </w:rPr>
              <w:t>年</w:t>
            </w:r>
            <w:r>
              <w:rPr>
                <w:rFonts w:ascii="Times New Roman" w:cs="Times New Roman" w:hAnsi="宋体" w:hint="eastAsia"/>
                <w:sz w:val="24"/>
                <w:szCs w:val="20"/>
                <w:lang w:val="en-US" w:eastAsia="zh-CN"/>
              </w:rPr>
              <w:t>6</w:t>
            </w:r>
            <w:r>
              <w:rPr>
                <w:rFonts w:ascii="Times New Roman" w:cs="Times New Roman" w:hAnsi="宋体" w:hint="eastAsia"/>
                <w:sz w:val="24"/>
                <w:szCs w:val="20"/>
              </w:rPr>
              <w:t>月</w:t>
            </w:r>
          </w:p>
          <w:p>
            <w:pPr>
              <w:keepNext w:val="0"/>
              <w:keepLines w:val="0"/>
              <w:suppressLineNumbers w:val="0"/>
              <w:spacing w:before="0" w:beforeAutospacing="0" w:after="0" w:afterAutospacing="0" w:line="440" w:lineRule="exact"/>
              <w:ind w:left="0" w:right="0" w:firstLineChars="200" w:firstLine="480"/>
              <w:rPr>
                <w:rFonts w:hAnsi="宋体" w:hint="eastAsia"/>
                <w:color w:val="FF0000"/>
                <w:sz w:val="24"/>
              </w:rPr>
            </w:pPr>
          </w:p>
          <w:p>
            <w:pPr>
              <w:keepNext w:val="0"/>
              <w:keepLines w:val="0"/>
              <w:suppressLineNumbers w:val="0"/>
              <w:spacing w:before="0" w:beforeAutospacing="0" w:after="0" w:afterAutospacing="0" w:line="440" w:lineRule="exact"/>
              <w:ind w:left="0" w:right="0" w:firstLineChars="200" w:firstLine="480"/>
              <w:rPr>
                <w:rFonts w:hAnsi="宋体" w:hint="eastAsia"/>
                <w:sz w:val="24"/>
              </w:rPr>
            </w:pPr>
          </w:p>
          <w:p>
            <w:pPr>
              <w:keepNext w:val="0"/>
              <w:keepLines w:val="0"/>
              <w:suppressLineNumbers w:val="0"/>
              <w:spacing w:before="0" w:beforeAutospacing="0" w:after="0" w:afterAutospacing="0" w:line="720" w:lineRule="auto"/>
              <w:ind w:left="0" w:right="0"/>
              <w:jc w:val="both"/>
              <w:rPr>
                <w:sz w:val="24"/>
              </w:rPr>
            </w:pPr>
          </w:p>
        </w:tc>
      </w:tr>
    </w:tbl>
    <w:p>
      <w:pPr>
        <w:pStyle w:val="29"/>
        <w:adjustRightInd w:val="0"/>
        <w:snapToGrid w:val="0"/>
        <w:spacing w:before="0" w:beforeAutospacing="0" w:after="0" w:afterAutospacing="0" w:line="240" w:lineRule="auto"/>
        <w:outlineLvl w:val="0"/>
        <w:rPr>
          <w:rFonts w:ascii="黑体" w:eastAsia="黑体" w:cs="黑体" w:hAnsi="黑体" w:hint="eastAsia"/>
          <w:snapToGrid w:val="0"/>
          <w:sz w:val="32"/>
          <w:szCs w:val="32"/>
        </w:rPr>
        <w:sectPr>
          <w:headerReference w:type="default" r:id="rId16"/>
          <w:footerReference w:type="default" r:id="rId17"/>
          <w:pgSz w:w="11906" w:h="16838"/>
          <w:pgMar w:top="1701" w:right="1417" w:bottom="1701" w:left="1417" w:header="851" w:footer="851" w:gutter="0"/>
          <w:pgBorders>
            <w:top w:val="none" w:sz="0" w:space="0" w:color="auto"/>
            <w:left w:val="none" w:sz="0" w:space="0" w:color="auto"/>
            <w:bottom w:val="none" w:sz="0" w:space="0" w:color="auto"/>
            <w:right w:val="none" w:sz="0" w:space="0" w:color="auto"/>
          </w:pgBorders>
          <w:pgNumType/>
          <w:cols w:num="1" w:space="720"/>
          <w:docGrid w:linePitch="312" w:charSpace="0"/>
        </w:sectPr>
      </w:pPr>
    </w:p>
    <w:p>
      <w:pPr>
        <w:pStyle w:val="29"/>
        <w:adjustRightInd w:val="0"/>
        <w:snapToGrid w:val="0"/>
        <w:spacing w:before="0" w:beforeAutospacing="0" w:after="0" w:afterAutospacing="0" w:line="240" w:lineRule="auto"/>
        <w:outlineLvl w:val="0"/>
        <w:rPr>
          <w:rFonts w:ascii="黑体" w:eastAsia="黑体" w:cs="黑体" w:hAnsi="黑体" w:hint="eastAsia"/>
          <w:snapToGrid w:val="0"/>
          <w:sz w:val="32"/>
          <w:szCs w:val="32"/>
          <w:lang w:val="en-US" w:eastAsia="zh-CN"/>
        </w:rPr>
      </w:pPr>
      <w:r>
        <w:rPr>
          <w:rFonts w:ascii="黑体" w:eastAsia="黑体" w:cs="黑体" w:hAnsi="黑体" w:hint="eastAsia"/>
          <w:snapToGrid w:val="0"/>
          <w:sz w:val="32"/>
          <w:szCs w:val="32"/>
        </w:rPr>
        <w:t>附表</w:t>
      </w:r>
      <w:r>
        <w:rPr>
          <w:rFonts w:ascii="黑体" w:eastAsia="黑体" w:cs="黑体" w:hAnsi="黑体" w:hint="eastAsia"/>
          <w:snapToGrid w:val="0"/>
          <w:sz w:val="32"/>
          <w:szCs w:val="32"/>
          <w:lang w:val="en-US" w:eastAsia="zh-CN"/>
        </w:rPr>
        <w:t xml:space="preserve">  </w:t>
      </w:r>
    </w:p>
    <w:p>
      <w:pPr>
        <w:pStyle w:val="29"/>
        <w:adjustRightInd w:val="0"/>
        <w:snapToGrid w:val="0"/>
        <w:spacing w:before="0" w:beforeAutospacing="0" w:after="0" w:afterAutospacing="0" w:line="240" w:lineRule="auto"/>
        <w:jc w:val="right"/>
        <w:outlineLvl w:val="0"/>
        <w:rPr>
          <w:rFonts w:ascii="方正小标宋_GBK" w:eastAsia="方正小标宋_GBK" w:hAnsi="黑体"/>
          <w:snapToGrid w:val="0"/>
          <w:sz w:val="38"/>
          <w:szCs w:val="38"/>
          <w:lang w:val="en-US" w:eastAsia="zh-CN"/>
          <w:highlight w:val="none"/>
        </w:rPr>
      </w:pPr>
      <w:r>
        <w:rPr>
          <w:rFonts w:ascii="黑体" w:eastAsia="黑体" w:cs="黑体" w:hAnsi="黑体" w:hint="eastAsia"/>
          <w:snapToGrid w:val="0"/>
          <w:sz w:val="38"/>
          <w:szCs w:val="38"/>
          <w:lang w:val="en-US" w:eastAsia="zh-CN"/>
        </w:rPr>
        <w:t xml:space="preserve">   </w:t>
      </w:r>
      <w:r>
        <w:rPr>
          <w:rFonts w:ascii="黑体" w:eastAsia="黑体" w:cs="黑体" w:hAnsi="黑体" w:hint="eastAsia"/>
          <w:snapToGrid w:val="0"/>
          <w:sz w:val="38"/>
          <w:szCs w:val="38"/>
          <w:lang w:val="en-US" w:eastAsia="zh-CN"/>
          <w:highlight w:val="none"/>
        </w:rPr>
        <w:t xml:space="preserve">   </w:t>
      </w:r>
      <w:r>
        <w:rPr>
          <w:rFonts w:ascii="黑体" w:eastAsia="黑体" w:cs="黑体" w:hAnsi="黑体" w:hint="eastAsia"/>
          <w:snapToGrid w:val="0"/>
          <w:sz w:val="38"/>
          <w:szCs w:val="38"/>
          <w:highlight w:val="none"/>
        </w:rPr>
        <w:t>建设项目污染物排放量汇总表</w:t>
      </w:r>
      <w:r>
        <w:rPr>
          <w:rFonts w:ascii="方正小标宋_GBK" w:eastAsia="方正小标宋_GBK" w:hAnsi="黑体" w:hint="eastAsia"/>
          <w:snapToGrid w:val="0"/>
          <w:sz w:val="38"/>
          <w:szCs w:val="38"/>
          <w:lang w:val="en-US" w:eastAsia="zh-CN"/>
          <w:highlight w:val="none"/>
        </w:rPr>
        <w:t xml:space="preserve">               </w:t>
      </w:r>
      <w:r>
        <w:rPr>
          <w:rFonts w:ascii="Times New Roman" w:cs="Times New Roman" w:hAnsi="Times New Roman"/>
          <w:b/>
          <w:snapToGrid w:val="0"/>
          <w:sz w:val="21"/>
          <w:szCs w:val="21"/>
          <w:lang w:eastAsia="zh-CN"/>
          <w:highlight w:val="none"/>
        </w:rPr>
        <w:t>单位：t/a</w:t>
      </w:r>
    </w:p>
    <w:tbl>
      <w:tblPr>
        <w:tblpPr w:leftFromText="180" w:rightFromText="180" w:vertAnchor="text" w:horzAnchor="page" w:tblpXSpec="center" w:tblpY="259"/>
        <w:tblOverlap w:val="never"/>
        <w:tblW w:w="1399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113"/>
        <w:gridCol w:w="1465"/>
        <w:gridCol w:w="1812"/>
        <w:gridCol w:w="1276"/>
        <w:gridCol w:w="1830"/>
        <w:gridCol w:w="1705"/>
        <w:gridCol w:w="1599"/>
        <w:gridCol w:w="2071"/>
        <w:gridCol w:w="1125"/>
      </w:tblGrid>
      <w:tr>
        <w:trPr>
          <w:trHeight w:val="1168"/>
        </w:trPr>
        <w:tc>
          <w:tcPr>
            <w:tcW w:w="1113" w:type="dxa"/>
            <w:tcBorders>
              <w:tl2br w:val="single" w:sz="4" w:space="0" w:color="auto"/>
            </w:tcBorders>
            <w:tcMar>
              <w:left w:w="28" w:type="dxa"/>
              <w:right w:w="28" w:type="dxa"/>
            </w:tcMar>
            <w:vAlign w:val="center"/>
          </w:tcPr>
          <w:p>
            <w:pPr>
              <w:pStyle w:val="45"/>
              <w:keepNext w:val="0"/>
              <w:keepLines w:val="0"/>
              <w:suppressLineNumbers w:val="0"/>
              <w:spacing w:beforeLines="0" w:before="0" w:beforeAutospacing="0" w:afterLines="0" w:after="0" w:afterAutospacing="0" w:line="240" w:lineRule="auto"/>
              <w:ind w:left="0" w:right="0"/>
              <w:jc w:val="right"/>
              <w:rPr>
                <w:rFonts w:ascii="Times New Roman" w:eastAsia="黑体" w:hAnsi="Times New Roman"/>
                <w:snapToGrid w:val="0"/>
                <w:color w:val="000000"/>
                <w:spacing w:val="-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6"/>
                <w:kern w:val="21"/>
                <w:sz w:val="21"/>
                <w:szCs w:val="21"/>
                <w14:textFill>
                  <w14:solidFill>
                    <w14:srgbClr w14:val="000000"/>
                  </w14:solidFill>
                </w14:textFill>
                <w:lang w:val="en-US" w:eastAsia="zh-CN"/>
                <w:highlight w:val="none"/>
              </w:rPr>
              <w:t>项目</w:t>
            </w:r>
          </w:p>
          <w:p>
            <w:pPr>
              <w:pStyle w:val="45"/>
              <w:keepNext w:val="0"/>
              <w:keepLines w:val="0"/>
              <w:suppressLineNumbers w:val="0"/>
              <w:spacing w:beforeLines="0" w:before="0" w:beforeAutospacing="0" w:afterLines="0" w:after="0" w:afterAutospacing="0" w:line="240" w:lineRule="auto"/>
              <w:ind w:left="0" w:right="0"/>
              <w:jc w:val="left"/>
              <w:rPr>
                <w:rFonts w:ascii="Times New Roman" w:eastAsia="黑体" w:hAnsi="Times New Roman"/>
                <w:snapToGrid w:val="0"/>
                <w:color w:val="000000"/>
                <w:spacing w:val="-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6"/>
                <w:kern w:val="21"/>
                <w:sz w:val="21"/>
                <w:szCs w:val="21"/>
                <w14:textFill>
                  <w14:solidFill>
                    <w14:srgbClr w14:val="000000"/>
                  </w14:solidFill>
                </w14:textFill>
                <w:lang w:val="en-US" w:eastAsia="zh-CN"/>
                <w:highlight w:val="none"/>
              </w:rPr>
              <w:t>分类</w:t>
            </w:r>
          </w:p>
        </w:tc>
        <w:tc>
          <w:tcPr>
            <w:tcW w:w="1465" w:type="dxa"/>
            <w:tcMar>
              <w:left w:w="28" w:type="dxa"/>
              <w:right w:w="28" w:type="dxa"/>
            </w:tcMar>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黑体" w:hAnsi="Times New Roman"/>
                <w:snapToGrid w:val="0"/>
                <w:color w:val="000000"/>
                <w:spacing w:val="-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6"/>
                <w:kern w:val="21"/>
                <w:sz w:val="21"/>
                <w:szCs w:val="21"/>
                <w14:textFill>
                  <w14:solidFill>
                    <w14:srgbClr w14:val="000000"/>
                  </w14:solidFill>
                </w14:textFill>
                <w:lang w:val="en-US" w:eastAsia="zh-CN"/>
                <w:highlight w:val="none"/>
              </w:rPr>
              <w:t>污染物名称</w:t>
            </w:r>
          </w:p>
        </w:tc>
        <w:tc>
          <w:tcPr>
            <w:tcW w:w="1812" w:type="dxa"/>
            <w:tcMar>
              <w:left w:w="28" w:type="dxa"/>
              <w:right w:w="28" w:type="dxa"/>
            </w:tcMar>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黑体" w:hAnsi="Times New Roman"/>
                <w:snapToGrid w:val="0"/>
                <w:color w:val="000000"/>
                <w:spacing w:val="-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6"/>
                <w:kern w:val="21"/>
                <w:sz w:val="21"/>
                <w:szCs w:val="21"/>
                <w14:textFill>
                  <w14:solidFill>
                    <w14:srgbClr w14:val="000000"/>
                  </w14:solidFill>
                </w14:textFill>
                <w:lang w:val="en-US" w:eastAsia="zh-CN"/>
                <w:highlight w:val="none"/>
              </w:rPr>
              <w:t>现有工程排放量（固体废物产生量）</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begin"/>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instrText xml:space="preserve"> = 1 \* GB3 \* MERGEFORMAT </w:instrTex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separate"/>
            </w:r>
            <w:r>
              <w:rPr>
                <w:rFonts w:ascii="黑体" w:eastAsia="黑体" w:cs="Times New Roman" w:hAnsi="黑体"/>
                <w:color w:val="000000"/>
                <w:kern w:val="2"/>
                <w:sz w:val="21"/>
                <w:szCs w:val="21"/>
                <w14:textFill>
                  <w14:solidFill>
                    <w14:srgbClr w14:val="000000"/>
                  </w14:solidFill>
                </w14:textFill>
                <w:lang w:val="en-US" w:eastAsia="zh-CN"/>
                <w:highlight w:val="none"/>
              </w:rPr>
              <w:t>①</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end"/>
            </w:r>
          </w:p>
        </w:tc>
        <w:tc>
          <w:tcPr>
            <w:tcW w:w="1276" w:type="dxa"/>
            <w:tcMar>
              <w:left w:w="28" w:type="dxa"/>
              <w:right w:w="28" w:type="dxa"/>
            </w:tcMar>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黑体" w:hAnsi="Times New Roman"/>
                <w:snapToGrid w:val="0"/>
                <w:color w:val="000000"/>
                <w:spacing w:val="-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6"/>
                <w:kern w:val="21"/>
                <w:sz w:val="21"/>
                <w:szCs w:val="21"/>
                <w14:textFill>
                  <w14:solidFill>
                    <w14:srgbClr w14:val="000000"/>
                  </w14:solidFill>
                </w14:textFill>
                <w:lang w:val="en-US" w:eastAsia="zh-CN"/>
                <w:highlight w:val="none"/>
              </w:rPr>
              <w:t>现有工程许可排放量</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begin"/>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instrText xml:space="preserve"> = 2 \* GB3 \* MERGEFORMAT </w:instrTex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separate"/>
            </w:r>
            <w:r>
              <w:rPr>
                <w:rFonts w:ascii="黑体" w:eastAsia="黑体" w:cs="Times New Roman" w:hAnsi="黑体"/>
                <w:snapToGrid w:val="0"/>
                <w:color w:val="000000"/>
                <w:spacing w:val="-6"/>
                <w:kern w:val="21"/>
                <w:sz w:val="21"/>
                <w:szCs w:val="21"/>
                <w14:textFill>
                  <w14:solidFill>
                    <w14:srgbClr w14:val="000000"/>
                  </w14:solidFill>
                </w14:textFill>
                <w:lang w:val="en-US" w:eastAsia="zh-CN"/>
                <w:highlight w:val="none"/>
              </w:rPr>
              <w:t>②</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end"/>
            </w:r>
          </w:p>
        </w:tc>
        <w:tc>
          <w:tcPr>
            <w:tcW w:w="1830" w:type="dxa"/>
            <w:tcMar>
              <w:left w:w="28" w:type="dxa"/>
              <w:right w:w="28" w:type="dxa"/>
            </w:tcMar>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黑体" w:hAnsi="Times New Roman"/>
                <w:snapToGrid w:val="0"/>
                <w:color w:val="000000"/>
                <w:spacing w:val="-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6"/>
                <w:kern w:val="21"/>
                <w:sz w:val="21"/>
                <w:szCs w:val="21"/>
                <w14:textFill>
                  <w14:solidFill>
                    <w14:srgbClr w14:val="000000"/>
                  </w14:solidFill>
                </w14:textFill>
                <w:lang w:val="en-US" w:eastAsia="zh-CN"/>
                <w:highlight w:val="none"/>
              </w:rPr>
              <w:t>在建工程排放量（固体废物产生量）</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begin"/>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instrText xml:space="preserve"> = 3 \* GB3 \* MERGEFORMAT </w:instrTex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separate"/>
            </w:r>
            <w:r>
              <w:rPr>
                <w:rFonts w:ascii="黑体" w:eastAsia="黑体" w:cs="Times New Roman" w:hAnsi="黑体"/>
                <w:color w:val="000000"/>
                <w:kern w:val="2"/>
                <w:sz w:val="21"/>
                <w:szCs w:val="21"/>
                <w14:textFill>
                  <w14:solidFill>
                    <w14:srgbClr w14:val="000000"/>
                  </w14:solidFill>
                </w14:textFill>
                <w:lang w:val="en-US" w:eastAsia="zh-CN"/>
                <w:highlight w:val="none"/>
              </w:rPr>
              <w:t>③</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end"/>
            </w:r>
          </w:p>
        </w:tc>
        <w:tc>
          <w:tcPr>
            <w:tcW w:w="1705" w:type="dxa"/>
            <w:tcMar>
              <w:left w:w="28" w:type="dxa"/>
              <w:right w:w="28" w:type="dxa"/>
            </w:tcMar>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黑体" w:hAnsi="Times New Roman"/>
                <w:snapToGrid w:val="0"/>
                <w:color w:val="000000"/>
                <w:spacing w:val="-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6"/>
                <w:kern w:val="21"/>
                <w:sz w:val="21"/>
                <w:szCs w:val="21"/>
                <w14:textFill>
                  <w14:solidFill>
                    <w14:srgbClr w14:val="000000"/>
                  </w14:solidFill>
                </w14:textFill>
                <w:lang w:val="en-US" w:eastAsia="zh-CN"/>
                <w:highlight w:val="none"/>
              </w:rPr>
              <w:t>本项目排放量（固体废物产生量）</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begin"/>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instrText xml:space="preserve"> = 4 \* GB3 \* MERGEFORMAT </w:instrTex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separate"/>
            </w:r>
            <w:r>
              <w:rPr>
                <w:rFonts w:ascii="黑体" w:eastAsia="黑体" w:cs="Times New Roman" w:hAnsi="黑体"/>
                <w:color w:val="000000"/>
                <w:kern w:val="2"/>
                <w:sz w:val="21"/>
                <w:szCs w:val="21"/>
                <w14:textFill>
                  <w14:solidFill>
                    <w14:srgbClr w14:val="000000"/>
                  </w14:solidFill>
                </w14:textFill>
                <w:lang w:val="en-US" w:eastAsia="zh-CN"/>
                <w:highlight w:val="none"/>
              </w:rPr>
              <w:t>④</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end"/>
            </w:r>
          </w:p>
        </w:tc>
        <w:tc>
          <w:tcPr>
            <w:tcW w:w="1599" w:type="dxa"/>
            <w:tcMar>
              <w:left w:w="28" w:type="dxa"/>
              <w:right w:w="28" w:type="dxa"/>
            </w:tcMar>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黑体" w:hAnsi="Times New Roman"/>
                <w:snapToGrid w:val="0"/>
                <w:color w:val="000000"/>
                <w:spacing w:val="-1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16"/>
                <w:kern w:val="21"/>
                <w:sz w:val="21"/>
                <w:szCs w:val="21"/>
                <w14:textFill>
                  <w14:solidFill>
                    <w14:srgbClr w14:val="000000"/>
                  </w14:solidFill>
                </w14:textFill>
                <w:lang w:val="en-US" w:eastAsia="zh-CN"/>
                <w:highlight w:val="none"/>
              </w:rPr>
              <w:t>以新带老削减量（新建项目不填）</w:t>
            </w:r>
            <w:r>
              <w:rPr>
                <w:rFonts w:ascii="Times New Roman" w:eastAsia="黑体" w:cs="Times New Roman" w:hAnsi="Times New Roman"/>
                <w:snapToGrid w:val="0"/>
                <w:color w:val="000000"/>
                <w:spacing w:val="-16"/>
                <w:kern w:val="21"/>
                <w:sz w:val="21"/>
                <w:szCs w:val="21"/>
                <w14:textFill>
                  <w14:solidFill>
                    <w14:srgbClr w14:val="000000"/>
                  </w14:solidFill>
                </w14:textFill>
                <w:lang w:val="en-US" w:eastAsia="zh-CN"/>
                <w:highlight w:val="none"/>
              </w:rPr>
              <w:fldChar w:fldCharType="begin"/>
            </w:r>
            <w:r>
              <w:rPr>
                <w:rFonts w:ascii="Times New Roman" w:eastAsia="黑体" w:cs="Times New Roman" w:hAnsi="Times New Roman"/>
                <w:snapToGrid w:val="0"/>
                <w:color w:val="000000"/>
                <w:spacing w:val="-16"/>
                <w:kern w:val="21"/>
                <w:sz w:val="21"/>
                <w:szCs w:val="21"/>
                <w14:textFill>
                  <w14:solidFill>
                    <w14:srgbClr w14:val="000000"/>
                  </w14:solidFill>
                </w14:textFill>
                <w:lang w:val="en-US" w:eastAsia="zh-CN"/>
                <w:highlight w:val="none"/>
              </w:rPr>
              <w:instrText xml:space="preserve"> = 5 \* GB3 \* MERGEFORMAT </w:instrText>
            </w:r>
            <w:r>
              <w:rPr>
                <w:rFonts w:ascii="Times New Roman" w:eastAsia="黑体" w:cs="Times New Roman" w:hAnsi="Times New Roman"/>
                <w:snapToGrid w:val="0"/>
                <w:color w:val="000000"/>
                <w:spacing w:val="-16"/>
                <w:kern w:val="21"/>
                <w:sz w:val="21"/>
                <w:szCs w:val="21"/>
                <w14:textFill>
                  <w14:solidFill>
                    <w14:srgbClr w14:val="000000"/>
                  </w14:solidFill>
                </w14:textFill>
                <w:lang w:val="en-US" w:eastAsia="zh-CN"/>
                <w:highlight w:val="none"/>
              </w:rPr>
              <w:fldChar w:fldCharType="separate"/>
            </w:r>
            <w:r>
              <w:rPr>
                <w:rFonts w:ascii="黑体" w:eastAsia="黑体" w:cs="Times New Roman" w:hAnsi="黑体"/>
                <w:color w:val="000000"/>
                <w:kern w:val="2"/>
                <w:sz w:val="21"/>
                <w:szCs w:val="21"/>
                <w14:textFill>
                  <w14:solidFill>
                    <w14:srgbClr w14:val="000000"/>
                  </w14:solidFill>
                </w14:textFill>
                <w:lang w:val="en-US" w:eastAsia="zh-CN"/>
                <w:highlight w:val="none"/>
              </w:rPr>
              <w:t>⑤</w:t>
            </w:r>
            <w:r>
              <w:rPr>
                <w:rFonts w:ascii="Times New Roman" w:eastAsia="黑体" w:cs="Times New Roman" w:hAnsi="Times New Roman"/>
                <w:snapToGrid w:val="0"/>
                <w:color w:val="000000"/>
                <w:spacing w:val="-16"/>
                <w:kern w:val="21"/>
                <w:sz w:val="21"/>
                <w:szCs w:val="21"/>
                <w14:textFill>
                  <w14:solidFill>
                    <w14:srgbClr w14:val="000000"/>
                  </w14:solidFill>
                </w14:textFill>
                <w:lang w:val="en-US" w:eastAsia="zh-CN"/>
                <w:highlight w:val="none"/>
              </w:rPr>
              <w:fldChar w:fldCharType="end"/>
            </w:r>
          </w:p>
        </w:tc>
        <w:tc>
          <w:tcPr>
            <w:tcW w:w="2071" w:type="dxa"/>
            <w:tcMar>
              <w:left w:w="28" w:type="dxa"/>
              <w:right w:w="28" w:type="dxa"/>
            </w:tcMar>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黑体" w:hAnsi="Times New Roman"/>
                <w:snapToGrid w:val="0"/>
                <w:color w:val="000000"/>
                <w:spacing w:val="-1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16"/>
                <w:kern w:val="21"/>
                <w:sz w:val="21"/>
                <w:szCs w:val="21"/>
                <w14:textFill>
                  <w14:solidFill>
                    <w14:srgbClr w14:val="000000"/>
                  </w14:solidFill>
                </w14:textFill>
                <w:lang w:val="en-US" w:eastAsia="zh-CN"/>
                <w:highlight w:val="none"/>
              </w:rPr>
              <w:t>本项目建成后全厂排放量（固体废物产生量）</w:t>
            </w:r>
            <w:r>
              <w:rPr>
                <w:rFonts w:ascii="Times New Roman" w:eastAsia="黑体" w:cs="Times New Roman" w:hAnsi="Times New Roman"/>
                <w:snapToGrid w:val="0"/>
                <w:color w:val="000000"/>
                <w:spacing w:val="-16"/>
                <w:kern w:val="21"/>
                <w:sz w:val="21"/>
                <w:szCs w:val="21"/>
                <w14:textFill>
                  <w14:solidFill>
                    <w14:srgbClr w14:val="000000"/>
                  </w14:solidFill>
                </w14:textFill>
                <w:lang w:val="en-US" w:eastAsia="zh-CN"/>
                <w:highlight w:val="none"/>
              </w:rPr>
              <w:fldChar w:fldCharType="begin"/>
            </w:r>
            <w:r>
              <w:rPr>
                <w:rFonts w:ascii="Times New Roman" w:eastAsia="黑体" w:cs="Times New Roman" w:hAnsi="Times New Roman"/>
                <w:snapToGrid w:val="0"/>
                <w:color w:val="000000"/>
                <w:spacing w:val="-16"/>
                <w:kern w:val="21"/>
                <w:sz w:val="21"/>
                <w:szCs w:val="21"/>
                <w14:textFill>
                  <w14:solidFill>
                    <w14:srgbClr w14:val="000000"/>
                  </w14:solidFill>
                </w14:textFill>
                <w:lang w:val="en-US" w:eastAsia="zh-CN"/>
                <w:highlight w:val="none"/>
              </w:rPr>
              <w:instrText xml:space="preserve"> = 6 \* GB3 \* MERGEFORMAT </w:instrText>
            </w:r>
            <w:r>
              <w:rPr>
                <w:rFonts w:ascii="Times New Roman" w:eastAsia="黑体" w:cs="Times New Roman" w:hAnsi="Times New Roman"/>
                <w:snapToGrid w:val="0"/>
                <w:color w:val="000000"/>
                <w:spacing w:val="-16"/>
                <w:kern w:val="21"/>
                <w:sz w:val="21"/>
                <w:szCs w:val="21"/>
                <w14:textFill>
                  <w14:solidFill>
                    <w14:srgbClr w14:val="000000"/>
                  </w14:solidFill>
                </w14:textFill>
                <w:lang w:val="en-US" w:eastAsia="zh-CN"/>
                <w:highlight w:val="none"/>
              </w:rPr>
              <w:fldChar w:fldCharType="separate"/>
            </w:r>
            <w:r>
              <w:rPr>
                <w:rFonts w:ascii="黑体" w:eastAsia="黑体" w:cs="Times New Roman" w:hAnsi="黑体"/>
                <w:color w:val="000000"/>
                <w:kern w:val="2"/>
                <w:sz w:val="21"/>
                <w:szCs w:val="21"/>
                <w14:textFill>
                  <w14:solidFill>
                    <w14:srgbClr w14:val="000000"/>
                  </w14:solidFill>
                </w14:textFill>
                <w:lang w:val="en-US" w:eastAsia="zh-CN"/>
                <w:highlight w:val="none"/>
              </w:rPr>
              <w:t>⑥</w:t>
            </w:r>
            <w:r>
              <w:rPr>
                <w:rFonts w:ascii="Times New Roman" w:eastAsia="黑体" w:cs="Times New Roman" w:hAnsi="Times New Roman"/>
                <w:snapToGrid w:val="0"/>
                <w:color w:val="000000"/>
                <w:spacing w:val="-16"/>
                <w:kern w:val="21"/>
                <w:sz w:val="21"/>
                <w:szCs w:val="21"/>
                <w14:textFill>
                  <w14:solidFill>
                    <w14:srgbClr w14:val="000000"/>
                  </w14:solidFill>
                </w14:textFill>
                <w:lang w:val="en-US" w:eastAsia="zh-CN"/>
                <w:highlight w:val="none"/>
              </w:rPr>
              <w:fldChar w:fldCharType="end"/>
            </w:r>
          </w:p>
        </w:tc>
        <w:tc>
          <w:tcPr>
            <w:tcW w:w="1125" w:type="dxa"/>
            <w:tcMar>
              <w:left w:w="28" w:type="dxa"/>
              <w:right w:w="28" w:type="dxa"/>
            </w:tcMar>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黑体" w:hAnsi="Times New Roman"/>
                <w:snapToGrid w:val="0"/>
                <w:color w:val="000000"/>
                <w:spacing w:val="-6"/>
                <w:kern w:val="21"/>
                <w:sz w:val="21"/>
                <w:szCs w:val="21"/>
                <w14:textFill>
                  <w14:solidFill>
                    <w14:srgbClr w14:val="000000"/>
                  </w14:solidFill>
                </w14:textFill>
                <w:lang w:val="en-US" w:eastAsia="zh-CN"/>
                <w:highlight w:val="none"/>
              </w:rPr>
            </w:pPr>
            <w:r>
              <w:rPr>
                <w:rFonts w:ascii="Times New Roman" w:eastAsia="黑体" w:cs="Times New Roman" w:hAnsi="黑体"/>
                <w:snapToGrid w:val="0"/>
                <w:color w:val="000000"/>
                <w:spacing w:val="-6"/>
                <w:kern w:val="21"/>
                <w:sz w:val="21"/>
                <w:szCs w:val="21"/>
                <w14:textFill>
                  <w14:solidFill>
                    <w14:srgbClr w14:val="000000"/>
                  </w14:solidFill>
                </w14:textFill>
                <w:lang w:val="en-US" w:eastAsia="zh-CN"/>
                <w:highlight w:val="none"/>
              </w:rPr>
              <w:t>变化量</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begin"/>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instrText xml:space="preserve"> = 7 \* GB3 \* MERGEFORMAT </w:instrTex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separate"/>
            </w:r>
            <w:r>
              <w:rPr>
                <w:rFonts w:ascii="黑体" w:eastAsia="黑体" w:cs="Times New Roman" w:hAnsi="黑体"/>
                <w:color w:val="000000"/>
                <w:kern w:val="2"/>
                <w:sz w:val="21"/>
                <w:szCs w:val="21"/>
                <w14:textFill>
                  <w14:solidFill>
                    <w14:srgbClr w14:val="000000"/>
                  </w14:solidFill>
                </w14:textFill>
                <w:lang w:val="en-US" w:eastAsia="zh-CN"/>
                <w:highlight w:val="none"/>
              </w:rPr>
              <w:t>⑦</w:t>
            </w:r>
            <w:r>
              <w:rPr>
                <w:rFonts w:ascii="Times New Roman" w:eastAsia="黑体" w:cs="Times New Roman" w:hAnsi="Times New Roman"/>
                <w:snapToGrid w:val="0"/>
                <w:color w:val="000000"/>
                <w:spacing w:val="-6"/>
                <w:kern w:val="21"/>
                <w:sz w:val="21"/>
                <w:szCs w:val="21"/>
                <w14:textFill>
                  <w14:solidFill>
                    <w14:srgbClr w14:val="000000"/>
                  </w14:solidFill>
                </w14:textFill>
                <w:lang w:val="en-US" w:eastAsia="zh-CN"/>
                <w:highlight w:val="none"/>
              </w:rPr>
              <w:fldChar w:fldCharType="end"/>
            </w:r>
          </w:p>
        </w:tc>
      </w:tr>
      <w:tr>
        <w:trPr>
          <w:trHeight w:val="843"/>
        </w:trPr>
        <w:tc>
          <w:tcPr>
            <w:tcW w:w="1113" w:type="dxa"/>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废气</w:t>
            </w:r>
          </w:p>
        </w:tc>
        <w:tc>
          <w:tcPr>
            <w:tcW w:w="1465"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kern w:val="2"/>
                <w:sz w:val="21"/>
                <w:szCs w:val="21"/>
                <w:lang w:val="en-US" w:eastAsia="zh-CN" w:bidi="ar-SA"/>
                <w:highlight w:val="none"/>
              </w:rPr>
            </w:pPr>
            <w:r>
              <w:rPr>
                <w:rFonts w:ascii="Times New Roman" w:cs="Times New Roman" w:hAnsi="Times New Roman" w:hint="eastAsia"/>
                <w:b w:val="0"/>
                <w:bCs w:val="0"/>
                <w:color w:val="auto"/>
                <w:sz w:val="21"/>
                <w:szCs w:val="21"/>
                <w:vertAlign w:val="baseline"/>
                <w:lang w:val="en-US" w:eastAsia="zh-CN"/>
              </w:rPr>
              <w:t>VOC</w:t>
            </w:r>
            <w:r>
              <w:rPr>
                <w:rFonts w:ascii="Times New Roman" w:cs="Times New Roman" w:hAnsi="Times New Roman" w:hint="eastAsia"/>
                <w:b w:val="0"/>
                <w:bCs w:val="0"/>
                <w:color w:val="auto"/>
                <w:sz w:val="21"/>
                <w:szCs w:val="21"/>
                <w:vertAlign w:val="subscript"/>
                <w:lang w:val="en-US" w:eastAsia="zh-CN"/>
              </w:rPr>
              <w:t>S</w:t>
            </w:r>
          </w:p>
        </w:tc>
        <w:tc>
          <w:tcPr>
            <w:tcW w:w="1812"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bidi="ar-SA"/>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276"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bidi="ar-SA"/>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830"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bidi="ar-SA"/>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705"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0.1389</w:t>
            </w:r>
          </w:p>
        </w:tc>
        <w:tc>
          <w:tcPr>
            <w:tcW w:w="1599"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w:t>
            </w:r>
          </w:p>
        </w:tc>
        <w:tc>
          <w:tcPr>
            <w:tcW w:w="2071"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0.1389</w:t>
            </w:r>
          </w:p>
        </w:tc>
        <w:tc>
          <w:tcPr>
            <w:tcW w:w="1125"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auto"/>
                <w:kern w:val="2"/>
                <w:sz w:val="21"/>
                <w:szCs w:val="21"/>
                <w:lang w:val="en-US" w:eastAsia="zh-CN" w:bidi="ar-SA"/>
                <w:highlight w:val="none"/>
              </w:rPr>
            </w:pPr>
            <w:r>
              <w:rPr>
                <w:rFonts w:ascii="Times New Roman" w:cs="Times New Roman" w:hAnsi="Times New Roman" w:hint="eastAsia"/>
                <w:color w:val="auto"/>
                <w:sz w:val="21"/>
                <w:szCs w:val="21"/>
                <w:lang w:val="en-US" w:eastAsia="zh-CN"/>
                <w:highlight w:val="none"/>
              </w:rPr>
              <w:t>+0.1389</w:t>
            </w:r>
          </w:p>
        </w:tc>
      </w:tr>
      <w:tr>
        <w:trPr>
          <w:trHeight w:val="843"/>
        </w:trPr>
        <w:tc>
          <w:tcPr>
            <w:tcW w:w="1113" w:type="dxa"/>
            <w:vMerge w:val="restart"/>
            <w:vAlign w:val="center"/>
          </w:tcPr>
          <w:p>
            <w:pPr>
              <w:pStyle w:val="45"/>
              <w:keepNext w:val="0"/>
              <w:keepLines w:val="0"/>
              <w:suppressLineNumbers w:val="0"/>
              <w:spacing w:beforeAutospacing="0" w:afterAutospacing="0" w:line="240" w:lineRule="auto"/>
              <w:ind w:left="0" w:right="0"/>
              <w:rPr>
                <w:rFonts w:ascii="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宋体"/>
                <w:snapToGrid w:val="0"/>
                <w:color w:val="000000"/>
                <w:kern w:val="21"/>
                <w:sz w:val="21"/>
                <w:szCs w:val="21"/>
                <w14:textFill>
                  <w14:solidFill>
                    <w14:srgbClr w14:val="000000"/>
                  </w14:solidFill>
                </w14:textFill>
                <w:lang w:val="en-US" w:eastAsia="zh-CN"/>
                <w:highlight w:val="none"/>
              </w:rPr>
              <w:t>废水</w:t>
            </w:r>
          </w:p>
        </w:tc>
        <w:tc>
          <w:tcPr>
            <w:tcW w:w="1465" w:type="dxa"/>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rFonts w:eastAsia="宋体" w:hint="eastAsia"/>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废水量</w:t>
            </w:r>
          </w:p>
        </w:tc>
        <w:tc>
          <w:tcPr>
            <w:tcW w:w="1812" w:type="dxa"/>
            <w:vAlign w:val="center"/>
          </w:tcPr>
          <w:p>
            <w:pPr>
              <w:keepNext w:val="0"/>
              <w:keepLines w:val="0"/>
              <w:suppressLineNumbers w:val="0"/>
              <w:spacing w:before="0" w:beforeAutospacing="0" w:after="0" w:afterAutospacing="0" w:line="240" w:lineRule="auto"/>
              <w:ind w:left="0" w:right="0"/>
              <w:jc w:val="center"/>
              <w:rPr>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276" w:type="dxa"/>
            <w:vAlign w:val="center"/>
          </w:tcPr>
          <w:p>
            <w:pPr>
              <w:keepNext w:val="0"/>
              <w:keepLines w:val="0"/>
              <w:suppressLineNumbers w:val="0"/>
              <w:spacing w:before="0" w:beforeAutospacing="0" w:after="0" w:afterAutospacing="0" w:line="240" w:lineRule="auto"/>
              <w:ind w:left="0" w:right="0"/>
              <w:jc w:val="center"/>
              <w:rPr>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830" w:type="dxa"/>
            <w:vAlign w:val="center"/>
          </w:tcPr>
          <w:p>
            <w:pPr>
              <w:keepNext w:val="0"/>
              <w:keepLines w:val="0"/>
              <w:suppressLineNumbers w:val="0"/>
              <w:spacing w:before="0" w:beforeAutospacing="0" w:after="0" w:afterAutospacing="0" w:line="240" w:lineRule="auto"/>
              <w:ind w:left="0" w:right="0"/>
              <w:jc w:val="center"/>
              <w:rPr>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705" w:type="dxa"/>
            <w:vAlign w:val="center"/>
          </w:tcPr>
          <w:p>
            <w:pPr>
              <w:keepNext w:val="0"/>
              <w:keepLines w:val="0"/>
              <w:suppressLineNumbers w:val="0"/>
              <w:spacing w:before="0" w:beforeAutospacing="0" w:after="0" w:afterAutospacing="0" w:line="240" w:lineRule="auto"/>
              <w:ind w:left="0" w:right="0"/>
              <w:jc w:val="center"/>
              <w:rPr>
                <w:rFonts w:cs="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99.28</w:t>
            </w:r>
          </w:p>
        </w:tc>
        <w:tc>
          <w:tcPr>
            <w:tcW w:w="1599" w:type="dxa"/>
            <w:vAlign w:val="center"/>
          </w:tcPr>
          <w:p>
            <w:pPr>
              <w:keepNext w:val="0"/>
              <w:keepLines w:val="0"/>
              <w:suppressLineNumbers w:val="0"/>
              <w:spacing w:before="0" w:beforeAutospacing="0" w:after="0" w:afterAutospacing="0" w:line="240" w:lineRule="auto"/>
              <w:ind w:left="0" w:right="0"/>
              <w:jc w:val="center"/>
              <w:rPr>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2071" w:type="dxa"/>
            <w:vAlign w:val="center"/>
          </w:tcPr>
          <w:p>
            <w:pPr>
              <w:keepNext w:val="0"/>
              <w:keepLines w:val="0"/>
              <w:suppressLineNumbers w:val="0"/>
              <w:spacing w:before="0" w:beforeAutospacing="0" w:after="0" w:afterAutospacing="0" w:line="240" w:lineRule="auto"/>
              <w:ind w:left="0" w:right="0"/>
              <w:jc w:val="center"/>
              <w:rPr>
                <w:rFonts w:cs="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99.28</w:t>
            </w:r>
          </w:p>
        </w:tc>
        <w:tc>
          <w:tcPr>
            <w:tcW w:w="1125" w:type="dxa"/>
            <w:vAlign w:val="center"/>
          </w:tcPr>
          <w:p>
            <w:pPr>
              <w:keepNext w:val="0"/>
              <w:keepLines w:val="0"/>
              <w:suppressLineNumbers w:val="0"/>
              <w:spacing w:before="0" w:beforeAutospacing="0" w:after="0" w:afterAutospacing="0" w:line="240" w:lineRule="auto"/>
              <w:ind w:left="0" w:right="0"/>
              <w:jc w:val="center"/>
              <w:rPr>
                <w:rFonts w:cs="Times New Roman"/>
                <w:snapToGrid w:val="0"/>
                <w:color w:val="000000"/>
                <w:kern w:val="21"/>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+99.28</w:t>
            </w:r>
          </w:p>
        </w:tc>
      </w:tr>
      <w:tr>
        <w:trPr>
          <w:trHeight w:val="843"/>
        </w:trPr>
        <w:tc>
          <w:tcPr>
            <w:tcW w:w="1113" w:type="dxa"/>
            <w:vMerge/>
            <w:vAlign w:val="center"/>
          </w:tcPr>
          <w:p/>
        </w:tc>
        <w:tc>
          <w:tcPr>
            <w:tcW w:w="1465" w:type="dxa"/>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COD</w:t>
            </w:r>
          </w:p>
        </w:tc>
        <w:tc>
          <w:tcPr>
            <w:tcW w:w="1812" w:type="dxa"/>
            <w:vAlign w:val="center"/>
          </w:tcPr>
          <w:p>
            <w:pPr>
              <w:keepNext w:val="0"/>
              <w:keepLines w:val="0"/>
              <w:suppressLineNumbers w:val="0"/>
              <w:spacing w:before="0" w:beforeAutospacing="0" w:after="0" w:afterAutospacing="0" w:line="240" w:lineRule="auto"/>
              <w:ind w:left="0" w:right="0"/>
              <w:jc w:val="center"/>
              <w:rPr>
                <w:rFonts w:eastAsia="宋体"/>
                <w:color w:val="000000"/>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276" w:type="dxa"/>
            <w:vAlign w:val="center"/>
          </w:tcPr>
          <w:p>
            <w:pPr>
              <w:keepNext w:val="0"/>
              <w:keepLines w:val="0"/>
              <w:suppressLineNumbers w:val="0"/>
              <w:spacing w:before="0" w:beforeAutospacing="0" w:after="0" w:afterAutospacing="0" w:line="240" w:lineRule="auto"/>
              <w:ind w:left="0" w:right="0"/>
              <w:jc w:val="center"/>
              <w:rPr>
                <w:rFonts w:eastAsia="宋体" w:hint="eastAsia"/>
                <w:color w:val="000000"/>
                <w:sz w:val="21"/>
                <w:szCs w:val="21"/>
                <w14:textFill>
                  <w14:solidFill>
                    <w14:srgbClr w14:val="000000"/>
                  </w14:solidFill>
                </w14:textFill>
                <w:lang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830" w:type="dxa"/>
            <w:vAlign w:val="center"/>
          </w:tcPr>
          <w:p>
            <w:pPr>
              <w:keepNext w:val="0"/>
              <w:keepLines w:val="0"/>
              <w:suppressLineNumbers w:val="0"/>
              <w:spacing w:before="0" w:beforeAutospacing="0" w:after="0" w:afterAutospacing="0" w:line="240" w:lineRule="auto"/>
              <w:ind w:left="0" w:right="0"/>
              <w:jc w:val="center"/>
              <w:rPr>
                <w:rFonts w:eastAsia="宋体"/>
                <w:color w:val="000000"/>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705"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0.0030</w:t>
            </w:r>
          </w:p>
        </w:tc>
        <w:tc>
          <w:tcPr>
            <w:tcW w:w="1599" w:type="dxa"/>
            <w:vAlign w:val="center"/>
          </w:tcPr>
          <w:p>
            <w:pPr>
              <w:keepNext w:val="0"/>
              <w:keepLines w:val="0"/>
              <w:suppressLineNumbers w:val="0"/>
              <w:spacing w:before="0" w:beforeAutospacing="0" w:after="0" w:afterAutospacing="0" w:line="240" w:lineRule="auto"/>
              <w:ind w:left="0" w:right="0"/>
              <w:jc w:val="center"/>
              <w:rPr>
                <w:color w:val="000000"/>
                <w:sz w:val="21"/>
                <w:szCs w:val="21"/>
                <w14:textFill>
                  <w14:solidFill>
                    <w14:srgbClr w14:val="000000"/>
                  </w14:solidFill>
                </w14:textFill>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2071"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0.0030</w:t>
            </w:r>
          </w:p>
        </w:tc>
        <w:tc>
          <w:tcPr>
            <w:tcW w:w="1125"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+0.0030</w:t>
            </w:r>
          </w:p>
        </w:tc>
      </w:tr>
      <w:tr>
        <w:trPr>
          <w:trHeight w:val="843"/>
        </w:trPr>
        <w:tc>
          <w:tcPr>
            <w:tcW w:w="1113" w:type="dxa"/>
            <w:vMerge/>
            <w:vAlign w:val="center"/>
          </w:tcPr>
          <w:p/>
        </w:tc>
        <w:tc>
          <w:tcPr>
            <w:tcW w:w="1465" w:type="dxa"/>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NH</w:t>
            </w:r>
            <w:r>
              <w:rPr>
                <w:rFonts w:ascii="Times New Roman" w:cs="Times New Roman" w:hAnsi="Times New Roman"/>
                <w:color w:val="000000"/>
                <w:sz w:val="21"/>
                <w:szCs w:val="21"/>
                <w:vertAlign w:val="subscript"/>
                <w14:textFill>
                  <w14:solidFill>
                    <w14:srgbClr w14:val="000000"/>
                  </w14:solidFill>
                </w14:textFill>
                <w:highlight w:val="none"/>
              </w:rPr>
              <w:t>3</w:t>
            </w:r>
            <w:r>
              <w:rPr>
                <w:rFonts w:ascii="Times New Roman" w:cs="Times New Roman" w:hAnsi="Times New Roman"/>
                <w:color w:val="000000"/>
                <w:sz w:val="21"/>
                <w:szCs w:val="21"/>
                <w14:textFill>
                  <w14:solidFill>
                    <w14:srgbClr w14:val="000000"/>
                  </w14:solidFill>
                </w14:textFill>
                <w:highlight w:val="none"/>
              </w:rPr>
              <w:t>-N</w:t>
            </w:r>
          </w:p>
        </w:tc>
        <w:tc>
          <w:tcPr>
            <w:tcW w:w="1812" w:type="dxa"/>
            <w:vAlign w:val="center"/>
          </w:tcPr>
          <w:p>
            <w:pPr>
              <w:keepNext w:val="0"/>
              <w:keepLines w:val="0"/>
              <w:suppressLineNumbers w:val="0"/>
              <w:spacing w:before="0" w:beforeAutospacing="0" w:after="0" w:afterAutospacing="0" w:line="240" w:lineRule="auto"/>
              <w:ind w:left="0" w:right="0"/>
              <w:jc w:val="center"/>
              <w:rPr>
                <w:rFonts w:eastAsia="宋体"/>
                <w:color w:val="000000"/>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276" w:type="dxa"/>
            <w:vAlign w:val="center"/>
          </w:tcPr>
          <w:p>
            <w:pPr>
              <w:keepNext w:val="0"/>
              <w:keepLines w:val="0"/>
              <w:suppressLineNumbers w:val="0"/>
              <w:spacing w:before="0" w:beforeAutospacing="0" w:after="0" w:afterAutospacing="0" w:line="240" w:lineRule="auto"/>
              <w:ind w:left="0" w:right="0"/>
              <w:jc w:val="center"/>
              <w:rPr>
                <w:rFonts w:eastAsia="宋体" w:hint="eastAsia"/>
                <w:color w:val="000000"/>
                <w:sz w:val="21"/>
                <w:szCs w:val="21"/>
                <w14:textFill>
                  <w14:solidFill>
                    <w14:srgbClr w14:val="000000"/>
                  </w14:solidFill>
                </w14:textFill>
                <w:lang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830" w:type="dxa"/>
            <w:vAlign w:val="center"/>
          </w:tcPr>
          <w:p>
            <w:pPr>
              <w:keepNext w:val="0"/>
              <w:keepLines w:val="0"/>
              <w:suppressLineNumbers w:val="0"/>
              <w:spacing w:before="0" w:beforeAutospacing="0" w:after="0" w:afterAutospacing="0" w:line="240" w:lineRule="auto"/>
              <w:ind w:left="0" w:right="0"/>
              <w:jc w:val="center"/>
              <w:rPr>
                <w:rFonts w:eastAsia="宋体"/>
                <w:color w:val="000000"/>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705"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0.0001</w:t>
            </w:r>
          </w:p>
        </w:tc>
        <w:tc>
          <w:tcPr>
            <w:tcW w:w="1599" w:type="dxa"/>
            <w:vAlign w:val="center"/>
          </w:tcPr>
          <w:p>
            <w:pPr>
              <w:keepNext w:val="0"/>
              <w:keepLines w:val="0"/>
              <w:suppressLineNumbers w:val="0"/>
              <w:spacing w:before="0" w:beforeAutospacing="0" w:after="0" w:afterAutospacing="0" w:line="240" w:lineRule="auto"/>
              <w:ind w:left="0" w:right="0"/>
              <w:jc w:val="center"/>
              <w:rPr>
                <w:color w:val="000000"/>
                <w:sz w:val="21"/>
                <w:szCs w:val="21"/>
                <w14:textFill>
                  <w14:solidFill>
                    <w14:srgbClr w14:val="000000"/>
                  </w14:solidFill>
                </w14:textFill>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2071"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0.0001</w:t>
            </w:r>
          </w:p>
        </w:tc>
        <w:tc>
          <w:tcPr>
            <w:tcW w:w="1125"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+0.0001</w:t>
            </w:r>
          </w:p>
        </w:tc>
      </w:tr>
      <w:tr>
        <w:trPr>
          <w:trHeight w:val="843"/>
        </w:trPr>
        <w:tc>
          <w:tcPr>
            <w:tcW w:w="1113" w:type="dxa"/>
            <w:vMerge/>
            <w:vAlign w:val="center"/>
          </w:tcPr>
          <w:p/>
        </w:tc>
        <w:tc>
          <w:tcPr>
            <w:tcW w:w="1465" w:type="dxa"/>
            <w:vAlign w:val="center"/>
          </w:tcPr>
          <w:p>
            <w:pPr>
              <w:keepNext w:val="0"/>
              <w:keepLines w:val="0"/>
              <w:suppressLineNumbers w:val="0"/>
              <w:tabs>
                <w:tab w:val="left" w:pos="3620"/>
              </w:tabs>
              <w:adjustRightInd w:val="0"/>
              <w:snapToGrid w:val="0"/>
              <w:spacing w:before="0" w:beforeAutospacing="0" w:after="0" w:afterAutospacing="0" w:line="240" w:lineRule="auto"/>
              <w:ind w:left="0" w:right="0"/>
              <w:jc w:val="center"/>
              <w:rPr>
                <w:rFonts w:eastAsia="宋体"/>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TP</w:t>
            </w:r>
          </w:p>
        </w:tc>
        <w:tc>
          <w:tcPr>
            <w:tcW w:w="1812" w:type="dxa"/>
            <w:vAlign w:val="center"/>
          </w:tcPr>
          <w:p>
            <w:pPr>
              <w:keepNext w:val="0"/>
              <w:keepLines w:val="0"/>
              <w:suppressLineNumbers w:val="0"/>
              <w:spacing w:before="0" w:beforeAutospacing="0" w:after="0" w:afterAutospacing="0" w:line="240" w:lineRule="auto"/>
              <w:ind w:left="0" w:right="0"/>
              <w:jc w:val="center"/>
              <w:rPr>
                <w:rFonts w:hint="eastAsia"/>
                <w:snapToGrid w:val="0"/>
                <w:color w:val="000000"/>
                <w:kern w:val="21"/>
                <w:sz w:val="21"/>
                <w:szCs w:val="21"/>
                <w14:textFill>
                  <w14:solidFill>
                    <w14:srgbClr w14:val="000000"/>
                  </w14:solidFill>
                </w14:textFill>
                <w:lang w:val="en-US" w:eastAsia="zh-CN"/>
                <w:highlight w:val="none"/>
              </w:rPr>
            </w:pPr>
          </w:p>
        </w:tc>
        <w:tc>
          <w:tcPr>
            <w:tcW w:w="1276" w:type="dxa"/>
            <w:vAlign w:val="center"/>
          </w:tcPr>
          <w:p>
            <w:pPr>
              <w:keepNext w:val="0"/>
              <w:keepLines w:val="0"/>
              <w:suppressLineNumbers w:val="0"/>
              <w:spacing w:before="0" w:beforeAutospacing="0" w:after="0" w:afterAutospacing="0" w:line="240" w:lineRule="auto"/>
              <w:ind w:left="0" w:right="0"/>
              <w:jc w:val="center"/>
              <w:rPr>
                <w:rFonts w:hint="eastAsia"/>
                <w:snapToGrid w:val="0"/>
                <w:color w:val="000000"/>
                <w:kern w:val="21"/>
                <w:sz w:val="21"/>
                <w:szCs w:val="21"/>
                <w14:textFill>
                  <w14:solidFill>
                    <w14:srgbClr w14:val="000000"/>
                  </w14:solidFill>
                </w14:textFill>
                <w:lang w:val="en-US" w:eastAsia="zh-CN"/>
                <w:highlight w:val="none"/>
              </w:rPr>
            </w:pPr>
          </w:p>
        </w:tc>
        <w:tc>
          <w:tcPr>
            <w:tcW w:w="1830" w:type="dxa"/>
            <w:vAlign w:val="center"/>
          </w:tcPr>
          <w:p>
            <w:pPr>
              <w:keepNext w:val="0"/>
              <w:keepLines w:val="0"/>
              <w:suppressLineNumbers w:val="0"/>
              <w:spacing w:before="0" w:beforeAutospacing="0" w:after="0" w:afterAutospacing="0" w:line="240" w:lineRule="auto"/>
              <w:ind w:left="0" w:right="0"/>
              <w:jc w:val="center"/>
              <w:rPr>
                <w:rFonts w:hint="eastAsia"/>
                <w:snapToGrid w:val="0"/>
                <w:color w:val="000000"/>
                <w:kern w:val="21"/>
                <w:sz w:val="21"/>
                <w:szCs w:val="21"/>
                <w14:textFill>
                  <w14:solidFill>
                    <w14:srgbClr w14:val="000000"/>
                  </w14:solidFill>
                </w14:textFill>
                <w:lang w:val="en-US" w:eastAsia="zh-CN"/>
                <w:highlight w:val="none"/>
              </w:rPr>
            </w:pPr>
          </w:p>
        </w:tc>
        <w:tc>
          <w:tcPr>
            <w:tcW w:w="1705" w:type="dxa"/>
            <w:vAlign w:val="center"/>
          </w:tcPr>
          <w:p>
            <w:pPr>
              <w:keepNext w:val="0"/>
              <w:keepLines w:val="0"/>
              <w:suppressLineNumbers w:val="0"/>
              <w:spacing w:before="0" w:beforeAutospacing="0" w:after="0" w:afterAutospacing="0" w:line="240" w:lineRule="auto"/>
              <w:ind w:left="0" w:right="0"/>
              <w:jc w:val="center"/>
              <w:rPr>
                <w:rFonts w:cs="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0.00003</w:t>
            </w:r>
          </w:p>
        </w:tc>
        <w:tc>
          <w:tcPr>
            <w:tcW w:w="1599" w:type="dxa"/>
            <w:vAlign w:val="center"/>
          </w:tcPr>
          <w:p>
            <w:pPr>
              <w:keepNext w:val="0"/>
              <w:keepLines w:val="0"/>
              <w:suppressLineNumbers w:val="0"/>
              <w:spacing w:before="0" w:beforeAutospacing="0" w:after="0" w:afterAutospacing="0" w:line="240" w:lineRule="auto"/>
              <w:ind w:left="0" w:right="0"/>
              <w:jc w:val="center"/>
              <w:rPr>
                <w:rFonts w:hint="eastAsia"/>
                <w:snapToGrid w:val="0"/>
                <w:color w:val="000000"/>
                <w:kern w:val="21"/>
                <w:sz w:val="21"/>
                <w:szCs w:val="21"/>
                <w14:textFill>
                  <w14:solidFill>
                    <w14:srgbClr w14:val="000000"/>
                  </w14:solidFill>
                </w14:textFill>
                <w:lang w:val="en-US" w:eastAsia="zh-CN"/>
                <w:highlight w:val="none"/>
              </w:rPr>
            </w:pPr>
          </w:p>
        </w:tc>
        <w:tc>
          <w:tcPr>
            <w:tcW w:w="2071" w:type="dxa"/>
            <w:vAlign w:val="center"/>
          </w:tcPr>
          <w:p>
            <w:pPr>
              <w:keepNext w:val="0"/>
              <w:keepLines w:val="0"/>
              <w:suppressLineNumbers w:val="0"/>
              <w:spacing w:before="0" w:beforeAutospacing="0" w:after="0" w:afterAutospacing="0" w:line="240" w:lineRule="auto"/>
              <w:ind w:left="0" w:right="0"/>
              <w:jc w:val="center"/>
              <w:rPr>
                <w:rFonts w:cs="Times New Roman" w:hint="eastAsia"/>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0.00003</w:t>
            </w:r>
          </w:p>
        </w:tc>
        <w:tc>
          <w:tcPr>
            <w:tcW w:w="1125" w:type="dxa"/>
            <w:vAlign w:val="center"/>
          </w:tcPr>
          <w:p>
            <w:pPr>
              <w:keepNext w:val="0"/>
              <w:keepLines w:val="0"/>
              <w:suppressLineNumbers w:val="0"/>
              <w:spacing w:before="0" w:beforeAutospacing="0" w:after="0" w:afterAutospacing="0" w:line="240" w:lineRule="auto"/>
              <w:ind w:left="0" w:right="0"/>
              <w:jc w:val="center"/>
              <w:rPr>
                <w:rFonts w:cs="Times New Roman" w:hint="eastAsia"/>
                <w:snapToGrid w:val="0"/>
                <w:color w:val="000000"/>
                <w:kern w:val="21"/>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kern w:val="2"/>
                <w:sz w:val="21"/>
                <w:szCs w:val="21"/>
                <w14:textFill>
                  <w14:solidFill>
                    <w14:srgbClr w14:val="000000"/>
                  </w14:solidFill>
                </w14:textFill>
                <w:lang w:val="en-US" w:eastAsia="zh-CN" w:bidi="ar-SA"/>
                <w:highlight w:val="none"/>
              </w:rPr>
              <w:t>+0.00003</w:t>
            </w:r>
          </w:p>
        </w:tc>
      </w:tr>
      <w:tr>
        <w:trPr>
          <w:trHeight w:val="884"/>
        </w:trPr>
        <w:tc>
          <w:tcPr>
            <w:tcW w:w="1113" w:type="dxa"/>
            <w:vMerge w:val="restart"/>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hAnsi="宋体"/>
                <w:snapToGrid w:val="0"/>
                <w:color w:val="000000"/>
                <w:kern w:val="21"/>
                <w:sz w:val="21"/>
                <w:szCs w:val="21"/>
                <w14:textFill>
                  <w14:solidFill>
                    <w14:srgbClr w14:val="000000"/>
                  </w14:solidFill>
                </w14:textFill>
                <w:lang w:val="en-US" w:eastAsia="zh-CN"/>
                <w:highlight w:val="none"/>
              </w:rPr>
            </w:pPr>
            <w:r>
              <w:rPr>
                <w:rFonts w:ascii="Times New Roman" w:cs="Times New Roman" w:hAnsi="宋体" w:hint="eastAsia"/>
                <w:snapToGrid w:val="0"/>
                <w:color w:val="000000"/>
                <w:kern w:val="21"/>
                <w:sz w:val="21"/>
                <w:szCs w:val="21"/>
                <w14:textFill>
                  <w14:solidFill>
                    <w14:srgbClr w14:val="000000"/>
                  </w14:solidFill>
                </w14:textFill>
                <w:lang w:val="en-US" w:eastAsia="zh-CN"/>
                <w:highlight w:val="none"/>
              </w:rPr>
              <w:t>危险废物</w:t>
            </w:r>
          </w:p>
        </w:tc>
        <w:tc>
          <w:tcPr>
            <w:tcW w:w="1465" w:type="dxa"/>
            <w:vAlign w:val="center"/>
          </w:tcPr>
          <w:p>
            <w:pPr>
              <w:keepNext w:val="0"/>
              <w:keepLines w:val="0"/>
              <w:suppressLineNumbers w:val="0"/>
              <w:adjustRightInd w:val="0"/>
              <w:snapToGrid w:val="0"/>
              <w:spacing w:before="0" w:beforeAutospacing="0" w:after="0" w:afterAutospacing="0" w:line="240" w:lineRule="auto"/>
              <w:ind w:left="0" w:right="0"/>
              <w:jc w:val="center"/>
              <w:rPr>
                <w:rFonts w:ascii="Times New Roman" w:eastAsia="宋体" w:cs="Times New Roman" w:hAnsi="Times New Roman" w:hint="eastAsia"/>
                <w:kern w:val="2"/>
                <w:sz w:val="21"/>
                <w:szCs w:val="21"/>
                <w:lang w:val="en-US" w:eastAsia="zh-CN" w:bidi="ar-SA"/>
                <w:highlight w:val="none"/>
              </w:rPr>
            </w:pPr>
            <w:r>
              <w:rPr>
                <w:rFonts w:ascii="Times New Roman" w:cs="Times New Roman" w:hAnsi="Times New Roman" w:hint="eastAsia"/>
                <w:sz w:val="21"/>
                <w:szCs w:val="21"/>
                <w:lang w:val="en-US" w:eastAsia="zh-CN"/>
              </w:rPr>
              <w:t>油泥</w:t>
            </w:r>
          </w:p>
        </w:tc>
        <w:tc>
          <w:tcPr>
            <w:tcW w:w="1812"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276" w:type="dxa"/>
            <w:vAlign w:val="center"/>
          </w:tcPr>
          <w:p>
            <w:pPr>
              <w:keepNext w:val="0"/>
              <w:keepLines w:val="0"/>
              <w:suppressLineNumbers w:val="0"/>
              <w:spacing w:before="0" w:beforeAutospacing="0" w:after="0" w:afterAutospacing="0" w:line="240" w:lineRule="auto"/>
              <w:ind w:left="0" w:right="0"/>
              <w:jc w:val="center"/>
              <w:rPr>
                <w:rFonts w:ascii="Times New Roman" w:eastAsia="宋体"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830" w:type="dxa"/>
            <w:vAlign w:val="center"/>
          </w:tcPr>
          <w:p>
            <w:pPr>
              <w:keepNext w:val="0"/>
              <w:keepLines w:val="0"/>
              <w:suppressLineNumbers w:val="0"/>
              <w:spacing w:before="0" w:beforeAutospacing="0" w:after="0" w:afterAutospacing="0" w:line="240" w:lineRule="auto"/>
              <w:ind w:left="0" w:right="0"/>
              <w:jc w:val="center"/>
              <w:rPr>
                <w:rFonts w:eastAsia="宋体"/>
                <w:color w:val="000000"/>
                <w:kern w:val="24"/>
                <w:sz w:val="21"/>
                <w:szCs w:val="21"/>
                <w:lang w:val="en-US" w:eastAsia="zh-CN"/>
                <w:highlight w:val="none"/>
              </w:rPr>
            </w:pPr>
            <w:r>
              <w:rPr>
                <w:rFonts w:ascii="Times New Roman" w:cs="Times New Roman" w:hAnsi="Times New Roman" w:hint="eastAsia"/>
                <w:snapToGrid w:val="0"/>
                <w:color w:val="000000"/>
                <w:kern w:val="21"/>
                <w:sz w:val="21"/>
                <w:szCs w:val="21"/>
                <w14:textFill>
                  <w14:solidFill>
                    <w14:srgbClr w14:val="000000"/>
                  </w14:solidFill>
                </w14:textFill>
                <w:lang w:val="en-US" w:eastAsia="zh-CN"/>
                <w:highlight w:val="none"/>
              </w:rPr>
              <w:t>/</w:t>
            </w:r>
          </w:p>
        </w:tc>
        <w:tc>
          <w:tcPr>
            <w:tcW w:w="1705"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ascii="Times New Roman" w:eastAsia="宋体" w:cs="Times New Roman" w:hAnsi="Times New Roman"/>
                <w:bCs/>
                <w:color w:val="000000"/>
                <w:kern w:val="0"/>
                <w:sz w:val="21"/>
                <w:szCs w:val="21"/>
                <w:lang w:val="en-US" w:eastAsia="zh-CN" w:bidi="ar-SA"/>
              </w:rPr>
            </w:pPr>
            <w:r>
              <w:rPr>
                <w:rFonts w:ascii="Times New Roman" w:eastAsia="宋体" w:cs="Times New Roman" w:hAnsi="Times New Roman" w:hint="eastAsia"/>
                <w:color w:val="000000"/>
                <w:sz w:val="21"/>
                <w:szCs w:val="21"/>
                <w:lang w:val="en-US" w:eastAsia="zh-CN"/>
              </w:rPr>
              <w:t>0.012</w:t>
            </w:r>
            <w:r>
              <w:rPr>
                <w:rFonts w:ascii="Times New Roman" w:eastAsia="宋体" w:cs="Times New Roman" w:hAnsi="Times New Roman"/>
                <w:color w:val="000000"/>
                <w:sz w:val="21"/>
                <w:szCs w:val="21"/>
              </w:rPr>
              <w:t>t</w:t>
            </w:r>
            <w:r>
              <w:rPr>
                <w:rFonts w:ascii="Times New Roman" w:eastAsia="宋体" w:cs="Times New Roman" w:hAnsi="Times New Roman"/>
                <w:color w:val="000000"/>
                <w:sz w:val="21"/>
                <w:szCs w:val="21"/>
                <w:lang w:val="en-US" w:eastAsia="zh-CN"/>
              </w:rPr>
              <w:t>/a</w:t>
            </w:r>
          </w:p>
        </w:tc>
        <w:tc>
          <w:tcPr>
            <w:tcW w:w="1599" w:type="dxa"/>
            <w:shd w:val="clear" w:color="auto" w:fill="auto"/>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宋体" w:cs="Times New Roman" w:hAnsi="Times New Roman"/>
                <w:snapToGrid w:val="0"/>
                <w:color w:val="000000"/>
                <w:kern w:val="0"/>
                <w:sz w:val="21"/>
                <w:szCs w:val="21"/>
                <w:lang w:val="en-US" w:eastAsia="zh-CN" w:bidi="ar-SA"/>
              </w:rPr>
            </w:pPr>
            <w:r>
              <w:rPr>
                <w:rFonts w:ascii="Times New Roman" w:eastAsia="宋体" w:cs="Times New Roman" w:hAnsi="Times New Roman"/>
                <w:snapToGrid w:val="0"/>
                <w:color w:val="000000"/>
                <w:sz w:val="21"/>
                <w:szCs w:val="21"/>
              </w:rPr>
              <w:t>/</w:t>
            </w:r>
          </w:p>
        </w:tc>
        <w:tc>
          <w:tcPr>
            <w:tcW w:w="2071"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ascii="Times New Roman" w:eastAsia="宋体" w:cs="Times New Roman" w:hAnsi="Times New Roman"/>
                <w:bCs/>
                <w:color w:val="000000"/>
                <w:kern w:val="0"/>
                <w:sz w:val="21"/>
                <w:szCs w:val="21"/>
                <w:lang w:val="en-US" w:eastAsia="zh-CN" w:bidi="ar-SA"/>
              </w:rPr>
            </w:pPr>
            <w:r>
              <w:rPr>
                <w:rFonts w:ascii="Times New Roman" w:eastAsia="宋体" w:cs="Times New Roman" w:hAnsi="Times New Roman" w:hint="eastAsia"/>
                <w:color w:val="000000"/>
                <w:sz w:val="21"/>
                <w:szCs w:val="21"/>
                <w:lang w:val="en-US" w:eastAsia="zh-CN"/>
              </w:rPr>
              <w:t>0.012</w:t>
            </w:r>
            <w:r>
              <w:rPr>
                <w:rFonts w:ascii="Times New Roman" w:eastAsia="宋体" w:cs="Times New Roman" w:hAnsi="Times New Roman"/>
                <w:color w:val="000000"/>
                <w:sz w:val="21"/>
                <w:szCs w:val="21"/>
              </w:rPr>
              <w:t>t</w:t>
            </w:r>
            <w:r>
              <w:rPr>
                <w:rFonts w:ascii="Times New Roman" w:eastAsia="宋体" w:cs="Times New Roman" w:hAnsi="Times New Roman"/>
                <w:color w:val="000000"/>
                <w:sz w:val="21"/>
                <w:szCs w:val="21"/>
                <w:lang w:val="en-US" w:eastAsia="zh-CN"/>
              </w:rPr>
              <w:t>/a</w:t>
            </w:r>
          </w:p>
        </w:tc>
        <w:tc>
          <w:tcPr>
            <w:tcW w:w="1125"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ascii="Times New Roman" w:eastAsia="宋体" w:cs="Times New Roman" w:hAnsi="Times New Roman"/>
                <w:bCs/>
                <w:color w:val="000000"/>
                <w:kern w:val="0"/>
                <w:sz w:val="21"/>
                <w:szCs w:val="21"/>
                <w:lang w:val="en-US" w:eastAsia="zh-CN" w:bidi="ar-SA"/>
              </w:rPr>
            </w:pPr>
            <w:r>
              <w:rPr>
                <w:rFonts w:ascii="Times New Roman" w:eastAsia="宋体" w:cs="Times New Roman" w:hAnsi="Times New Roman"/>
                <w:snapToGrid w:val="0"/>
                <w:color w:val="000000"/>
                <w:kern w:val="21"/>
                <w:sz w:val="21"/>
                <w:szCs w:val="21"/>
              </w:rPr>
              <w:t>+</w:t>
            </w:r>
            <w:r>
              <w:rPr>
                <w:rFonts w:ascii="Times New Roman" w:eastAsia="宋体" w:cs="Times New Roman" w:hAnsi="Times New Roman" w:hint="eastAsia"/>
                <w:color w:val="000000"/>
                <w:sz w:val="21"/>
                <w:szCs w:val="21"/>
                <w:lang w:val="en-US" w:eastAsia="zh-CN"/>
              </w:rPr>
              <w:t>0.012</w:t>
            </w:r>
            <w:r>
              <w:rPr>
                <w:rFonts w:ascii="Times New Roman" w:eastAsia="宋体" w:cs="Times New Roman" w:hAnsi="Times New Roman"/>
                <w:color w:val="000000"/>
                <w:sz w:val="21"/>
                <w:szCs w:val="21"/>
              </w:rPr>
              <w:t>t</w:t>
            </w:r>
            <w:r>
              <w:rPr>
                <w:rFonts w:ascii="Times New Roman" w:eastAsia="宋体" w:cs="Times New Roman" w:hAnsi="Times New Roman"/>
                <w:color w:val="000000"/>
                <w:sz w:val="21"/>
                <w:szCs w:val="21"/>
                <w:lang w:val="en-US" w:eastAsia="zh-CN"/>
              </w:rPr>
              <w:t>/a</w:t>
            </w:r>
          </w:p>
        </w:tc>
      </w:tr>
      <w:tr>
        <w:trPr>
          <w:trHeight w:val="884"/>
        </w:trPr>
        <w:tc>
          <w:tcPr>
            <w:tcW w:w="1113" w:type="dxa"/>
            <w:vMerge/>
            <w:vAlign w:val="center"/>
          </w:tcPr>
          <w:p/>
        </w:tc>
        <w:tc>
          <w:tcPr>
            <w:tcW w:w="1465" w:type="dxa"/>
            <w:vAlign w:val="center"/>
          </w:tcPr>
          <w:p>
            <w:pPr>
              <w:keepNext w:val="0"/>
              <w:keepLines w:val="0"/>
              <w:suppressLineNumbers w:val="0"/>
              <w:adjustRightInd w:val="0"/>
              <w:snapToGrid w:val="0"/>
              <w:spacing w:before="0" w:beforeAutospacing="0" w:after="0" w:afterAutospacing="0" w:line="240" w:lineRule="auto"/>
              <w:ind w:left="0" w:right="0"/>
              <w:jc w:val="center"/>
            </w:pPr>
            <w:r>
              <w:rPr>
                <w:rFonts w:ascii="Times New Roman" w:cs="Times New Roman" w:hAnsi="Times New Roman" w:hint="eastAsia"/>
                <w:snapToGrid w:val="0"/>
                <w:color w:val="000000"/>
                <w:kern w:val="21"/>
                <w:sz w:val="21"/>
                <w:szCs w:val="21"/>
                <w:lang w:val="en-US" w:eastAsia="zh-CN"/>
              </w:rPr>
              <w:t>油水烃混合物</w:t>
            </w:r>
          </w:p>
        </w:tc>
        <w:tc>
          <w:tcPr>
            <w:tcW w:w="1812" w:type="dxa"/>
            <w:vAlign w:val="center"/>
          </w:tcPr>
          <w:p>
            <w:pPr>
              <w:keepNext w:val="0"/>
              <w:keepLines w:val="0"/>
              <w:suppressLineNumbers w:val="0"/>
              <w:spacing w:before="0" w:beforeAutospacing="0" w:after="0" w:afterAutospacing="0" w:line="240" w:lineRule="auto"/>
              <w:ind w:left="0" w:right="0"/>
              <w:jc w:val="center"/>
              <w:rPr>
                <w:rFonts w:hint="eastAsia"/>
                <w:snapToGrid w:val="0"/>
                <w:color w:val="000000"/>
                <w:kern w:val="21"/>
                <w:sz w:val="21"/>
                <w:szCs w:val="21"/>
                <w14:textFill>
                  <w14:solidFill>
                    <w14:srgbClr w14:val="000000"/>
                  </w14:solidFill>
                </w14:textFill>
                <w:lang w:val="en-US" w:eastAsia="zh-CN"/>
                <w:highlight w:val="none"/>
              </w:rPr>
            </w:pPr>
          </w:p>
        </w:tc>
        <w:tc>
          <w:tcPr>
            <w:tcW w:w="1276" w:type="dxa"/>
            <w:vAlign w:val="center"/>
          </w:tcPr>
          <w:p>
            <w:pPr>
              <w:keepNext w:val="0"/>
              <w:keepLines w:val="0"/>
              <w:suppressLineNumbers w:val="0"/>
              <w:spacing w:before="0" w:beforeAutospacing="0" w:after="0" w:afterAutospacing="0" w:line="240" w:lineRule="auto"/>
              <w:ind w:left="0" w:right="0"/>
              <w:jc w:val="center"/>
              <w:rPr>
                <w:rFonts w:hint="eastAsia"/>
                <w:snapToGrid w:val="0"/>
                <w:color w:val="000000"/>
                <w:kern w:val="21"/>
                <w:sz w:val="21"/>
                <w:szCs w:val="21"/>
                <w14:textFill>
                  <w14:solidFill>
                    <w14:srgbClr w14:val="000000"/>
                  </w14:solidFill>
                </w14:textFill>
                <w:lang w:val="en-US" w:eastAsia="zh-CN"/>
                <w:highlight w:val="none"/>
              </w:rPr>
            </w:pPr>
          </w:p>
        </w:tc>
        <w:tc>
          <w:tcPr>
            <w:tcW w:w="1830" w:type="dxa"/>
            <w:vAlign w:val="center"/>
          </w:tcPr>
          <w:p>
            <w:pPr>
              <w:keepNext w:val="0"/>
              <w:keepLines w:val="0"/>
              <w:suppressLineNumbers w:val="0"/>
              <w:spacing w:before="0" w:beforeAutospacing="0" w:after="0" w:afterAutospacing="0" w:line="240" w:lineRule="auto"/>
              <w:ind w:left="0" w:right="0"/>
              <w:jc w:val="center"/>
              <w:rPr>
                <w:rFonts w:hint="eastAsia"/>
                <w:snapToGrid w:val="0"/>
                <w:color w:val="000000"/>
                <w:kern w:val="21"/>
                <w:sz w:val="21"/>
                <w:szCs w:val="21"/>
                <w14:textFill>
                  <w14:solidFill>
                    <w14:srgbClr w14:val="000000"/>
                  </w14:solidFill>
                </w14:textFill>
                <w:lang w:val="en-US" w:eastAsia="zh-CN"/>
                <w:highlight w:val="none"/>
              </w:rPr>
            </w:pPr>
          </w:p>
        </w:tc>
        <w:tc>
          <w:tcPr>
            <w:tcW w:w="1705"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ascii="Times New Roman" w:eastAsia="宋体" w:cs="Times New Roman" w:hAnsi="Times New Roman" w:hint="eastAsia"/>
                <w:snapToGrid w:val="0"/>
                <w:color w:val="000000"/>
                <w:kern w:val="2"/>
                <w:sz w:val="21"/>
                <w:szCs w:val="21"/>
                <w:lang w:val="en-US" w:eastAsia="zh-CN" w:bidi="ar-SA"/>
              </w:rPr>
            </w:pPr>
            <w:r>
              <w:rPr>
                <w:rFonts w:ascii="Times New Roman" w:eastAsia="宋体" w:cs="Times New Roman" w:hAnsi="Times New Roman" w:hint="eastAsia"/>
                <w:color w:val="000000"/>
                <w:sz w:val="21"/>
                <w:szCs w:val="21"/>
                <w:lang w:val="en-US" w:eastAsia="zh-CN"/>
              </w:rPr>
              <w:t>0.16</w:t>
            </w:r>
            <w:r>
              <w:rPr>
                <w:rFonts w:ascii="Times New Roman" w:eastAsia="宋体" w:cs="Times New Roman" w:hAnsi="Times New Roman"/>
                <w:color w:val="000000"/>
                <w:sz w:val="21"/>
                <w:szCs w:val="21"/>
              </w:rPr>
              <w:t>t</w:t>
            </w:r>
            <w:r>
              <w:rPr>
                <w:rFonts w:ascii="Times New Roman" w:eastAsia="宋体" w:cs="Times New Roman" w:hAnsi="Times New Roman"/>
                <w:color w:val="000000"/>
                <w:sz w:val="21"/>
                <w:szCs w:val="21"/>
                <w:lang w:val="en-US" w:eastAsia="zh-CN"/>
              </w:rPr>
              <w:t>/a</w:t>
            </w:r>
          </w:p>
        </w:tc>
        <w:tc>
          <w:tcPr>
            <w:tcW w:w="1599" w:type="dxa"/>
            <w:shd w:val="clear" w:color="auto" w:fill="auto"/>
            <w:vAlign w:val="center"/>
          </w:tcPr>
          <w:p>
            <w:pPr>
              <w:pStyle w:val="45"/>
              <w:keepNext w:val="0"/>
              <w:keepLines w:val="0"/>
              <w:suppressLineNumbers w:val="0"/>
              <w:spacing w:beforeLines="0" w:before="0" w:beforeAutospacing="0" w:afterLines="0" w:after="0" w:afterAutospacing="0" w:line="240" w:lineRule="auto"/>
              <w:ind w:left="0" w:right="0"/>
              <w:rPr>
                <w:rFonts w:ascii="Times New Roman" w:eastAsia="宋体" w:cs="Times New Roman" w:hAnsi="Times New Roman" w:hint="eastAsia"/>
                <w:snapToGrid w:val="0"/>
                <w:color w:val="000000"/>
                <w:kern w:val="0"/>
                <w:sz w:val="21"/>
                <w:szCs w:val="21"/>
                <w:lang w:val="en-US" w:eastAsia="zh-CN" w:bidi="ar-SA"/>
              </w:rPr>
            </w:pPr>
            <w:r>
              <w:rPr>
                <w:rFonts w:ascii="Times New Roman" w:eastAsia="宋体" w:cs="Times New Roman" w:hAnsi="Times New Roman"/>
                <w:snapToGrid w:val="0"/>
                <w:color w:val="000000"/>
                <w:kern w:val="21"/>
                <w:sz w:val="21"/>
                <w:szCs w:val="21"/>
              </w:rPr>
              <w:t>/</w:t>
            </w:r>
          </w:p>
        </w:tc>
        <w:tc>
          <w:tcPr>
            <w:tcW w:w="2071"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ascii="Times New Roman" w:eastAsia="宋体" w:cs="Times New Roman" w:hAnsi="Times New Roman" w:hint="eastAsia"/>
                <w:snapToGrid w:val="0"/>
                <w:color w:val="000000"/>
                <w:kern w:val="2"/>
                <w:sz w:val="21"/>
                <w:szCs w:val="21"/>
                <w:lang w:val="en-US" w:eastAsia="zh-CN" w:bidi="ar-SA"/>
              </w:rPr>
            </w:pPr>
            <w:r>
              <w:rPr>
                <w:rFonts w:ascii="Times New Roman" w:eastAsia="宋体" w:cs="Times New Roman" w:hAnsi="Times New Roman" w:hint="eastAsia"/>
                <w:color w:val="000000"/>
                <w:sz w:val="21"/>
                <w:szCs w:val="21"/>
                <w:lang w:val="en-US" w:eastAsia="zh-CN"/>
              </w:rPr>
              <w:t>0.16</w:t>
            </w:r>
            <w:r>
              <w:rPr>
                <w:rFonts w:ascii="Times New Roman" w:eastAsia="宋体" w:cs="Times New Roman" w:hAnsi="Times New Roman"/>
                <w:color w:val="000000"/>
                <w:sz w:val="21"/>
                <w:szCs w:val="21"/>
              </w:rPr>
              <w:t>t</w:t>
            </w:r>
            <w:r>
              <w:rPr>
                <w:rFonts w:ascii="Times New Roman" w:eastAsia="宋体" w:cs="Times New Roman" w:hAnsi="Times New Roman"/>
                <w:color w:val="000000"/>
                <w:sz w:val="21"/>
                <w:szCs w:val="21"/>
                <w:lang w:val="en-US" w:eastAsia="zh-CN"/>
              </w:rPr>
              <w:t>/a</w:t>
            </w:r>
          </w:p>
        </w:tc>
        <w:tc>
          <w:tcPr>
            <w:tcW w:w="1125" w:type="dxa"/>
            <w:shd w:val="clear" w:color="auto" w:fill="auto"/>
            <w:vAlign w:val="center"/>
          </w:tcPr>
          <w:p>
            <w:pPr>
              <w:keepNext w:val="0"/>
              <w:keepLines w:val="0"/>
              <w:widowControl/>
              <w:suppressLineNumbers w:val="0"/>
              <w:spacing w:before="0" w:beforeAutospacing="0" w:after="0" w:afterAutospacing="0" w:line="240" w:lineRule="auto"/>
              <w:ind w:left="0" w:right="0"/>
              <w:jc w:val="center"/>
              <w:textAlignment w:val="center"/>
              <w:rPr>
                <w:rFonts w:ascii="Times New Roman" w:eastAsia="宋体" w:cs="Times New Roman" w:hAnsi="Times New Roman" w:hint="eastAsia"/>
                <w:snapToGrid w:val="0"/>
                <w:color w:val="000000"/>
                <w:kern w:val="2"/>
                <w:sz w:val="21"/>
                <w:szCs w:val="21"/>
                <w:lang w:val="en-US" w:eastAsia="zh-CN" w:bidi="ar-SA"/>
              </w:rPr>
            </w:pPr>
            <w:r>
              <w:rPr>
                <w:rFonts w:ascii="Times New Roman" w:eastAsia="宋体" w:cs="Times New Roman" w:hAnsi="Times New Roman"/>
                <w:snapToGrid w:val="0"/>
                <w:color w:val="000000"/>
                <w:kern w:val="21"/>
                <w:sz w:val="21"/>
                <w:szCs w:val="21"/>
              </w:rPr>
              <w:t>+</w:t>
            </w:r>
            <w:r>
              <w:rPr>
                <w:rFonts w:ascii="Times New Roman" w:eastAsia="宋体" w:cs="Times New Roman" w:hAnsi="Times New Roman" w:hint="eastAsia"/>
                <w:color w:val="000000"/>
                <w:sz w:val="21"/>
                <w:szCs w:val="21"/>
                <w:lang w:val="en-US" w:eastAsia="zh-CN"/>
              </w:rPr>
              <w:t>0.16</w:t>
            </w:r>
            <w:r>
              <w:rPr>
                <w:rFonts w:ascii="Times New Roman" w:eastAsia="宋体" w:cs="Times New Roman" w:hAnsi="Times New Roman"/>
                <w:color w:val="000000"/>
                <w:sz w:val="21"/>
                <w:szCs w:val="21"/>
              </w:rPr>
              <w:t>t</w:t>
            </w:r>
            <w:r>
              <w:rPr>
                <w:rFonts w:ascii="Times New Roman" w:eastAsia="宋体" w:cs="Times New Roman" w:hAnsi="Times New Roman"/>
                <w:color w:val="000000"/>
                <w:sz w:val="21"/>
                <w:szCs w:val="21"/>
                <w:lang w:val="en-US" w:eastAsia="zh-CN"/>
              </w:rPr>
              <w:t>/a</w:t>
            </w:r>
          </w:p>
        </w:tc>
      </w:tr>
    </w:tbl>
    <w:p>
      <w:pPr>
        <w:rPr>
          <w:rFonts w:ascii="宋体" w:eastAsia="黑体" w:hAnsi="宋体"/>
        </w:rPr>
        <w:sectPr>
          <w:pgSz w:w="16838" w:h="11906" w:orient="landscape"/>
          <w:pgMar w:top="1417" w:right="1701" w:bottom="1417" w:left="1701" w:header="851" w:footer="851" w:gutter="0"/>
          <w:pgBorders>
            <w:top w:val="none" w:sz="0" w:space="0" w:color="auto"/>
            <w:left w:val="none" w:sz="0" w:space="0" w:color="auto"/>
            <w:bottom w:val="none" w:sz="0" w:space="0" w:color="auto"/>
            <w:right w:val="none" w:sz="0" w:space="0" w:color="auto"/>
          </w:pgBorders>
          <w:pgNumType/>
          <w:cols w:num="1" w:space="720"/>
          <w:docGrid w:linePitch="312" w:charSpace="0"/>
        </w:sectPr>
      </w:pPr>
      <w:r>
        <w:rPr>
          <w:rFonts w:ascii="宋体" w:eastAsia="黑体" w:hAnsi="宋体"/>
        </w:rPr>
        <w:t>注：</w:t>
      </w:r>
      <w:r>
        <w:rPr>
          <w:rFonts w:ascii="宋体" w:eastAsia="黑体" w:hAnsi="宋体"/>
        </w:rPr>
        <w:fldChar w:fldCharType="begin"/>
      </w:r>
      <w:r>
        <w:rPr>
          <w:rFonts w:ascii="宋体" w:eastAsia="黑体" w:hAnsi="宋体"/>
        </w:rPr>
        <w:instrText xml:space="preserve"> = 6 \* GB3 \* MERGEFORMAT </w:instrText>
      </w:r>
      <w:r>
        <w:rPr>
          <w:rFonts w:ascii="宋体" w:eastAsia="黑体" w:hAnsi="宋体"/>
        </w:rPr>
        <w:fldChar w:fldCharType="separate"/>
      </w:r>
      <w:r>
        <w:rPr>
          <w:rFonts w:ascii="宋体" w:eastAsia="黑体" w:hAnsi="宋体" w:hint="eastAsia"/>
        </w:rPr>
        <w:t>⑥</w:t>
      </w:r>
      <w:r>
        <w:rPr>
          <w:rFonts w:ascii="宋体" w:eastAsia="黑体" w:hAnsi="宋体"/>
        </w:rPr>
        <w:fldChar w:fldCharType="end"/>
      </w:r>
      <w:r>
        <w:rPr>
          <w:rFonts w:ascii="宋体" w:eastAsia="黑体" w:hAnsi="宋体"/>
        </w:rPr>
        <w:t>=</w:t>
      </w:r>
      <w:r>
        <w:rPr>
          <w:rFonts w:ascii="宋体" w:eastAsia="黑体" w:hAnsi="宋体"/>
        </w:rPr>
        <w:fldChar w:fldCharType="begin"/>
      </w:r>
      <w:r>
        <w:rPr>
          <w:rFonts w:ascii="宋体" w:eastAsia="黑体" w:hAnsi="宋体"/>
        </w:rPr>
        <w:instrText xml:space="preserve"> = 1 \* GB3 \* MERGEFORMAT </w:instrText>
      </w:r>
      <w:r>
        <w:rPr>
          <w:rFonts w:ascii="宋体" w:eastAsia="黑体" w:hAnsi="宋体"/>
        </w:rPr>
        <w:fldChar w:fldCharType="separate"/>
      </w:r>
      <w:r>
        <w:rPr>
          <w:rFonts w:ascii="宋体" w:eastAsia="黑体" w:hAnsi="宋体" w:hint="eastAsia"/>
        </w:rPr>
        <w:t>①</w:t>
      </w:r>
      <w:r>
        <w:rPr>
          <w:rFonts w:ascii="宋体" w:eastAsia="黑体" w:hAnsi="宋体"/>
        </w:rPr>
        <w:fldChar w:fldCharType="end"/>
      </w:r>
      <w:r>
        <w:rPr>
          <w:rFonts w:ascii="宋体" w:eastAsia="黑体" w:hAnsi="宋体"/>
        </w:rPr>
        <w:t>+</w:t>
      </w:r>
      <w:r>
        <w:rPr>
          <w:rFonts w:ascii="宋体" w:eastAsia="黑体" w:hAnsi="宋体"/>
        </w:rPr>
        <w:fldChar w:fldCharType="begin"/>
      </w:r>
      <w:r>
        <w:rPr>
          <w:rFonts w:ascii="宋体" w:eastAsia="黑体" w:hAnsi="宋体"/>
        </w:rPr>
        <w:instrText xml:space="preserve"> = 3 \* GB3 \* MERGEFORMAT </w:instrText>
      </w:r>
      <w:r>
        <w:rPr>
          <w:rFonts w:ascii="宋体" w:eastAsia="黑体" w:hAnsi="宋体"/>
        </w:rPr>
        <w:fldChar w:fldCharType="separate"/>
      </w:r>
      <w:r>
        <w:rPr>
          <w:rFonts w:ascii="宋体" w:eastAsia="黑体" w:hAnsi="宋体" w:hint="eastAsia"/>
        </w:rPr>
        <w:t>③</w:t>
      </w:r>
      <w:r>
        <w:rPr>
          <w:rFonts w:ascii="宋体" w:eastAsia="黑体" w:hAnsi="宋体"/>
        </w:rPr>
        <w:fldChar w:fldCharType="end"/>
      </w:r>
      <w:r>
        <w:rPr>
          <w:rFonts w:ascii="宋体" w:eastAsia="黑体" w:hAnsi="宋体"/>
        </w:rPr>
        <w:t>+</w:t>
      </w:r>
      <w:r>
        <w:rPr>
          <w:rFonts w:ascii="宋体" w:eastAsia="黑体" w:hAnsi="宋体"/>
        </w:rPr>
        <w:fldChar w:fldCharType="begin"/>
      </w:r>
      <w:r>
        <w:rPr>
          <w:rFonts w:ascii="宋体" w:eastAsia="黑体" w:hAnsi="宋体"/>
        </w:rPr>
        <w:instrText xml:space="preserve"> = 4 \* GB3 \* MERGEFORMAT </w:instrText>
      </w:r>
      <w:r>
        <w:rPr>
          <w:rFonts w:ascii="宋体" w:eastAsia="黑体" w:hAnsi="宋体"/>
        </w:rPr>
        <w:fldChar w:fldCharType="separate"/>
      </w:r>
      <w:r>
        <w:rPr>
          <w:rFonts w:ascii="宋体" w:eastAsia="黑体" w:hAnsi="宋体" w:hint="eastAsia"/>
        </w:rPr>
        <w:t>④</w:t>
      </w:r>
      <w:r>
        <w:rPr>
          <w:rFonts w:ascii="宋体" w:eastAsia="黑体" w:hAnsi="宋体"/>
        </w:rPr>
        <w:fldChar w:fldCharType="end"/>
      </w:r>
      <w:r>
        <w:rPr>
          <w:rFonts w:ascii="宋体" w:eastAsia="黑体" w:hAnsi="宋体"/>
        </w:rPr>
        <w:t>-</w:t>
      </w:r>
      <w:r>
        <w:rPr>
          <w:rFonts w:ascii="宋体" w:eastAsia="黑体" w:hAnsi="宋体"/>
        </w:rPr>
        <w:fldChar w:fldCharType="begin"/>
      </w:r>
      <w:r>
        <w:rPr>
          <w:rFonts w:ascii="宋体" w:eastAsia="黑体" w:hAnsi="宋体"/>
        </w:rPr>
        <w:instrText xml:space="preserve"> = 5 \* GB3 \* MERGEFORMAT </w:instrText>
      </w:r>
      <w:r>
        <w:rPr>
          <w:rFonts w:ascii="宋体" w:eastAsia="黑体" w:hAnsi="宋体"/>
        </w:rPr>
        <w:fldChar w:fldCharType="separate"/>
      </w:r>
      <w:r>
        <w:rPr>
          <w:rFonts w:ascii="宋体" w:eastAsia="黑体" w:hAnsi="宋体" w:hint="eastAsia"/>
        </w:rPr>
        <w:t>⑤</w:t>
      </w:r>
      <w:r>
        <w:rPr>
          <w:rFonts w:ascii="宋体" w:eastAsia="黑体" w:hAnsi="宋体"/>
        </w:rPr>
        <w:fldChar w:fldCharType="end"/>
      </w:r>
      <w:r>
        <w:rPr>
          <w:rFonts w:ascii="宋体" w:eastAsia="黑体" w:hAnsi="宋体"/>
        </w:rPr>
        <w:t>；</w:t>
      </w:r>
      <w:r>
        <w:rPr>
          <w:rFonts w:ascii="宋体" w:eastAsia="黑体" w:hAnsi="宋体"/>
        </w:rPr>
        <w:fldChar w:fldCharType="begin"/>
      </w:r>
      <w:r>
        <w:rPr>
          <w:rFonts w:ascii="宋体" w:eastAsia="黑体" w:hAnsi="宋体"/>
        </w:rPr>
        <w:instrText xml:space="preserve"> = 7 \* GB3 \* MERGEFORMAT </w:instrText>
      </w:r>
      <w:r>
        <w:rPr>
          <w:rFonts w:ascii="宋体" w:eastAsia="黑体" w:hAnsi="宋体"/>
        </w:rPr>
        <w:fldChar w:fldCharType="separate"/>
      </w:r>
      <w:r>
        <w:rPr>
          <w:rFonts w:ascii="宋体" w:eastAsia="黑体" w:hAnsi="宋体" w:hint="eastAsia"/>
        </w:rPr>
        <w:t>⑦</w:t>
      </w:r>
      <w:r>
        <w:rPr>
          <w:rFonts w:ascii="宋体" w:eastAsia="黑体" w:hAnsi="宋体"/>
        </w:rPr>
        <w:fldChar w:fldCharType="end"/>
      </w:r>
      <w:r>
        <w:rPr>
          <w:rFonts w:ascii="宋体" w:eastAsia="黑体" w:hAnsi="宋体"/>
        </w:rPr>
        <w:t>=</w:t>
      </w:r>
      <w:r>
        <w:rPr>
          <w:rFonts w:ascii="宋体" w:eastAsia="黑体" w:hAnsi="宋体"/>
        </w:rPr>
        <w:fldChar w:fldCharType="begin"/>
      </w:r>
      <w:r>
        <w:rPr>
          <w:rFonts w:ascii="宋体" w:eastAsia="黑体" w:hAnsi="宋体"/>
        </w:rPr>
        <w:instrText xml:space="preserve"> = 6 \* GB3 \* MERGEFORMAT </w:instrText>
      </w:r>
      <w:r>
        <w:rPr>
          <w:rFonts w:ascii="宋体" w:eastAsia="黑体" w:hAnsi="宋体"/>
        </w:rPr>
        <w:fldChar w:fldCharType="separate"/>
      </w:r>
      <w:r>
        <w:rPr>
          <w:rFonts w:ascii="宋体" w:eastAsia="黑体" w:hAnsi="宋体" w:hint="eastAsia"/>
        </w:rPr>
        <w:t>⑥</w:t>
      </w:r>
      <w:r>
        <w:rPr>
          <w:rFonts w:ascii="宋体" w:eastAsia="黑体" w:hAnsi="宋体"/>
        </w:rPr>
        <w:fldChar w:fldCharType="end"/>
      </w:r>
      <w:r>
        <w:rPr>
          <w:rFonts w:ascii="宋体" w:eastAsia="黑体" w:hAnsi="宋体"/>
        </w:rPr>
        <w:t>-</w:t>
      </w:r>
      <w:r>
        <w:rPr>
          <w:rFonts w:ascii="宋体" w:eastAsia="黑体" w:hAnsi="宋体"/>
        </w:rPr>
        <w:fldChar w:fldCharType="begin"/>
      </w:r>
      <w:r>
        <w:rPr>
          <w:rFonts w:ascii="宋体" w:eastAsia="黑体" w:hAnsi="宋体"/>
        </w:rPr>
        <w:instrText xml:space="preserve"> = 1 \* GB3 \* MERGEFORMAT </w:instrText>
      </w:r>
      <w:r>
        <w:rPr>
          <w:rFonts w:ascii="宋体" w:eastAsia="黑体" w:hAnsi="宋体"/>
        </w:rPr>
        <w:fldChar w:fldCharType="separate"/>
      </w:r>
      <w:r>
        <w:rPr>
          <w:rFonts w:ascii="宋体" w:eastAsia="黑体" w:hAnsi="宋体" w:hint="eastAsia"/>
        </w:rPr>
        <w:t>①</w:t>
      </w:r>
      <w:r>
        <w:rPr>
          <w:rFonts w:ascii="宋体" w:eastAsia="黑体" w:hAnsi="宋体"/>
        </w:rPr>
        <w:fldChar w:fldCharType="end"/>
      </w:r>
    </w:p>
    <w:p>
      <w:pPr>
        <w:bidi w:val="0"/>
        <w:rPr>
          <w:lang w:val="en-US" w:eastAsia="zh-CN"/>
        </w:rPr>
      </w:pPr>
      <w:bookmarkStart w:id="8" w:name="_GoBack"/>
      <w:bookmarkEnd w:id="8"/>
    </w:p>
    <w:sectPr>
      <w:footerReference w:type="default" r:id="rId18"/>
      <w:pgSz w:w="11906" w:h="16838"/>
      <w:pgMar w:top="1440" w:right="1800" w:bottom="1440" w:left="1800" w:header="851" w:footer="992" w:gutter="0"/>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2010609030101010101"/>
    <w:charset w:val="86"/>
    <w:family w:val="modern"/>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方正小标宋_GBK">
    <w:altName w:val="微软雅黑"/>
    <w:panose1 w:val="03000509000000000000"/>
    <w:charset w:val="86"/>
    <w:family w:val="script"/>
    <w:pitch w:val="variable"/>
    <w:sig w:usb0="00000000" w:usb1="00000000" w:usb2="00000010" w:usb3="00000000" w:csb0="00040000" w:csb1="00000000"/>
  </w:font>
  <w:font w:name="楷体_GB2312">
    <w:altName w:val="楷体"/>
    <w:panose1 w:val="00000000000000000000"/>
    <w:charset w:val="86"/>
    <w:family w:val="modern"/>
    <w:pitch w:val="variable"/>
    <w:sig w:usb0="00000000" w:usb1="00000000" w:usb2="00000010" w:usb3="00000000" w:csb0="00040000" w:csb1="00000000"/>
  </w:font>
  <w:font w:name="仿宋">
    <w:altName w:val="方正仿宋_GBK"/>
    <w:panose1 w:val="02010609060101010101"/>
    <w:charset w:val="86"/>
    <w:family w:val="modern"/>
    <w:pitch w:val="variable"/>
    <w:sig w:usb0="800002BF" w:usb1="38CF7CFA" w:usb2="00000016" w:usb3="00000000" w:csb0="00040001" w:csb1="00000000"/>
  </w:font>
  <w:font w:name="Times New Roman">
    <w:panose1 w:val="02020603050405020304"/>
    <w:charset w:val="86"/>
    <w:family w:val="auto"/>
    <w:pitch w:val="variable"/>
    <w:sig w:usb0="E0002EFF" w:usb1="C000785B" w:usb2="00000009" w:usb3="00000000" w:csb0="400001FF" w:csb1="FFFF0000"/>
  </w:font>
  <w:font w:name="宋体">
    <w:altName w:val="阳光吾坚体"/>
    <w:panose1 w:val="02010600030101010101"/>
    <w:charset w:val="80"/>
    <w:family w:val="auto"/>
    <w:pitch w:val="variable"/>
    <w:sig w:usb0="00000203" w:usb1="288F0000" w:usb2="00000006"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 w:name="Wingdings">
    <w:altName w:val="DejaVu Sans"/>
    <w:panose1 w:val="05000000000000000000"/>
    <w:charset w:val="02"/>
    <w:family w:val="auto"/>
    <w:pitch w:val="variable"/>
    <w:sig w:usb0="00000000" w:usb1="00000000" w:usb2="00000000" w:usb3="00000000" w:csb0="80000000" w:csb1="00000000"/>
  </w:font>
  <w:font w:name="等线">
    <w:altName w:val="阳光吾坚体"/>
    <w:panose1 w:val="02010600030101010101"/>
    <w:charset w:val="86"/>
    <w:family w:val="auto"/>
    <w:pitch w:val="variable"/>
    <w:sig w:usb0="A00002BF" w:usb1="38CF7CFA" w:usb2="00000016" w:usb3="00000000" w:csb0="0004000F" w:csb1="00000000"/>
  </w:font>
  <w:font w:name="Cambria Math">
    <w:altName w:val="DejaVu Sans"/>
    <w:panose1 w:val="02040503050406030204"/>
    <w:charset w:val="00"/>
    <w:family w:val="roman"/>
    <w:pitch w:val="variable"/>
    <w:sig w:usb0="E00006FF" w:usb1="420024FF" w:usb2="02000000" w:usb3="00000000" w:csb0="2000019F" w:csb1="00000000"/>
  </w:font>
  <w:font w:name="Lucida Sans">
    <w:altName w:val="DejaVu Sans"/>
    <w:panose1 w:val="020B0602030504020204"/>
    <w:charset w:val="00"/>
    <w:family w:val="auto"/>
    <w:pitch w:val="variable"/>
    <w:sig w:usb0="00000003" w:usb1="00000000" w:usb2="00000000" w:usb3="00000000" w:csb0="20000001" w:csb1="00000000"/>
  </w:font>
  <w:font w:name="Cambria">
    <w:altName w:val="DejaVu Sans"/>
    <w:panose1 w:val="02040503050406030204"/>
    <w:charset w:val="00"/>
    <w:family w:val="roman"/>
    <w:pitch w:val="variable"/>
    <w:sig w:usb0="E00006FF" w:usb1="420024FF" w:usb2="02000000" w:usb3="00000000" w:csb0="2000019F" w:csb1="00000000"/>
  </w:font>
  <w:font w:name="Courier New">
    <w:altName w:val="DejaVu Sans"/>
    <w:panose1 w:val="02070309020205020404"/>
    <w:charset w:val="01"/>
    <w:family w:val="modern"/>
    <w:pitch w:val="variable"/>
    <w:sig w:usb0="E0002EFF" w:usb1="C0007843" w:usb2="00000009" w:usb3="00000000" w:csb0="400001FF" w:csb1="FFFF0000"/>
  </w:font>
  <w:font w:name="Tahoma">
    <w:altName w:val="DejaVu Sans"/>
    <w:panose1 w:val="020B0604030504040204"/>
    <w:charset w:val="00"/>
    <w:family w:val="auto"/>
    <w:pitch w:val="variable"/>
    <w:sig w:usb0="E1002EFF" w:usb1="C000605B" w:usb2="00000029" w:usb3="00000000" w:csb0="200101FF" w:csb1="20280000"/>
  </w:font>
  <w:font w:name="微软雅黑">
    <w:altName w:val="方正黑体_GBK"/>
    <w:panose1 w:val="020B0503020204020204"/>
    <w:charset w:val="86"/>
    <w:family w:val="auto"/>
    <w:pitch w:val="variable"/>
    <w:sig w:usb0="80000287" w:usb1="2ACF3C50" w:usb2="00000016" w:usb3="00000000" w:csb0="0004001F" w:csb1="00000000"/>
  </w:font>
  <w:font w:name="Microsoft JhengHei Light">
    <w:altName w:val="方正仿宋_GBK"/>
    <w:panose1 w:val="020B0304030504040204"/>
    <w:charset w:val="88"/>
    <w:family w:val="swiss"/>
    <w:pitch w:val="variable"/>
    <w:sig w:usb0="800002A7" w:usb1="28CF4400" w:usb2="00000016" w:usb3="00000000" w:csb0="00100009"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ind w:right="360" w:firstLine="360"/>
      <w:jc w:val="cente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jc w:val="center"/>
      <w:rPr>
        <w:rStyle w:val="34"/>
        <w:rFonts w:ascii="宋体" w:hAnsi="宋体"/>
        <w:szCs w:val="21"/>
      </w:rPr>
    </w:pPr>
    <w:r>
      <w:rPr>
        <w:rStyle w:val="34"/>
        <w:rFonts w:ascii="Times New Roman" w:cs="Times New Roman" w:hAnsi="Times New Roman"/>
        <w:szCs w:val="21"/>
      </w:rPr>
      <w:t xml:space="preserve"> </w:t>
    </w:r>
    <w:r>
      <w:rPr>
        <w:rStyle w:val="34"/>
        <w:rFonts w:ascii="Times New Roman" w:cs="Times New Roman" w:hAnsi="Times New Roman"/>
        <w:szCs w:val="21"/>
      </w:rPr>
      <w:fldChar w:fldCharType="begin"/>
    </w:r>
    <w:r>
      <w:rPr>
        <w:rStyle w:val="34"/>
        <w:rFonts w:ascii="Times New Roman" w:cs="Times New Roman" w:hAnsi="Times New Roman"/>
        <w:szCs w:val="21"/>
      </w:rPr>
      <w:instrText xml:space="preserve">PAGE  </w:instrText>
    </w:r>
    <w:r>
      <w:rPr>
        <w:rStyle w:val="34"/>
        <w:rFonts w:ascii="Times New Roman" w:cs="Times New Roman" w:hAnsi="Times New Roman"/>
        <w:szCs w:val="21"/>
      </w:rPr>
      <w:fldChar w:fldCharType="separate"/>
    </w:r>
    <w:r>
      <w:rPr>
        <w:rStyle w:val="34"/>
        <w:rFonts w:ascii="Times New Roman" w:cs="Times New Roman" w:hAnsi="Times New Roman"/>
        <w:szCs w:val="21"/>
      </w:rPr>
      <w:t>35</w:t>
    </w:r>
    <w:r>
      <w:rPr>
        <w:rStyle w:val="34"/>
        <w:rFonts w:ascii="Times New Roman" w:cs="Times New Roman" w:hAnsi="Times New Roman"/>
        <w:szCs w:val="21"/>
      </w:rPr>
      <w:fldChar w:fldCharType="end"/>
    </w:r>
    <w:r>
      <w:rPr>
        <w:rStyle w:val="34"/>
        <w:rFonts w:ascii="Times New Roman" w:cs="Times New Roman" w:hAnsi="Times New Roman"/>
        <w:szCs w:val="21"/>
      </w:rPr>
      <w:t xml:space="preserve"> </w:t>
    </w:r>
    <w:r>
      <w:rPr>
        <w:rStyle w:val="34"/>
        <w:rFonts w:ascii="宋体" w:hAnsi="宋体" w:hint="eastAsia"/>
        <w:szCs w:val="21"/>
      </w:rPr>
      <w:t xml:space="preserve"> </w:t>
    </w:r>
  </w:p>
  <w:p>
    <w:pPr>
      <w:pStyle w:val="27"/>
      <w:tabs>
        <w:tab w:val="center" w:pos="4153"/>
        <w:tab w:val="right" w:pos="8306"/>
      </w:tabs>
      <w:ind w:right="360" w:firstLine="360"/>
      <w:jc w:val="center"/>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ind w:right="360" w:firstLine="360"/>
      <w:jc w:val="center"/>
      <w:rPr>
        <w:rFonts w:eastAsia="宋体" w:hint="eastAsia"/>
        <w:sz w:val="24"/>
        <w:szCs w:val="24"/>
        <w:lang w:val="en-US" w:eastAsia="zh-CN"/>
      </w:rPr>
    </w:pPr>
    <w:r>
      <w:rPr>
        <w:sz w:val="24"/>
      </w:rPr>
      <mc:AlternateContent>
        <mc:Choice Requires="wps">
          <w:drawing>
            <wp:anchor distT="0" distB="0" distL="114300" distR="114300" simplePos="0" relativeHeight="61" behindDoc="0" locked="0" layoutInCell="1" hidden="0" allowOverlap="1">
              <wp:simplePos x="0" y="0"/>
              <wp:positionH relativeFrom="margin">
                <wp:align>center</wp:align>
              </wp:positionH>
              <wp:positionV relativeFrom="paragraph">
                <wp:posOffset>0</wp:posOffset>
              </wp:positionV>
              <wp:extent cx="152400" cy="175245"/>
              <wp:wrapNone/>
              <wp:docPr id="3" name="文本框 3"/>
              <wp:cNvGraphicFramePr>
                <a:graphicFrameLocks noChangeAspect="0"/>
              </wp:cNvGraphicFramePr>
              <a:graphic>
                <a:graphicData uri="http://schemas.microsoft.com/office/word/2010/wordprocessingShape">
                  <wps:wsp>
                    <wps:cNvSpPr/>
                    <wps:spPr>
                      <a:xfrm rot="0">
                        <a:off x="0" y="0"/>
                        <a:ext cx="152400" cy="175245"/>
                      </a:xfrm>
                      <a:prstGeom prst="rect"/>
                      <a:noFill/>
                      <a:ln w="6350" cmpd="sng" cap="flat">
                        <a:noFill/>
                        <a:prstDash val="solid"/>
                        <a:round/>
                      </a:ln>
                    </wps:spPr>
                    <wps:txbx id="64">
                      <w:txbxContent>
                        <w:p>
                          <w:pPr>
                            <w:pStyle w:val="27"/>
                            <w:tabs>
                              <w:tab w:val="center" w:pos="4153"/>
                              <w:tab w:val="right" w:pos="8306"/>
                            </w:tabs>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vert="horz" wrap="none" lIns="0" tIns="0" rIns="0" bIns="0" anchor="t" anchorCtr="0" upright="0">
                      <a:spAutoFit/>
                    </wps:bodyPr>
                  </wps:wsp>
                </a:graphicData>
              </a:graphic>
            </wp:anchor>
          </w:drawing>
        </mc:Choice>
        <mc:Fallback>
          <w:pict>
            <v:rect type="#_x0000_t1" id="文本框 3" o:spid="_x0000_s65" filled="f" stroked="f" strokeweight="0.5pt" style="position:absolute;margin-left:0.0pt;margin-top:0.0pt;width:12.0pt;height:13.798828pt;z-index:61;mso-position-horizontal:center;mso-position-horizontal-relative:margin;mso-position-vertical:absolute;mso-wrap-style:none;">
              <v:stroke/>
              <v:textbox id="861" inset="0mm,0mm,0mm,0mm" o:insetmode="custom" style="layout-flow:horizontal;v-text-anchor:top;mso-fit-shape-to-text:t;">
                <w:txbxContent>
                  <w:p>
                    <w:pPr>
                      <w:pStyle w:val="27"/>
                      <w:tabs>
                        <w:tab w:val="center" w:pos="4153"/>
                        <w:tab w:val="right" w:pos="8306"/>
                      </w:tabs>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7"/>
      <w:tabs>
        <w:tab w:val="center" w:pos="4153"/>
        <w:tab w:val="right" w:pos="8306"/>
      </w:tabs>
      <w:ind w:right="360" w:firstLine="360"/>
      <w:jc w:val="center"/>
      <w:rPr>
        <w:rFonts w:eastAsia="宋体" w:hint="eastAsia"/>
        <w:sz w:val="24"/>
        <w:szCs w:val="24"/>
        <w:lang w:val="en-US" w:eastAsia="zh-CN"/>
      </w:rP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pBdr>
        <w:bottom w:val="none" w:sz="0" w:space="1"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8"/>
      <w:pBdr>
        <w:bottom w:val="none" w:sz="0" w:space="1" w:color="auto"/>
      </w:pBdr>
      <w:tabs>
        <w:tab w:val="center" w:pos="4153"/>
        <w:tab w:val="right" w:pos="8306"/>
      </w:tabs>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keepNext w:val="0"/>
      <w:keepLines w:val="0"/>
      <w:widowControl/>
      <w:suppressLineNumbers w:val="0"/>
      <w:pBdr>
        <w:bottom w:val="none" w:sz="0" w:space="0" w:color="auto"/>
      </w:pBdr>
      <w:jc w:val="cente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CACD393"/>
    <w:multiLevelType w:val="singleLevel"/>
    <w:tmpl w:val="4CACD393"/>
    <w:lvl w:ilvl="0">
      <w:start w:val="3"/>
      <w:numFmt w:val="decimal"/>
      <w:lvlRestart w:val="0"/>
      <w:suff w:val="nothing"/>
      <w:lvlText w:val="（%1）"/>
      <w:lvlJc w:val="left"/>
      <w:pPr/>
    </w:lvl>
  </w:abstractNum>
  <w:abstractNum w:abstractNumId="1">
    <w:nsid w:val="F7C9095E"/>
    <w:multiLevelType w:val="singleLevel"/>
    <w:tmpl w:val="F7C9095E"/>
    <w:lvl w:ilvl="0">
      <w:start w:val="1"/>
      <w:numFmt w:val="chineseCounting"/>
      <w:lvlRestart w:val="0"/>
      <w:suff w:val="nothing"/>
      <w:lvlText w:val="%1、"/>
      <w:lvlJc w:val="left"/>
      <w:pPr/>
      <w:rPr>
        <w:rFonts w:hint="eastAsia"/>
      </w:rPr>
    </w:lvl>
  </w:abstractNum>
  <w:abstractNum w:abstractNumId="2">
    <w:nsid w:val="29B422E1"/>
    <w:multiLevelType w:val="singleLevel"/>
    <w:tmpl w:val="29B422E1"/>
    <w:lvl w:ilvl="0">
      <w:start w:val="1"/>
      <w:numFmt w:val="decimal"/>
      <w:lvlRestart w:val="0"/>
      <w:suff w:val="nothing"/>
      <w:lvlText w:val="%1、"/>
      <w:lvlJc w:val="left"/>
      <w:pPr/>
    </w:lvl>
  </w:abstractNum>
  <w:abstractNum w:abstractNumId="3">
    <w:nsid w:val="2A007224"/>
    <w:multiLevelType w:val="singleLevel"/>
    <w:tmpl w:val="2A007224"/>
    <w:lvl w:ilvl="0">
      <w:start w:val="1"/>
      <w:numFmt w:val="decimal"/>
      <w:lvlRestart w:val="0"/>
      <w:pStyle w:val="16"/>
      <w:lvlText w:val="表%1 "/>
      <w:lvlJc w:val="left"/>
      <w:pPr>
        <w:tabs>
          <w:tab w:val="num" w:pos="397"/>
        </w:tabs>
        <w:ind w:left="454" w:hanging="454"/>
      </w:pPr>
      <w:rPr>
        <w:rFonts w:hint="default"/>
      </w:rPr>
    </w:lvl>
  </w:abstractNum>
  <w:abstractNum w:abstractNumId="4">
    <w:nsid w:val="35883392"/>
    <w:multiLevelType w:val="singleLevel"/>
    <w:tmpl w:val="35883392"/>
    <w:lvl w:ilvl="0">
      <w:start w:val="1"/>
      <w:numFmt w:val="decimal"/>
      <w:lvlRestart w:val="0"/>
      <w:pStyle w:val="75"/>
      <w:suff w:val="nothing"/>
      <w:lvlText w:val="表%1"/>
      <w:lvlJc w:val="left"/>
      <w:pPr>
        <w:ind w:left="0" w:firstLine="420"/>
      </w:pPr>
      <w:rPr>
        <w:rFonts w:ascii="Times New Roman" w:hAnsi="Times New Roman" w:cs="Times New Roman" w:hint="default"/>
        <w:sz w:val="24"/>
        <w:szCs w:val="24"/>
      </w:rPr>
    </w:lvl>
  </w:abstractNum>
  <w:abstractNum w:abstractNumId="5">
    <w:nsid w:val="09957AE7"/>
    <w:multiLevelType w:val="multilevel"/>
    <w:tmpl w:val="09957AE7"/>
    <w:lvl w:ilvl="0">
      <w:start w:val="1"/>
      <w:numFmt w:val="decimal"/>
      <w:lvlRestart w:val="0"/>
      <w:pStyle w:val="80"/>
      <w:suff w:val="nothing"/>
      <w:lvlText w:val="表%1"/>
      <w:lvlJc w:val="center"/>
      <w:pPr>
        <w:tabs>
          <w:tab w:val="num" w:pos="0"/>
        </w:tabs>
        <w:ind w:left="0" w:hanging="0"/>
      </w:pPr>
      <w:rPr>
        <w:rFonts w:ascii="Times New Roman" w:hAnsi="Times New Roman" w:eastAsia="宋体" w:cs="Times New Roman" w:hint="default"/>
        <w:b/>
        <w:color w:val="auto"/>
        <w:sz w:val="21"/>
        <w:szCs w:val="21"/>
      </w:rPr>
    </w:lvl>
    <w:lvl w:ilvl="1">
      <w:start w:val="0"/>
      <w:numFmt w:val="decimal"/>
      <w:lvlJc w:val="left"/>
      <w:pPr/>
    </w:lvl>
    <w:lvl w:ilvl="2">
      <w:start w:val="0"/>
      <w:numFmt w:val="decimal"/>
      <w:lvlJc w:val="left"/>
      <w:pPr/>
    </w:lvl>
    <w:lvl w:ilvl="3">
      <w:start w:val="0"/>
      <w:numFmt w:val="decimal"/>
      <w:lvlJc w:val="left"/>
      <w:pPr/>
    </w:lvl>
    <w:lvl w:ilvl="4">
      <w:start w:val="0"/>
      <w:numFmt w:val="decimal"/>
      <w:lvlJc w:val="left"/>
      <w:pPr/>
    </w:lvl>
    <w:lvl w:ilvl="5">
      <w:start w:val="0"/>
      <w:numFmt w:val="decimal"/>
      <w:lvlJc w:val="left"/>
      <w:pPr/>
    </w:lvl>
    <w:lvl w:ilvl="6">
      <w:start w:val="0"/>
      <w:numFmt w:val="decimal"/>
      <w:lvlJc w:val="left"/>
      <w:pPr/>
    </w:lvl>
    <w:lvl w:ilvl="7">
      <w:start w:val="0"/>
      <w:numFmt w:val="decimal"/>
      <w:lvlJc w:val="left"/>
      <w:pPr/>
    </w:lvl>
    <w:lvl w:ilvl="8">
      <w:start w:val="0"/>
      <w:numFmt w:val="decimal"/>
      <w:lvlJc w:val="left"/>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val="0"/>
  <w:bordersDoNotSurroundFooter w:val="0"/>
  <w:documentProtection w:edit="trackedChanges" w:enforcement="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ˇˉ―‖’”…∶、。〃々〉》」』】〕〗！＂＇），．：；？］｀｜｝～￠"/>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GE2OGFlYWVkMmY3NzJhZjdjMTE1YjU1YjVjMzM0ODUifQ=="/>
  </w:docVars>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latentStyles w:count="93">
    <w:lsdException w:name="heading 1" w:locked="1"/>
    <w:lsdException w:name="heading 2" w:locked="1"/>
    <w:lsdException w:name="heading 3" w:locked="1"/>
    <w:lsdException w:name="heading 4" w:locked="1"/>
    <w:lsdException w:name="Normal Indent" w:locked="1"/>
    <w:lsdException w:name="caption" w:locked="1"/>
    <w:lsdException w:name="Body Text First Indent 2" w:locked="1"/>
    <w:lsdException w:name="Block Text" w:locked="1"/>
    <w:lsdException w:name="Plain Text" w:locked="1"/>
    <w:lsdException w:name="Body Text Indent 2" w:locked="1"/>
    <w:lsdException w:name="Title" w:locked="1"/>
    <w:lsdException w:name="Body Text First Indent" w:locked="1"/>
    <w:lsdException w:name="Strong" w:locked="1"/>
    <w:lsdException w:name="page number" w:locked="1"/>
    <w:lsdException w:name="Hyperlink" w:locked="1"/>
    <w:lsdException w:name="heading 5" w:locked="1"/>
    <w:lsdException w:name="heading 6" w:locked="1"/>
    <w:lsdException w:name="heading 7" w:locked="1"/>
    <w:lsdException w:name="heading 8" w:locked="1"/>
    <w:lsdException w:name="heading 9" w:locked="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index heading" w:locked="1"/>
    <w:lsdException w:name="table of figures" w:locked="1"/>
    <w:lsdException w:name="envelope address" w:locked="1"/>
    <w:lsdException w:name="envelope return" w:locked="1"/>
    <w:lsdException w:name="footnote reference" w:locked="1"/>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lsdException w:name="Salutation" w:locked="1"/>
    <w:lsdException w:name="Note Heading" w:locked="1"/>
    <w:lsdException w:name="Body Text 2" w:locked="1"/>
    <w:lsdException w:name="Body Text 3" w:locked="1"/>
    <w:lsdException w:name="Body Text Indent 3" w:locked="1"/>
    <w:lsdException w:name="FollowedHyperlink" w:locked="1"/>
    <w:lsdException w:name="Emphasis" w:locked="1"/>
    <w:lsdException w:name="Document Map" w:locked="1"/>
    <w:lsdException w:name="E-mail Signature"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atentStyles>
  <w:style w:type="paragraph" w:default="1" w:styleId="0">
    <w:name w:val="Normal"/>
    <w:qFormat/>
    <w:autoRedefine/>
    <w:pPr>
      <w:widowControl w:val="0"/>
      <w:jc w:val="left"/>
    </w:pPr>
    <w:rPr>
      <w:rFonts w:ascii="Times New Roman" w:eastAsia="宋体" w:cs="Times New Roman" w:hAnsi="Times New Roman"/>
      <w:kern w:val="2"/>
      <w:sz w:val="24"/>
      <w:szCs w:val="24"/>
      <w:lang w:val="en-US" w:eastAsia="zh-CN" w:bidi="ar-SA"/>
    </w:rPr>
  </w:style>
  <w:style w:type="paragraph" w:styleId="1">
    <w:name w:val="heading 1"/>
    <w:qFormat/>
    <w:basedOn w:val="0"/>
    <w:autoRedefine/>
    <w:locked/>
    <w:next w:val="0"/>
    <w:link w:val="1Char"/>
    <w:pPr>
      <w:keepNext/>
      <w:overflowPunct w:val="0"/>
      <w:snapToGrid w:val="0"/>
      <w:spacing w:before="120" w:after="160" w:line="240" w:lineRule="auto"/>
      <w:ind w:left="0" w:hanging="432"/>
      <w:jc w:val="left"/>
      <w:outlineLvl w:val="0"/>
    </w:pPr>
    <w:rPr>
      <w:rFonts w:ascii="宋体" w:hAnsi="宋体"/>
      <w:b/>
      <w:color w:val="000000"/>
      <w:kern w:val="44"/>
      <w:sz w:val="24"/>
      <w:szCs w:val="30"/>
    </w:rPr>
  </w:style>
  <w:style w:type="character" w:customStyle="1" w:styleId="1Char">
    <w:name w:val="heading 1 Char"/>
    <w:basedOn w:val="10"/>
    <w:link w:val="1"/>
    <w:autoRedefine/>
    <w:rPr>
      <w:rFonts w:ascii="宋体" w:eastAsia="宋体" w:cs="Times New Roman" w:hAnsi="宋体"/>
      <w:b/>
      <w:color w:val="000000"/>
      <w:kern w:val="44"/>
      <w:sz w:val="24"/>
      <w:szCs w:val="30"/>
      <w:lang w:val="en-US" w:eastAsia="zh-CN" w:bidi="ar-SA"/>
    </w:rPr>
  </w:style>
  <w:style w:type="paragraph" w:styleId="2">
    <w:name w:val="heading 2"/>
    <w:qFormat/>
    <w:basedOn w:val="0"/>
    <w:autoRedefine/>
    <w:locked/>
    <w:next w:val="0"/>
    <w:link w:val="2Char"/>
    <w:pPr>
      <w:keepNext/>
      <w:keepLines/>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autoRedefine/>
    <w:rPr>
      <w:rFonts w:ascii="Cambria" w:eastAsia="宋体" w:cs="Times New Roman" w:hAnsi="Cambria"/>
      <w:b/>
      <w:bCs/>
      <w:kern w:val="2"/>
      <w:sz w:val="32"/>
      <w:szCs w:val="32"/>
      <w:lang w:val="en-US" w:eastAsia="zh-CN" w:bidi="ar-SA"/>
    </w:rPr>
  </w:style>
  <w:style w:type="paragraph" w:styleId="3">
    <w:name w:val="heading 3"/>
    <w:qFormat/>
    <w:basedOn w:val="0"/>
    <w:locked/>
    <w:next w:val="0"/>
    <w:link w:val="3Char"/>
    <w:pPr>
      <w:spacing w:before="0" w:beforeAutospacing="1" w:after="0" w:afterAutospacing="1"/>
      <w:jc w:val="left"/>
      <w:outlineLvl w:val="2"/>
    </w:pPr>
    <w:rPr>
      <w:rFonts w:ascii="宋体" w:eastAsia="宋体" w:cs="宋体" w:hAnsi="宋体"/>
      <w:b/>
      <w:bCs/>
      <w:kern w:val="0"/>
      <w:sz w:val="27"/>
      <w:szCs w:val="27"/>
      <w:lang w:val="en-US" w:eastAsia="zh-CN"/>
    </w:rPr>
  </w:style>
  <w:style w:type="character" w:customStyle="1" w:styleId="3Char">
    <w:name w:val="heading 3 Char"/>
    <w:basedOn w:val="10"/>
    <w:link w:val="3"/>
    <w:rPr>
      <w:rFonts w:ascii="宋体" w:eastAsia="宋体" w:cs="宋体" w:hAnsi="宋体"/>
      <w:b/>
      <w:bCs/>
      <w:kern w:val="0"/>
      <w:sz w:val="27"/>
      <w:szCs w:val="27"/>
      <w:lang w:val="en-US" w:eastAsia="zh-CN" w:bidi="ar-SA"/>
    </w:rPr>
  </w:style>
  <w:style w:type="paragraph" w:styleId="4">
    <w:name w:val="heading 4"/>
    <w:qFormat/>
    <w:basedOn w:val="0"/>
    <w:autoRedefine/>
    <w:locked/>
    <w:next w:val="0"/>
    <w:link w:val="4Char"/>
    <w:pPr>
      <w:keepNext/>
      <w:keepLines/>
      <w:spacing w:before="280" w:after="290" w:line="377" w:lineRule="auto"/>
      <w:outlineLvl w:val="3"/>
    </w:pPr>
    <w:rPr>
      <w:rFonts w:ascii="Cambria" w:eastAsia="宋体" w:cs="Times New Roman" w:hAnsi="Cambria"/>
      <w:b/>
      <w:bCs/>
      <w:sz w:val="28"/>
      <w:szCs w:val="28"/>
    </w:rPr>
  </w:style>
  <w:style w:type="character" w:customStyle="1" w:styleId="4Char">
    <w:name w:val="heading 4 Char"/>
    <w:basedOn w:val="10"/>
    <w:link w:val="4"/>
    <w:autoRedefine/>
    <w:rPr>
      <w:rFonts w:ascii="Cambria" w:eastAsia="宋体" w:cs="Times New Roman" w:hAnsi="Cambria"/>
      <w:b/>
      <w:bCs/>
      <w:kern w:val="2"/>
      <w:sz w:val="28"/>
      <w:szCs w:val="28"/>
      <w:lang w:val="en-US" w:eastAsia="zh-CN" w:bidi="ar-SA"/>
    </w:rPr>
  </w:style>
  <w:style w:type="character" w:default="1" w:styleId="10">
    <w:name w:val="Default Paragraph Font"/>
    <w:qFormat/>
    <w:autoRedefine/>
  </w:style>
  <w:style w:type="paragraph" w:styleId="15">
    <w:name w:val="Normal Indent"/>
    <w:qFormat/>
    <w:basedOn w:val="0"/>
    <w:autoRedefine/>
    <w:locked/>
    <w:next w:val="0"/>
    <w:rPr>
      <w:rFonts w:eastAsia="宋体"/>
      <w:sz w:val="24"/>
      <w:szCs w:val="20"/>
    </w:rPr>
  </w:style>
  <w:style w:type="paragraph" w:styleId="16">
    <w:name w:val="caption"/>
    <w:qFormat/>
    <w:basedOn w:val="0"/>
    <w:locked/>
    <w:next w:val="0"/>
    <w:pPr>
      <w:numPr>
        <w:ilvl w:val="0"/>
        <w:numId w:val="4"/>
      </w:numPr>
      <w:spacing w:line="520" w:lineRule="exact"/>
      <w:jc w:val="center"/>
    </w:pPr>
    <w:rPr>
      <w:rFonts w:ascii="Times New Roman" w:eastAsia="宋体" w:cs="Times New Roman" w:hAnsi="Times New Roman"/>
      <w:b/>
      <w:sz w:val="24"/>
      <w:szCs w:val="20"/>
    </w:rPr>
  </w:style>
  <w:style w:type="paragraph" w:styleId="17">
    <w:name w:val="annotation text"/>
    <w:qFormat/>
    <w:basedOn w:val="0"/>
    <w:autoRedefine/>
    <w:pPr>
      <w:jc w:val="left"/>
    </w:pPr>
    <w:rPr>
      <w:kern w:val="0"/>
      <w:sz w:val="24"/>
      <w:szCs w:val="20"/>
    </w:rPr>
  </w:style>
  <w:style w:type="paragraph" w:styleId="18">
    <w:name w:val="Body Text"/>
    <w:qFormat/>
    <w:basedOn w:val="0"/>
    <w:autoRedefine/>
    <w:next w:val="19"/>
    <w:pPr>
      <w:widowControl/>
      <w:snapToGrid w:val="0"/>
      <w:spacing w:before="60" w:after="160" w:line="259" w:lineRule="auto"/>
      <w:ind w:right="113"/>
    </w:pPr>
    <w:rPr>
      <w:kern w:val="0"/>
      <w:sz w:val="18"/>
      <w:szCs w:val="20"/>
    </w:rPr>
  </w:style>
  <w:style w:type="paragraph" w:styleId="19">
    <w:name w:val="Body Text First Indent 2"/>
    <w:qFormat/>
    <w:basedOn w:val="0"/>
    <w:autoRedefine/>
    <w:locked/>
    <w:next w:val="0"/>
    <w:pPr>
      <w:ind w:firstLine="420"/>
    </w:pPr>
    <w:rPr>
      <w:sz w:val="21"/>
    </w:rPr>
  </w:style>
  <w:style w:type="paragraph" w:styleId="20">
    <w:name w:val="Body Text Indent"/>
    <w:qFormat/>
    <w:basedOn w:val="0"/>
    <w:autoRedefine/>
    <w:pPr>
      <w:spacing w:after="120"/>
      <w:ind w:leftChars="200" w:left="200"/>
    </w:pPr>
    <w:rPr>
      <w:kern w:val="0"/>
      <w:sz w:val="24"/>
      <w:szCs w:val="20"/>
    </w:rPr>
  </w:style>
  <w:style w:type="paragraph" w:styleId="21">
    <w:name w:val="Block Text"/>
    <w:qFormat/>
    <w:basedOn w:val="0"/>
    <w:autoRedefine/>
    <w:locked/>
    <w:next w:val="0"/>
    <w:pPr>
      <w:snapToGrid w:val="0"/>
      <w:spacing w:line="408" w:lineRule="auto"/>
      <w:ind w:left="-113" w:right="-510" w:firstLine="510"/>
    </w:pPr>
    <w:rPr>
      <w:sz w:val="24"/>
      <w:szCs w:val="20"/>
    </w:rPr>
  </w:style>
  <w:style w:type="paragraph" w:styleId="22">
    <w:name w:val="Plain Text"/>
    <w:qFormat/>
    <w:basedOn w:val="0"/>
    <w:autoRedefine/>
    <w:locked/>
    <w:rPr>
      <w:rFonts w:ascii="宋体" w:cs="Courier New" w:hAnsi="Courier New"/>
      <w:szCs w:val="21"/>
    </w:rPr>
  </w:style>
  <w:style w:type="paragraph" w:styleId="23">
    <w:name w:val="Date"/>
    <w:qFormat/>
    <w:basedOn w:val="0"/>
    <w:autoRedefine/>
    <w:next w:val="0"/>
    <w:pPr>
      <w:ind w:leftChars="2500" w:left="2500"/>
    </w:pPr>
    <w:rPr>
      <w:kern w:val="0"/>
      <w:sz w:val="24"/>
      <w:szCs w:val="20"/>
    </w:rPr>
  </w:style>
  <w:style w:type="paragraph" w:customStyle="1" w:yozoId="4094" w:styleId="24">
    <w:name w:val="表头"/>
    <w:qFormat/>
    <w:basedOn w:val="0"/>
    <w:autoRedefine/>
    <w:pPr>
      <w:spacing w:line="360" w:lineRule="auto"/>
      <w:jc w:val="center"/>
    </w:pPr>
    <w:rPr>
      <w:b/>
      <w:sz w:val="24"/>
    </w:rPr>
  </w:style>
  <w:style w:type="paragraph" w:styleId="25">
    <w:name w:val="Body Text Indent 2"/>
    <w:qFormat/>
    <w:basedOn w:val="24"/>
    <w:autoRedefine/>
    <w:locked/>
    <w:next w:val="0"/>
    <w:pPr>
      <w:spacing w:after="120" w:line="480" w:lineRule="auto"/>
      <w:ind w:leftChars="200" w:left="200"/>
    </w:pPr>
  </w:style>
  <w:style w:type="paragraph" w:styleId="26">
    <w:name w:val="Balloon Text"/>
    <w:qFormat/>
    <w:basedOn w:val="0"/>
    <w:autoRedefine/>
    <w:rPr>
      <w:kern w:val="0"/>
      <w:sz w:val="18"/>
      <w:szCs w:val="20"/>
    </w:rPr>
  </w:style>
  <w:style w:type="paragraph" w:styleId="27">
    <w:name w:val="footer"/>
    <w:qFormat/>
    <w:basedOn w:val="0"/>
    <w:autoRedefine/>
    <w:pPr>
      <w:tabs>
        <w:tab w:val="center" w:pos="4153"/>
        <w:tab w:val="right" w:pos="8306"/>
      </w:tabs>
      <w:snapToGrid w:val="0"/>
      <w:jc w:val="left"/>
    </w:pPr>
    <w:rPr>
      <w:kern w:val="0"/>
      <w:sz w:val="18"/>
      <w:szCs w:val="20"/>
    </w:rPr>
  </w:style>
  <w:style w:type="paragraph" w:styleId="28">
    <w:name w:val="header"/>
    <w:qFormat/>
    <w:basedOn w:val="0"/>
    <w:autoRedefine/>
    <w:pPr>
      <w:pBdr>
        <w:bottom w:val="single" w:sz="6" w:space="1" w:color="auto"/>
      </w:pBdr>
      <w:tabs>
        <w:tab w:val="center" w:pos="4153"/>
        <w:tab w:val="right" w:pos="8306"/>
      </w:tabs>
      <w:snapToGrid w:val="0"/>
      <w:jc w:val="center"/>
    </w:pPr>
    <w:rPr>
      <w:kern w:val="0"/>
      <w:sz w:val="18"/>
      <w:szCs w:val="20"/>
    </w:rPr>
  </w:style>
  <w:style w:type="paragraph" w:styleId="29">
    <w:name w:val="Normal (Web)"/>
    <w:qFormat/>
    <w:basedOn w:val="0"/>
    <w:autoRedefine/>
    <w:pPr>
      <w:widowControl/>
      <w:spacing w:before="100" w:beforeAutospacing="1" w:after="100" w:afterAutospacing="1"/>
      <w:jc w:val="left"/>
    </w:pPr>
    <w:rPr>
      <w:rFonts w:ascii="宋体" w:hAnsi="宋体"/>
      <w:kern w:val="0"/>
      <w:sz w:val="24"/>
      <w:szCs w:val="20"/>
    </w:rPr>
  </w:style>
  <w:style w:type="paragraph" w:styleId="30">
    <w:name w:val="Title"/>
    <w:qFormat/>
    <w:basedOn w:val="0"/>
    <w:autoRedefine/>
    <w:locked/>
    <w:pPr>
      <w:spacing w:before="28"/>
      <w:ind w:right="18"/>
      <w:jc w:val="center"/>
    </w:pPr>
    <w:rPr>
      <w:rFonts w:ascii="宋体" w:cs="宋体" w:hAnsi="宋体"/>
      <w:b/>
      <w:bCs/>
      <w:sz w:val="52"/>
      <w:szCs w:val="52"/>
    </w:rPr>
  </w:style>
  <w:style w:type="paragraph" w:styleId="31">
    <w:name w:val="annotation subject"/>
    <w:qFormat/>
    <w:basedOn w:val="17"/>
    <w:autoRedefine/>
    <w:next w:val="17"/>
    <w:rPr>
      <w:b/>
      <w:kern w:val="2"/>
    </w:rPr>
  </w:style>
  <w:style w:type="paragraph" w:styleId="32">
    <w:name w:val="Body Text First Indent"/>
    <w:qFormat/>
    <w:basedOn w:val="18"/>
    <w:locked/>
    <w:next w:val="0"/>
    <w:pPr>
      <w:spacing w:after="120" w:line="240" w:lineRule="auto"/>
      <w:ind w:firstLineChars="100" w:firstLine="100"/>
    </w:pPr>
    <w:rPr>
      <w:sz w:val="21"/>
    </w:rPr>
  </w:style>
  <w:style w:type="character" w:styleId="33">
    <w:name w:val="Strong"/>
    <w:qFormat/>
    <w:locked/>
    <w:rPr>
      <w:b/>
      <w:bCs/>
    </w:rPr>
  </w:style>
  <w:style w:type="character" w:styleId="34">
    <w:name w:val="page number"/>
    <w:qFormat/>
    <w:basedOn w:val="10"/>
    <w:autoRedefine/>
    <w:locked/>
  </w:style>
  <w:style w:type="character" w:styleId="35">
    <w:name w:val="Hyperlink"/>
    <w:qFormat/>
    <w:autoRedefine/>
    <w:locked/>
    <w:rPr>
      <w:color w:val="0000FF"/>
      <w:u w:val="single"/>
    </w:rPr>
  </w:style>
  <w:style w:type="character" w:styleId="36">
    <w:name w:val="annotation reference"/>
    <w:qFormat/>
    <w:autoRedefine/>
    <w:rPr>
      <w:sz w:val="21"/>
    </w:rPr>
  </w:style>
  <w:style w:type="paragraph" w:customStyle="1" w:yozoId="4094" w:styleId="37">
    <w:name w:val="样式 正文文本缩进 + 行距: 1.5 倍行距"/>
    <w:qFormat/>
    <w:basedOn w:val="0"/>
    <w:autoRedefine/>
    <w:pPr>
      <w:spacing w:after="120" w:line="360" w:lineRule="auto"/>
      <w:ind w:leftChars="32" w:left="32" w:firstLineChars="200" w:firstLine="200"/>
    </w:pPr>
    <w:rPr>
      <w:rFonts w:cs="宋体"/>
    </w:rPr>
  </w:style>
  <w:style w:type="paragraph" w:customStyle="1" w:yozoId="4094" w:styleId="38">
    <w:name w:val="纯文本1"/>
    <w:qFormat/>
    <w:basedOn w:val="0"/>
    <w:pPr>
      <w:widowControl w:val="0"/>
      <w:snapToGrid/>
      <w:spacing w:line="240" w:lineRule="auto"/>
      <w:ind w:firstLine="0"/>
      <w:jc w:val="both"/>
    </w:pPr>
    <w:rPr>
      <w:rFonts w:ascii="宋体" w:cs="Times New Roman" w:hAnsi="Courier New"/>
      <w:kern w:val="2"/>
      <w:sz w:val="21"/>
      <w:szCs w:val="20"/>
    </w:rPr>
  </w:style>
  <w:style w:type="paragraph" w:customStyle="1" w:yozoId="4094" w:styleId="39">
    <w:name w:val="Default"/>
    <w:qFormat/>
    <w:basedOn w:val="38"/>
    <w:autoRedefine/>
    <w:pPr>
      <w:widowControl w:val="0"/>
      <w:autoSpaceDE w:val="0"/>
      <w:autoSpaceDN w:val="0"/>
      <w:adjustRightInd w:val="0"/>
      <w:snapToGrid/>
    </w:pPr>
    <w:rPr>
      <w:rFonts w:ascii="宋体" w:cs="宋体"/>
      <w:color w:val="000000"/>
      <w:sz w:val="24"/>
      <w:szCs w:val="24"/>
      <w:lang w:val="en-US" w:eastAsia="zh-CN" w:bidi="ar-SA"/>
    </w:rPr>
  </w:style>
  <w:style w:type="paragraph" w:customStyle="1" w:yozoId="4094" w:styleId="40">
    <w:name w:val="标题2"/>
    <w:qFormat/>
    <w:basedOn w:val="0"/>
    <w:autoRedefine/>
    <w:rPr>
      <w:rFonts w:ascii="宋体" w:hAnsi="宋体"/>
      <w:b/>
      <w:kern w:val="0"/>
      <w:sz w:val="24"/>
      <w:szCs w:val="24"/>
    </w:rPr>
  </w:style>
  <w:style w:type="paragraph" w:customStyle="1" w:yozoId="4094" w:styleId="41">
    <w:name w:val="样式35"/>
    <w:qFormat/>
    <w:basedOn w:val="0"/>
    <w:autoRedefine/>
    <w:next w:val="0"/>
    <w:pPr>
      <w:spacing w:line="312" w:lineRule="auto"/>
      <w:ind w:firstLine="567"/>
    </w:pPr>
    <w:rPr>
      <w:rFonts w:ascii="宋体"/>
      <w:sz w:val="28"/>
    </w:rPr>
  </w:style>
  <w:style w:type="paragraph" w:customStyle="1" w:yozoId="4094" w:styleId="42">
    <w:name w:val="无间隔1"/>
    <w:qFormat/>
    <w:autoRedefine/>
    <w:pPr>
      <w:adjustRightInd w:val="0"/>
      <w:snapToGrid w:val="0"/>
    </w:pPr>
    <w:rPr>
      <w:rFonts w:ascii="Tahoma" w:eastAsia="微软雅黑" w:cs="Times New Roman" w:hAnsi="Tahoma"/>
      <w:sz w:val="22"/>
      <w:szCs w:val="22"/>
      <w:lang w:val="en-US" w:eastAsia="zh-CN" w:bidi="ar-SA"/>
    </w:rPr>
  </w:style>
  <w:style w:type="character" w:customStyle="1" w:yozoId="4094" w:styleId="43">
    <w:name w:val="页脚 字符"/>
    <w:qFormat/>
    <w:basedOn w:val="10"/>
    <w:autoRedefine/>
  </w:style>
  <w:style w:type="character" w:customStyle="1" w:yozoId="4094" w:styleId="44">
    <w:name w:val="正文文本 字符1"/>
    <w:qFormat/>
    <w:autoRedefine/>
    <w:rPr>
      <w:rFonts w:ascii="Times New Roman" w:eastAsia="宋体" w:hAnsi="Times New Roman"/>
      <w:sz w:val="24"/>
    </w:rPr>
  </w:style>
  <w:style w:type="paragraph" w:customStyle="1" w:yozoId="4094" w:styleId="45">
    <w:name w:val="表格"/>
    <w:qFormat/>
    <w:basedOn w:val="0"/>
    <w:autoRedefine/>
    <w:next w:val="0"/>
    <w:pPr>
      <w:adjustRightInd w:val="0"/>
      <w:snapToGrid w:val="0"/>
      <w:spacing w:beforeLines="10" w:before="10" w:afterLines="10" w:after="10" w:line="259" w:lineRule="auto"/>
      <w:jc w:val="center"/>
    </w:pPr>
    <w:rPr>
      <w:rFonts w:ascii="宋体"/>
      <w:kern w:val="0"/>
      <w:szCs w:val="20"/>
    </w:rPr>
  </w:style>
  <w:style w:type="character" w:customStyle="1" w:yozoId="4094" w:styleId="46">
    <w:name w:val="日期 字符"/>
    <w:qFormat/>
    <w:autoRedefine/>
    <w:rPr>
      <w:rFonts w:ascii="Times New Roman" w:eastAsia="宋体" w:hAnsi="Times New Roman"/>
      <w:sz w:val="24"/>
    </w:rPr>
  </w:style>
  <w:style w:type="character" w:customStyle="1" w:yozoId="4094" w:styleId="47">
    <w:name w:val="批注文字 字符1"/>
    <w:qFormat/>
    <w:autoRedefine/>
    <w:rPr>
      <w:rFonts w:ascii="Times New Roman" w:eastAsia="宋体" w:hAnsi="Times New Roman"/>
      <w:sz w:val="24"/>
    </w:rPr>
  </w:style>
  <w:style w:type="paragraph" w:customStyle="1" w:yozoId="4094" w:styleId="48">
    <w:name w:val="正文_10"/>
    <w:qFormat/>
    <w:autoRedefine/>
    <w:pPr>
      <w:widowControl w:val="0"/>
      <w:jc w:val="both"/>
    </w:pPr>
    <w:rPr>
      <w:rFonts w:ascii="Times New Roman" w:eastAsia="宋体" w:cs="Times New Roman" w:hAnsi="Times New Roman"/>
      <w:kern w:val="2"/>
      <w:sz w:val="21"/>
      <w:szCs w:val="22"/>
      <w:lang w:val="en-US" w:eastAsia="zh-CN" w:bidi="ar-SA"/>
    </w:rPr>
  </w:style>
  <w:style w:type="paragraph" w:customStyle="1" w:yozoId="4094" w:styleId="49">
    <w:name w:val="普通(网站)2"/>
    <w:qFormat/>
    <w:basedOn w:val="0"/>
    <w:autoRedefine/>
    <w:pPr>
      <w:widowControl/>
      <w:spacing w:before="100" w:beforeAutospacing="1" w:after="100" w:afterAutospacing="1"/>
      <w:jc w:val="left"/>
    </w:pPr>
    <w:rPr>
      <w:rFonts w:ascii="宋体" w:hAnsi="宋体"/>
      <w:sz w:val="24"/>
      <w:szCs w:val="20"/>
    </w:rPr>
  </w:style>
  <w:style w:type="paragraph" w:customStyle="1" w:yozoId="4094" w:styleId="50">
    <w:name w:val="段落"/>
    <w:qFormat/>
    <w:basedOn w:val="22"/>
    <w:autoRedefine/>
    <w:pPr>
      <w:spacing w:line="480" w:lineRule="exact"/>
      <w:ind w:firstLine="578"/>
    </w:pPr>
    <w:rPr>
      <w:sz w:val="28"/>
      <w:szCs w:val="28"/>
    </w:rPr>
  </w:style>
  <w:style w:type="paragraph" w:customStyle="1" w:yozoId="4094" w:styleId="51">
    <w:name w:val="段落 Char"/>
    <w:qFormat/>
    <w:basedOn w:val="22"/>
    <w:autoRedefine/>
    <w:pPr>
      <w:spacing w:line="500" w:lineRule="exact"/>
      <w:ind w:firstLine="578"/>
    </w:pPr>
    <w:rPr>
      <w:rFonts w:ascii="Times New Roman" w:cs="Times New Roman" w:hAnsi="Times New Roman"/>
      <w:sz w:val="28"/>
      <w:szCs w:val="28"/>
    </w:rPr>
  </w:style>
  <w:style w:type="paragraph" w:customStyle="1" w:yozoId="4094" w:styleId="52">
    <w:name w:val="文字"/>
    <w:qFormat/>
    <w:basedOn w:val="0"/>
    <w:autoRedefine/>
    <w:pPr>
      <w:widowControl/>
      <w:spacing w:afterLines="50" w:after="50" w:line="360" w:lineRule="auto"/>
      <w:ind w:firstLine="420"/>
    </w:pPr>
    <w:rPr>
      <w:kern w:val="0"/>
      <w:sz w:val="24"/>
    </w:rPr>
  </w:style>
  <w:style w:type="character" w:customStyle="1" w:yozoId="4094" w:styleId="53">
    <w:name w:val="NormalCharacter"/>
    <w:qFormat/>
    <w:autoRedefine/>
  </w:style>
  <w:style w:type="paragraph" w:customStyle="1" w:yozoId="4094" w:styleId="54">
    <w:name w:val="NormalIndent"/>
    <w:qFormat/>
    <w:basedOn w:val="0"/>
    <w:autoRedefine/>
    <w:pPr>
      <w:widowControl/>
      <w:textAlignment w:val="baseline"/>
    </w:pPr>
    <w:rPr>
      <w:rFonts w:ascii="宋体" w:hAnsi="宋体"/>
      <w:kern w:val="0"/>
      <w:sz w:val="28"/>
      <w:szCs w:val="20"/>
    </w:rPr>
  </w:style>
  <w:style w:type="paragraph" w:customStyle="1" w:yozoId="4094" w:styleId="55">
    <w:name w:val="Table Paragraph"/>
    <w:qFormat/>
    <w:basedOn w:val="0"/>
    <w:autoRedefine/>
    <w:pPr>
      <w:widowControl/>
      <w:jc w:val="left"/>
    </w:pPr>
    <w:rPr>
      <w:rFonts w:ascii="Calibri" w:cs="宋体" w:hAnsi="Calibri"/>
      <w:kern w:val="0"/>
      <w:sz w:val="22"/>
      <w:szCs w:val="22"/>
    </w:rPr>
  </w:style>
  <w:style w:type="paragraph" w:customStyle="1" w:yozoId="4094" w:styleId="56">
    <w:name w:val="TT正文"/>
    <w:qFormat/>
    <w:basedOn w:val="0"/>
    <w:autoRedefine/>
    <w:pPr>
      <w:ind w:firstLineChars="200" w:firstLine="200"/>
    </w:pPr>
    <w:rPr>
      <w:rFonts w:cs="宋体"/>
      <w:color w:val="000000"/>
      <w:sz w:val="24"/>
      <w:szCs w:val="20"/>
    </w:rPr>
  </w:style>
  <w:style w:type="paragraph" w:customStyle="1" w:yozoId="4094" w:styleId="57">
    <w:name w:val="表内"/>
    <w:qFormat/>
    <w:basedOn w:val="0"/>
    <w:autoRedefine/>
    <w:pPr>
      <w:framePr w:w="0" w:hRule="auto" w:hSpace="180" w:wrap="around" w:vAnchor="page" w:hAnchor="margin" w:xAlign="left" w:y="1411" w:anchorLock="0"/>
      <w:widowControl/>
    </w:pPr>
    <w:rPr>
      <w:rFonts w:ascii="宋体" w:eastAsia="仿宋" w:hAnsi="宋体"/>
      <w:kern w:val="0"/>
      <w:sz w:val="20"/>
      <w:szCs w:val="20"/>
    </w:rPr>
  </w:style>
  <w:style w:type="paragraph" w:customStyle="1" w:yozoId="4094" w:styleId="58">
    <w:name w:val="样式1"/>
    <w:qFormat/>
    <w:basedOn w:val="0"/>
    <w:autoRedefine/>
    <w:pPr>
      <w:jc w:val="left"/>
    </w:pPr>
    <w:rPr>
      <w:rFonts w:eastAsia="仿宋" w:cs="Times New Roman"/>
      <w:snapToGrid w:val="0"/>
      <w:kern w:val="0"/>
      <w:sz w:val="20"/>
      <w:szCs w:val="20"/>
      <w:shd w:val="clear" w:color="auto" w:fill="FFFFFF"/>
    </w:rPr>
  </w:style>
  <w:style w:type="paragraph" w:customStyle="1" w:yozoId="4094" w:styleId="59">
    <w:name w:val="22磅行间距"/>
    <w:qFormat/>
    <w:autoRedefine/>
    <w:pPr>
      <w:widowControl w:val="0"/>
      <w:adjustRightInd w:val="0"/>
      <w:snapToGrid w:val="0"/>
      <w:spacing w:line="440" w:lineRule="exact"/>
      <w:ind w:firstLineChars="200" w:firstLine="200"/>
      <w:jc w:val="both"/>
    </w:pPr>
    <w:rPr>
      <w:rFonts w:ascii="Times New Roman" w:eastAsia="宋体" w:cs="Times New Roman" w:hAnsi="Times New Roman"/>
      <w:kern w:val="2"/>
      <w:sz w:val="24"/>
      <w:szCs w:val="24"/>
      <w:lang w:val="en-US" w:eastAsia="zh-CN" w:bidi="ar-SA"/>
    </w:rPr>
  </w:style>
  <w:style w:type="paragraph" w:customStyle="1" w:yozoId="4094" w:styleId="60">
    <w:name w:val="鸿达表头"/>
    <w:qFormat/>
    <w:basedOn w:val="0"/>
    <w:autoRedefine/>
    <w:pPr>
      <w:adjustRightInd/>
      <w:snapToGrid/>
      <w:textAlignment w:val="auto"/>
    </w:pPr>
    <w:rPr>
      <w:b/>
      <w:kern w:val="2"/>
      <w:szCs w:val="24"/>
    </w:rPr>
  </w:style>
  <w:style w:type="paragraph" w:customStyle="1" w:yozoId="4094" w:styleId="61">
    <w:name w:val="样式36"/>
    <w:qFormat/>
    <w:autoRedefine/>
    <w:pPr>
      <w:autoSpaceDE w:val="0"/>
      <w:autoSpaceDN w:val="0"/>
      <w:adjustRightInd w:val="0"/>
      <w:snapToGrid w:val="0"/>
      <w:spacing w:afterLines="50" w:after="50"/>
      <w:jc w:val="left"/>
    </w:pPr>
    <w:rPr>
      <w:rFonts w:ascii="Times New Roman" w:eastAsia="宋体" w:cs="Times New Roman" w:hAnsi="Times New Roman"/>
      <w:sz w:val="20"/>
      <w:szCs w:val="20"/>
    </w:rPr>
  </w:style>
  <w:style w:type="paragraph" w:customStyle="1" w:yozoId="4094" w:styleId="62">
    <w:name w:val="样式37"/>
    <w:qFormat/>
    <w:autoRedefine/>
    <w:pPr>
      <w:autoSpaceDE w:val="0"/>
      <w:autoSpaceDN w:val="0"/>
      <w:adjustRightInd w:val="0"/>
      <w:snapToGrid w:val="0"/>
      <w:jc w:val="left"/>
    </w:pPr>
    <w:rPr>
      <w:rFonts w:ascii="Times New Roman" w:eastAsia="宋体" w:cs="Times New Roman" w:hAnsi="Times New Roman"/>
      <w:sz w:val="24"/>
      <w:szCs w:val="20"/>
    </w:rPr>
  </w:style>
  <w:style w:type="paragraph" w:styleId="63">
    <w:name w:val="List Paragraph"/>
    <w:qFormat/>
    <w:basedOn w:val="0"/>
    <w:autoRedefine/>
    <w:pPr>
      <w:ind w:firstLineChars="200" w:firstLine="200"/>
    </w:pPr>
  </w:style>
  <w:style w:type="paragraph" w:customStyle="1" w:yozoId="4094" w:styleId="64">
    <w:name w:val="鸿达表格文字"/>
    <w:qFormat/>
    <w:basedOn w:val="0"/>
    <w:autoRedefine/>
    <w:pPr>
      <w:contextualSpacing/>
      <w:jc w:val="center"/>
    </w:pPr>
    <w:rPr>
      <w:rFonts w:ascii="Times New Roman" w:eastAsia="宋体" w:hAnsi="Times New Roman"/>
      <w:szCs w:val="21"/>
    </w:rPr>
  </w:style>
  <w:style w:type="paragraph" w:customStyle="1" w:yozoId="4094" w:styleId="65">
    <w:name w:val="_Style 1"/>
    <w:qFormat/>
    <w:basedOn w:val="0"/>
    <w:autoRedefine/>
    <w:pPr>
      <w:ind w:firstLineChars="200" w:firstLine="200"/>
    </w:pPr>
    <w:rPr>
      <w:rFonts w:ascii="Times New Roman" w:eastAsia="宋体" w:hAnsi="Times New Roman"/>
    </w:rPr>
  </w:style>
  <w:style w:type="paragraph" w:customStyle="1" w:yozoId="4094" w:styleId="66">
    <w:name w:val="中文报告书样式"/>
    <w:qFormat/>
    <w:basedOn w:val="0"/>
    <w:autoRedefine/>
    <w:pPr>
      <w:adjustRightInd w:val="0"/>
      <w:spacing w:line="480" w:lineRule="atLeast"/>
      <w:ind w:firstLine="482"/>
      <w:textAlignment w:val="baseline"/>
    </w:pPr>
    <w:rPr>
      <w:rFonts w:cs="宋体"/>
      <w:color w:val="000000"/>
      <w:kern w:val="24"/>
      <w:sz w:val="24"/>
    </w:rPr>
  </w:style>
  <w:style w:type="paragraph" w:customStyle="1" w:yozoId="4094" w:styleId="67">
    <w:name w:val="赵正文"/>
    <w:qFormat/>
    <w:basedOn w:val="0"/>
    <w:autoRedefine/>
    <w:pPr>
      <w:spacing w:line="520" w:lineRule="exact"/>
      <w:ind w:firstLineChars="200" w:firstLine="200"/>
    </w:pPr>
    <w:rPr>
      <w:kern w:val="0"/>
      <w:sz w:val="24"/>
    </w:rPr>
  </w:style>
  <w:style w:type="paragraph" w:customStyle="1" w:yozoId="4094" w:styleId="68">
    <w:name w:val="正文1"/>
    <w:qFormat/>
    <w:basedOn w:val="0"/>
    <w:autoRedefine/>
    <w:pPr>
      <w:ind w:firstLine="552"/>
    </w:pPr>
    <w:rPr>
      <w:rFonts w:ascii="楷体_GB2312" w:eastAsia="楷体_GB2312"/>
      <w:b/>
    </w:rPr>
  </w:style>
  <w:style w:type="character" w:customStyle="1" w:yozoId="4094" w:styleId="69">
    <w:name w:val="font21"/>
    <w:qFormat/>
    <w:basedOn w:val="10"/>
    <w:autoRedefine/>
    <w:rPr>
      <w:rFonts w:ascii="Times New Roman" w:cs="Times New Roman" w:hAnsi="Times New Roman"/>
      <w:color w:val="000000"/>
      <w:sz w:val="21"/>
      <w:szCs w:val="21"/>
      <w:u w:val="none"/>
    </w:rPr>
  </w:style>
  <w:style w:type="character" w:customStyle="1" w:yozoId="4094" w:styleId="70">
    <w:name w:val="font11"/>
    <w:qFormat/>
    <w:basedOn w:val="10"/>
    <w:autoRedefine/>
    <w:rPr>
      <w:rFonts w:ascii="宋体" w:eastAsia="宋体" w:cs="宋体" w:hAnsi="宋体"/>
      <w:color w:val="000000"/>
      <w:sz w:val="21"/>
      <w:szCs w:val="21"/>
      <w:u w:val="none"/>
    </w:rPr>
  </w:style>
  <w:style w:type="paragraph" w:customStyle="1" w:yozoId="4094" w:styleId="71">
    <w:name w:val="鸿达表加粗"/>
    <w:qFormat/>
    <w:basedOn w:val="0"/>
    <w:autoRedefine/>
    <w:pPr>
      <w:adjustRightInd/>
      <w:snapToGrid/>
      <w:spacing w:line="240" w:lineRule="auto"/>
      <w:ind w:firstLine="0"/>
      <w:jc w:val="center"/>
      <w:textAlignment w:val="auto"/>
    </w:pPr>
    <w:rPr>
      <w:rFonts w:cs="宋体"/>
      <w:b/>
      <w:color w:val="000000"/>
      <w:kern w:val="2"/>
      <w:sz w:val="21"/>
    </w:rPr>
  </w:style>
  <w:style w:type="paragraph" w:customStyle="1" w:yozoId="4094" w:styleId="72">
    <w:name w:val="表格内容"/>
    <w:qFormat/>
    <w:basedOn w:val="0"/>
    <w:autoRedefine/>
    <w:pPr>
      <w:spacing w:line="400" w:lineRule="atLeast"/>
      <w:jc w:val="center"/>
    </w:pPr>
    <w:rPr>
      <w:rFonts w:ascii="Microsoft JhengHei Light" w:eastAsia="Microsoft JhengHei Light" w:hAnsi="Microsoft JhengHei Light"/>
      <w:color w:val="000000"/>
      <w:kern w:val="0"/>
      <w:sz w:val="22"/>
    </w:rPr>
  </w:style>
  <w:style w:type="paragraph" w:customStyle="1" w:yozoId="4094" w:styleId="73">
    <w:name w:val="Table Text"/>
    <w:qFormat/>
    <w:basedOn w:val="0"/>
    <w:autoRedefine/>
    <w:rPr>
      <w:rFonts w:ascii="宋体" w:eastAsia="宋体" w:cs="宋体" w:hAnsi="宋体"/>
      <w:sz w:val="20"/>
      <w:szCs w:val="20"/>
      <w:lang w:val="en-US" w:bidi="ar-SA"/>
    </w:rPr>
  </w:style>
  <w:style w:type="paragraph" w:customStyle="1" w:yozoId="4094" w:styleId="74">
    <w:name w:val="样式 小四 行距: 固定值 24 磅"/>
    <w:qFormat/>
    <w:basedOn w:val="0"/>
    <w:pPr>
      <w:adjustRightInd w:val="0"/>
      <w:snapToGrid w:val="0"/>
      <w:spacing w:line="360" w:lineRule="auto"/>
      <w:ind w:firstLineChars="200" w:firstLine="200"/>
    </w:pPr>
    <w:rPr>
      <w:sz w:val="24"/>
      <w:szCs w:val="20"/>
    </w:rPr>
  </w:style>
  <w:style w:type="paragraph" w:customStyle="1" w:yozoId="4094" w:styleId="75">
    <w:name w:val="表标题"/>
    <w:qFormat/>
    <w:basedOn w:val="0"/>
    <w:next w:val="0"/>
    <w:pPr>
      <w:keepNext/>
      <w:numPr>
        <w:ilvl w:val="0"/>
        <w:numId w:val="5"/>
      </w:numPr>
      <w:spacing w:line="240" w:lineRule="auto"/>
      <w:ind w:left="0" w:firstLine="420"/>
      <w:jc w:val="center"/>
      <w:textAlignment w:val="center"/>
    </w:pPr>
    <w:rPr>
      <w:rFonts w:ascii="Times New Roman" w:eastAsia="宋体" w:hAnsi="Times New Roman"/>
      <w:b/>
      <w:sz w:val="24"/>
    </w:rPr>
  </w:style>
  <w:style w:type="paragraph" w:customStyle="1" w:yozoId="4094" w:styleId="76">
    <w:name w:val="23磅正文"/>
    <w:qFormat/>
    <w:basedOn w:val="0"/>
    <w:pPr>
      <w:spacing w:line="460" w:lineRule="exact"/>
      <w:ind w:firstLineChars="200" w:firstLine="200"/>
      <w:jc w:val="left"/>
    </w:pPr>
    <w:rPr>
      <w:kern w:val="0"/>
    </w:rPr>
  </w:style>
  <w:style w:type="paragraph" w:customStyle="1" w:yozoId="4094" w:styleId="77">
    <w:name w:val="1.正文"/>
    <w:qFormat/>
    <w:basedOn w:val="0"/>
    <w:autoRedefine/>
    <w:pPr>
      <w:spacing w:line="460" w:lineRule="exact"/>
      <w:ind w:firstLineChars="200" w:firstLine="200"/>
    </w:pPr>
    <w:rPr>
      <w:rFonts w:cs="宋体"/>
      <w:sz w:val="24"/>
      <w:szCs w:val="20"/>
    </w:rPr>
  </w:style>
  <w:style w:type="paragraph" w:customStyle="1" w:yozoId="4094" w:styleId="78">
    <w:name w:val="鸿达表格段落"/>
    <w:qFormat/>
    <w:basedOn w:val="0"/>
    <w:autoRedefine/>
    <w:pPr>
      <w:adjustRightInd w:val="0"/>
      <w:snapToGrid w:val="0"/>
      <w:ind w:firstLineChars="100" w:firstLine="100"/>
      <w:jc w:val="left"/>
    </w:pPr>
    <w:rPr>
      <w:rFonts w:ascii="宋体" w:cs="Calibri" w:hAnsi="Calibri"/>
      <w:kern w:val="0"/>
      <w:sz w:val="24"/>
    </w:rPr>
  </w:style>
  <w:style w:type="paragraph" w:customStyle="1" w:yozoId="4094" w:styleId="79">
    <w:name w:val="c正文"/>
    <w:qFormat/>
    <w:basedOn w:val="0"/>
    <w:pPr>
      <w:adjustRightInd w:val="0"/>
      <w:snapToGrid w:val="0"/>
      <w:spacing w:line="500" w:lineRule="exact"/>
      <w:ind w:firstLineChars="200" w:firstLine="200"/>
    </w:pPr>
    <w:rPr>
      <w:kern w:val="0"/>
      <w:sz w:val="24"/>
      <w:szCs w:val="20"/>
    </w:rPr>
  </w:style>
  <w:style w:type="paragraph" w:customStyle="1" w:yozoId="4094" w:styleId="80">
    <w:name w:val="图表标题"/>
    <w:qFormat/>
    <w:basedOn w:val="0"/>
    <w:pPr>
      <w:numPr>
        <w:ilvl w:val="0"/>
        <w:numId w:val="6"/>
      </w:numPr>
      <w:spacing w:beforeLines="50" w:before="50" w:line="360" w:lineRule="auto"/>
      <w:ind w:left="0" w:firstLine="0"/>
      <w:jc w:val="center"/>
    </w:pPr>
    <w:rPr>
      <w:b/>
      <w:sz w:val="21"/>
      <w:szCs w:val="21"/>
    </w:rPr>
  </w:style>
  <w:style w:type="paragraph" w:customStyle="1" w:yozoId="4094" w:styleId="81">
    <w:name w:val="c表内容"/>
    <w:qFormat/>
    <w:basedOn w:val="0"/>
    <w:autoRedefine/>
    <w:pPr>
      <w:spacing w:line="320" w:lineRule="exact"/>
      <w:jc w:val="center"/>
    </w:pPr>
    <w:rPr>
      <w:sz w:val="21"/>
      <w:szCs w:val="21"/>
    </w:rPr>
  </w:style>
  <w:style w:type="paragraph" w:customStyle="1" w:yozoId="4094" w:styleId="82">
    <w:name w:val="报告表表格文字"/>
    <w:qFormat/>
    <w:basedOn w:val="0"/>
    <w:pPr>
      <w:autoSpaceDE w:val="0"/>
      <w:autoSpaceDN w:val="0"/>
      <w:adjustRightInd w:val="0"/>
      <w:snapToGrid w:val="0"/>
      <w:jc w:val="center"/>
    </w:pPr>
    <w:rPr>
      <w:color w:val="000000"/>
      <w:kern w:val="0"/>
      <w:szCs w:val="21"/>
    </w:rPr>
  </w:style>
  <w:style w:type="character" w:customStyle="1" w:yozoId="4094" w:styleId="83">
    <w:name w:val="font41"/>
    <w:qFormat/>
    <w:basedOn w:val="10"/>
    <w:rPr>
      <w:rFonts w:ascii="Times New Roman" w:cs="Times New Roman" w:hAnsi="Times New Roman"/>
      <w:color w:val="000000"/>
      <w:sz w:val="21"/>
      <w:szCs w:val="21"/>
      <w:u w:val="none"/>
      <w:vertAlign w:val="superscript"/>
    </w:rPr>
  </w:style>
  <w:style w:type="paragraph" w:customStyle="1" w:yozoId="4094" w:styleId="84">
    <w:name w:val="表头1"/>
    <w:qFormat/>
    <w:basedOn w:val="0"/>
    <w:pPr>
      <w:widowControl/>
      <w:jc w:val="center"/>
    </w:pPr>
    <w:rPr>
      <w:b/>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image" Target="media/3.png"/><Relationship Id="rId7" Type="http://schemas.openxmlformats.org/officeDocument/2006/relationships/image" Target="media/5.png"/><Relationship Id="rId8" Type="http://schemas.openxmlformats.org/officeDocument/2006/relationships/image" Target="media/10.emf"/><Relationship Id="rId9" Type="http://schemas.openxmlformats.org/officeDocument/2006/relationships/oleObject" Target="embeddings/oleObject1.bin"/><Relationship Id="rId10" Type="http://schemas.openxmlformats.org/officeDocument/2006/relationships/image" Target="media/48.emf"/><Relationship Id="rId11" Type="http://schemas.openxmlformats.org/officeDocument/2006/relationships/oleObject" Target="embeddings/oleObject2.bin"/><Relationship Id="rId12" Type="http://schemas.openxmlformats.org/officeDocument/2006/relationships/image" Target="media/49.png"/><Relationship Id="rId13" Type="http://schemas.openxmlformats.org/officeDocument/2006/relationships/image" Target="media/51.png"/><Relationship Id="rId14" Type="http://schemas.openxmlformats.org/officeDocument/2006/relationships/image" Target="media/54.png"/><Relationship Id="rId15" Type="http://schemas.openxmlformats.org/officeDocument/2006/relationships/image" Target="media/54.png"/><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styles" Target="styl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customXml" Target="../customXml/item1.xml"/><Relationship Id="rId23"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sectPr/>
    <sectPr/>
    <sectPr/>
  </customProps>
</customData>
</file>

<file path=customXml/itemProps1.xml><?xml version="1.0" encoding="utf-8"?>
<ds:datastoreItem xmlns:ds="http://schemas.openxmlformats.org/officeDocument/2006/customXml" ds:itemID="{E2595678-C4B7-4832-A12C-27AECB0BB157}">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18</TotalTime>
  <Application>WPS_Yozo_Office9.0.6050.161ZH.S1</Application>
  <Pages>87</Pages>
  <Words>0</Words>
  <Characters>45030</Characters>
  <Lines>0</Lines>
  <Paragraphs>49</Paragraphs>
  <CharactersWithSpaces>60041</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title>附件2</dc:title>
  <dc:creator>lhj</dc:creator>
  <cp:lastModifiedBy>yj</cp:lastModifiedBy>
  <cp:revision>2</cp:revision>
  <cp:lastPrinted>2026-08-17T02:23:03Z</cp:lastPrinted>
  <dcterms:created xsi:type="dcterms:W3CDTF">2020-12-24T01:29:00Z</dcterms:created>
  <dcterms:modified xsi:type="dcterms:W3CDTF">2026-08-17T03:02:02Z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0BB21862F8B24665860EBA31DFA8AECF_13</vt:lpwstr>
  </property>
  <property fmtid="{D5CDD505-2E9C-101B-9397-08002B2CF9AE}" pid="4" name="KSOTemplateDocerSaveRecord">
    <vt:lpwstr>eyJoZGlkIjoiY2ZhNjQ1MTQyOTgwMjE0MWI1MWUzYmY1OTViOWU3ZTAiLCJ1c2VySWQiOiIzMzAxMzY4NDgifQ==</vt:lpwstr>
  </property>
</Properties>
</file>