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EF0" w:rsidRDefault="00CA5EF0">
      <w:pPr>
        <w:jc w:val="center"/>
        <w:rPr>
          <w:rFonts w:ascii="方正小标宋简体" w:eastAsia="方正小标宋简体" w:hAnsi="方正小标宋简体" w:cs="方正小标宋简体" w:hint="eastAsia"/>
          <w:sz w:val="52"/>
          <w:szCs w:val="52"/>
        </w:rPr>
      </w:pPr>
    </w:p>
    <w:p w:rsidR="00614281" w:rsidRDefault="00614281" w:rsidP="00322080">
      <w:pPr>
        <w:rPr>
          <w:rFonts w:ascii="方正小标宋简体" w:eastAsia="方正小标宋简体" w:hAnsi="方正小标宋简体" w:cs="方正小标宋简体"/>
          <w:sz w:val="52"/>
          <w:szCs w:val="52"/>
        </w:rPr>
      </w:pPr>
    </w:p>
    <w:p w:rsidR="00614281" w:rsidRDefault="00614281">
      <w:pPr>
        <w:jc w:val="center"/>
        <w:rPr>
          <w:rFonts w:ascii="方正小标宋简体" w:eastAsia="方正小标宋简体" w:hAnsi="方正小标宋简体" w:cs="方正小标宋简体"/>
          <w:sz w:val="52"/>
          <w:szCs w:val="52"/>
        </w:rPr>
      </w:pPr>
    </w:p>
    <w:p w:rsidR="00614281" w:rsidRDefault="00614281">
      <w:pPr>
        <w:jc w:val="center"/>
        <w:rPr>
          <w:rFonts w:ascii="方正小标宋简体" w:eastAsia="方正小标宋简体" w:hAnsi="方正小标宋简体" w:cs="方正小标宋简体"/>
          <w:sz w:val="52"/>
          <w:szCs w:val="52"/>
        </w:rPr>
      </w:pPr>
    </w:p>
    <w:p w:rsidR="00614281" w:rsidRPr="00322080" w:rsidRDefault="00D61D56" w:rsidP="00BF7BB5">
      <w:pPr>
        <w:ind w:firstLineChars="500" w:firstLine="2200"/>
        <w:rPr>
          <w:rFonts w:ascii="仿宋_GB2312" w:eastAsia="仿宋_GB2312" w:hAnsi="仿宋_GB2312" w:cs="仿宋_GB2312"/>
          <w:sz w:val="44"/>
          <w:szCs w:val="44"/>
        </w:rPr>
      </w:pPr>
      <w:r w:rsidRPr="00322080">
        <w:rPr>
          <w:rFonts w:ascii="仿宋_GB2312" w:eastAsia="仿宋_GB2312" w:hAnsi="隶书" w:cs="隶书" w:hint="eastAsia"/>
          <w:sz w:val="44"/>
          <w:szCs w:val="44"/>
        </w:rPr>
        <w:t>延津县司寨乡中心学校</w:t>
      </w:r>
    </w:p>
    <w:p w:rsidR="00614281" w:rsidRDefault="00614281">
      <w:pPr>
        <w:jc w:val="center"/>
        <w:rPr>
          <w:rFonts w:ascii="黑体" w:eastAsia="黑体" w:hAnsi="黑体" w:cs="黑体"/>
          <w:sz w:val="52"/>
          <w:szCs w:val="52"/>
        </w:rPr>
      </w:pPr>
    </w:p>
    <w:p w:rsidR="00614281" w:rsidRDefault="00D61D56">
      <w:pPr>
        <w:jc w:val="center"/>
        <w:rPr>
          <w:rFonts w:ascii="隶书" w:eastAsia="隶书" w:hAnsi="隶书" w:cs="隶书"/>
          <w:sz w:val="52"/>
          <w:szCs w:val="52"/>
        </w:rPr>
        <w:sectPr w:rsidR="0061428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614281" w:rsidRDefault="00D61D5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614281" w:rsidRDefault="00D61D56">
      <w:pPr>
        <w:jc w:val="left"/>
        <w:rPr>
          <w:rFonts w:ascii="黑体" w:eastAsia="黑体" w:hAnsi="黑体" w:cs="黑体"/>
          <w:sz w:val="32"/>
          <w:szCs w:val="32"/>
        </w:rPr>
      </w:pPr>
      <w:r>
        <w:rPr>
          <w:rFonts w:ascii="黑体" w:eastAsia="黑体" w:hAnsi="黑体" w:cs="黑体" w:hint="eastAsia"/>
          <w:sz w:val="32"/>
          <w:szCs w:val="32"/>
        </w:rPr>
        <w:t>第一部分　　延津</w:t>
      </w:r>
      <w:proofErr w:type="gramStart"/>
      <w:r>
        <w:rPr>
          <w:rFonts w:ascii="黑体" w:eastAsia="黑体" w:hAnsi="黑体" w:cs="黑体" w:hint="eastAsia"/>
          <w:sz w:val="32"/>
          <w:szCs w:val="32"/>
        </w:rPr>
        <w:t>县司寨乡</w:t>
      </w:r>
      <w:proofErr w:type="gramEnd"/>
      <w:r>
        <w:rPr>
          <w:rFonts w:ascii="黑体" w:eastAsia="黑体" w:hAnsi="黑体" w:cs="黑体" w:hint="eastAsia"/>
          <w:sz w:val="32"/>
          <w:szCs w:val="32"/>
        </w:rPr>
        <w:t>中心学校概况</w:t>
      </w:r>
    </w:p>
    <w:p w:rsidR="00614281" w:rsidRDefault="00D61D56">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614281" w:rsidRDefault="00D61D56">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614281" w:rsidRDefault="00D61D56">
      <w:pPr>
        <w:jc w:val="left"/>
        <w:rPr>
          <w:rFonts w:ascii="黑体" w:eastAsia="黑体" w:hAnsi="黑体" w:cs="黑体"/>
          <w:sz w:val="32"/>
          <w:szCs w:val="32"/>
        </w:rPr>
      </w:pPr>
      <w:r>
        <w:rPr>
          <w:rFonts w:ascii="黑体" w:eastAsia="黑体" w:hAnsi="黑体" w:cs="黑体" w:hint="eastAsia"/>
          <w:sz w:val="32"/>
          <w:szCs w:val="32"/>
        </w:rPr>
        <w:t>第二部分　　延津</w:t>
      </w:r>
      <w:proofErr w:type="gramStart"/>
      <w:r>
        <w:rPr>
          <w:rFonts w:ascii="黑体" w:eastAsia="黑体" w:hAnsi="黑体" w:cs="黑体" w:hint="eastAsia"/>
          <w:sz w:val="32"/>
          <w:szCs w:val="32"/>
        </w:rPr>
        <w:t>县司寨乡</w:t>
      </w:r>
      <w:proofErr w:type="gramEnd"/>
      <w:r>
        <w:rPr>
          <w:rFonts w:ascii="黑体" w:eastAsia="黑体" w:hAnsi="黑体" w:cs="黑体" w:hint="eastAsia"/>
          <w:sz w:val="32"/>
          <w:szCs w:val="32"/>
        </w:rPr>
        <w:t>中心学校2016年度部门决算表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一、收入支出决算总表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二、收入决算表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三、支出决算表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614281" w:rsidRDefault="00D61D56">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614281" w:rsidRDefault="00D61D56">
      <w:pPr>
        <w:jc w:val="left"/>
        <w:rPr>
          <w:rFonts w:ascii="黑体" w:eastAsia="黑体" w:hAnsi="黑体" w:cs="黑体"/>
          <w:sz w:val="32"/>
          <w:szCs w:val="32"/>
        </w:rPr>
      </w:pPr>
      <w:r>
        <w:rPr>
          <w:rFonts w:ascii="黑体" w:eastAsia="黑体" w:hAnsi="黑体" w:cs="黑体" w:hint="eastAsia"/>
          <w:sz w:val="32"/>
          <w:szCs w:val="32"/>
        </w:rPr>
        <w:t>第三部分　延津</w:t>
      </w:r>
      <w:proofErr w:type="gramStart"/>
      <w:r>
        <w:rPr>
          <w:rFonts w:ascii="黑体" w:eastAsia="黑体" w:hAnsi="黑体" w:cs="黑体" w:hint="eastAsia"/>
          <w:sz w:val="32"/>
          <w:szCs w:val="32"/>
        </w:rPr>
        <w:t>县司寨乡</w:t>
      </w:r>
      <w:proofErr w:type="gramEnd"/>
      <w:r>
        <w:rPr>
          <w:rFonts w:ascii="黑体" w:eastAsia="黑体" w:hAnsi="黑体" w:cs="黑体" w:hint="eastAsia"/>
          <w:sz w:val="32"/>
          <w:szCs w:val="32"/>
        </w:rPr>
        <w:t>中心学校2016年度部门决算情况说明</w:t>
      </w:r>
    </w:p>
    <w:p w:rsidR="00614281" w:rsidRDefault="00D61D56">
      <w:pPr>
        <w:jc w:val="left"/>
        <w:rPr>
          <w:rFonts w:ascii="黑体" w:eastAsia="黑体" w:hAnsi="黑体" w:cs="黑体"/>
          <w:sz w:val="32"/>
          <w:szCs w:val="32"/>
        </w:rPr>
        <w:sectPr w:rsidR="00614281">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27506C" w:rsidRDefault="0027506C" w:rsidP="0027506C">
      <w:pPr>
        <w:ind w:firstLineChars="250" w:firstLine="750"/>
        <w:rPr>
          <w:rFonts w:ascii="隶书" w:eastAsia="隶书" w:hAnsi="隶书" w:cs="隶书"/>
          <w:sz w:val="30"/>
          <w:szCs w:val="30"/>
        </w:rPr>
      </w:pPr>
    </w:p>
    <w:p w:rsidR="0027506C" w:rsidRDefault="0027506C" w:rsidP="0027506C">
      <w:pPr>
        <w:ind w:firstLineChars="250" w:firstLine="750"/>
        <w:rPr>
          <w:rFonts w:ascii="隶书" w:eastAsia="隶书" w:hAnsi="隶书" w:cs="隶书"/>
          <w:sz w:val="30"/>
          <w:szCs w:val="30"/>
        </w:rPr>
      </w:pPr>
    </w:p>
    <w:p w:rsidR="00614281" w:rsidRPr="000B08FC" w:rsidRDefault="00D61D56" w:rsidP="0027506C">
      <w:pPr>
        <w:rPr>
          <w:rFonts w:ascii="隶书" w:eastAsia="隶书" w:hAnsi="隶书" w:cs="隶书"/>
          <w:sz w:val="48"/>
          <w:szCs w:val="48"/>
        </w:rPr>
        <w:sectPr w:rsidR="00614281" w:rsidRPr="000B08FC">
          <w:footerReference w:type="default" r:id="rId10"/>
          <w:pgSz w:w="11906" w:h="16838"/>
          <w:pgMar w:top="1440" w:right="1531" w:bottom="1440" w:left="1587" w:header="850" w:footer="992" w:gutter="0"/>
          <w:pgNumType w:fmt="numberInDash" w:start="1"/>
          <w:cols w:space="0"/>
          <w:docGrid w:type="lines" w:linePitch="317"/>
        </w:sectPr>
      </w:pPr>
      <w:r w:rsidRPr="000B08FC">
        <w:rPr>
          <w:rFonts w:ascii="隶书" w:eastAsia="隶书" w:hAnsi="隶书" w:cs="隶书" w:hint="eastAsia"/>
          <w:sz w:val="48"/>
          <w:szCs w:val="48"/>
        </w:rPr>
        <w:t>第一部分　延津县司寨乡中心学校概况</w:t>
      </w:r>
    </w:p>
    <w:p w:rsidR="003227CB" w:rsidRDefault="003227CB" w:rsidP="003227CB">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3227CB" w:rsidRPr="00FC4DDA" w:rsidRDefault="003227CB" w:rsidP="003227CB">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拟定：根据有关教育法律、法规、政策和上级教育主管部门的有关规定，制订</w:t>
      </w:r>
      <w:proofErr w:type="gramStart"/>
      <w:r w:rsidRPr="00FC4DDA">
        <w:rPr>
          <w:rFonts w:ascii="仿宋_GB2312" w:eastAsia="仿宋_GB2312" w:hAnsi="仿宋_GB2312" w:cs="仿宋_GB2312" w:hint="eastAsia"/>
          <w:sz w:val="32"/>
          <w:szCs w:val="32"/>
        </w:rPr>
        <w:t>胙</w:t>
      </w:r>
      <w:proofErr w:type="gramEnd"/>
      <w:r w:rsidRPr="00FC4DDA">
        <w:rPr>
          <w:rFonts w:ascii="仿宋_GB2312" w:eastAsia="仿宋_GB2312" w:hAnsi="仿宋_GB2312" w:cs="仿宋_GB2312" w:hint="eastAsia"/>
          <w:sz w:val="32"/>
          <w:szCs w:val="32"/>
        </w:rPr>
        <w:t>城中心</w:t>
      </w:r>
      <w:proofErr w:type="gramStart"/>
      <w:r w:rsidRPr="00FC4DDA">
        <w:rPr>
          <w:rFonts w:ascii="仿宋_GB2312" w:eastAsia="仿宋_GB2312" w:hAnsi="仿宋_GB2312" w:cs="仿宋_GB2312" w:hint="eastAsia"/>
          <w:sz w:val="32"/>
          <w:szCs w:val="32"/>
        </w:rPr>
        <w:t>校各项</w:t>
      </w:r>
      <w:proofErr w:type="gramEnd"/>
      <w:r w:rsidRPr="00FC4DDA">
        <w:rPr>
          <w:rFonts w:ascii="仿宋_GB2312" w:eastAsia="仿宋_GB2312" w:hAnsi="仿宋_GB2312" w:cs="仿宋_GB2312" w:hint="eastAsia"/>
          <w:sz w:val="32"/>
          <w:szCs w:val="32"/>
        </w:rPr>
        <w:t>规章制度</w:t>
      </w:r>
    </w:p>
    <w:p w:rsidR="003227CB" w:rsidRPr="00FC4DDA" w:rsidRDefault="003227CB" w:rsidP="003227CB">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起草：</w:t>
      </w:r>
      <w:proofErr w:type="gramStart"/>
      <w:r>
        <w:rPr>
          <w:rFonts w:ascii="仿宋_GB2312" w:eastAsia="仿宋_GB2312" w:hAnsi="仿宋_GB2312" w:cs="仿宋_GB2312" w:hint="eastAsia"/>
          <w:sz w:val="32"/>
          <w:szCs w:val="32"/>
        </w:rPr>
        <w:t>司寨乡</w:t>
      </w:r>
      <w:proofErr w:type="gramEnd"/>
      <w:r>
        <w:rPr>
          <w:rFonts w:ascii="仿宋_GB2312" w:eastAsia="仿宋_GB2312" w:hAnsi="仿宋_GB2312" w:cs="仿宋_GB2312" w:hint="eastAsia"/>
          <w:sz w:val="32"/>
          <w:szCs w:val="32"/>
        </w:rPr>
        <w:t>中心学</w:t>
      </w:r>
      <w:r w:rsidRPr="00FC4DDA">
        <w:rPr>
          <w:rFonts w:ascii="仿宋_GB2312" w:eastAsia="仿宋_GB2312" w:hAnsi="仿宋_GB2312" w:cs="仿宋_GB2312" w:hint="eastAsia"/>
          <w:sz w:val="32"/>
          <w:szCs w:val="32"/>
        </w:rPr>
        <w:t>校年度工作计划</w:t>
      </w:r>
    </w:p>
    <w:p w:rsidR="003227CB" w:rsidRPr="00FC4DDA" w:rsidRDefault="003227CB" w:rsidP="003227CB">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承担：</w:t>
      </w:r>
    </w:p>
    <w:p w:rsidR="003227CB" w:rsidRPr="00FC4DDA" w:rsidRDefault="003227CB" w:rsidP="003227CB">
      <w:pPr>
        <w:spacing w:line="360" w:lineRule="auto"/>
        <w:ind w:firstLineChars="250" w:firstLine="800"/>
        <w:jc w:val="left"/>
        <w:rPr>
          <w:rFonts w:ascii="仿宋_GB2312" w:eastAsia="仿宋_GB2312" w:hAnsi="仿宋" w:cs="楷体_GB2312"/>
          <w:sz w:val="32"/>
          <w:szCs w:val="32"/>
        </w:rPr>
      </w:pPr>
      <w:r w:rsidRPr="00FC4DDA">
        <w:rPr>
          <w:rFonts w:ascii="仿宋_GB2312" w:eastAsia="仿宋_GB2312" w:hAnsi="仿宋" w:cs="楷体_GB2312" w:hint="eastAsia"/>
          <w:sz w:val="32"/>
          <w:szCs w:val="32"/>
        </w:rPr>
        <w:t>1.实施初中义务教育，促进基础教育发展。</w:t>
      </w:r>
    </w:p>
    <w:p w:rsidR="003227CB" w:rsidRPr="00FC4DDA" w:rsidRDefault="003227CB" w:rsidP="003227CB">
      <w:pPr>
        <w:spacing w:line="360" w:lineRule="auto"/>
        <w:ind w:firstLineChars="229" w:firstLine="733"/>
        <w:jc w:val="left"/>
        <w:rPr>
          <w:rFonts w:ascii="仿宋_GB2312" w:eastAsia="仿宋_GB2312" w:hAnsi="仿宋" w:cs="楷体_GB2312"/>
          <w:sz w:val="32"/>
          <w:szCs w:val="32"/>
        </w:rPr>
      </w:pPr>
      <w:r w:rsidRPr="00FC4DDA">
        <w:rPr>
          <w:rFonts w:ascii="仿宋_GB2312" w:eastAsia="仿宋_GB2312" w:hAnsi="仿宋" w:cs="楷体_GB2312" w:hint="eastAsia"/>
          <w:sz w:val="32"/>
          <w:szCs w:val="32"/>
        </w:rPr>
        <w:t>2.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3227CB" w:rsidRDefault="003227CB" w:rsidP="003227CB">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3227CB" w:rsidRDefault="003227CB" w:rsidP="003227CB">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1A76FE">
        <w:rPr>
          <w:rFonts w:ascii="仿宋_GB2312" w:eastAsia="仿宋_GB2312" w:hAnsi="仿宋_GB2312" w:cs="仿宋_GB2312" w:hint="eastAsia"/>
          <w:sz w:val="32"/>
          <w:szCs w:val="32"/>
        </w:rPr>
        <w:t>延津</w:t>
      </w:r>
      <w:proofErr w:type="gramStart"/>
      <w:r w:rsidR="001A76FE">
        <w:rPr>
          <w:rFonts w:ascii="仿宋_GB2312" w:eastAsia="仿宋_GB2312" w:hAnsi="仿宋_GB2312" w:cs="仿宋_GB2312" w:hint="eastAsia"/>
          <w:sz w:val="32"/>
          <w:szCs w:val="32"/>
        </w:rPr>
        <w:t>县</w:t>
      </w:r>
      <w:r>
        <w:rPr>
          <w:rFonts w:ascii="仿宋_GB2312" w:eastAsia="仿宋_GB2312" w:hAnsi="仿宋_GB2312" w:cs="仿宋_GB2312" w:hint="eastAsia"/>
          <w:sz w:val="32"/>
          <w:szCs w:val="32"/>
        </w:rPr>
        <w:t>司寨乡</w:t>
      </w:r>
      <w:proofErr w:type="gramEnd"/>
      <w:r>
        <w:rPr>
          <w:rFonts w:ascii="仿宋_GB2312" w:eastAsia="仿宋_GB2312" w:hAnsi="仿宋_GB2312" w:cs="仿宋_GB2312" w:hint="eastAsia"/>
          <w:sz w:val="32"/>
          <w:szCs w:val="32"/>
        </w:rPr>
        <w:t>中心学校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3227CB" w:rsidRDefault="001A76FE" w:rsidP="003227CB">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w:t>
      </w:r>
      <w:proofErr w:type="gramStart"/>
      <w:r>
        <w:rPr>
          <w:rFonts w:ascii="仿宋_GB2312" w:eastAsia="仿宋_GB2312" w:hAnsi="仿宋_GB2312" w:cs="仿宋_GB2312" w:hint="eastAsia"/>
          <w:sz w:val="32"/>
          <w:szCs w:val="32"/>
        </w:rPr>
        <w:t>县</w:t>
      </w:r>
      <w:r w:rsidR="003227CB">
        <w:rPr>
          <w:rFonts w:ascii="仿宋_GB2312" w:eastAsia="仿宋_GB2312" w:hAnsi="仿宋_GB2312" w:cs="仿宋_GB2312" w:hint="eastAsia"/>
          <w:sz w:val="32"/>
          <w:szCs w:val="32"/>
        </w:rPr>
        <w:t>司寨乡</w:t>
      </w:r>
      <w:proofErr w:type="gramEnd"/>
      <w:r w:rsidR="003227CB">
        <w:rPr>
          <w:rFonts w:ascii="仿宋_GB2312" w:eastAsia="仿宋_GB2312" w:hAnsi="仿宋_GB2312" w:cs="仿宋_GB2312" w:hint="eastAsia"/>
          <w:sz w:val="32"/>
          <w:szCs w:val="32"/>
        </w:rPr>
        <w:t>中心学校本级</w:t>
      </w:r>
    </w:p>
    <w:p w:rsidR="003227CB" w:rsidRDefault="001A76FE" w:rsidP="003227CB">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w:t>
      </w:r>
      <w:proofErr w:type="gramStart"/>
      <w:r>
        <w:rPr>
          <w:rFonts w:ascii="仿宋_GB2312" w:eastAsia="仿宋_GB2312" w:hAnsi="仿宋_GB2312" w:cs="仿宋_GB2312" w:hint="eastAsia"/>
          <w:sz w:val="32"/>
          <w:szCs w:val="32"/>
        </w:rPr>
        <w:t>县</w:t>
      </w:r>
      <w:r w:rsidR="003227CB">
        <w:rPr>
          <w:rFonts w:ascii="仿宋_GB2312" w:eastAsia="仿宋_GB2312" w:hAnsi="仿宋_GB2312" w:cs="仿宋_GB2312" w:hint="eastAsia"/>
          <w:sz w:val="32"/>
          <w:szCs w:val="32"/>
        </w:rPr>
        <w:t>司寨乡</w:t>
      </w:r>
      <w:proofErr w:type="gramEnd"/>
      <w:r w:rsidR="003227CB">
        <w:rPr>
          <w:rFonts w:ascii="仿宋_GB2312" w:eastAsia="仿宋_GB2312" w:hAnsi="仿宋_GB2312" w:cs="仿宋_GB2312" w:hint="eastAsia"/>
          <w:sz w:val="32"/>
          <w:szCs w:val="32"/>
        </w:rPr>
        <w:t>中心学校所辖各公办中小学</w:t>
      </w:r>
    </w:p>
    <w:p w:rsidR="00614281" w:rsidRPr="003227CB"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9E2D1B" w:rsidRDefault="00D61D56" w:rsidP="009E2D1B">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9E2D1B" w:rsidRDefault="001A76FE" w:rsidP="009E2D1B">
      <w:pPr>
        <w:jc w:val="center"/>
        <w:outlineLvl w:val="0"/>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w:t>
      </w:r>
      <w:r w:rsidR="0083525D">
        <w:rPr>
          <w:rFonts w:ascii="隶书" w:eastAsia="隶书" w:hAnsi="隶书" w:cs="隶书" w:hint="eastAsia"/>
          <w:sz w:val="48"/>
          <w:szCs w:val="48"/>
        </w:rPr>
        <w:t>司寨乡</w:t>
      </w:r>
      <w:proofErr w:type="gramEnd"/>
      <w:r w:rsidR="0083525D">
        <w:rPr>
          <w:rFonts w:ascii="隶书" w:eastAsia="隶书" w:hAnsi="隶书" w:cs="隶书" w:hint="eastAsia"/>
          <w:sz w:val="48"/>
          <w:szCs w:val="48"/>
        </w:rPr>
        <w:t>中心学校</w:t>
      </w:r>
    </w:p>
    <w:p w:rsidR="00614281" w:rsidRDefault="00D61D56" w:rsidP="009E2D1B">
      <w:pPr>
        <w:jc w:val="center"/>
        <w:outlineLvl w:val="0"/>
        <w:rPr>
          <w:rFonts w:ascii="隶书" w:eastAsia="隶书" w:hAnsi="隶书" w:cs="隶书"/>
          <w:sz w:val="48"/>
          <w:szCs w:val="48"/>
        </w:rPr>
        <w:sectPr w:rsidR="0061428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2016年度部门决算表</w:t>
      </w:r>
    </w:p>
    <w:tbl>
      <w:tblPr>
        <w:tblW w:w="9740" w:type="dxa"/>
        <w:tblInd w:w="93" w:type="dxa"/>
        <w:tblLook w:val="04A0"/>
      </w:tblPr>
      <w:tblGrid>
        <w:gridCol w:w="2885"/>
        <w:gridCol w:w="521"/>
        <w:gridCol w:w="1346"/>
        <w:gridCol w:w="3121"/>
        <w:gridCol w:w="521"/>
        <w:gridCol w:w="1346"/>
      </w:tblGrid>
      <w:tr w:rsidR="0083525D" w:rsidRPr="0083525D" w:rsidTr="0083525D">
        <w:trPr>
          <w:trHeight w:val="375"/>
        </w:trPr>
        <w:tc>
          <w:tcPr>
            <w:tcW w:w="9740" w:type="dxa"/>
            <w:gridSpan w:val="6"/>
            <w:tcBorders>
              <w:top w:val="nil"/>
              <w:left w:val="nil"/>
              <w:bottom w:val="nil"/>
              <w:right w:val="nil"/>
            </w:tcBorders>
            <w:shd w:val="clear" w:color="auto" w:fill="auto"/>
            <w:noWrap/>
            <w:vAlign w:val="center"/>
            <w:hideMark/>
          </w:tcPr>
          <w:p w:rsidR="0083525D" w:rsidRPr="0083525D" w:rsidRDefault="0083525D" w:rsidP="0083525D">
            <w:pPr>
              <w:widowControl/>
              <w:jc w:val="center"/>
              <w:rPr>
                <w:rFonts w:ascii="黑体" w:eastAsia="黑体" w:hAnsi="黑体" w:cs="Arial"/>
                <w:color w:val="000000"/>
                <w:kern w:val="0"/>
                <w:sz w:val="28"/>
                <w:szCs w:val="28"/>
              </w:rPr>
            </w:pPr>
            <w:bookmarkStart w:id="0" w:name="RANGE!A1:F36"/>
            <w:r w:rsidRPr="0083525D">
              <w:rPr>
                <w:rFonts w:ascii="黑体" w:eastAsia="黑体" w:hAnsi="黑体" w:cs="Arial" w:hint="eastAsia"/>
                <w:color w:val="000000"/>
                <w:kern w:val="0"/>
                <w:sz w:val="28"/>
                <w:szCs w:val="28"/>
              </w:rPr>
              <w:lastRenderedPageBreak/>
              <w:t>收入支出决算总表</w:t>
            </w:r>
            <w:bookmarkEnd w:id="0"/>
          </w:p>
        </w:tc>
      </w:tr>
      <w:tr w:rsidR="0083525D" w:rsidRPr="0083525D" w:rsidTr="0083525D">
        <w:trPr>
          <w:trHeight w:val="319"/>
        </w:trPr>
        <w:tc>
          <w:tcPr>
            <w:tcW w:w="2885"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w:t>
            </w:r>
          </w:p>
        </w:tc>
        <w:tc>
          <w:tcPr>
            <w:tcW w:w="5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1346"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31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5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1346" w:type="dxa"/>
            <w:tcBorders>
              <w:top w:val="nil"/>
              <w:left w:val="nil"/>
              <w:bottom w:val="nil"/>
              <w:right w:val="nil"/>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公开01表</w:t>
            </w:r>
          </w:p>
        </w:tc>
      </w:tr>
      <w:tr w:rsidR="0083525D" w:rsidRPr="0083525D" w:rsidTr="0083525D">
        <w:trPr>
          <w:trHeight w:val="319"/>
        </w:trPr>
        <w:tc>
          <w:tcPr>
            <w:tcW w:w="2885"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5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1346"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31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521" w:type="dxa"/>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p>
        </w:tc>
        <w:tc>
          <w:tcPr>
            <w:tcW w:w="1346" w:type="dxa"/>
            <w:tcBorders>
              <w:top w:val="nil"/>
              <w:left w:val="nil"/>
              <w:bottom w:val="nil"/>
              <w:right w:val="nil"/>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单位：万元</w:t>
            </w:r>
          </w:p>
        </w:tc>
      </w:tr>
      <w:tr w:rsidR="0083525D" w:rsidRPr="0083525D" w:rsidTr="0083525D">
        <w:trPr>
          <w:trHeight w:val="300"/>
        </w:trPr>
        <w:tc>
          <w:tcPr>
            <w:tcW w:w="4752" w:type="dxa"/>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收　　</w:t>
            </w:r>
            <w:proofErr w:type="gramEnd"/>
            <w:r w:rsidRPr="0083525D">
              <w:rPr>
                <w:rFonts w:ascii="宋体" w:eastAsia="宋体" w:hAnsi="宋体" w:cs="Arial" w:hint="eastAsia"/>
                <w:b/>
                <w:bCs/>
                <w:color w:val="000000"/>
                <w:kern w:val="0"/>
                <w:sz w:val="16"/>
                <w:szCs w:val="16"/>
              </w:rPr>
              <w:t>入</w:t>
            </w:r>
          </w:p>
        </w:tc>
        <w:tc>
          <w:tcPr>
            <w:tcW w:w="498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支　　</w:t>
            </w:r>
            <w:proofErr w:type="gramEnd"/>
            <w:r w:rsidRPr="0083525D">
              <w:rPr>
                <w:rFonts w:ascii="宋体" w:eastAsia="宋体" w:hAnsi="宋体" w:cs="Arial" w:hint="eastAsia"/>
                <w:b/>
                <w:bCs/>
                <w:color w:val="000000"/>
                <w:kern w:val="0"/>
                <w:sz w:val="16"/>
                <w:szCs w:val="16"/>
              </w:rPr>
              <w:t>出</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项　　</w:t>
            </w:r>
            <w:proofErr w:type="gramEnd"/>
            <w:r w:rsidRPr="0083525D">
              <w:rPr>
                <w:rFonts w:ascii="宋体" w:eastAsia="宋体" w:hAnsi="宋体" w:cs="Arial" w:hint="eastAsia"/>
                <w:b/>
                <w:bCs/>
                <w:color w:val="000000"/>
                <w:kern w:val="0"/>
                <w:sz w:val="16"/>
                <w:szCs w:val="16"/>
              </w:rPr>
              <w:t>目</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行次</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金额</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项　　</w:t>
            </w:r>
            <w:proofErr w:type="gramEnd"/>
            <w:r w:rsidRPr="0083525D">
              <w:rPr>
                <w:rFonts w:ascii="宋体" w:eastAsia="宋体" w:hAnsi="宋体" w:cs="Arial" w:hint="eastAsia"/>
                <w:b/>
                <w:bCs/>
                <w:color w:val="000000"/>
                <w:kern w:val="0"/>
                <w:sz w:val="16"/>
                <w:szCs w:val="16"/>
              </w:rPr>
              <w:t>目</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行次</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金额</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栏　　</w:t>
            </w:r>
            <w:proofErr w:type="gramEnd"/>
            <w:r w:rsidRPr="0083525D">
              <w:rPr>
                <w:rFonts w:ascii="宋体" w:eastAsia="宋体" w:hAnsi="宋体" w:cs="Arial" w:hint="eastAsia"/>
                <w:b/>
                <w:bCs/>
                <w:color w:val="000000"/>
                <w:kern w:val="0"/>
                <w:sz w:val="16"/>
                <w:szCs w:val="16"/>
              </w:rPr>
              <w:t>次</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 xml:space="preserve">　</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1</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proofErr w:type="gramStart"/>
            <w:r w:rsidRPr="0083525D">
              <w:rPr>
                <w:rFonts w:ascii="宋体" w:eastAsia="宋体" w:hAnsi="宋体" w:cs="Arial" w:hint="eastAsia"/>
                <w:b/>
                <w:bCs/>
                <w:color w:val="000000"/>
                <w:kern w:val="0"/>
                <w:sz w:val="16"/>
                <w:szCs w:val="16"/>
              </w:rPr>
              <w:t xml:space="preserve">栏　　</w:t>
            </w:r>
            <w:proofErr w:type="gramEnd"/>
            <w:r w:rsidRPr="0083525D">
              <w:rPr>
                <w:rFonts w:ascii="宋体" w:eastAsia="宋体" w:hAnsi="宋体" w:cs="Arial" w:hint="eastAsia"/>
                <w:b/>
                <w:bCs/>
                <w:color w:val="000000"/>
                <w:kern w:val="0"/>
                <w:sz w:val="16"/>
                <w:szCs w:val="16"/>
              </w:rPr>
              <w:t>次</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 xml:space="preserve">　</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2</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一、财政拨款收入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一、一般公共服务支出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30</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二、上级补助收入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二、外交支出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31</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三、事业收入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三、国防支出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32</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r>
      <w:tr w:rsidR="0083525D" w:rsidRPr="0083525D"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四、经营收入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四、公共安全支出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33</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五、附属单位上缴收入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五、教育支出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34</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六、其他收入</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6</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六、科学技术支出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35</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7</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七、文化体育与传媒支出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36</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8</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八、社会保障和就业支出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37</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9</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九、医疗卫生与计划生育支出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38</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10</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十、节能环保支出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39</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11</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十一、城乡社区支出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40</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12</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十二、农林水支出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41</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13</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十三、交通运输支出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42</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14</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十四、资源勘探信息等支出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43</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15</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十五、商业服务业等支出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44</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16</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十六、金融支出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45</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17</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十七、援助其他地区支出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46</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18</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十八、国土海洋气象等支出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47</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19</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十九、住房保障支出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48</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20</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二十、粮油物资储备支出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49</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21</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二十一、其他支出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50</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22</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二十二、债务还本支出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51</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23</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二十三、债务付息支出</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52</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24</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53</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本年收入合计</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25</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本年支出合计</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54</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用事业基金弥补收支差额</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26</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结余分配</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55</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年初结转和结余</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27</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年末结转和结余</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56</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28</w:t>
            </w:r>
          </w:p>
        </w:tc>
        <w:tc>
          <w:tcPr>
            <w:tcW w:w="1346" w:type="dxa"/>
            <w:tcBorders>
              <w:top w:val="nil"/>
              <w:left w:val="nil"/>
              <w:bottom w:val="single" w:sz="4" w:space="0" w:color="auto"/>
              <w:right w:val="single" w:sz="4" w:space="0" w:color="auto"/>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c>
          <w:tcPr>
            <w:tcW w:w="31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 xml:space="preserve">　</w:t>
            </w:r>
          </w:p>
        </w:tc>
        <w:tc>
          <w:tcPr>
            <w:tcW w:w="521" w:type="dxa"/>
            <w:tcBorders>
              <w:top w:val="nil"/>
              <w:left w:val="nil"/>
              <w:bottom w:val="single" w:sz="4"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57</w:t>
            </w:r>
          </w:p>
        </w:tc>
        <w:tc>
          <w:tcPr>
            <w:tcW w:w="1346" w:type="dxa"/>
            <w:tcBorders>
              <w:top w:val="nil"/>
              <w:left w:val="nil"/>
              <w:bottom w:val="single" w:sz="4" w:space="0" w:color="auto"/>
              <w:right w:val="single" w:sz="8" w:space="0" w:color="auto"/>
            </w:tcBorders>
            <w:shd w:val="clear" w:color="auto" w:fill="auto"/>
            <w:noWrap/>
            <w:vAlign w:val="center"/>
            <w:hideMark/>
          </w:tcPr>
          <w:p w:rsidR="0083525D" w:rsidRPr="008C3F55" w:rsidRDefault="0083525D" w:rsidP="0083525D">
            <w:pPr>
              <w:widowControl/>
              <w:jc w:val="lef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 xml:space="preserve">　</w:t>
            </w:r>
          </w:p>
        </w:tc>
      </w:tr>
      <w:tr w:rsidR="0083525D" w:rsidRPr="008C3F55" w:rsidTr="0083525D">
        <w:trPr>
          <w:trHeight w:val="300"/>
        </w:trPr>
        <w:tc>
          <w:tcPr>
            <w:tcW w:w="2885" w:type="dxa"/>
            <w:tcBorders>
              <w:top w:val="nil"/>
              <w:left w:val="single" w:sz="8" w:space="0" w:color="auto"/>
              <w:bottom w:val="single" w:sz="8"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总计</w:t>
            </w:r>
          </w:p>
        </w:tc>
        <w:tc>
          <w:tcPr>
            <w:tcW w:w="521" w:type="dxa"/>
            <w:tcBorders>
              <w:top w:val="nil"/>
              <w:left w:val="nil"/>
              <w:bottom w:val="single" w:sz="8"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29</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c>
          <w:tcPr>
            <w:tcW w:w="3121" w:type="dxa"/>
            <w:tcBorders>
              <w:top w:val="nil"/>
              <w:left w:val="nil"/>
              <w:bottom w:val="single" w:sz="8" w:space="0" w:color="auto"/>
              <w:right w:val="single" w:sz="4" w:space="0" w:color="auto"/>
            </w:tcBorders>
            <w:shd w:val="clear" w:color="auto" w:fill="auto"/>
            <w:noWrap/>
            <w:vAlign w:val="center"/>
            <w:hideMark/>
          </w:tcPr>
          <w:p w:rsidR="0083525D" w:rsidRPr="0083525D" w:rsidRDefault="0083525D" w:rsidP="0083525D">
            <w:pPr>
              <w:widowControl/>
              <w:jc w:val="right"/>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总计</w:t>
            </w:r>
          </w:p>
        </w:tc>
        <w:tc>
          <w:tcPr>
            <w:tcW w:w="521" w:type="dxa"/>
            <w:tcBorders>
              <w:top w:val="nil"/>
              <w:left w:val="nil"/>
              <w:bottom w:val="single" w:sz="8" w:space="0" w:color="auto"/>
              <w:right w:val="single" w:sz="4" w:space="0" w:color="auto"/>
            </w:tcBorders>
            <w:shd w:val="clear" w:color="auto" w:fill="auto"/>
            <w:noWrap/>
            <w:vAlign w:val="center"/>
            <w:hideMark/>
          </w:tcPr>
          <w:p w:rsidR="0083525D" w:rsidRPr="0083525D" w:rsidRDefault="0083525D" w:rsidP="0083525D">
            <w:pPr>
              <w:widowControl/>
              <w:jc w:val="center"/>
              <w:rPr>
                <w:rFonts w:ascii="宋体" w:eastAsia="宋体" w:hAnsi="宋体" w:cs="Arial"/>
                <w:b/>
                <w:bCs/>
                <w:color w:val="000000"/>
                <w:kern w:val="0"/>
                <w:sz w:val="16"/>
                <w:szCs w:val="16"/>
              </w:rPr>
            </w:pPr>
            <w:r w:rsidRPr="0083525D">
              <w:rPr>
                <w:rFonts w:ascii="宋体" w:eastAsia="宋体" w:hAnsi="宋体" w:cs="Arial" w:hint="eastAsia"/>
                <w:b/>
                <w:bCs/>
                <w:color w:val="000000"/>
                <w:kern w:val="0"/>
                <w:sz w:val="16"/>
                <w:szCs w:val="16"/>
              </w:rPr>
              <w:t>58</w:t>
            </w:r>
          </w:p>
        </w:tc>
        <w:tc>
          <w:tcPr>
            <w:tcW w:w="1346" w:type="dxa"/>
            <w:tcBorders>
              <w:top w:val="nil"/>
              <w:left w:val="nil"/>
              <w:bottom w:val="single" w:sz="4" w:space="0" w:color="000000"/>
              <w:right w:val="single" w:sz="4" w:space="0" w:color="000000"/>
            </w:tcBorders>
            <w:shd w:val="clear" w:color="auto" w:fill="auto"/>
            <w:noWrap/>
            <w:vAlign w:val="center"/>
            <w:hideMark/>
          </w:tcPr>
          <w:p w:rsidR="0083525D" w:rsidRPr="008C3F55" w:rsidRDefault="0083525D" w:rsidP="0083525D">
            <w:pPr>
              <w:widowControl/>
              <w:jc w:val="right"/>
              <w:rPr>
                <w:rFonts w:ascii="宋体" w:eastAsia="宋体" w:hAnsi="宋体" w:cs="Arial"/>
                <w:color w:val="000000"/>
                <w:kern w:val="0"/>
                <w:sz w:val="16"/>
                <w:szCs w:val="16"/>
              </w:rPr>
            </w:pPr>
            <w:r w:rsidRPr="008C3F55">
              <w:rPr>
                <w:rFonts w:ascii="宋体" w:eastAsia="宋体" w:hAnsi="宋体" w:cs="Arial" w:hint="eastAsia"/>
                <w:color w:val="000000"/>
                <w:kern w:val="0"/>
                <w:sz w:val="16"/>
                <w:szCs w:val="16"/>
              </w:rPr>
              <w:t>1,725.55</w:t>
            </w:r>
          </w:p>
        </w:tc>
      </w:tr>
      <w:tr w:rsidR="0083525D" w:rsidRPr="0083525D" w:rsidTr="0083525D">
        <w:trPr>
          <w:trHeight w:val="559"/>
        </w:trPr>
        <w:tc>
          <w:tcPr>
            <w:tcW w:w="9740" w:type="dxa"/>
            <w:gridSpan w:val="6"/>
            <w:tcBorders>
              <w:top w:val="nil"/>
              <w:left w:val="nil"/>
              <w:bottom w:val="nil"/>
              <w:right w:val="nil"/>
            </w:tcBorders>
            <w:shd w:val="clear" w:color="auto" w:fill="auto"/>
            <w:noWrap/>
            <w:vAlign w:val="center"/>
            <w:hideMark/>
          </w:tcPr>
          <w:p w:rsidR="0083525D" w:rsidRPr="0083525D" w:rsidRDefault="0083525D" w:rsidP="0083525D">
            <w:pPr>
              <w:widowControl/>
              <w:jc w:val="left"/>
              <w:rPr>
                <w:rFonts w:ascii="宋体" w:eastAsia="宋体" w:hAnsi="宋体" w:cs="Arial"/>
                <w:color w:val="000000"/>
                <w:kern w:val="0"/>
                <w:sz w:val="16"/>
                <w:szCs w:val="16"/>
              </w:rPr>
            </w:pPr>
            <w:r w:rsidRPr="0083525D">
              <w:rPr>
                <w:rFonts w:ascii="宋体" w:eastAsia="宋体" w:hAnsi="宋体" w:cs="Arial" w:hint="eastAsia"/>
                <w:color w:val="000000"/>
                <w:kern w:val="0"/>
                <w:sz w:val="16"/>
                <w:szCs w:val="16"/>
              </w:rPr>
              <w:t>注：本表反映部门本年度的总收支和年末结转结余情况。</w:t>
            </w:r>
          </w:p>
        </w:tc>
      </w:tr>
    </w:tbl>
    <w:p w:rsidR="0083525D" w:rsidRPr="0083525D" w:rsidRDefault="0083525D">
      <w:pPr>
        <w:jc w:val="center"/>
        <w:outlineLvl w:val="0"/>
        <w:rPr>
          <w:rFonts w:ascii="隶书" w:eastAsia="隶书" w:hAnsi="隶书" w:cs="隶书"/>
          <w:sz w:val="48"/>
          <w:szCs w:val="48"/>
        </w:rPr>
      </w:pPr>
    </w:p>
    <w:p w:rsidR="0083525D" w:rsidRDefault="0083525D" w:rsidP="008E4FC1">
      <w:pPr>
        <w:jc w:val="left"/>
        <w:outlineLvl w:val="0"/>
        <w:rPr>
          <w:rFonts w:ascii="隶书" w:eastAsia="隶书" w:hAnsi="隶书" w:cs="隶书"/>
          <w:sz w:val="48"/>
          <w:szCs w:val="48"/>
        </w:rPr>
      </w:pPr>
    </w:p>
    <w:tbl>
      <w:tblPr>
        <w:tblW w:w="11207" w:type="dxa"/>
        <w:tblInd w:w="-734" w:type="dxa"/>
        <w:tblLook w:val="04A0"/>
      </w:tblPr>
      <w:tblGrid>
        <w:gridCol w:w="827"/>
        <w:gridCol w:w="820"/>
        <w:gridCol w:w="1860"/>
        <w:gridCol w:w="1100"/>
        <w:gridCol w:w="1100"/>
        <w:gridCol w:w="1100"/>
        <w:gridCol w:w="1100"/>
        <w:gridCol w:w="1100"/>
        <w:gridCol w:w="1100"/>
        <w:gridCol w:w="230"/>
        <w:gridCol w:w="870"/>
      </w:tblGrid>
      <w:tr w:rsidR="008E4FC1" w:rsidRPr="008E4FC1" w:rsidTr="003227CB">
        <w:trPr>
          <w:gridBefore w:val="1"/>
          <w:wBefore w:w="827" w:type="dxa"/>
          <w:trHeight w:val="375"/>
        </w:trPr>
        <w:tc>
          <w:tcPr>
            <w:tcW w:w="10380" w:type="dxa"/>
            <w:gridSpan w:val="10"/>
            <w:tcBorders>
              <w:top w:val="nil"/>
              <w:left w:val="nil"/>
              <w:bottom w:val="nil"/>
              <w:right w:val="nil"/>
            </w:tcBorders>
            <w:shd w:val="clear" w:color="auto" w:fill="auto"/>
            <w:noWrap/>
            <w:vAlign w:val="center"/>
            <w:hideMark/>
          </w:tcPr>
          <w:p w:rsidR="008E4FC1" w:rsidRPr="008E4FC1" w:rsidRDefault="008E4FC1" w:rsidP="008E4FC1">
            <w:pPr>
              <w:widowControl/>
              <w:jc w:val="center"/>
              <w:rPr>
                <w:rFonts w:ascii="黑体" w:eastAsia="黑体" w:hAnsi="黑体" w:cs="Arial"/>
                <w:color w:val="000000"/>
                <w:kern w:val="0"/>
                <w:sz w:val="28"/>
                <w:szCs w:val="28"/>
              </w:rPr>
            </w:pPr>
            <w:r w:rsidRPr="008E4FC1">
              <w:rPr>
                <w:rFonts w:ascii="黑体" w:eastAsia="黑体" w:hAnsi="黑体" w:cs="Arial" w:hint="eastAsia"/>
                <w:color w:val="000000"/>
                <w:kern w:val="0"/>
                <w:sz w:val="28"/>
                <w:szCs w:val="28"/>
              </w:rPr>
              <w:lastRenderedPageBreak/>
              <w:t>收入决算表</w:t>
            </w:r>
          </w:p>
        </w:tc>
      </w:tr>
      <w:tr w:rsidR="008E4FC1" w:rsidRPr="008E4FC1" w:rsidTr="003227CB">
        <w:trPr>
          <w:gridBefore w:val="1"/>
          <w:wBefore w:w="827" w:type="dxa"/>
          <w:trHeight w:val="255"/>
        </w:trPr>
        <w:tc>
          <w:tcPr>
            <w:tcW w:w="8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860" w:type="dxa"/>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gridSpan w:val="2"/>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公开02表</w:t>
            </w:r>
          </w:p>
        </w:tc>
      </w:tr>
      <w:tr w:rsidR="008E4FC1" w:rsidRPr="008E4FC1" w:rsidTr="003227CB">
        <w:trPr>
          <w:gridBefore w:val="1"/>
          <w:wBefore w:w="827" w:type="dxa"/>
          <w:trHeight w:val="255"/>
        </w:trPr>
        <w:tc>
          <w:tcPr>
            <w:tcW w:w="8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860" w:type="dxa"/>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gridSpan w:val="2"/>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单位：万元</w:t>
            </w:r>
          </w:p>
        </w:tc>
      </w:tr>
      <w:tr w:rsidR="008E4FC1" w:rsidRPr="008E4FC1" w:rsidTr="003227CB">
        <w:trPr>
          <w:gridBefore w:val="1"/>
          <w:wBefore w:w="827" w:type="dxa"/>
          <w:trHeight w:val="255"/>
        </w:trPr>
        <w:tc>
          <w:tcPr>
            <w:tcW w:w="268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项 目</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本年收入合计</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财政拨款收入</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上级补助收入</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事业收入</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经营收入</w:t>
            </w:r>
          </w:p>
        </w:tc>
        <w:tc>
          <w:tcPr>
            <w:tcW w:w="110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附属单位</w:t>
            </w:r>
            <w:r w:rsidRPr="008E4FC1">
              <w:rPr>
                <w:rFonts w:ascii="宋体" w:eastAsia="宋体" w:hAnsi="宋体" w:cs="Arial" w:hint="eastAsia"/>
                <w:b/>
                <w:bCs/>
                <w:color w:val="000000"/>
                <w:kern w:val="0"/>
                <w:sz w:val="16"/>
                <w:szCs w:val="16"/>
              </w:rPr>
              <w:br/>
              <w:t>上缴收入</w:t>
            </w:r>
          </w:p>
        </w:tc>
        <w:tc>
          <w:tcPr>
            <w:tcW w:w="1100" w:type="dxa"/>
            <w:gridSpan w:val="2"/>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其他收入</w:t>
            </w:r>
          </w:p>
        </w:tc>
      </w:tr>
      <w:tr w:rsidR="008E4FC1" w:rsidRPr="008E4FC1" w:rsidTr="003227CB">
        <w:trPr>
          <w:gridBefore w:val="1"/>
          <w:wBefore w:w="827" w:type="dxa"/>
          <w:trHeight w:val="420"/>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功能分类</w:t>
            </w:r>
            <w:r w:rsidRPr="008E4FC1">
              <w:rPr>
                <w:rFonts w:ascii="宋体" w:eastAsia="宋体" w:hAnsi="宋体" w:cs="Arial" w:hint="eastAsia"/>
                <w:b/>
                <w:bCs/>
                <w:color w:val="000000"/>
                <w:kern w:val="0"/>
                <w:sz w:val="16"/>
                <w:szCs w:val="16"/>
              </w:rPr>
              <w:br/>
              <w:t>科目编码</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科目名称</w:t>
            </w: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00" w:type="dxa"/>
            <w:gridSpan w:val="2"/>
            <w:vMerge/>
            <w:tcBorders>
              <w:top w:val="single" w:sz="8" w:space="0" w:color="auto"/>
              <w:left w:val="single" w:sz="4" w:space="0" w:color="auto"/>
              <w:bottom w:val="single" w:sz="4" w:space="0" w:color="auto"/>
              <w:right w:val="single" w:sz="8"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r>
      <w:tr w:rsidR="008E4FC1" w:rsidRPr="008E4FC1" w:rsidTr="003227CB">
        <w:trPr>
          <w:gridBefore w:val="1"/>
          <w:wBefore w:w="827" w:type="dxa"/>
          <w:trHeight w:val="255"/>
        </w:trPr>
        <w:tc>
          <w:tcPr>
            <w:tcW w:w="26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栏次</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1</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4</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5</w:t>
            </w:r>
          </w:p>
        </w:tc>
        <w:tc>
          <w:tcPr>
            <w:tcW w:w="11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6</w:t>
            </w:r>
          </w:p>
        </w:tc>
        <w:tc>
          <w:tcPr>
            <w:tcW w:w="1100" w:type="dxa"/>
            <w:gridSpan w:val="2"/>
            <w:tcBorders>
              <w:top w:val="nil"/>
              <w:left w:val="nil"/>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7</w:t>
            </w:r>
          </w:p>
        </w:tc>
      </w:tr>
      <w:tr w:rsidR="008E4FC1" w:rsidRPr="008E4FC1" w:rsidTr="003227CB">
        <w:trPr>
          <w:gridBefore w:val="1"/>
          <w:wBefore w:w="827" w:type="dxa"/>
          <w:trHeight w:val="255"/>
        </w:trPr>
        <w:tc>
          <w:tcPr>
            <w:tcW w:w="26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合计</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205</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教育支出</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普通教育</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1,705.63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1,705.63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2050201</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学前教育</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180.50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180.50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2050202</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小学教育</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738.95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738.95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2050203</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初中教育</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786.18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786.18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教育费附加安排的支出</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2050901</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农村中小学校舍建设</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420"/>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2050999</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其他教育费附加安排的支出</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3227CB" w:rsidP="008E4FC1">
            <w:pPr>
              <w:widowControl/>
              <w:jc w:val="left"/>
              <w:rPr>
                <w:rFonts w:ascii="宋体" w:eastAsia="宋体" w:hAnsi="宋体" w:cs="Arial"/>
                <w:color w:val="000000"/>
                <w:kern w:val="0"/>
                <w:sz w:val="16"/>
                <w:szCs w:val="16"/>
              </w:rPr>
            </w:pPr>
            <w:r>
              <w:rPr>
                <w:rFonts w:ascii="宋体" w:eastAsia="宋体" w:hAnsi="宋体" w:cs="Arial"/>
                <w:color w:val="000000"/>
                <w:kern w:val="0"/>
                <w:sz w:val="16"/>
                <w:szCs w:val="16"/>
              </w:rPr>
              <w:t>……</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3227CB">
        <w:trPr>
          <w:gridBefore w:val="1"/>
          <w:wBefore w:w="827" w:type="dxa"/>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3227CB" w:rsidP="008E4FC1">
            <w:pPr>
              <w:widowControl/>
              <w:jc w:val="left"/>
              <w:rPr>
                <w:rFonts w:ascii="宋体" w:eastAsia="宋体" w:hAnsi="宋体" w:cs="Arial"/>
                <w:color w:val="000000"/>
                <w:kern w:val="0"/>
                <w:sz w:val="16"/>
                <w:szCs w:val="16"/>
              </w:rPr>
            </w:pPr>
            <w:r>
              <w:rPr>
                <w:rFonts w:ascii="宋体" w:eastAsia="宋体" w:hAnsi="宋体" w:cs="Arial"/>
                <w:color w:val="000000"/>
                <w:kern w:val="0"/>
                <w:sz w:val="16"/>
                <w:szCs w:val="16"/>
              </w:rPr>
              <w:t>……</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0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2617AE" w:rsidTr="003227CB">
        <w:tblPrEx>
          <w:tblCellMar>
            <w:top w:w="15" w:type="dxa"/>
            <w:left w:w="15" w:type="dxa"/>
            <w:bottom w:w="15" w:type="dxa"/>
            <w:right w:w="15" w:type="dxa"/>
          </w:tblCellMar>
          <w:tblLook w:val="00A0"/>
        </w:tblPrEx>
        <w:trPr>
          <w:gridAfter w:val="1"/>
          <w:wAfter w:w="870" w:type="dxa"/>
          <w:trHeight w:val="285"/>
        </w:trPr>
        <w:tc>
          <w:tcPr>
            <w:tcW w:w="10337" w:type="dxa"/>
            <w:gridSpan w:val="10"/>
            <w:vAlign w:val="center"/>
          </w:tcPr>
          <w:p w:rsidR="003227CB" w:rsidRDefault="003227CB" w:rsidP="003227CB">
            <w:pPr>
              <w:widowControl/>
              <w:jc w:val="left"/>
              <w:textAlignment w:val="center"/>
              <w:rPr>
                <w:rFonts w:ascii="宋体" w:cs="宋体"/>
                <w:color w:val="000000"/>
                <w:sz w:val="16"/>
                <w:szCs w:val="16"/>
              </w:rPr>
            </w:pPr>
            <w:r>
              <w:rPr>
                <w:rFonts w:ascii="宋体" w:hAnsi="宋体" w:cs="宋体" w:hint="eastAsia"/>
                <w:color w:val="000000"/>
                <w:kern w:val="0"/>
                <w:sz w:val="16"/>
                <w:szCs w:val="16"/>
              </w:rPr>
              <w:t>注：       注:本表反映部门本年度取得的各项收入情况。</w:t>
            </w:r>
          </w:p>
        </w:tc>
      </w:tr>
    </w:tbl>
    <w:p w:rsidR="008E4FC1" w:rsidRPr="003227CB"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tbl>
      <w:tblPr>
        <w:tblW w:w="9760" w:type="dxa"/>
        <w:tblInd w:w="93" w:type="dxa"/>
        <w:tblLook w:val="04A0"/>
      </w:tblPr>
      <w:tblGrid>
        <w:gridCol w:w="820"/>
        <w:gridCol w:w="1860"/>
        <w:gridCol w:w="1180"/>
        <w:gridCol w:w="1180"/>
        <w:gridCol w:w="1180"/>
        <w:gridCol w:w="1180"/>
        <w:gridCol w:w="1180"/>
        <w:gridCol w:w="1180"/>
      </w:tblGrid>
      <w:tr w:rsidR="008E4FC1" w:rsidRPr="008E4FC1" w:rsidTr="008E4FC1">
        <w:trPr>
          <w:trHeight w:val="375"/>
        </w:trPr>
        <w:tc>
          <w:tcPr>
            <w:tcW w:w="9760" w:type="dxa"/>
            <w:gridSpan w:val="8"/>
            <w:tcBorders>
              <w:top w:val="nil"/>
              <w:left w:val="nil"/>
              <w:bottom w:val="nil"/>
              <w:right w:val="nil"/>
            </w:tcBorders>
            <w:shd w:val="clear" w:color="auto" w:fill="auto"/>
            <w:noWrap/>
            <w:vAlign w:val="center"/>
            <w:hideMark/>
          </w:tcPr>
          <w:p w:rsidR="003227CB" w:rsidRDefault="003227CB" w:rsidP="008E4FC1">
            <w:pPr>
              <w:widowControl/>
              <w:jc w:val="center"/>
              <w:rPr>
                <w:rFonts w:ascii="黑体" w:eastAsia="黑体" w:hAnsi="黑体" w:cs="Arial"/>
                <w:color w:val="000000"/>
                <w:kern w:val="0"/>
                <w:sz w:val="28"/>
                <w:szCs w:val="28"/>
              </w:rPr>
            </w:pPr>
          </w:p>
          <w:p w:rsidR="003227CB" w:rsidRDefault="003227CB" w:rsidP="008E4FC1">
            <w:pPr>
              <w:widowControl/>
              <w:jc w:val="center"/>
              <w:rPr>
                <w:rFonts w:ascii="黑体" w:eastAsia="黑体" w:hAnsi="黑体" w:cs="Arial"/>
                <w:color w:val="000000"/>
                <w:kern w:val="0"/>
                <w:sz w:val="28"/>
                <w:szCs w:val="28"/>
              </w:rPr>
            </w:pPr>
          </w:p>
          <w:p w:rsidR="008E4FC1" w:rsidRPr="008E4FC1" w:rsidRDefault="008E4FC1" w:rsidP="008E4FC1">
            <w:pPr>
              <w:widowControl/>
              <w:jc w:val="center"/>
              <w:rPr>
                <w:rFonts w:ascii="黑体" w:eastAsia="黑体" w:hAnsi="黑体" w:cs="Arial"/>
                <w:color w:val="000000"/>
                <w:kern w:val="0"/>
                <w:sz w:val="28"/>
                <w:szCs w:val="28"/>
              </w:rPr>
            </w:pPr>
            <w:r w:rsidRPr="008E4FC1">
              <w:rPr>
                <w:rFonts w:ascii="黑体" w:eastAsia="黑体" w:hAnsi="黑体" w:cs="Arial" w:hint="eastAsia"/>
                <w:color w:val="000000"/>
                <w:kern w:val="0"/>
                <w:sz w:val="28"/>
                <w:szCs w:val="28"/>
              </w:rPr>
              <w:lastRenderedPageBreak/>
              <w:t>支出决算表</w:t>
            </w:r>
          </w:p>
        </w:tc>
      </w:tr>
      <w:tr w:rsidR="008E4FC1" w:rsidRPr="008E4FC1" w:rsidTr="008E4FC1">
        <w:trPr>
          <w:trHeight w:val="255"/>
        </w:trPr>
        <w:tc>
          <w:tcPr>
            <w:tcW w:w="8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860" w:type="dxa"/>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公开03表</w:t>
            </w:r>
          </w:p>
        </w:tc>
      </w:tr>
      <w:tr w:rsidR="008E4FC1" w:rsidRPr="008E4FC1" w:rsidTr="008E4FC1">
        <w:trPr>
          <w:trHeight w:val="255"/>
        </w:trPr>
        <w:tc>
          <w:tcPr>
            <w:tcW w:w="8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860" w:type="dxa"/>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单位：万元</w:t>
            </w:r>
          </w:p>
        </w:tc>
      </w:tr>
      <w:tr w:rsidR="008E4FC1" w:rsidRPr="008E4FC1" w:rsidTr="008E4FC1">
        <w:trPr>
          <w:trHeight w:val="255"/>
        </w:trPr>
        <w:tc>
          <w:tcPr>
            <w:tcW w:w="268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项　　</w:t>
            </w:r>
            <w:proofErr w:type="gramEnd"/>
            <w:r w:rsidRPr="008E4FC1">
              <w:rPr>
                <w:rFonts w:ascii="宋体" w:eastAsia="宋体" w:hAnsi="宋体" w:cs="Arial" w:hint="eastAsia"/>
                <w:b/>
                <w:bCs/>
                <w:color w:val="000000"/>
                <w:kern w:val="0"/>
                <w:sz w:val="16"/>
                <w:szCs w:val="16"/>
              </w:rPr>
              <w:t>目</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本年支出合计</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基本支出</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项目支出</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上缴上级支出</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经营支出</w:t>
            </w:r>
          </w:p>
        </w:tc>
        <w:tc>
          <w:tcPr>
            <w:tcW w:w="118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对附属单位</w:t>
            </w:r>
            <w:r w:rsidRPr="008E4FC1">
              <w:rPr>
                <w:rFonts w:ascii="宋体" w:eastAsia="宋体" w:hAnsi="宋体" w:cs="Arial" w:hint="eastAsia"/>
                <w:b/>
                <w:bCs/>
                <w:color w:val="000000"/>
                <w:kern w:val="0"/>
                <w:sz w:val="16"/>
                <w:szCs w:val="16"/>
              </w:rPr>
              <w:br/>
              <w:t>补助支出</w:t>
            </w:r>
          </w:p>
        </w:tc>
      </w:tr>
      <w:tr w:rsidR="008E4FC1" w:rsidRPr="008E4FC1" w:rsidTr="008E4FC1">
        <w:trPr>
          <w:trHeight w:val="420"/>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功能分类</w:t>
            </w:r>
            <w:r w:rsidRPr="008E4FC1">
              <w:rPr>
                <w:rFonts w:ascii="宋体" w:eastAsia="宋体" w:hAnsi="宋体" w:cs="Arial" w:hint="eastAsia"/>
                <w:b/>
                <w:bCs/>
                <w:color w:val="000000"/>
                <w:kern w:val="0"/>
                <w:sz w:val="16"/>
                <w:szCs w:val="16"/>
              </w:rPr>
              <w:br/>
              <w:t>科目编码</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科目名称</w:t>
            </w: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1180" w:type="dxa"/>
            <w:vMerge/>
            <w:tcBorders>
              <w:top w:val="single" w:sz="8" w:space="0" w:color="auto"/>
              <w:left w:val="single" w:sz="4" w:space="0" w:color="auto"/>
              <w:bottom w:val="single" w:sz="4" w:space="0" w:color="auto"/>
              <w:right w:val="single" w:sz="8"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r>
      <w:tr w:rsidR="008E4FC1" w:rsidRPr="008E4FC1" w:rsidTr="008E4FC1">
        <w:trPr>
          <w:trHeight w:val="255"/>
        </w:trPr>
        <w:tc>
          <w:tcPr>
            <w:tcW w:w="26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栏次</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1</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4</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5</w:t>
            </w:r>
          </w:p>
        </w:tc>
        <w:tc>
          <w:tcPr>
            <w:tcW w:w="1180" w:type="dxa"/>
            <w:tcBorders>
              <w:top w:val="nil"/>
              <w:left w:val="nil"/>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6</w:t>
            </w:r>
          </w:p>
        </w:tc>
      </w:tr>
      <w:tr w:rsidR="008E4FC1" w:rsidRPr="008E4FC1" w:rsidTr="008E4FC1">
        <w:trPr>
          <w:trHeight w:val="255"/>
        </w:trPr>
        <w:tc>
          <w:tcPr>
            <w:tcW w:w="268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合计</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205</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教育支出</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1,291.14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434.41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普通教育</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1,705.63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1,271.22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434.41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2050201</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学前教育</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180.50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44.07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136.43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2050202</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小学教育</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738.95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597.61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141.34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2050203</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初中教育</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786.18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629.54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156.64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教育费附加安排的支出</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2050901</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农村中小学校舍建设</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420"/>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2050999</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其他教育费附加安排的支出</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3227CB" w:rsidP="008E4FC1">
            <w:pPr>
              <w:widowControl/>
              <w:jc w:val="left"/>
              <w:rPr>
                <w:rFonts w:ascii="宋体" w:eastAsia="宋体" w:hAnsi="宋体" w:cs="Arial"/>
                <w:color w:val="000000"/>
                <w:kern w:val="0"/>
                <w:sz w:val="16"/>
                <w:szCs w:val="16"/>
              </w:rPr>
            </w:pPr>
            <w:r>
              <w:rPr>
                <w:rFonts w:ascii="宋体" w:eastAsia="宋体" w:hAnsi="宋体" w:cs="Arial"/>
                <w:color w:val="000000"/>
                <w:kern w:val="0"/>
                <w:sz w:val="16"/>
                <w:szCs w:val="16"/>
              </w:rPr>
              <w:t>……</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55"/>
        </w:trPr>
        <w:tc>
          <w:tcPr>
            <w:tcW w:w="8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3227CB" w:rsidP="008E4FC1">
            <w:pPr>
              <w:widowControl/>
              <w:jc w:val="left"/>
              <w:rPr>
                <w:rFonts w:ascii="宋体" w:eastAsia="宋体" w:hAnsi="宋体" w:cs="Arial"/>
                <w:color w:val="000000"/>
                <w:kern w:val="0"/>
                <w:sz w:val="16"/>
                <w:szCs w:val="16"/>
              </w:rPr>
            </w:pPr>
            <w:r>
              <w:rPr>
                <w:rFonts w:ascii="宋体" w:eastAsia="宋体" w:hAnsi="宋体" w:cs="Arial"/>
                <w:color w:val="000000"/>
                <w:kern w:val="0"/>
                <w:sz w:val="16"/>
                <w:szCs w:val="16"/>
              </w:rPr>
              <w:t>……</w:t>
            </w:r>
          </w:p>
        </w:tc>
        <w:tc>
          <w:tcPr>
            <w:tcW w:w="18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bl>
    <w:p w:rsidR="008E4FC1" w:rsidRDefault="003227CB" w:rsidP="003227CB">
      <w:pPr>
        <w:jc w:val="left"/>
        <w:outlineLvl w:val="0"/>
        <w:rPr>
          <w:rFonts w:ascii="隶书" w:eastAsia="隶书" w:hAnsi="隶书" w:cs="隶书"/>
          <w:sz w:val="48"/>
          <w:szCs w:val="48"/>
        </w:rPr>
      </w:pPr>
      <w:r>
        <w:rPr>
          <w:rFonts w:ascii="宋体" w:hAnsi="宋体" w:cs="宋体" w:hint="eastAsia"/>
          <w:color w:val="000000"/>
          <w:kern w:val="0"/>
          <w:sz w:val="16"/>
          <w:szCs w:val="16"/>
        </w:rPr>
        <w:t>注：本表反映部门本年度各项支出情况。</w:t>
      </w: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tbl>
      <w:tblPr>
        <w:tblW w:w="10120" w:type="dxa"/>
        <w:tblInd w:w="93" w:type="dxa"/>
        <w:tblLook w:val="04A0"/>
      </w:tblPr>
      <w:tblGrid>
        <w:gridCol w:w="2110"/>
        <w:gridCol w:w="500"/>
        <w:gridCol w:w="1240"/>
        <w:gridCol w:w="2110"/>
        <w:gridCol w:w="500"/>
        <w:gridCol w:w="1240"/>
        <w:gridCol w:w="1180"/>
        <w:gridCol w:w="1240"/>
      </w:tblGrid>
      <w:tr w:rsidR="008E4FC1" w:rsidRPr="008E4FC1" w:rsidTr="008E4FC1">
        <w:trPr>
          <w:trHeight w:val="375"/>
        </w:trPr>
        <w:tc>
          <w:tcPr>
            <w:tcW w:w="10120" w:type="dxa"/>
            <w:gridSpan w:val="8"/>
            <w:tcBorders>
              <w:top w:val="nil"/>
              <w:left w:val="nil"/>
              <w:bottom w:val="nil"/>
              <w:right w:val="nil"/>
            </w:tcBorders>
            <w:shd w:val="clear" w:color="auto" w:fill="auto"/>
            <w:noWrap/>
            <w:vAlign w:val="bottom"/>
            <w:hideMark/>
          </w:tcPr>
          <w:p w:rsidR="003227CB" w:rsidRDefault="003227CB" w:rsidP="008E4FC1">
            <w:pPr>
              <w:widowControl/>
              <w:jc w:val="center"/>
              <w:rPr>
                <w:rFonts w:ascii="黑体" w:eastAsia="黑体" w:hAnsi="黑体" w:cs="Arial"/>
                <w:color w:val="000000"/>
                <w:kern w:val="0"/>
                <w:sz w:val="28"/>
                <w:szCs w:val="28"/>
              </w:rPr>
            </w:pPr>
            <w:bookmarkStart w:id="1" w:name="RANGE!A1:H37"/>
          </w:p>
          <w:p w:rsidR="003227CB" w:rsidRDefault="003227CB" w:rsidP="008E4FC1">
            <w:pPr>
              <w:widowControl/>
              <w:jc w:val="center"/>
              <w:rPr>
                <w:rFonts w:ascii="黑体" w:eastAsia="黑体" w:hAnsi="黑体" w:cs="Arial"/>
                <w:color w:val="000000"/>
                <w:kern w:val="0"/>
                <w:sz w:val="28"/>
                <w:szCs w:val="28"/>
              </w:rPr>
            </w:pPr>
          </w:p>
          <w:p w:rsidR="003227CB" w:rsidRDefault="003227CB" w:rsidP="008E4FC1">
            <w:pPr>
              <w:widowControl/>
              <w:jc w:val="center"/>
              <w:rPr>
                <w:rFonts w:ascii="黑体" w:eastAsia="黑体" w:hAnsi="黑体" w:cs="Arial"/>
                <w:color w:val="000000"/>
                <w:kern w:val="0"/>
                <w:sz w:val="28"/>
                <w:szCs w:val="28"/>
              </w:rPr>
            </w:pPr>
          </w:p>
          <w:p w:rsidR="008E4FC1" w:rsidRPr="008E4FC1" w:rsidRDefault="008E4FC1" w:rsidP="008E4FC1">
            <w:pPr>
              <w:widowControl/>
              <w:jc w:val="center"/>
              <w:rPr>
                <w:rFonts w:ascii="黑体" w:eastAsia="黑体" w:hAnsi="黑体" w:cs="Arial"/>
                <w:color w:val="000000"/>
                <w:kern w:val="0"/>
                <w:sz w:val="28"/>
                <w:szCs w:val="28"/>
              </w:rPr>
            </w:pPr>
            <w:r w:rsidRPr="008E4FC1">
              <w:rPr>
                <w:rFonts w:ascii="黑体" w:eastAsia="黑体" w:hAnsi="黑体" w:cs="Arial" w:hint="eastAsia"/>
                <w:color w:val="000000"/>
                <w:kern w:val="0"/>
                <w:sz w:val="28"/>
                <w:szCs w:val="28"/>
              </w:rPr>
              <w:lastRenderedPageBreak/>
              <w:t>财政拨款收入支出决算表</w:t>
            </w:r>
            <w:bookmarkEnd w:id="1"/>
          </w:p>
        </w:tc>
      </w:tr>
      <w:tr w:rsidR="008E4FC1" w:rsidRPr="008E4FC1" w:rsidTr="008E4FC1">
        <w:trPr>
          <w:trHeight w:val="255"/>
        </w:trPr>
        <w:tc>
          <w:tcPr>
            <w:tcW w:w="211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5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1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5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公开04表</w:t>
            </w:r>
          </w:p>
        </w:tc>
      </w:tr>
      <w:tr w:rsidR="008E4FC1" w:rsidRPr="008E4FC1" w:rsidTr="008E4FC1">
        <w:trPr>
          <w:trHeight w:val="255"/>
        </w:trPr>
        <w:tc>
          <w:tcPr>
            <w:tcW w:w="211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5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1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50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p>
        </w:tc>
        <w:tc>
          <w:tcPr>
            <w:tcW w:w="118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p>
        </w:tc>
        <w:tc>
          <w:tcPr>
            <w:tcW w:w="1240"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单位：万元</w:t>
            </w:r>
          </w:p>
        </w:tc>
      </w:tr>
      <w:tr w:rsidR="008E4FC1" w:rsidRPr="008E4FC1" w:rsidTr="008E4FC1">
        <w:trPr>
          <w:trHeight w:val="297"/>
        </w:trPr>
        <w:tc>
          <w:tcPr>
            <w:tcW w:w="3850" w:type="dxa"/>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收　　</w:t>
            </w:r>
            <w:proofErr w:type="gramEnd"/>
            <w:r w:rsidRPr="008E4FC1">
              <w:rPr>
                <w:rFonts w:ascii="宋体" w:eastAsia="宋体" w:hAnsi="宋体" w:cs="Arial" w:hint="eastAsia"/>
                <w:b/>
                <w:bCs/>
                <w:color w:val="000000"/>
                <w:kern w:val="0"/>
                <w:sz w:val="16"/>
                <w:szCs w:val="16"/>
              </w:rPr>
              <w:t>入</w:t>
            </w:r>
          </w:p>
        </w:tc>
        <w:tc>
          <w:tcPr>
            <w:tcW w:w="6270" w:type="dxa"/>
            <w:gridSpan w:val="5"/>
            <w:tcBorders>
              <w:top w:val="single" w:sz="8" w:space="0" w:color="auto"/>
              <w:left w:val="nil"/>
              <w:bottom w:val="single" w:sz="4" w:space="0" w:color="auto"/>
              <w:right w:val="single" w:sz="8" w:space="0" w:color="000000"/>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支　　</w:t>
            </w:r>
            <w:proofErr w:type="gramEnd"/>
            <w:r w:rsidRPr="008E4FC1">
              <w:rPr>
                <w:rFonts w:ascii="宋体" w:eastAsia="宋体" w:hAnsi="宋体" w:cs="Arial" w:hint="eastAsia"/>
                <w:b/>
                <w:bCs/>
                <w:color w:val="000000"/>
                <w:kern w:val="0"/>
                <w:sz w:val="16"/>
                <w:szCs w:val="16"/>
              </w:rPr>
              <w:t>出</w:t>
            </w:r>
          </w:p>
        </w:tc>
      </w:tr>
      <w:tr w:rsidR="008E4FC1" w:rsidRPr="008E4FC1" w:rsidTr="008E4FC1">
        <w:trPr>
          <w:trHeight w:val="480"/>
        </w:trPr>
        <w:tc>
          <w:tcPr>
            <w:tcW w:w="211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项　　</w:t>
            </w:r>
            <w:proofErr w:type="gramEnd"/>
            <w:r w:rsidRPr="008E4FC1">
              <w:rPr>
                <w:rFonts w:ascii="宋体" w:eastAsia="宋体" w:hAnsi="宋体" w:cs="Arial" w:hint="eastAsia"/>
                <w:b/>
                <w:bCs/>
                <w:color w:val="000000"/>
                <w:kern w:val="0"/>
                <w:sz w:val="16"/>
                <w:szCs w:val="16"/>
              </w:rPr>
              <w:t>目</w:t>
            </w:r>
          </w:p>
        </w:tc>
        <w:tc>
          <w:tcPr>
            <w:tcW w:w="5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行次</w:t>
            </w:r>
          </w:p>
        </w:tc>
        <w:tc>
          <w:tcPr>
            <w:tcW w:w="124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金额</w:t>
            </w:r>
          </w:p>
        </w:tc>
        <w:tc>
          <w:tcPr>
            <w:tcW w:w="211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项　　</w:t>
            </w:r>
            <w:proofErr w:type="gramEnd"/>
            <w:r w:rsidRPr="008E4FC1">
              <w:rPr>
                <w:rFonts w:ascii="宋体" w:eastAsia="宋体" w:hAnsi="宋体" w:cs="Arial" w:hint="eastAsia"/>
                <w:b/>
                <w:bCs/>
                <w:color w:val="000000"/>
                <w:kern w:val="0"/>
                <w:sz w:val="16"/>
                <w:szCs w:val="16"/>
              </w:rPr>
              <w:t>目</w:t>
            </w:r>
          </w:p>
        </w:tc>
        <w:tc>
          <w:tcPr>
            <w:tcW w:w="50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行次</w:t>
            </w:r>
          </w:p>
        </w:tc>
        <w:tc>
          <w:tcPr>
            <w:tcW w:w="124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合计</w:t>
            </w:r>
          </w:p>
        </w:tc>
        <w:tc>
          <w:tcPr>
            <w:tcW w:w="118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一般公共预算财政拨款</w:t>
            </w:r>
          </w:p>
        </w:tc>
        <w:tc>
          <w:tcPr>
            <w:tcW w:w="1240" w:type="dxa"/>
            <w:tcBorders>
              <w:top w:val="nil"/>
              <w:left w:val="nil"/>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政府性基金预算财政拨款</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proofErr w:type="gramStart"/>
            <w:r w:rsidRPr="008E4FC1">
              <w:rPr>
                <w:rFonts w:ascii="宋体" w:eastAsia="宋体" w:hAnsi="宋体" w:cs="Arial" w:hint="eastAsia"/>
                <w:b/>
                <w:bCs/>
                <w:color w:val="000000"/>
                <w:kern w:val="0"/>
                <w:sz w:val="16"/>
                <w:szCs w:val="16"/>
              </w:rPr>
              <w:t xml:space="preserve">栏　　</w:t>
            </w:r>
            <w:proofErr w:type="gramEnd"/>
            <w:r w:rsidRPr="008E4FC1">
              <w:rPr>
                <w:rFonts w:ascii="宋体" w:eastAsia="宋体" w:hAnsi="宋体" w:cs="Arial" w:hint="eastAsia"/>
                <w:b/>
                <w:bCs/>
                <w:color w:val="000000"/>
                <w:kern w:val="0"/>
                <w:sz w:val="16"/>
                <w:szCs w:val="16"/>
              </w:rPr>
              <w:t>次</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1</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栏    次</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4</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一、一般公共预算财政拨款</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一、一般公共服务支出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二、政府性基金预算财政拨款</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二、外交支出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三、国防支出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四、公共安全支出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五、教育支出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六、科学技术支出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七、文化体育与传媒支出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八、社会保障和就业支出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九、医疗卫生与计划生育支出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10</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十、节能环保支出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40</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十一、城乡社区支出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十二、农林水支出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十三、交通运输支出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十四、资源勘探信息等支出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十五、商业服务业等支出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十六、金融支出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十七、援助其他地区支出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十八、国土海洋气象等支出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19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十九、住房保障支出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49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二十、粮油物资储备支出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50</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二十一、其他支出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51</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二十二、债务还本支出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52</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二十三、债务付息支出</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53</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54</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本年收入合计</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本年支出合计</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55</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年初财政拨款结转和结余</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年末财政拨款结转和结余</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56</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一般公共预算财政拨款</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57</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Pr>
                <w:rFonts w:ascii="宋体" w:eastAsia="宋体" w:hAnsi="宋体" w:cs="Arial" w:hint="eastAsia"/>
                <w:color w:val="000000"/>
                <w:kern w:val="0"/>
                <w:sz w:val="16"/>
                <w:szCs w:val="16"/>
              </w:rPr>
              <w:t xml:space="preserve"> </w:t>
            </w:r>
            <w:r w:rsidRPr="008E4FC1">
              <w:rPr>
                <w:rFonts w:ascii="宋体" w:eastAsia="宋体" w:hAnsi="宋体" w:cs="Arial" w:hint="eastAsia"/>
                <w:color w:val="000000"/>
                <w:kern w:val="0"/>
                <w:sz w:val="16"/>
                <w:szCs w:val="16"/>
              </w:rPr>
              <w:t>政府性基金预算财政拨款</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58</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1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59</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240"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297"/>
        </w:trPr>
        <w:tc>
          <w:tcPr>
            <w:tcW w:w="2110" w:type="dxa"/>
            <w:tcBorders>
              <w:top w:val="nil"/>
              <w:left w:val="single" w:sz="8" w:space="0" w:color="auto"/>
              <w:bottom w:val="single" w:sz="8"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总计</w:t>
            </w:r>
          </w:p>
        </w:tc>
        <w:tc>
          <w:tcPr>
            <w:tcW w:w="50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30</w:t>
            </w:r>
          </w:p>
        </w:tc>
        <w:tc>
          <w:tcPr>
            <w:tcW w:w="124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211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总计</w:t>
            </w:r>
          </w:p>
        </w:tc>
        <w:tc>
          <w:tcPr>
            <w:tcW w:w="50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60</w:t>
            </w:r>
          </w:p>
        </w:tc>
        <w:tc>
          <w:tcPr>
            <w:tcW w:w="124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1,725.55 </w:t>
            </w:r>
          </w:p>
        </w:tc>
        <w:tc>
          <w:tcPr>
            <w:tcW w:w="1240" w:type="dxa"/>
            <w:tcBorders>
              <w:top w:val="nil"/>
              <w:left w:val="nil"/>
              <w:bottom w:val="single" w:sz="8"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8E4FC1">
        <w:trPr>
          <w:trHeight w:val="499"/>
        </w:trPr>
        <w:tc>
          <w:tcPr>
            <w:tcW w:w="10120" w:type="dxa"/>
            <w:gridSpan w:val="8"/>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注：本表反映部门本年度一般公共预算财政拨款和政府性基金预算财政拨款的总收支和年末结转结余情况。             </w:t>
            </w:r>
          </w:p>
        </w:tc>
      </w:tr>
    </w:tbl>
    <w:p w:rsidR="008E4FC1" w:rsidRDefault="008E4FC1">
      <w:pPr>
        <w:jc w:val="center"/>
        <w:outlineLvl w:val="0"/>
        <w:rPr>
          <w:rFonts w:ascii="隶书" w:eastAsia="隶书" w:hAnsi="隶书" w:cs="隶书"/>
          <w:sz w:val="48"/>
          <w:szCs w:val="48"/>
        </w:rPr>
      </w:pPr>
    </w:p>
    <w:tbl>
      <w:tblPr>
        <w:tblW w:w="10736" w:type="dxa"/>
        <w:tblInd w:w="-803" w:type="dxa"/>
        <w:tblLook w:val="04A0"/>
      </w:tblPr>
      <w:tblGrid>
        <w:gridCol w:w="896"/>
        <w:gridCol w:w="1120"/>
        <w:gridCol w:w="2180"/>
        <w:gridCol w:w="2180"/>
        <w:gridCol w:w="2180"/>
        <w:gridCol w:w="1929"/>
        <w:gridCol w:w="251"/>
      </w:tblGrid>
      <w:tr w:rsidR="008E4FC1" w:rsidRPr="008E4FC1" w:rsidTr="003227CB">
        <w:trPr>
          <w:gridBefore w:val="1"/>
          <w:wBefore w:w="896" w:type="dxa"/>
          <w:trHeight w:val="375"/>
        </w:trPr>
        <w:tc>
          <w:tcPr>
            <w:tcW w:w="9840" w:type="dxa"/>
            <w:gridSpan w:val="6"/>
            <w:tcBorders>
              <w:top w:val="nil"/>
              <w:left w:val="nil"/>
              <w:bottom w:val="nil"/>
              <w:right w:val="nil"/>
            </w:tcBorders>
            <w:shd w:val="clear" w:color="auto" w:fill="auto"/>
            <w:noWrap/>
            <w:vAlign w:val="bottom"/>
            <w:hideMark/>
          </w:tcPr>
          <w:p w:rsidR="008E4FC1" w:rsidRPr="008E4FC1" w:rsidRDefault="008E4FC1" w:rsidP="008E4FC1">
            <w:pPr>
              <w:widowControl/>
              <w:jc w:val="center"/>
              <w:rPr>
                <w:rFonts w:ascii="黑体" w:eastAsia="黑体" w:hAnsi="黑体" w:cs="Arial"/>
                <w:color w:val="000000"/>
                <w:kern w:val="0"/>
                <w:sz w:val="28"/>
                <w:szCs w:val="28"/>
              </w:rPr>
            </w:pPr>
            <w:r w:rsidRPr="008E4FC1">
              <w:rPr>
                <w:rFonts w:ascii="黑体" w:eastAsia="黑体" w:hAnsi="黑体" w:cs="Arial" w:hint="eastAsia"/>
                <w:color w:val="000000"/>
                <w:kern w:val="0"/>
                <w:sz w:val="28"/>
                <w:szCs w:val="28"/>
              </w:rPr>
              <w:t>一般公共预算财政拨款支出决算表</w:t>
            </w:r>
          </w:p>
        </w:tc>
      </w:tr>
      <w:tr w:rsidR="008E4FC1" w:rsidRPr="008E4FC1" w:rsidTr="003227CB">
        <w:trPr>
          <w:gridBefore w:val="1"/>
          <w:wBefore w:w="896" w:type="dxa"/>
          <w:trHeight w:val="255"/>
        </w:trPr>
        <w:tc>
          <w:tcPr>
            <w:tcW w:w="11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gridSpan w:val="2"/>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公开05表</w:t>
            </w:r>
          </w:p>
        </w:tc>
      </w:tr>
      <w:tr w:rsidR="008E4FC1" w:rsidRPr="008E4FC1" w:rsidTr="003227CB">
        <w:trPr>
          <w:gridBefore w:val="1"/>
          <w:wBefore w:w="896" w:type="dxa"/>
          <w:trHeight w:val="255"/>
        </w:trPr>
        <w:tc>
          <w:tcPr>
            <w:tcW w:w="11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180" w:type="dxa"/>
            <w:gridSpan w:val="2"/>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单位：万元</w:t>
            </w:r>
          </w:p>
        </w:tc>
      </w:tr>
      <w:tr w:rsidR="008E4FC1" w:rsidRPr="008E4FC1" w:rsidTr="003227CB">
        <w:trPr>
          <w:gridBefore w:val="1"/>
          <w:wBefore w:w="896" w:type="dxa"/>
          <w:trHeight w:val="255"/>
        </w:trPr>
        <w:tc>
          <w:tcPr>
            <w:tcW w:w="330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项目</w:t>
            </w:r>
          </w:p>
        </w:tc>
        <w:tc>
          <w:tcPr>
            <w:tcW w:w="2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本年支出合计</w:t>
            </w:r>
          </w:p>
        </w:tc>
        <w:tc>
          <w:tcPr>
            <w:tcW w:w="2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基本支出</w:t>
            </w:r>
          </w:p>
        </w:tc>
        <w:tc>
          <w:tcPr>
            <w:tcW w:w="2180" w:type="dxa"/>
            <w:gridSpan w:val="2"/>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项目支出</w:t>
            </w:r>
          </w:p>
        </w:tc>
      </w:tr>
      <w:tr w:rsidR="008E4FC1" w:rsidRPr="008E4FC1" w:rsidTr="003227CB">
        <w:trPr>
          <w:gridBefore w:val="1"/>
          <w:wBefore w:w="896" w:type="dxa"/>
          <w:trHeight w:val="42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功能分类</w:t>
            </w:r>
            <w:r w:rsidRPr="008E4FC1">
              <w:rPr>
                <w:rFonts w:ascii="宋体" w:eastAsia="宋体" w:hAnsi="宋体" w:cs="Arial" w:hint="eastAsia"/>
                <w:b/>
                <w:bCs/>
                <w:color w:val="000000"/>
                <w:kern w:val="0"/>
                <w:sz w:val="16"/>
                <w:szCs w:val="16"/>
              </w:rPr>
              <w:br/>
              <w:t>科目编码</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科目名称</w:t>
            </w:r>
          </w:p>
        </w:tc>
        <w:tc>
          <w:tcPr>
            <w:tcW w:w="2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2180" w:type="dxa"/>
            <w:vMerge/>
            <w:tcBorders>
              <w:top w:val="single" w:sz="8" w:space="0" w:color="auto"/>
              <w:left w:val="single" w:sz="4" w:space="0" w:color="auto"/>
              <w:bottom w:val="single" w:sz="4" w:space="0" w:color="auto"/>
              <w:right w:val="single" w:sz="4"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c>
          <w:tcPr>
            <w:tcW w:w="2180" w:type="dxa"/>
            <w:gridSpan w:val="2"/>
            <w:vMerge/>
            <w:tcBorders>
              <w:top w:val="single" w:sz="8" w:space="0" w:color="auto"/>
              <w:left w:val="single" w:sz="4" w:space="0" w:color="auto"/>
              <w:bottom w:val="single" w:sz="4" w:space="0" w:color="auto"/>
              <w:right w:val="single" w:sz="8" w:space="0" w:color="auto"/>
            </w:tcBorders>
            <w:vAlign w:val="center"/>
            <w:hideMark/>
          </w:tcPr>
          <w:p w:rsidR="008E4FC1" w:rsidRPr="008E4FC1" w:rsidRDefault="008E4FC1" w:rsidP="008E4FC1">
            <w:pPr>
              <w:widowControl/>
              <w:jc w:val="left"/>
              <w:rPr>
                <w:rFonts w:ascii="宋体" w:eastAsia="宋体" w:hAnsi="宋体" w:cs="Arial"/>
                <w:b/>
                <w:bCs/>
                <w:color w:val="000000"/>
                <w:kern w:val="0"/>
                <w:sz w:val="16"/>
                <w:szCs w:val="16"/>
              </w:rPr>
            </w:pPr>
          </w:p>
        </w:tc>
      </w:tr>
      <w:tr w:rsidR="008E4FC1" w:rsidRPr="008E4FC1" w:rsidTr="003227CB">
        <w:trPr>
          <w:gridBefore w:val="1"/>
          <w:wBefore w:w="896" w:type="dxa"/>
          <w:trHeight w:val="255"/>
        </w:trPr>
        <w:tc>
          <w:tcPr>
            <w:tcW w:w="33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栏次</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1</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w:t>
            </w:r>
          </w:p>
        </w:tc>
      </w:tr>
      <w:tr w:rsidR="008E4FC1" w:rsidRPr="008E4FC1" w:rsidTr="003227CB">
        <w:trPr>
          <w:gridBefore w:val="1"/>
          <w:wBefore w:w="896" w:type="dxa"/>
          <w:trHeight w:val="255"/>
        </w:trPr>
        <w:tc>
          <w:tcPr>
            <w:tcW w:w="33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合计</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205</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教育支出</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1,725.55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1,291.14 </w:t>
            </w:r>
          </w:p>
        </w:tc>
        <w:tc>
          <w:tcPr>
            <w:tcW w:w="2180" w:type="dxa"/>
            <w:gridSpan w:val="2"/>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434.41 </w:t>
            </w:r>
          </w:p>
        </w:tc>
      </w:tr>
      <w:tr w:rsidR="008E4FC1"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普通教育</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1,705.63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1,271.22 </w:t>
            </w:r>
          </w:p>
        </w:tc>
        <w:tc>
          <w:tcPr>
            <w:tcW w:w="2180" w:type="dxa"/>
            <w:gridSpan w:val="2"/>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434.41 </w:t>
            </w:r>
          </w:p>
        </w:tc>
      </w:tr>
      <w:tr w:rsidR="008E4FC1"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2050201</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学前教育</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180.50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44.07 </w:t>
            </w:r>
          </w:p>
        </w:tc>
        <w:tc>
          <w:tcPr>
            <w:tcW w:w="2180" w:type="dxa"/>
            <w:gridSpan w:val="2"/>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136.43 </w:t>
            </w:r>
          </w:p>
        </w:tc>
      </w:tr>
      <w:tr w:rsidR="008E4FC1"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2050202</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小学教育</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738.95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597.61 </w:t>
            </w:r>
          </w:p>
        </w:tc>
        <w:tc>
          <w:tcPr>
            <w:tcW w:w="2180" w:type="dxa"/>
            <w:gridSpan w:val="2"/>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141.34 </w:t>
            </w:r>
          </w:p>
        </w:tc>
      </w:tr>
      <w:tr w:rsidR="008E4FC1"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2050203</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初中教育</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786.18 </w:t>
            </w:r>
          </w:p>
        </w:tc>
        <w:tc>
          <w:tcPr>
            <w:tcW w:w="218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629.54 </w:t>
            </w:r>
          </w:p>
        </w:tc>
        <w:tc>
          <w:tcPr>
            <w:tcW w:w="2180" w:type="dxa"/>
            <w:gridSpan w:val="2"/>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156.64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教育费附加安排的支出</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19.92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2050901</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农村中小学校舍建设</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2.90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2050999</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其他教育费附加安排的支出</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3227CB">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17.02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r>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hideMark/>
          </w:tcPr>
          <w:p w:rsidR="003227CB" w:rsidRDefault="003227CB">
            <w:r w:rsidRPr="000D17E9">
              <w:rPr>
                <w:rFonts w:ascii="宋体" w:eastAsia="宋体" w:hAnsi="宋体" w:cs="Arial" w:hint="eastAsia"/>
                <w:color w:val="000000"/>
                <w:kern w:val="0"/>
                <w:sz w:val="16"/>
                <w:szCs w:val="16"/>
              </w:rPr>
              <w:t>……</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8E4FC1" w:rsidTr="003227CB">
        <w:trPr>
          <w:gridBefore w:val="1"/>
          <w:wBefore w:w="896" w:type="dxa"/>
          <w:trHeight w:val="25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left"/>
              <w:rPr>
                <w:rFonts w:ascii="宋体" w:eastAsia="宋体" w:hAnsi="宋体" w:cs="Arial"/>
                <w:color w:val="000000"/>
                <w:kern w:val="0"/>
                <w:sz w:val="16"/>
                <w:szCs w:val="16"/>
              </w:rPr>
            </w:pP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tcBorders>
              <w:top w:val="nil"/>
              <w:left w:val="nil"/>
              <w:bottom w:val="single" w:sz="4" w:space="0" w:color="auto"/>
              <w:right w:val="single" w:sz="4"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180" w:type="dxa"/>
            <w:gridSpan w:val="2"/>
            <w:tcBorders>
              <w:top w:val="nil"/>
              <w:left w:val="nil"/>
              <w:bottom w:val="single" w:sz="4" w:space="0" w:color="auto"/>
              <w:right w:val="single" w:sz="8" w:space="0" w:color="auto"/>
            </w:tcBorders>
            <w:shd w:val="clear" w:color="auto" w:fill="auto"/>
            <w:noWrap/>
            <w:vAlign w:val="center"/>
            <w:hideMark/>
          </w:tcPr>
          <w:p w:rsidR="003227CB" w:rsidRPr="008E4FC1" w:rsidRDefault="003227CB"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3227CB" w:rsidRPr="002617AE" w:rsidTr="003227CB">
        <w:tblPrEx>
          <w:tblCellMar>
            <w:top w:w="15" w:type="dxa"/>
            <w:left w:w="15" w:type="dxa"/>
            <w:bottom w:w="15" w:type="dxa"/>
            <w:right w:w="15" w:type="dxa"/>
          </w:tblCellMar>
          <w:tblLook w:val="00A0"/>
        </w:tblPrEx>
        <w:trPr>
          <w:gridAfter w:val="1"/>
          <w:wAfter w:w="251" w:type="dxa"/>
          <w:trHeight w:val="477"/>
        </w:trPr>
        <w:tc>
          <w:tcPr>
            <w:tcW w:w="10485" w:type="dxa"/>
            <w:gridSpan w:val="6"/>
            <w:vAlign w:val="center"/>
          </w:tcPr>
          <w:p w:rsidR="003227CB" w:rsidRDefault="003227CB" w:rsidP="003227CB">
            <w:pPr>
              <w:widowControl/>
              <w:jc w:val="left"/>
              <w:textAlignment w:val="center"/>
              <w:rPr>
                <w:rFonts w:ascii="宋体" w:cs="宋体"/>
                <w:color w:val="000000"/>
                <w:sz w:val="16"/>
                <w:szCs w:val="16"/>
              </w:rPr>
            </w:pPr>
            <w:r>
              <w:rPr>
                <w:rFonts w:ascii="宋体" w:hAnsi="宋体" w:cs="宋体" w:hint="eastAsia"/>
                <w:color w:val="000000"/>
                <w:kern w:val="0"/>
                <w:sz w:val="16"/>
                <w:szCs w:val="16"/>
              </w:rPr>
              <w:t>注：        注：本表反映部门本年度一般公共预算财政拨款基本支出明细情况。</w:t>
            </w:r>
          </w:p>
        </w:tc>
      </w:tr>
    </w:tbl>
    <w:p w:rsidR="008E4FC1" w:rsidRPr="003227CB" w:rsidRDefault="008E4FC1" w:rsidP="003227CB">
      <w:pPr>
        <w:jc w:val="left"/>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pPr>
        <w:jc w:val="center"/>
        <w:outlineLvl w:val="0"/>
        <w:rPr>
          <w:rFonts w:ascii="隶书" w:eastAsia="隶书" w:hAnsi="隶书" w:cs="隶书"/>
          <w:sz w:val="48"/>
          <w:szCs w:val="48"/>
        </w:rPr>
      </w:pPr>
    </w:p>
    <w:p w:rsidR="008E4FC1" w:rsidRDefault="008E4FC1" w:rsidP="003227CB">
      <w:pPr>
        <w:outlineLvl w:val="0"/>
        <w:rPr>
          <w:rFonts w:ascii="隶书" w:eastAsia="隶书" w:hAnsi="隶书" w:cs="隶书"/>
          <w:sz w:val="48"/>
          <w:szCs w:val="48"/>
        </w:rPr>
      </w:pPr>
    </w:p>
    <w:tbl>
      <w:tblPr>
        <w:tblW w:w="10121" w:type="dxa"/>
        <w:tblInd w:w="93" w:type="dxa"/>
        <w:tblLook w:val="04A0"/>
      </w:tblPr>
      <w:tblGrid>
        <w:gridCol w:w="920"/>
        <w:gridCol w:w="2430"/>
        <w:gridCol w:w="1960"/>
        <w:gridCol w:w="920"/>
        <w:gridCol w:w="1950"/>
        <w:gridCol w:w="1941"/>
      </w:tblGrid>
      <w:tr w:rsidR="008E4FC1" w:rsidRPr="008E4FC1" w:rsidTr="008E4FC1">
        <w:trPr>
          <w:trHeight w:val="375"/>
        </w:trPr>
        <w:tc>
          <w:tcPr>
            <w:tcW w:w="10121" w:type="dxa"/>
            <w:gridSpan w:val="6"/>
            <w:tcBorders>
              <w:top w:val="nil"/>
              <w:left w:val="nil"/>
              <w:bottom w:val="nil"/>
              <w:right w:val="nil"/>
            </w:tcBorders>
            <w:shd w:val="clear" w:color="auto" w:fill="auto"/>
            <w:noWrap/>
            <w:vAlign w:val="bottom"/>
            <w:hideMark/>
          </w:tcPr>
          <w:p w:rsidR="008E4FC1" w:rsidRPr="008E4FC1" w:rsidRDefault="008E4FC1" w:rsidP="008E4FC1">
            <w:pPr>
              <w:widowControl/>
              <w:jc w:val="center"/>
              <w:rPr>
                <w:rFonts w:ascii="黑体" w:eastAsia="黑体" w:hAnsi="黑体" w:cs="Arial"/>
                <w:color w:val="000000"/>
                <w:kern w:val="0"/>
                <w:sz w:val="28"/>
                <w:szCs w:val="28"/>
              </w:rPr>
            </w:pPr>
            <w:bookmarkStart w:id="2" w:name="RANGE!A1:F60"/>
            <w:r w:rsidRPr="008E4FC1">
              <w:rPr>
                <w:rFonts w:ascii="黑体" w:eastAsia="黑体" w:hAnsi="黑体" w:cs="Arial" w:hint="eastAsia"/>
                <w:color w:val="000000"/>
                <w:kern w:val="0"/>
                <w:sz w:val="28"/>
                <w:szCs w:val="28"/>
              </w:rPr>
              <w:lastRenderedPageBreak/>
              <w:t>一般公共预算财政拨款基本支出决算表</w:t>
            </w:r>
            <w:bookmarkEnd w:id="2"/>
          </w:p>
        </w:tc>
      </w:tr>
      <w:tr w:rsidR="008E4FC1" w:rsidRPr="008E4FC1" w:rsidTr="008E4FC1">
        <w:trPr>
          <w:trHeight w:val="255"/>
        </w:trPr>
        <w:tc>
          <w:tcPr>
            <w:tcW w:w="9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43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6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9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5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41"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公开06表</w:t>
            </w:r>
          </w:p>
        </w:tc>
      </w:tr>
      <w:tr w:rsidR="008E4FC1" w:rsidRPr="008E4FC1" w:rsidTr="008E4FC1">
        <w:trPr>
          <w:trHeight w:val="255"/>
        </w:trPr>
        <w:tc>
          <w:tcPr>
            <w:tcW w:w="9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243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6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92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50" w:type="dxa"/>
            <w:tcBorders>
              <w:top w:val="nil"/>
              <w:left w:val="nil"/>
              <w:bottom w:val="nil"/>
              <w:right w:val="nil"/>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p>
        </w:tc>
        <w:tc>
          <w:tcPr>
            <w:tcW w:w="1941" w:type="dxa"/>
            <w:tcBorders>
              <w:top w:val="nil"/>
              <w:left w:val="nil"/>
              <w:bottom w:val="nil"/>
              <w:right w:val="nil"/>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单位：万元</w:t>
            </w:r>
          </w:p>
        </w:tc>
      </w:tr>
      <w:tr w:rsidR="008E4FC1" w:rsidRPr="008E4FC1" w:rsidTr="008E4FC1">
        <w:trPr>
          <w:trHeight w:val="300"/>
        </w:trPr>
        <w:tc>
          <w:tcPr>
            <w:tcW w:w="5310"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人员经费</w:t>
            </w:r>
          </w:p>
        </w:tc>
        <w:tc>
          <w:tcPr>
            <w:tcW w:w="4811" w:type="dxa"/>
            <w:gridSpan w:val="3"/>
            <w:tcBorders>
              <w:top w:val="single" w:sz="8" w:space="0" w:color="auto"/>
              <w:left w:val="nil"/>
              <w:bottom w:val="single" w:sz="4" w:space="0" w:color="auto"/>
              <w:right w:val="single" w:sz="8" w:space="0" w:color="000000"/>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公用经费</w:t>
            </w:r>
          </w:p>
        </w:tc>
      </w:tr>
      <w:tr w:rsidR="008E4FC1" w:rsidRPr="008E4FC1" w:rsidTr="008E4FC1">
        <w:trPr>
          <w:trHeight w:val="600"/>
        </w:trPr>
        <w:tc>
          <w:tcPr>
            <w:tcW w:w="920" w:type="dxa"/>
            <w:tcBorders>
              <w:top w:val="nil"/>
              <w:left w:val="single" w:sz="8" w:space="0" w:color="auto"/>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经济分类科目编码</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科目名称</w:t>
            </w:r>
          </w:p>
        </w:tc>
        <w:tc>
          <w:tcPr>
            <w:tcW w:w="196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金额</w:t>
            </w:r>
          </w:p>
        </w:tc>
        <w:tc>
          <w:tcPr>
            <w:tcW w:w="920" w:type="dxa"/>
            <w:tcBorders>
              <w:top w:val="nil"/>
              <w:left w:val="nil"/>
              <w:bottom w:val="single" w:sz="4" w:space="0" w:color="auto"/>
              <w:right w:val="single" w:sz="4"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经济分类科目编码</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科目名称</w:t>
            </w:r>
          </w:p>
        </w:tc>
        <w:tc>
          <w:tcPr>
            <w:tcW w:w="1941" w:type="dxa"/>
            <w:tcBorders>
              <w:top w:val="nil"/>
              <w:left w:val="nil"/>
              <w:bottom w:val="single" w:sz="4" w:space="0" w:color="auto"/>
              <w:right w:val="single" w:sz="8" w:space="0" w:color="auto"/>
            </w:tcBorders>
            <w:shd w:val="clear" w:color="auto" w:fill="auto"/>
            <w:vAlign w:val="center"/>
            <w:hideMark/>
          </w:tcPr>
          <w:p w:rsidR="008E4FC1" w:rsidRPr="008E4FC1" w:rsidRDefault="008E4FC1" w:rsidP="008E4FC1">
            <w:pPr>
              <w:widowControl/>
              <w:jc w:val="center"/>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金额</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301</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工资福利支出</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474.53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302</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商品和服务支出</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508.59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30101</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基本工资</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245.64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办公费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295.95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30102</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津贴补贴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73.56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30202</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印刷费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30103</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奖金</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30203</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咨询费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30104</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其他社会保障缴费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23.01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30204</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手续费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0.03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30106</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伙食补助费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30205</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水费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8.21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30107</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绩效工资</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132.31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30206</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电费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13.05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30108</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机关事业单位基本养老保险缴费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30207</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邮电费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5.78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30109</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职业年金缴费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30208</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取暖费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13.11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30199</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其他工资福利支出</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30209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物业管理费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14.27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303</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对个人和家庭的补助</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308.02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差旅费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11.29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30301</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离休费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30212</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因公出国(境)费用 </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30302</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退休费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207.89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30213</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维修(护)费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29.24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30303</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退职(役)费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30214</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租赁费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4.64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30304</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抚恤金</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24.28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30215</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会议费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30305</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生活补助</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6.14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30216</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培训费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27.07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30306</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救济费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30217</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公务接待费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30307</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医疗费</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30218</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专用材料费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30308</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助学金</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43.34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30224</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被装购置费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30309</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奖励金</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30225</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专用燃料费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30310</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生产补贴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30226</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劳务费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25.93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30311</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住房公积金</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26.37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30227</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委托业务费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30312</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提租补贴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30228</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工会经费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30313</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购房补贴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福利费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30314</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采暖补贴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30231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公务用车运行维护费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30315</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物业服务补贴</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30239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其他交通费用</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30399</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其他对个人和家庭的补助支出</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30240</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税金及附加费用</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30299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其他商品和服务支出</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30224</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被装购置费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30225</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专用燃料费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30226</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劳务费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30227</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委托业务费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30228</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工会经费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lastRenderedPageBreak/>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30229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福利费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30231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公务用车运行维护费</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30239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其他交通费用</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30240</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税金及附加费用</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30299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其他商品和服务支出</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310</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其他资本性支出</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b/>
                <w:bCs/>
                <w:color w:val="000000"/>
                <w:kern w:val="0"/>
                <w:sz w:val="16"/>
                <w:szCs w:val="16"/>
              </w:rPr>
            </w:pPr>
            <w:r w:rsidRPr="008E4FC1">
              <w:rPr>
                <w:rFonts w:ascii="宋体" w:eastAsia="宋体" w:hAnsi="宋体" w:cs="Arial" w:hint="eastAsia"/>
                <w:b/>
                <w:bCs/>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房屋建筑物购建</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31002</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办公设备购置</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31003</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专用设备购置</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31005</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基础设施建设</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31006</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大型修缮</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31007</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信息网络及软件购置更新</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31008</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物资储备</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31009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土地补偿</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31010</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安置补助</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31011</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地上附着物和青苗补偿</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31012</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拆迁补偿</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31013</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公务用车购置</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31019</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其他交通工具购置</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31020</w:t>
            </w:r>
          </w:p>
        </w:tc>
        <w:tc>
          <w:tcPr>
            <w:tcW w:w="1950" w:type="dxa"/>
            <w:tcBorders>
              <w:top w:val="nil"/>
              <w:left w:val="nil"/>
              <w:bottom w:val="single" w:sz="4"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产权参股</w:t>
            </w:r>
          </w:p>
        </w:tc>
        <w:tc>
          <w:tcPr>
            <w:tcW w:w="1941" w:type="dxa"/>
            <w:tcBorders>
              <w:top w:val="nil"/>
              <w:left w:val="nil"/>
              <w:bottom w:val="single" w:sz="4"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300"/>
        </w:trPr>
        <w:tc>
          <w:tcPr>
            <w:tcW w:w="920" w:type="dxa"/>
            <w:tcBorders>
              <w:top w:val="nil"/>
              <w:left w:val="single" w:sz="8" w:space="0" w:color="auto"/>
              <w:bottom w:val="single" w:sz="8"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243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196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c>
          <w:tcPr>
            <w:tcW w:w="92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31099</w:t>
            </w:r>
          </w:p>
        </w:tc>
        <w:tc>
          <w:tcPr>
            <w:tcW w:w="1950" w:type="dxa"/>
            <w:tcBorders>
              <w:top w:val="nil"/>
              <w:left w:val="nil"/>
              <w:bottom w:val="single" w:sz="8" w:space="0" w:color="auto"/>
              <w:right w:val="single" w:sz="4" w:space="0" w:color="auto"/>
            </w:tcBorders>
            <w:shd w:val="clear" w:color="auto" w:fill="auto"/>
            <w:noWrap/>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其他资本性支出</w:t>
            </w:r>
          </w:p>
        </w:tc>
        <w:tc>
          <w:tcPr>
            <w:tcW w:w="1941" w:type="dxa"/>
            <w:tcBorders>
              <w:top w:val="nil"/>
              <w:left w:val="nil"/>
              <w:bottom w:val="single" w:sz="8" w:space="0" w:color="auto"/>
              <w:right w:val="single" w:sz="8" w:space="0" w:color="auto"/>
            </w:tcBorders>
            <w:shd w:val="clear" w:color="auto" w:fill="auto"/>
            <w:noWrap/>
            <w:vAlign w:val="center"/>
            <w:hideMark/>
          </w:tcPr>
          <w:p w:rsidR="008E4FC1" w:rsidRPr="008E4FC1" w:rsidRDefault="008E4FC1" w:rsidP="008E4FC1">
            <w:pPr>
              <w:widowControl/>
              <w:jc w:val="righ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　</w:t>
            </w:r>
          </w:p>
        </w:tc>
      </w:tr>
      <w:tr w:rsidR="008E4FC1" w:rsidRPr="008E4FC1" w:rsidTr="008E4FC1">
        <w:trPr>
          <w:trHeight w:val="882"/>
        </w:trPr>
        <w:tc>
          <w:tcPr>
            <w:tcW w:w="10121" w:type="dxa"/>
            <w:gridSpan w:val="6"/>
            <w:tcBorders>
              <w:top w:val="nil"/>
              <w:left w:val="nil"/>
              <w:bottom w:val="nil"/>
              <w:right w:val="nil"/>
            </w:tcBorders>
            <w:shd w:val="clear" w:color="auto" w:fill="auto"/>
            <w:vAlign w:val="center"/>
            <w:hideMark/>
          </w:tcPr>
          <w:p w:rsidR="008E4FC1" w:rsidRPr="008E4FC1" w:rsidRDefault="008E4FC1" w:rsidP="008E4FC1">
            <w:pPr>
              <w:widowControl/>
              <w:jc w:val="left"/>
              <w:rPr>
                <w:rFonts w:ascii="宋体" w:eastAsia="宋体" w:hAnsi="宋体" w:cs="Arial"/>
                <w:color w:val="000000"/>
                <w:kern w:val="0"/>
                <w:sz w:val="16"/>
                <w:szCs w:val="16"/>
              </w:rPr>
            </w:pPr>
            <w:r w:rsidRPr="008E4FC1">
              <w:rPr>
                <w:rFonts w:ascii="宋体" w:eastAsia="宋体" w:hAnsi="宋体" w:cs="Arial" w:hint="eastAsia"/>
                <w:color w:val="000000"/>
                <w:kern w:val="0"/>
                <w:sz w:val="16"/>
                <w:szCs w:val="16"/>
              </w:rPr>
              <w:t xml:space="preserve">注：本表反映部门本年度一般公共预算财政拨款基本支出明细情况。    </w:t>
            </w:r>
          </w:p>
        </w:tc>
      </w:tr>
    </w:tbl>
    <w:p w:rsidR="00F27BAC" w:rsidRDefault="00F27BAC" w:rsidP="00497FF0">
      <w:pPr>
        <w:widowControl/>
        <w:rPr>
          <w:rFonts w:ascii="黑体" w:eastAsia="黑体" w:hAnsi="黑体" w:cs="Arial"/>
          <w:color w:val="000000"/>
          <w:kern w:val="0"/>
          <w:sz w:val="28"/>
          <w:szCs w:val="28"/>
        </w:rPr>
        <w:sectPr w:rsidR="00F27BAC" w:rsidSect="008E4FC1">
          <w:pgSz w:w="11906" w:h="16838"/>
          <w:pgMar w:top="1440" w:right="1531" w:bottom="1440" w:left="567" w:header="851" w:footer="992" w:gutter="0"/>
          <w:pgNumType w:fmt="numberInDash"/>
          <w:cols w:space="0"/>
          <w:docGrid w:type="lines" w:linePitch="317"/>
        </w:sectPr>
      </w:pPr>
      <w:bookmarkStart w:id="3" w:name="RANGE!A1:L9"/>
    </w:p>
    <w:tbl>
      <w:tblPr>
        <w:tblpPr w:leftFromText="180" w:rightFromText="180" w:horzAnchor="margin" w:tblpY="990"/>
        <w:tblW w:w="10500"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87239F" w:rsidRPr="002617AE" w:rsidTr="0087239F">
        <w:trPr>
          <w:trHeight w:val="375"/>
        </w:trPr>
        <w:tc>
          <w:tcPr>
            <w:tcW w:w="10500" w:type="dxa"/>
            <w:gridSpan w:val="12"/>
            <w:vAlign w:val="bottom"/>
          </w:tcPr>
          <w:bookmarkEnd w:id="3"/>
          <w:p w:rsidR="0087239F" w:rsidRDefault="0087239F" w:rsidP="0087239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7239F" w:rsidRPr="002617AE" w:rsidTr="0087239F">
        <w:trPr>
          <w:trHeight w:val="285"/>
        </w:trPr>
        <w:tc>
          <w:tcPr>
            <w:tcW w:w="1591" w:type="dxa"/>
            <w:gridSpan w:val="2"/>
            <w:vAlign w:val="center"/>
          </w:tcPr>
          <w:p w:rsidR="0087239F" w:rsidRDefault="0087239F" w:rsidP="0087239F">
            <w:pPr>
              <w:rPr>
                <w:rFonts w:ascii="宋体" w:cs="宋体"/>
                <w:color w:val="000000"/>
                <w:sz w:val="16"/>
                <w:szCs w:val="16"/>
              </w:rPr>
            </w:pPr>
          </w:p>
        </w:tc>
        <w:tc>
          <w:tcPr>
            <w:tcW w:w="1436" w:type="dxa"/>
            <w:vAlign w:val="center"/>
          </w:tcPr>
          <w:p w:rsidR="0087239F" w:rsidRDefault="0087239F" w:rsidP="0087239F">
            <w:pPr>
              <w:rPr>
                <w:rFonts w:ascii="宋体" w:cs="宋体"/>
                <w:color w:val="000000"/>
                <w:sz w:val="16"/>
                <w:szCs w:val="16"/>
              </w:rPr>
            </w:pPr>
          </w:p>
        </w:tc>
        <w:tc>
          <w:tcPr>
            <w:tcW w:w="1166" w:type="dxa"/>
            <w:vAlign w:val="center"/>
          </w:tcPr>
          <w:p w:rsidR="0087239F" w:rsidRDefault="0087239F" w:rsidP="0087239F">
            <w:pPr>
              <w:rPr>
                <w:rFonts w:ascii="宋体" w:cs="宋体"/>
                <w:color w:val="000000"/>
                <w:sz w:val="16"/>
                <w:szCs w:val="16"/>
              </w:rPr>
            </w:pPr>
          </w:p>
        </w:tc>
        <w:tc>
          <w:tcPr>
            <w:tcW w:w="1297" w:type="dxa"/>
            <w:gridSpan w:val="2"/>
            <w:vAlign w:val="center"/>
          </w:tcPr>
          <w:p w:rsidR="0087239F" w:rsidRDefault="0087239F" w:rsidP="0087239F">
            <w:pPr>
              <w:rPr>
                <w:rFonts w:ascii="宋体" w:cs="宋体"/>
                <w:color w:val="000000"/>
                <w:sz w:val="16"/>
                <w:szCs w:val="16"/>
              </w:rPr>
            </w:pPr>
          </w:p>
        </w:tc>
        <w:tc>
          <w:tcPr>
            <w:tcW w:w="751" w:type="dxa"/>
            <w:vAlign w:val="center"/>
          </w:tcPr>
          <w:p w:rsidR="0087239F" w:rsidRDefault="0087239F" w:rsidP="0087239F">
            <w:pPr>
              <w:rPr>
                <w:rFonts w:ascii="宋体" w:cs="宋体"/>
                <w:color w:val="000000"/>
                <w:sz w:val="16"/>
                <w:szCs w:val="16"/>
              </w:rPr>
            </w:pPr>
          </w:p>
        </w:tc>
        <w:tc>
          <w:tcPr>
            <w:tcW w:w="999" w:type="dxa"/>
            <w:gridSpan w:val="2"/>
            <w:vAlign w:val="center"/>
          </w:tcPr>
          <w:p w:rsidR="0087239F" w:rsidRDefault="0087239F" w:rsidP="0087239F">
            <w:pPr>
              <w:rPr>
                <w:rFonts w:ascii="宋体" w:cs="宋体"/>
                <w:color w:val="000000"/>
                <w:sz w:val="16"/>
                <w:szCs w:val="16"/>
              </w:rPr>
            </w:pPr>
          </w:p>
        </w:tc>
        <w:tc>
          <w:tcPr>
            <w:tcW w:w="2000" w:type="dxa"/>
            <w:gridSpan w:val="2"/>
            <w:vAlign w:val="center"/>
          </w:tcPr>
          <w:p w:rsidR="0087239F" w:rsidRDefault="0087239F" w:rsidP="0087239F">
            <w:pPr>
              <w:rPr>
                <w:rFonts w:ascii="宋体" w:cs="宋体"/>
                <w:color w:val="000000"/>
                <w:sz w:val="16"/>
                <w:szCs w:val="16"/>
              </w:rPr>
            </w:pPr>
          </w:p>
        </w:tc>
        <w:tc>
          <w:tcPr>
            <w:tcW w:w="1260" w:type="dxa"/>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87239F" w:rsidRPr="002617AE" w:rsidTr="0087239F">
        <w:trPr>
          <w:trHeight w:val="270"/>
        </w:trPr>
        <w:tc>
          <w:tcPr>
            <w:tcW w:w="1591" w:type="dxa"/>
            <w:gridSpan w:val="2"/>
            <w:vAlign w:val="center"/>
          </w:tcPr>
          <w:p w:rsidR="0087239F" w:rsidRDefault="0087239F" w:rsidP="0087239F">
            <w:pPr>
              <w:rPr>
                <w:rFonts w:ascii="宋体" w:cs="宋体"/>
                <w:color w:val="000000"/>
                <w:sz w:val="16"/>
                <w:szCs w:val="16"/>
              </w:rPr>
            </w:pPr>
          </w:p>
        </w:tc>
        <w:tc>
          <w:tcPr>
            <w:tcW w:w="1436" w:type="dxa"/>
            <w:vAlign w:val="center"/>
          </w:tcPr>
          <w:p w:rsidR="0087239F" w:rsidRDefault="0087239F" w:rsidP="0087239F">
            <w:pPr>
              <w:rPr>
                <w:rFonts w:ascii="宋体" w:cs="宋体"/>
                <w:color w:val="000000"/>
                <w:sz w:val="16"/>
                <w:szCs w:val="16"/>
              </w:rPr>
            </w:pPr>
          </w:p>
        </w:tc>
        <w:tc>
          <w:tcPr>
            <w:tcW w:w="1166" w:type="dxa"/>
            <w:vAlign w:val="center"/>
          </w:tcPr>
          <w:p w:rsidR="0087239F" w:rsidRDefault="0087239F" w:rsidP="0087239F">
            <w:pPr>
              <w:rPr>
                <w:rFonts w:ascii="宋体" w:cs="宋体"/>
                <w:color w:val="000000"/>
                <w:sz w:val="16"/>
                <w:szCs w:val="16"/>
              </w:rPr>
            </w:pPr>
          </w:p>
        </w:tc>
        <w:tc>
          <w:tcPr>
            <w:tcW w:w="1297" w:type="dxa"/>
            <w:gridSpan w:val="2"/>
            <w:vAlign w:val="center"/>
          </w:tcPr>
          <w:p w:rsidR="0087239F" w:rsidRDefault="0087239F" w:rsidP="0087239F">
            <w:pPr>
              <w:rPr>
                <w:rFonts w:ascii="宋体" w:cs="宋体"/>
                <w:color w:val="000000"/>
                <w:sz w:val="16"/>
                <w:szCs w:val="16"/>
              </w:rPr>
            </w:pPr>
          </w:p>
        </w:tc>
        <w:tc>
          <w:tcPr>
            <w:tcW w:w="751" w:type="dxa"/>
            <w:vAlign w:val="center"/>
          </w:tcPr>
          <w:p w:rsidR="0087239F" w:rsidRDefault="0087239F" w:rsidP="0087239F">
            <w:pPr>
              <w:rPr>
                <w:rFonts w:ascii="宋体" w:cs="宋体"/>
                <w:color w:val="000000"/>
                <w:sz w:val="16"/>
                <w:szCs w:val="16"/>
              </w:rPr>
            </w:pPr>
          </w:p>
        </w:tc>
        <w:tc>
          <w:tcPr>
            <w:tcW w:w="999" w:type="dxa"/>
            <w:gridSpan w:val="2"/>
            <w:vAlign w:val="center"/>
          </w:tcPr>
          <w:p w:rsidR="0087239F" w:rsidRDefault="0087239F" w:rsidP="0087239F">
            <w:pPr>
              <w:rPr>
                <w:rFonts w:ascii="宋体" w:cs="宋体"/>
                <w:color w:val="000000"/>
                <w:sz w:val="16"/>
                <w:szCs w:val="16"/>
              </w:rPr>
            </w:pPr>
          </w:p>
        </w:tc>
        <w:tc>
          <w:tcPr>
            <w:tcW w:w="2000" w:type="dxa"/>
            <w:gridSpan w:val="2"/>
            <w:vAlign w:val="center"/>
          </w:tcPr>
          <w:p w:rsidR="0087239F" w:rsidRDefault="0087239F" w:rsidP="0087239F">
            <w:pPr>
              <w:rPr>
                <w:rFonts w:ascii="宋体" w:cs="宋体"/>
                <w:color w:val="000000"/>
                <w:sz w:val="16"/>
                <w:szCs w:val="16"/>
              </w:rPr>
            </w:pPr>
          </w:p>
        </w:tc>
        <w:tc>
          <w:tcPr>
            <w:tcW w:w="1260" w:type="dxa"/>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7239F" w:rsidRPr="002617AE" w:rsidTr="0087239F">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87239F" w:rsidRPr="002617AE" w:rsidTr="008723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87239F" w:rsidRDefault="0087239F" w:rsidP="0087239F">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87239F" w:rsidRDefault="0087239F" w:rsidP="0087239F">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87239F" w:rsidRDefault="0087239F" w:rsidP="0087239F">
            <w:pPr>
              <w:jc w:val="center"/>
              <w:rPr>
                <w:rFonts w:ascii="宋体" w:cs="宋体"/>
                <w:b/>
                <w:color w:val="000000"/>
                <w:sz w:val="16"/>
                <w:szCs w:val="16"/>
              </w:rPr>
            </w:pPr>
          </w:p>
        </w:tc>
      </w:tr>
      <w:tr w:rsidR="0087239F" w:rsidRPr="002617AE" w:rsidTr="0087239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87239F" w:rsidRPr="002617AE" w:rsidTr="0087239F">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87239F" w:rsidRPr="002617AE" w:rsidTr="008723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r>
      <w:tr w:rsidR="0087239F" w:rsidRPr="002617AE" w:rsidTr="0087239F">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7239F" w:rsidRDefault="0087239F" w:rsidP="0087239F">
            <w:pPr>
              <w:widowControl/>
              <w:jc w:val="right"/>
              <w:textAlignment w:val="center"/>
              <w:rPr>
                <w:rFonts w:ascii="宋体" w:cs="宋体"/>
                <w:color w:val="000000"/>
                <w:kern w:val="0"/>
                <w:sz w:val="16"/>
                <w:szCs w:val="16"/>
              </w:rPr>
            </w:pPr>
          </w:p>
        </w:tc>
      </w:tr>
      <w:tr w:rsidR="0087239F" w:rsidRPr="002617AE" w:rsidTr="0087239F">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87239F" w:rsidRDefault="0087239F" w:rsidP="0087239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87239F" w:rsidRDefault="0087239F" w:rsidP="0087239F">
            <w:pPr>
              <w:widowControl/>
              <w:jc w:val="right"/>
              <w:textAlignment w:val="center"/>
              <w:rPr>
                <w:rFonts w:ascii="宋体" w:cs="宋体"/>
                <w:color w:val="000000"/>
                <w:sz w:val="16"/>
                <w:szCs w:val="16"/>
              </w:rPr>
            </w:pPr>
          </w:p>
        </w:tc>
      </w:tr>
      <w:tr w:rsidR="0087239F" w:rsidRPr="002617AE" w:rsidTr="0087239F">
        <w:trPr>
          <w:trHeight w:val="285"/>
        </w:trPr>
        <w:tc>
          <w:tcPr>
            <w:tcW w:w="10500" w:type="dxa"/>
            <w:gridSpan w:val="12"/>
            <w:vAlign w:val="center"/>
          </w:tcPr>
          <w:p w:rsidR="0087239F" w:rsidRDefault="0087239F" w:rsidP="0087239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F27BAC" w:rsidRPr="0087239F" w:rsidRDefault="00F27BAC" w:rsidP="00497FF0">
      <w:pPr>
        <w:outlineLvl w:val="0"/>
        <w:rPr>
          <w:rFonts w:ascii="隶书" w:eastAsia="隶书" w:hAnsi="隶书" w:cs="隶书"/>
          <w:sz w:val="48"/>
          <w:szCs w:val="48"/>
        </w:rPr>
      </w:pPr>
    </w:p>
    <w:p w:rsidR="00F27BAC" w:rsidRDefault="00F27BAC">
      <w:pPr>
        <w:jc w:val="center"/>
        <w:outlineLvl w:val="0"/>
        <w:rPr>
          <w:rFonts w:ascii="隶书" w:eastAsia="隶书" w:hAnsi="隶书" w:cs="隶书"/>
          <w:sz w:val="48"/>
          <w:szCs w:val="48"/>
        </w:rPr>
      </w:pPr>
    </w:p>
    <w:p w:rsidR="00F27BAC" w:rsidRDefault="00F27BAC">
      <w:pPr>
        <w:jc w:val="center"/>
        <w:outlineLvl w:val="0"/>
        <w:rPr>
          <w:rFonts w:ascii="隶书" w:eastAsia="隶书" w:hAnsi="隶书" w:cs="隶书"/>
          <w:sz w:val="48"/>
          <w:szCs w:val="48"/>
        </w:rPr>
      </w:pPr>
    </w:p>
    <w:p w:rsidR="00F27BAC" w:rsidRDefault="00F27BAC">
      <w:pPr>
        <w:jc w:val="center"/>
        <w:outlineLvl w:val="0"/>
        <w:rPr>
          <w:rFonts w:ascii="隶书" w:eastAsia="隶书" w:hAnsi="隶书" w:cs="隶书"/>
          <w:sz w:val="48"/>
          <w:szCs w:val="48"/>
        </w:rPr>
      </w:pPr>
    </w:p>
    <w:p w:rsidR="00F27BAC" w:rsidRDefault="00F27BAC">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87239F" w:rsidRDefault="0087239F">
      <w:pPr>
        <w:jc w:val="center"/>
        <w:outlineLvl w:val="0"/>
        <w:rPr>
          <w:rFonts w:ascii="隶书" w:eastAsia="隶书" w:hAnsi="隶书" w:cs="隶书"/>
          <w:sz w:val="48"/>
          <w:szCs w:val="48"/>
        </w:rPr>
      </w:pPr>
    </w:p>
    <w:p w:rsidR="00614281" w:rsidRDefault="00D61D56">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614281" w:rsidRDefault="001A76FE">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w:t>
      </w:r>
      <w:r w:rsidR="00F27BAC">
        <w:rPr>
          <w:rFonts w:ascii="隶书" w:eastAsia="隶书" w:hAnsi="隶书" w:cs="隶书" w:hint="eastAsia"/>
          <w:sz w:val="48"/>
          <w:szCs w:val="48"/>
        </w:rPr>
        <w:t>司寨乡</w:t>
      </w:r>
      <w:proofErr w:type="gramEnd"/>
      <w:r w:rsidR="00F27BAC">
        <w:rPr>
          <w:rFonts w:ascii="隶书" w:eastAsia="隶书" w:hAnsi="隶书" w:cs="隶书" w:hint="eastAsia"/>
          <w:sz w:val="48"/>
          <w:szCs w:val="48"/>
        </w:rPr>
        <w:t>中心学校</w:t>
      </w:r>
    </w:p>
    <w:p w:rsidR="00614281" w:rsidRDefault="00D61D56">
      <w:pPr>
        <w:jc w:val="center"/>
        <w:rPr>
          <w:rFonts w:ascii="隶书" w:eastAsia="隶书" w:hAnsi="隶书" w:cs="隶书"/>
          <w:sz w:val="48"/>
          <w:szCs w:val="48"/>
        </w:rPr>
        <w:sectPr w:rsidR="00614281" w:rsidSect="008E4FC1">
          <w:pgSz w:w="11906" w:h="16838"/>
          <w:pgMar w:top="1440" w:right="1531" w:bottom="1440" w:left="567" w:header="851" w:footer="992" w:gutter="0"/>
          <w:pgNumType w:fmt="numberInDash"/>
          <w:cols w:space="0"/>
          <w:docGrid w:type="lines" w:linePitch="317"/>
        </w:sectPr>
      </w:pPr>
      <w:r>
        <w:rPr>
          <w:rFonts w:ascii="隶书" w:eastAsia="隶书" w:hAnsi="隶书" w:cs="隶书" w:hint="eastAsia"/>
          <w:sz w:val="48"/>
          <w:szCs w:val="48"/>
        </w:rPr>
        <w:t>2016年度部门决算情况说明</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614281" w:rsidRDefault="00D61D56" w:rsidP="001B6AB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F27BAC">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万元，支出总计</w:t>
      </w:r>
      <w:r w:rsidR="00F27BAC">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万元，与2015年相比，收、支总计各增加</w:t>
      </w:r>
      <w:r w:rsidR="001B6AB7">
        <w:rPr>
          <w:rFonts w:ascii="仿宋_GB2312" w:eastAsia="仿宋_GB2312" w:hAnsi="宋体" w:cs="Courier New" w:hint="eastAsia"/>
          <w:sz w:val="32"/>
          <w:szCs w:val="32"/>
        </w:rPr>
        <w:t>287.03</w:t>
      </w:r>
      <w:r>
        <w:rPr>
          <w:rFonts w:ascii="仿宋_GB2312" w:eastAsia="仿宋_GB2312" w:hAnsi="宋体" w:cs="Courier New" w:hint="eastAsia"/>
          <w:sz w:val="32"/>
          <w:szCs w:val="32"/>
        </w:rPr>
        <w:t>万元，增长</w:t>
      </w:r>
      <w:r w:rsidR="001B6AB7">
        <w:rPr>
          <w:rFonts w:ascii="仿宋_GB2312" w:eastAsia="仿宋_GB2312" w:hAnsi="宋体" w:cs="Courier New" w:hint="eastAsia"/>
          <w:sz w:val="32"/>
          <w:szCs w:val="32"/>
        </w:rPr>
        <w:t>19.95</w:t>
      </w:r>
      <w:r>
        <w:rPr>
          <w:rFonts w:ascii="仿宋_GB2312" w:eastAsia="仿宋_GB2312" w:hAnsi="宋体" w:cs="Courier New" w:hint="eastAsia"/>
          <w:sz w:val="32"/>
          <w:szCs w:val="32"/>
        </w:rPr>
        <w:t>%。</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614281" w:rsidRDefault="00D61D56">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1B6AB7">
        <w:rPr>
          <w:rFonts w:ascii="仿宋_GB2312" w:eastAsia="仿宋_GB2312" w:hAnsi="宋体" w:cs="Courier New" w:hint="eastAsia"/>
          <w:sz w:val="32"/>
          <w:szCs w:val="32"/>
        </w:rPr>
        <w:t>1725.55</w:t>
      </w:r>
      <w:r>
        <w:rPr>
          <w:rFonts w:ascii="仿宋_GB2312" w:eastAsia="仿宋_GB2312" w:hAnsi="Times New Roman" w:hint="eastAsia"/>
          <w:sz w:val="32"/>
          <w:szCs w:val="32"/>
        </w:rPr>
        <w:t>万元，</w:t>
      </w:r>
      <w:r w:rsidR="001B6AB7">
        <w:rPr>
          <w:rFonts w:ascii="仿宋_GB2312" w:eastAsia="仿宋_GB2312" w:hAnsi="Times New Roman" w:hint="eastAsia"/>
          <w:sz w:val="32"/>
          <w:szCs w:val="32"/>
        </w:rPr>
        <w:t>全部是</w:t>
      </w:r>
      <w:r>
        <w:rPr>
          <w:rFonts w:ascii="仿宋_GB2312" w:eastAsia="仿宋_GB2312" w:hAnsi="Times New Roman" w:hint="eastAsia"/>
          <w:sz w:val="32"/>
          <w:szCs w:val="32"/>
        </w:rPr>
        <w:t>财政拨款收入</w:t>
      </w:r>
      <w:r w:rsidR="001B6AB7">
        <w:rPr>
          <w:rFonts w:ascii="仿宋_GB2312" w:eastAsia="仿宋_GB2312" w:hAnsi="宋体" w:cs="Courier New" w:hint="eastAsia"/>
          <w:sz w:val="32"/>
          <w:szCs w:val="32"/>
        </w:rPr>
        <w:t>1725.55</w:t>
      </w:r>
      <w:r>
        <w:rPr>
          <w:rFonts w:ascii="仿宋_GB2312" w:eastAsia="仿宋_GB2312" w:hAnsi="Times New Roman" w:hint="eastAsia"/>
          <w:sz w:val="32"/>
          <w:szCs w:val="32"/>
        </w:rPr>
        <w:t>万元，占</w:t>
      </w:r>
      <w:r w:rsidR="001B6AB7">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w:t>
      </w:r>
      <w:r w:rsidR="001B6AB7">
        <w:rPr>
          <w:rFonts w:ascii="仿宋_GB2312" w:eastAsia="仿宋_GB2312" w:hAnsi="Times New Roman"/>
          <w:sz w:val="32"/>
          <w:szCs w:val="32"/>
        </w:rPr>
        <w:t xml:space="preserve"> </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614281" w:rsidRDefault="00D61D5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万元，其中：基本支出</w:t>
      </w:r>
      <w:r w:rsidR="001B6AB7">
        <w:rPr>
          <w:rFonts w:ascii="仿宋_GB2312" w:eastAsia="仿宋_GB2312" w:hAnsi="宋体" w:cs="Courier New" w:hint="eastAsia"/>
          <w:sz w:val="32"/>
          <w:szCs w:val="32"/>
        </w:rPr>
        <w:t>1291.14</w:t>
      </w:r>
      <w:r>
        <w:rPr>
          <w:rFonts w:ascii="仿宋_GB2312" w:eastAsia="仿宋_GB2312" w:hAnsi="宋体" w:cs="Courier New" w:hint="eastAsia"/>
          <w:sz w:val="32"/>
          <w:szCs w:val="32"/>
        </w:rPr>
        <w:t>万元，占</w:t>
      </w:r>
      <w:r w:rsidR="001B6AB7">
        <w:rPr>
          <w:rFonts w:ascii="仿宋_GB2312" w:eastAsia="仿宋_GB2312" w:hAnsi="宋体" w:cs="Courier New" w:hint="eastAsia"/>
          <w:sz w:val="32"/>
          <w:szCs w:val="32"/>
        </w:rPr>
        <w:t>74.82</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sidR="001B6AB7">
        <w:rPr>
          <w:rFonts w:ascii="仿宋_GB2312" w:eastAsia="仿宋_GB2312" w:hAnsi="宋体" w:cs="Courier New" w:hint="eastAsia"/>
          <w:sz w:val="32"/>
          <w:szCs w:val="32"/>
        </w:rPr>
        <w:t>434.41</w:t>
      </w:r>
      <w:r>
        <w:rPr>
          <w:rFonts w:ascii="仿宋_GB2312" w:eastAsia="仿宋_GB2312" w:hAnsi="宋体" w:cs="Courier New" w:hint="eastAsia"/>
          <w:sz w:val="32"/>
          <w:szCs w:val="32"/>
        </w:rPr>
        <w:t>万元，占</w:t>
      </w:r>
      <w:r w:rsidR="001B6AB7">
        <w:rPr>
          <w:rFonts w:ascii="仿宋_GB2312" w:eastAsia="仿宋_GB2312" w:hAnsi="宋体" w:cs="Courier New" w:hint="eastAsia"/>
          <w:sz w:val="32"/>
          <w:szCs w:val="32"/>
        </w:rPr>
        <w:t>25.18</w:t>
      </w:r>
      <w:r>
        <w:rPr>
          <w:rFonts w:ascii="仿宋_GB2312" w:eastAsia="仿宋_GB2312" w:hAnsi="宋体" w:cs="Courier New" w:hint="eastAsia"/>
          <w:sz w:val="32"/>
          <w:szCs w:val="32"/>
        </w:rPr>
        <w:t>%</w:t>
      </w:r>
      <w:r w:rsidR="001B6AB7">
        <w:rPr>
          <w:rFonts w:ascii="仿宋_GB2312" w:eastAsia="仿宋_GB2312" w:hAnsi="宋体" w:cs="Courier New" w:hint="eastAsia"/>
          <w:sz w:val="32"/>
          <w:szCs w:val="32"/>
        </w:rPr>
        <w:t>。</w:t>
      </w:r>
      <w:r w:rsidR="001B6AB7">
        <w:rPr>
          <w:rFonts w:ascii="仿宋_GB2312" w:eastAsia="仿宋_GB2312" w:hAnsi="宋体" w:cs="Courier New"/>
          <w:sz w:val="32"/>
          <w:szCs w:val="32"/>
        </w:rPr>
        <w:t xml:space="preserve"> </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614281" w:rsidRDefault="00D61D5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万元。与2015年相比，财政拨款收、支总计各增加</w:t>
      </w:r>
      <w:r w:rsidR="001B6AB7">
        <w:rPr>
          <w:rFonts w:ascii="仿宋_GB2312" w:eastAsia="仿宋_GB2312" w:hAnsi="宋体" w:cs="Courier New" w:hint="eastAsia"/>
          <w:sz w:val="32"/>
          <w:szCs w:val="32"/>
        </w:rPr>
        <w:t>287.03</w:t>
      </w:r>
      <w:r>
        <w:rPr>
          <w:rFonts w:ascii="仿宋_GB2312" w:eastAsia="仿宋_GB2312" w:hAnsi="宋体" w:cs="Courier New" w:hint="eastAsia"/>
          <w:sz w:val="32"/>
          <w:szCs w:val="32"/>
        </w:rPr>
        <w:t>万元，增长</w:t>
      </w:r>
      <w:r w:rsidR="001B6AB7">
        <w:rPr>
          <w:rFonts w:ascii="仿宋_GB2312" w:eastAsia="仿宋_GB2312" w:hAnsi="宋体" w:cs="Courier New" w:hint="eastAsia"/>
          <w:sz w:val="32"/>
          <w:szCs w:val="32"/>
        </w:rPr>
        <w:t>19.95</w:t>
      </w:r>
      <w:r>
        <w:rPr>
          <w:rFonts w:ascii="仿宋_GB2312" w:eastAsia="仿宋_GB2312" w:hAnsi="宋体" w:cs="Courier New" w:hint="eastAsia"/>
          <w:sz w:val="32"/>
          <w:szCs w:val="32"/>
        </w:rPr>
        <w:t>%。</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614281" w:rsidRDefault="00D61D56">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614281" w:rsidRDefault="00D61D5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万元，占支出合计的</w:t>
      </w:r>
      <w:r w:rsidR="001B6AB7">
        <w:rPr>
          <w:rFonts w:ascii="仿宋_GB2312" w:eastAsia="仿宋_GB2312" w:hAnsi="宋体" w:cs="Courier New" w:hint="eastAsia"/>
          <w:sz w:val="32"/>
          <w:szCs w:val="32"/>
        </w:rPr>
        <w:t>100</w:t>
      </w:r>
      <w:r>
        <w:rPr>
          <w:rFonts w:ascii="仿宋_GB2312" w:eastAsia="仿宋_GB2312" w:hAnsi="宋体" w:cs="Courier New" w:hint="eastAsia"/>
          <w:sz w:val="32"/>
          <w:szCs w:val="32"/>
        </w:rPr>
        <w:t>%。与2015年相比，一般公共预算财政拨款支出增加</w:t>
      </w:r>
      <w:r w:rsidR="001B6AB7">
        <w:rPr>
          <w:rFonts w:ascii="仿宋_GB2312" w:eastAsia="仿宋_GB2312" w:hAnsi="宋体" w:cs="Courier New" w:hint="eastAsia"/>
          <w:sz w:val="32"/>
          <w:szCs w:val="32"/>
        </w:rPr>
        <w:t>287.03</w:t>
      </w:r>
      <w:r>
        <w:rPr>
          <w:rFonts w:ascii="仿宋_GB2312" w:eastAsia="仿宋_GB2312" w:hAnsi="宋体" w:cs="Courier New" w:hint="eastAsia"/>
          <w:sz w:val="32"/>
          <w:szCs w:val="32"/>
        </w:rPr>
        <w:t>万元，增长</w:t>
      </w:r>
      <w:r w:rsidR="001B6AB7">
        <w:rPr>
          <w:rFonts w:ascii="仿宋_GB2312" w:eastAsia="仿宋_GB2312" w:hAnsi="宋体" w:cs="Courier New" w:hint="eastAsia"/>
          <w:sz w:val="32"/>
          <w:szCs w:val="32"/>
        </w:rPr>
        <w:t>19.95</w:t>
      </w:r>
      <w:r>
        <w:rPr>
          <w:rFonts w:ascii="仿宋_GB2312" w:eastAsia="仿宋_GB2312" w:hAnsi="宋体" w:cs="Courier New" w:hint="eastAsia"/>
          <w:sz w:val="32"/>
          <w:szCs w:val="32"/>
        </w:rPr>
        <w:t>%。</w:t>
      </w:r>
    </w:p>
    <w:p w:rsidR="00614281" w:rsidRDefault="00614281">
      <w:pPr>
        <w:adjustRightInd w:val="0"/>
        <w:snapToGrid w:val="0"/>
        <w:spacing w:line="360" w:lineRule="auto"/>
        <w:ind w:firstLineChars="200" w:firstLine="640"/>
        <w:rPr>
          <w:rFonts w:ascii="仿宋_GB2312" w:eastAsia="仿宋_GB2312" w:hAnsi="宋体" w:cs="Courier New"/>
          <w:sz w:val="32"/>
          <w:szCs w:val="32"/>
        </w:rPr>
      </w:pPr>
    </w:p>
    <w:p w:rsidR="00614281" w:rsidRDefault="00D61D56">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614281" w:rsidRDefault="00D61D56" w:rsidP="001B6AB7">
      <w:pPr>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宋体" w:cs="Courier New" w:hint="eastAsia"/>
          <w:sz w:val="32"/>
          <w:szCs w:val="32"/>
        </w:rPr>
        <w:t>2016年度一般公共预算财政拨款支出</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万元，主要用于以下方面：</w:t>
      </w:r>
      <w:r w:rsidR="001B6AB7">
        <w:rPr>
          <w:rFonts w:ascii="仿宋_GB2312" w:eastAsia="仿宋_GB2312" w:hAnsi="宋体" w:cs="Courier New" w:hint="eastAsia"/>
          <w:b/>
          <w:bCs/>
          <w:sz w:val="32"/>
          <w:szCs w:val="32"/>
        </w:rPr>
        <w:t>教育</w:t>
      </w:r>
      <w:r>
        <w:rPr>
          <w:rFonts w:ascii="仿宋_GB2312" w:eastAsia="仿宋_GB2312" w:hAnsi="宋体" w:cs="Courier New" w:hint="eastAsia"/>
          <w:sz w:val="32"/>
          <w:szCs w:val="32"/>
        </w:rPr>
        <w:t>支出</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万元，占</w:t>
      </w:r>
      <w:r w:rsidR="001B6AB7">
        <w:rPr>
          <w:rFonts w:ascii="仿宋_GB2312" w:eastAsia="仿宋_GB2312" w:hAnsi="宋体" w:cs="Courier New" w:hint="eastAsia"/>
          <w:sz w:val="32"/>
          <w:szCs w:val="32"/>
        </w:rPr>
        <w:t>100</w:t>
      </w:r>
      <w:r>
        <w:rPr>
          <w:rFonts w:ascii="仿宋_GB2312" w:eastAsia="仿宋_GB2312" w:hAnsi="宋体" w:cs="Courier New" w:hint="eastAsia"/>
          <w:sz w:val="32"/>
          <w:szCs w:val="32"/>
        </w:rPr>
        <w:t>%；</w:t>
      </w:r>
      <w:r>
        <w:rPr>
          <w:rFonts w:ascii="楷体_GB2312" w:eastAsia="楷体_GB2312" w:hAnsi="楷体_GB2312" w:cs="楷体_GB2312" w:hint="eastAsia"/>
          <w:sz w:val="32"/>
          <w:szCs w:val="32"/>
        </w:rPr>
        <w:t>财政拨款支出决算具体情况。</w:t>
      </w:r>
    </w:p>
    <w:p w:rsidR="00614281" w:rsidRPr="0087239F" w:rsidRDefault="00D61D56" w:rsidP="0087239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2016年度一般公共预算财政拨款支出年初预算为</w:t>
      </w:r>
      <w:r w:rsidR="001B6AB7">
        <w:rPr>
          <w:rFonts w:ascii="仿宋_GB2312" w:eastAsia="仿宋_GB2312" w:hAnsi="宋体" w:cs="Courier New" w:hint="eastAsia"/>
          <w:sz w:val="32"/>
          <w:szCs w:val="32"/>
        </w:rPr>
        <w:t>780.8</w:t>
      </w:r>
      <w:r>
        <w:rPr>
          <w:rFonts w:ascii="仿宋_GB2312" w:eastAsia="仿宋_GB2312" w:hAnsi="宋体" w:cs="Courier New" w:hint="eastAsia"/>
          <w:sz w:val="32"/>
          <w:szCs w:val="32"/>
        </w:rPr>
        <w:t>万元，支出决算为</w:t>
      </w:r>
      <w:r w:rsidR="001B6AB7">
        <w:rPr>
          <w:rFonts w:ascii="仿宋_GB2312" w:eastAsia="仿宋_GB2312" w:hAnsi="宋体" w:cs="Courier New" w:hint="eastAsia"/>
          <w:sz w:val="32"/>
          <w:szCs w:val="32"/>
        </w:rPr>
        <w:t>1725.55</w:t>
      </w:r>
      <w:r>
        <w:rPr>
          <w:rFonts w:ascii="仿宋_GB2312" w:eastAsia="仿宋_GB2312" w:hAnsi="宋体" w:cs="Courier New" w:hint="eastAsia"/>
          <w:sz w:val="32"/>
          <w:szCs w:val="32"/>
        </w:rPr>
        <w:t>万元，完成年初预算的</w:t>
      </w:r>
      <w:r w:rsidR="001B6AB7">
        <w:rPr>
          <w:rFonts w:ascii="仿宋_GB2312" w:eastAsia="仿宋_GB2312" w:hAnsi="宋体" w:cs="Courier New" w:hint="eastAsia"/>
          <w:sz w:val="32"/>
          <w:szCs w:val="32"/>
        </w:rPr>
        <w:t>100</w:t>
      </w:r>
      <w:r>
        <w:rPr>
          <w:rFonts w:ascii="仿宋_GB2312" w:eastAsia="仿宋_GB2312" w:hAnsi="宋体" w:cs="Courier New" w:hint="eastAsia"/>
          <w:sz w:val="32"/>
          <w:szCs w:val="32"/>
        </w:rPr>
        <w:t>%。决算数大于预算数的主要原因：</w:t>
      </w:r>
      <w:r w:rsidR="0087239F">
        <w:rPr>
          <w:rFonts w:ascii="仿宋_GB2312" w:eastAsia="仿宋_GB2312" w:hAnsi="宋体" w:cs="Courier New" w:hint="eastAsia"/>
          <w:sz w:val="32"/>
          <w:szCs w:val="32"/>
        </w:rPr>
        <w:t>是年初</w:t>
      </w:r>
      <w:proofErr w:type="gramStart"/>
      <w:r w:rsidR="0087239F">
        <w:rPr>
          <w:rFonts w:ascii="仿宋_GB2312" w:eastAsia="仿宋_GB2312" w:hAnsi="宋体" w:cs="Courier New" w:hint="eastAsia"/>
          <w:sz w:val="32"/>
          <w:szCs w:val="32"/>
        </w:rPr>
        <w:t>只预算</w:t>
      </w:r>
      <w:proofErr w:type="gramEnd"/>
      <w:r w:rsidR="0087239F">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614281" w:rsidRDefault="00D61D56">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660832" w:rsidRDefault="00D61D56" w:rsidP="006E30B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63790A">
        <w:rPr>
          <w:rFonts w:ascii="仿宋_GB2312" w:eastAsia="仿宋_GB2312" w:hAnsi="宋体" w:cs="Courier New" w:hint="eastAsia"/>
          <w:sz w:val="32"/>
          <w:szCs w:val="32"/>
        </w:rPr>
        <w:t>1291.14</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63790A">
        <w:rPr>
          <w:rFonts w:ascii="仿宋_GB2312" w:eastAsia="仿宋_GB2312" w:hAnsi="Times New Roman" w:cs="仿宋_GB2312" w:hint="eastAsia"/>
          <w:bCs/>
          <w:spacing w:val="-1"/>
          <w:kern w:val="0"/>
          <w:sz w:val="32"/>
          <w:szCs w:val="32"/>
        </w:rPr>
        <w:t>782.55</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63790A">
        <w:rPr>
          <w:rFonts w:ascii="仿宋_GB2312" w:eastAsia="仿宋_GB2312" w:hAnsi="宋体" w:cs="Courier New" w:hint="eastAsia"/>
          <w:sz w:val="32"/>
          <w:szCs w:val="32"/>
        </w:rPr>
        <w:t>245.64万元</w:t>
      </w:r>
      <w:r>
        <w:rPr>
          <w:rFonts w:ascii="仿宋_GB2312" w:eastAsia="仿宋_GB2312" w:hAnsi="宋体" w:cs="Courier New" w:hint="eastAsia"/>
          <w:sz w:val="32"/>
          <w:szCs w:val="32"/>
        </w:rPr>
        <w:t>、津贴补贴</w:t>
      </w:r>
      <w:r w:rsidR="0063790A">
        <w:rPr>
          <w:rFonts w:ascii="仿宋_GB2312" w:eastAsia="仿宋_GB2312" w:hAnsi="宋体" w:cs="Courier New" w:hint="eastAsia"/>
          <w:sz w:val="32"/>
          <w:szCs w:val="32"/>
        </w:rPr>
        <w:t>73.56万元</w:t>
      </w:r>
      <w:r>
        <w:rPr>
          <w:rFonts w:ascii="仿宋_GB2312" w:eastAsia="仿宋_GB2312" w:hAnsi="宋体" w:cs="Courier New" w:hint="eastAsia"/>
          <w:sz w:val="32"/>
          <w:szCs w:val="32"/>
        </w:rPr>
        <w:t>、</w:t>
      </w:r>
      <w:r w:rsidR="0063790A">
        <w:rPr>
          <w:rFonts w:ascii="仿宋_GB2312" w:eastAsia="仿宋_GB2312" w:hAnsi="宋体" w:cs="Courier New" w:hint="eastAsia"/>
          <w:sz w:val="32"/>
          <w:szCs w:val="32"/>
        </w:rPr>
        <w:t>其他社会保障缴费23.01万元</w:t>
      </w:r>
      <w:r>
        <w:rPr>
          <w:rFonts w:ascii="仿宋_GB2312" w:eastAsia="仿宋_GB2312" w:hAnsi="宋体" w:cs="Courier New" w:hint="eastAsia"/>
          <w:sz w:val="32"/>
          <w:szCs w:val="32"/>
        </w:rPr>
        <w:t>、绩效工资</w:t>
      </w:r>
      <w:r w:rsidR="0063790A">
        <w:rPr>
          <w:rFonts w:ascii="仿宋_GB2312" w:eastAsia="仿宋_GB2312" w:hAnsi="宋体" w:cs="Courier New" w:hint="eastAsia"/>
          <w:sz w:val="32"/>
          <w:szCs w:val="32"/>
        </w:rPr>
        <w:t>132.31万元、退休费207.89万元、抚恤金24.28万元、生活补助6.14万元、助学金43.34万元、住房公积金26.37万元。</w:t>
      </w:r>
      <w:r>
        <w:rPr>
          <w:rFonts w:ascii="仿宋_GB2312" w:eastAsia="仿宋_GB2312" w:hAnsi="Times New Roman" w:cs="仿宋_GB2312" w:hint="eastAsia"/>
          <w:b/>
          <w:spacing w:val="-1"/>
          <w:kern w:val="0"/>
          <w:sz w:val="32"/>
          <w:szCs w:val="32"/>
        </w:rPr>
        <w:t>公用经费</w:t>
      </w:r>
      <w:r w:rsidR="0063790A">
        <w:rPr>
          <w:rFonts w:ascii="仿宋_GB2312" w:eastAsia="仿宋_GB2312" w:hAnsi="Times New Roman" w:cs="仿宋_GB2312" w:hint="eastAsia"/>
          <w:spacing w:val="-2"/>
          <w:kern w:val="0"/>
          <w:sz w:val="32"/>
          <w:szCs w:val="32"/>
        </w:rPr>
        <w:t>508.59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660832">
        <w:rPr>
          <w:rFonts w:ascii="仿宋_GB2312" w:eastAsia="仿宋_GB2312" w:hAnsi="宋体" w:cs="Courier New" w:hint="eastAsia"/>
          <w:sz w:val="32"/>
          <w:szCs w:val="32"/>
        </w:rPr>
        <w:t>295.95万元、手续费0.03万元、水费8.21万元、电费13.05万元、邮电费5.78万元、取暖费5.78万元、物业管理费14.27万元、差旅费11.29万元、维修（护）费89.24万元、租赁费4.64万元、培训费27.07万元、劳务费25.93万元。</w:t>
      </w:r>
    </w:p>
    <w:p w:rsidR="00614281" w:rsidRDefault="006142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614281">
          <w:pgSz w:w="11906" w:h="16838"/>
          <w:pgMar w:top="1440" w:right="1531" w:bottom="1440" w:left="1587" w:header="850" w:footer="992" w:gutter="0"/>
          <w:pgNumType w:fmt="numberInDash"/>
          <w:cols w:space="0"/>
          <w:docGrid w:type="lines" w:linePitch="317"/>
        </w:sect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614281">
      <w:pPr>
        <w:jc w:val="left"/>
        <w:rPr>
          <w:rFonts w:ascii="黑体" w:eastAsia="黑体" w:hAnsi="黑体" w:cs="黑体"/>
          <w:sz w:val="32"/>
          <w:szCs w:val="32"/>
        </w:rPr>
      </w:pPr>
    </w:p>
    <w:p w:rsidR="00614281" w:rsidRDefault="00D61D56">
      <w:pPr>
        <w:jc w:val="center"/>
        <w:outlineLvl w:val="0"/>
        <w:rPr>
          <w:rFonts w:ascii="隶书" w:eastAsia="隶书" w:hAnsi="隶书" w:cs="隶书"/>
          <w:sz w:val="48"/>
          <w:szCs w:val="48"/>
        </w:rPr>
        <w:sectPr w:rsidR="0061428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87239F" w:rsidRDefault="0087239F" w:rsidP="0032208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87239F" w:rsidRDefault="0087239F" w:rsidP="0032208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87239F" w:rsidRDefault="0087239F" w:rsidP="0032208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87239F" w:rsidRDefault="00B10F8E" w:rsidP="0032208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87239F">
        <w:rPr>
          <w:rFonts w:ascii="仿宋_GB2312" w:eastAsia="仿宋_GB2312" w:hAnsi="宋体" w:cs="Courier New" w:hint="eastAsia"/>
          <w:b/>
          <w:bCs/>
          <w:sz w:val="32"/>
          <w:szCs w:val="32"/>
        </w:rPr>
        <w:t>、年末结转和结余：</w:t>
      </w:r>
      <w:r w:rsidR="0087239F">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87239F" w:rsidRDefault="00B10F8E" w:rsidP="0032208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87239F">
        <w:rPr>
          <w:rFonts w:ascii="仿宋_GB2312" w:eastAsia="仿宋_GB2312" w:hAnsi="宋体" w:cs="Courier New" w:hint="eastAsia"/>
          <w:b/>
          <w:bCs/>
          <w:sz w:val="32"/>
          <w:szCs w:val="32"/>
        </w:rPr>
        <w:t>、基本支出：</w:t>
      </w:r>
      <w:r w:rsidR="0087239F">
        <w:rPr>
          <w:rFonts w:ascii="仿宋_GB2312" w:eastAsia="仿宋_GB2312" w:hAnsi="宋体" w:cs="Courier New" w:hint="eastAsia"/>
          <w:sz w:val="32"/>
          <w:szCs w:val="32"/>
        </w:rPr>
        <w:t>指为保障机构正常运转、完成日常工作任务而发生的人员支出和公用支出。</w:t>
      </w:r>
    </w:p>
    <w:p w:rsidR="00614281" w:rsidRPr="0087239F" w:rsidRDefault="006142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10F8E" w:rsidRDefault="00B10F8E" w:rsidP="00B10F8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B10F8E" w:rsidRDefault="00B10F8E" w:rsidP="00B10F8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10F8E" w:rsidRDefault="00B10F8E" w:rsidP="00B10F8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填报人：袁春义；</w:t>
      </w:r>
      <w:r w:rsidRPr="00B10F8E">
        <w:rPr>
          <w:rFonts w:ascii="仿宋_GB2312" w:eastAsia="仿宋_GB2312" w:hAnsi="宋体" w:cs="Courier New"/>
          <w:sz w:val="32"/>
          <w:szCs w:val="32"/>
        </w:rPr>
        <w:t>13569800194</w:t>
      </w:r>
    </w:p>
    <w:p w:rsidR="00614281" w:rsidRPr="00B10F8E" w:rsidRDefault="006142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14281" w:rsidRDefault="006142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614281" w:rsidSect="0061428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ADA" w:rsidRDefault="00062ADA" w:rsidP="00614281">
      <w:r>
        <w:separator/>
      </w:r>
    </w:p>
  </w:endnote>
  <w:endnote w:type="continuationSeparator" w:id="1">
    <w:p w:rsidR="00062ADA" w:rsidRDefault="00062ADA" w:rsidP="00614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7CB" w:rsidRDefault="003227C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7CB" w:rsidRDefault="00A65C8D">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3227CB" w:rsidRDefault="00A65C8D">
                <w:pPr>
                  <w:snapToGrid w:val="0"/>
                  <w:rPr>
                    <w:sz w:val="18"/>
                  </w:rPr>
                </w:pPr>
                <w:r>
                  <w:rPr>
                    <w:rFonts w:hint="eastAsia"/>
                    <w:sz w:val="18"/>
                  </w:rPr>
                  <w:fldChar w:fldCharType="begin"/>
                </w:r>
                <w:r w:rsidR="003227CB">
                  <w:rPr>
                    <w:rFonts w:hint="eastAsia"/>
                    <w:sz w:val="18"/>
                  </w:rPr>
                  <w:instrText xml:space="preserve"> PAGE  \* MERGEFORMAT </w:instrText>
                </w:r>
                <w:r>
                  <w:rPr>
                    <w:rFonts w:hint="eastAsia"/>
                    <w:sz w:val="18"/>
                  </w:rPr>
                  <w:fldChar w:fldCharType="separate"/>
                </w:r>
                <w:r w:rsidR="00CF420B">
                  <w:rPr>
                    <w:noProof/>
                    <w:sz w:val="18"/>
                  </w:rPr>
                  <w:t>- 10 -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ADA" w:rsidRDefault="00062ADA" w:rsidP="00614281">
      <w:r>
        <w:separator/>
      </w:r>
    </w:p>
  </w:footnote>
  <w:footnote w:type="continuationSeparator" w:id="1">
    <w:p w:rsidR="00062ADA" w:rsidRDefault="00062ADA" w:rsidP="006142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317"/>
  <w:displayHorizont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62ADA"/>
    <w:rsid w:val="000B08FC"/>
    <w:rsid w:val="000B5A03"/>
    <w:rsid w:val="001150B0"/>
    <w:rsid w:val="00172A27"/>
    <w:rsid w:val="001A76FE"/>
    <w:rsid w:val="001B6AB7"/>
    <w:rsid w:val="0027506C"/>
    <w:rsid w:val="002929B4"/>
    <w:rsid w:val="00322080"/>
    <w:rsid w:val="003227CB"/>
    <w:rsid w:val="00455334"/>
    <w:rsid w:val="00497FF0"/>
    <w:rsid w:val="004D5A2A"/>
    <w:rsid w:val="00614281"/>
    <w:rsid w:val="0063790A"/>
    <w:rsid w:val="00660832"/>
    <w:rsid w:val="006B429F"/>
    <w:rsid w:val="006D7205"/>
    <w:rsid w:val="006E30BB"/>
    <w:rsid w:val="00796A56"/>
    <w:rsid w:val="0083525D"/>
    <w:rsid w:val="0087239F"/>
    <w:rsid w:val="008C3F55"/>
    <w:rsid w:val="008E4FC1"/>
    <w:rsid w:val="009108DE"/>
    <w:rsid w:val="0099566D"/>
    <w:rsid w:val="009E2D1B"/>
    <w:rsid w:val="00A65C8D"/>
    <w:rsid w:val="00AD2147"/>
    <w:rsid w:val="00B10F8E"/>
    <w:rsid w:val="00B458CF"/>
    <w:rsid w:val="00BF7BB5"/>
    <w:rsid w:val="00C34464"/>
    <w:rsid w:val="00CA5EF0"/>
    <w:rsid w:val="00CD71F9"/>
    <w:rsid w:val="00CF420B"/>
    <w:rsid w:val="00CF639B"/>
    <w:rsid w:val="00D61D56"/>
    <w:rsid w:val="00DE1E9F"/>
    <w:rsid w:val="00F27BAC"/>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428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14281"/>
    <w:pPr>
      <w:tabs>
        <w:tab w:val="center" w:pos="4153"/>
        <w:tab w:val="right" w:pos="8306"/>
      </w:tabs>
      <w:snapToGrid w:val="0"/>
      <w:jc w:val="left"/>
    </w:pPr>
    <w:rPr>
      <w:sz w:val="18"/>
    </w:rPr>
  </w:style>
  <w:style w:type="paragraph" w:styleId="a4">
    <w:name w:val="header"/>
    <w:basedOn w:val="a"/>
    <w:qFormat/>
    <w:rsid w:val="0061428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614281"/>
    <w:rPr>
      <w:rFonts w:ascii="Arial" w:hAnsi="Arial" w:cs="Arial"/>
      <w:color w:val="000000"/>
      <w:sz w:val="16"/>
      <w:szCs w:val="16"/>
      <w:u w:val="none"/>
    </w:rPr>
  </w:style>
  <w:style w:type="character" w:customStyle="1" w:styleId="font01">
    <w:name w:val="font01"/>
    <w:basedOn w:val="a0"/>
    <w:qFormat/>
    <w:rsid w:val="00614281"/>
    <w:rPr>
      <w:rFonts w:ascii="Arial" w:hAnsi="Arial" w:cs="Arial" w:hint="default"/>
      <w:color w:val="000000"/>
      <w:sz w:val="16"/>
      <w:szCs w:val="16"/>
      <w:u w:val="none"/>
    </w:rPr>
  </w:style>
  <w:style w:type="character" w:customStyle="1" w:styleId="font41">
    <w:name w:val="font41"/>
    <w:basedOn w:val="a0"/>
    <w:qFormat/>
    <w:rsid w:val="00614281"/>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w:divs>
    <w:div w:id="74209714">
      <w:bodyDiv w:val="1"/>
      <w:marLeft w:val="0"/>
      <w:marRight w:val="0"/>
      <w:marTop w:val="0"/>
      <w:marBottom w:val="0"/>
      <w:divBdr>
        <w:top w:val="none" w:sz="0" w:space="0" w:color="auto"/>
        <w:left w:val="none" w:sz="0" w:space="0" w:color="auto"/>
        <w:bottom w:val="none" w:sz="0" w:space="0" w:color="auto"/>
        <w:right w:val="none" w:sz="0" w:space="0" w:color="auto"/>
      </w:divBdr>
    </w:div>
    <w:div w:id="351035430">
      <w:bodyDiv w:val="1"/>
      <w:marLeft w:val="0"/>
      <w:marRight w:val="0"/>
      <w:marTop w:val="0"/>
      <w:marBottom w:val="0"/>
      <w:divBdr>
        <w:top w:val="none" w:sz="0" w:space="0" w:color="auto"/>
        <w:left w:val="none" w:sz="0" w:space="0" w:color="auto"/>
        <w:bottom w:val="none" w:sz="0" w:space="0" w:color="auto"/>
        <w:right w:val="none" w:sz="0" w:space="0" w:color="auto"/>
      </w:divBdr>
    </w:div>
    <w:div w:id="674260789">
      <w:bodyDiv w:val="1"/>
      <w:marLeft w:val="0"/>
      <w:marRight w:val="0"/>
      <w:marTop w:val="0"/>
      <w:marBottom w:val="0"/>
      <w:divBdr>
        <w:top w:val="none" w:sz="0" w:space="0" w:color="auto"/>
        <w:left w:val="none" w:sz="0" w:space="0" w:color="auto"/>
        <w:bottom w:val="none" w:sz="0" w:space="0" w:color="auto"/>
        <w:right w:val="none" w:sz="0" w:space="0" w:color="auto"/>
      </w:divBdr>
    </w:div>
    <w:div w:id="769009227">
      <w:bodyDiv w:val="1"/>
      <w:marLeft w:val="0"/>
      <w:marRight w:val="0"/>
      <w:marTop w:val="0"/>
      <w:marBottom w:val="0"/>
      <w:divBdr>
        <w:top w:val="none" w:sz="0" w:space="0" w:color="auto"/>
        <w:left w:val="none" w:sz="0" w:space="0" w:color="auto"/>
        <w:bottom w:val="none" w:sz="0" w:space="0" w:color="auto"/>
        <w:right w:val="none" w:sz="0" w:space="0" w:color="auto"/>
      </w:divBdr>
    </w:div>
    <w:div w:id="1068305289">
      <w:bodyDiv w:val="1"/>
      <w:marLeft w:val="0"/>
      <w:marRight w:val="0"/>
      <w:marTop w:val="0"/>
      <w:marBottom w:val="0"/>
      <w:divBdr>
        <w:top w:val="none" w:sz="0" w:space="0" w:color="auto"/>
        <w:left w:val="none" w:sz="0" w:space="0" w:color="auto"/>
        <w:bottom w:val="none" w:sz="0" w:space="0" w:color="auto"/>
        <w:right w:val="none" w:sz="0" w:space="0" w:color="auto"/>
      </w:divBdr>
    </w:div>
    <w:div w:id="1195146197">
      <w:bodyDiv w:val="1"/>
      <w:marLeft w:val="0"/>
      <w:marRight w:val="0"/>
      <w:marTop w:val="0"/>
      <w:marBottom w:val="0"/>
      <w:divBdr>
        <w:top w:val="none" w:sz="0" w:space="0" w:color="auto"/>
        <w:left w:val="none" w:sz="0" w:space="0" w:color="auto"/>
        <w:bottom w:val="none" w:sz="0" w:space="0" w:color="auto"/>
        <w:right w:val="none" w:sz="0" w:space="0" w:color="auto"/>
      </w:divBdr>
    </w:div>
    <w:div w:id="1207599043">
      <w:bodyDiv w:val="1"/>
      <w:marLeft w:val="0"/>
      <w:marRight w:val="0"/>
      <w:marTop w:val="0"/>
      <w:marBottom w:val="0"/>
      <w:divBdr>
        <w:top w:val="none" w:sz="0" w:space="0" w:color="auto"/>
        <w:left w:val="none" w:sz="0" w:space="0" w:color="auto"/>
        <w:bottom w:val="none" w:sz="0" w:space="0" w:color="auto"/>
        <w:right w:val="none" w:sz="0" w:space="0" w:color="auto"/>
      </w:divBdr>
    </w:div>
    <w:div w:id="1367833046">
      <w:bodyDiv w:val="1"/>
      <w:marLeft w:val="0"/>
      <w:marRight w:val="0"/>
      <w:marTop w:val="0"/>
      <w:marBottom w:val="0"/>
      <w:divBdr>
        <w:top w:val="none" w:sz="0" w:space="0" w:color="auto"/>
        <w:left w:val="none" w:sz="0" w:space="0" w:color="auto"/>
        <w:bottom w:val="none" w:sz="0" w:space="0" w:color="auto"/>
        <w:right w:val="none" w:sz="0" w:space="0" w:color="auto"/>
      </w:divBdr>
    </w:div>
    <w:div w:id="1395395839">
      <w:bodyDiv w:val="1"/>
      <w:marLeft w:val="0"/>
      <w:marRight w:val="0"/>
      <w:marTop w:val="0"/>
      <w:marBottom w:val="0"/>
      <w:divBdr>
        <w:top w:val="none" w:sz="0" w:space="0" w:color="auto"/>
        <w:left w:val="none" w:sz="0" w:space="0" w:color="auto"/>
        <w:bottom w:val="none" w:sz="0" w:space="0" w:color="auto"/>
        <w:right w:val="none" w:sz="0" w:space="0" w:color="auto"/>
      </w:divBdr>
    </w:div>
    <w:div w:id="1520197208">
      <w:bodyDiv w:val="1"/>
      <w:marLeft w:val="0"/>
      <w:marRight w:val="0"/>
      <w:marTop w:val="0"/>
      <w:marBottom w:val="0"/>
      <w:divBdr>
        <w:top w:val="none" w:sz="0" w:space="0" w:color="auto"/>
        <w:left w:val="none" w:sz="0" w:space="0" w:color="auto"/>
        <w:bottom w:val="none" w:sz="0" w:space="0" w:color="auto"/>
        <w:right w:val="none" w:sz="0" w:space="0" w:color="auto"/>
      </w:divBdr>
    </w:div>
    <w:div w:id="1682774626">
      <w:bodyDiv w:val="1"/>
      <w:marLeft w:val="0"/>
      <w:marRight w:val="0"/>
      <w:marTop w:val="0"/>
      <w:marBottom w:val="0"/>
      <w:divBdr>
        <w:top w:val="none" w:sz="0" w:space="0" w:color="auto"/>
        <w:left w:val="none" w:sz="0" w:space="0" w:color="auto"/>
        <w:bottom w:val="none" w:sz="0" w:space="0" w:color="auto"/>
        <w:right w:val="none" w:sz="0" w:space="0" w:color="auto"/>
      </w:divBdr>
    </w:div>
    <w:div w:id="1806508600">
      <w:bodyDiv w:val="1"/>
      <w:marLeft w:val="0"/>
      <w:marRight w:val="0"/>
      <w:marTop w:val="0"/>
      <w:marBottom w:val="0"/>
      <w:divBdr>
        <w:top w:val="none" w:sz="0" w:space="0" w:color="auto"/>
        <w:left w:val="none" w:sz="0" w:space="0" w:color="auto"/>
        <w:bottom w:val="none" w:sz="0" w:space="0" w:color="auto"/>
        <w:right w:val="none" w:sz="0" w:space="0" w:color="auto"/>
      </w:divBdr>
    </w:div>
    <w:div w:id="1864590013">
      <w:bodyDiv w:val="1"/>
      <w:marLeft w:val="0"/>
      <w:marRight w:val="0"/>
      <w:marTop w:val="0"/>
      <w:marBottom w:val="0"/>
      <w:divBdr>
        <w:top w:val="none" w:sz="0" w:space="0" w:color="auto"/>
        <w:left w:val="none" w:sz="0" w:space="0" w:color="auto"/>
        <w:bottom w:val="none" w:sz="0" w:space="0" w:color="auto"/>
        <w:right w:val="none" w:sz="0" w:space="0" w:color="auto"/>
      </w:divBdr>
    </w:div>
    <w:div w:id="187245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D30941B-6F2F-44FF-991C-0DF7A1A6FC7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18</Pages>
  <Words>1163</Words>
  <Characters>6632</Characters>
  <Application>Microsoft Office Word</Application>
  <DocSecurity>0</DocSecurity>
  <Lines>55</Lines>
  <Paragraphs>15</Paragraphs>
  <ScaleCrop>false</ScaleCrop>
  <Company>Microsoft</Company>
  <LinksUpToDate>false</LinksUpToDate>
  <CharactersWithSpaces>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LENOVO</cp:lastModifiedBy>
  <cp:revision>27</cp:revision>
  <cp:lastPrinted>2017-07-25T02:47:00Z</cp:lastPrinted>
  <dcterms:created xsi:type="dcterms:W3CDTF">2014-10-29T12:08:00Z</dcterms:created>
  <dcterms:modified xsi:type="dcterms:W3CDTF">2017-09-23T02:49:00Z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