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6D6" w:rsidRDefault="008966D6">
      <w:pPr>
        <w:shd w:val="clear" w:color="auto" w:fill="auto"/>
        <w:jc w:val="center"/>
        <w:rPr>
          <w:rFonts w:ascii="方正小标宋简体" w:eastAsia="方正小标宋简体" w:hAnsi="方正小标宋简体" w:cs="方正小标宋简体" w:hint="eastAsia"/>
          <w:sz w:val="52"/>
          <w:szCs w:val="52"/>
        </w:rPr>
      </w:pPr>
    </w:p>
    <w:p w:rsidR="001A1A79" w:rsidRDefault="001A1A79">
      <w:pPr>
        <w:shd w:val="clear" w:color="auto" w:fill="auto"/>
        <w:jc w:val="center"/>
        <w:rPr>
          <w:rFonts w:ascii="方正小标宋简体" w:eastAsia="方正小标宋简体" w:hAnsi="方正小标宋简体" w:cs="方正小标宋简体"/>
          <w:sz w:val="52"/>
          <w:szCs w:val="52"/>
        </w:rPr>
      </w:pPr>
    </w:p>
    <w:p w:rsidR="001A1A79" w:rsidRDefault="001A1A79">
      <w:pPr>
        <w:shd w:val="clear" w:color="auto" w:fill="auto"/>
        <w:jc w:val="center"/>
        <w:rPr>
          <w:rFonts w:ascii="方正小标宋简体" w:eastAsia="方正小标宋简体" w:hAnsi="方正小标宋简体" w:cs="方正小标宋简体"/>
          <w:sz w:val="52"/>
          <w:szCs w:val="52"/>
        </w:rPr>
      </w:pPr>
    </w:p>
    <w:p w:rsidR="001A1A79" w:rsidRDefault="001A1A79">
      <w:pPr>
        <w:shd w:val="clear" w:color="auto" w:fill="auto"/>
        <w:jc w:val="center"/>
        <w:rPr>
          <w:rFonts w:ascii="方正小标宋简体" w:eastAsia="方正小标宋简体" w:hAnsi="方正小标宋简体" w:cs="方正小标宋简体"/>
          <w:sz w:val="52"/>
          <w:szCs w:val="52"/>
        </w:rPr>
      </w:pPr>
    </w:p>
    <w:p w:rsidR="001A1A79" w:rsidRDefault="00513E9E">
      <w:pPr>
        <w:shd w:val="clear" w:color="auto" w:fill="auto"/>
        <w:ind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延津县僧固乡卫生院</w:t>
      </w:r>
    </w:p>
    <w:p w:rsidR="001A1A79" w:rsidRDefault="001A1A79">
      <w:pPr>
        <w:shd w:val="clear" w:color="auto" w:fill="auto"/>
        <w:jc w:val="center"/>
        <w:rPr>
          <w:rFonts w:ascii="黑体" w:eastAsia="黑体" w:hAnsi="黑体" w:cs="黑体"/>
          <w:sz w:val="52"/>
          <w:szCs w:val="52"/>
        </w:rPr>
      </w:pPr>
    </w:p>
    <w:p w:rsidR="001A1A79" w:rsidRPr="00D56E2B" w:rsidRDefault="00513E9E">
      <w:pPr>
        <w:shd w:val="clear" w:color="auto" w:fill="auto"/>
        <w:jc w:val="center"/>
        <w:rPr>
          <w:rFonts w:ascii="隶书" w:eastAsia="隶书" w:hAnsi="仿宋" w:cs="仿宋"/>
          <w:sz w:val="52"/>
          <w:szCs w:val="52"/>
        </w:rPr>
      </w:pPr>
      <w:r w:rsidRPr="00D56E2B">
        <w:rPr>
          <w:rFonts w:ascii="隶书" w:eastAsia="隶书" w:hAnsi="仿宋" w:cs="仿宋" w:hint="eastAsia"/>
          <w:sz w:val="52"/>
          <w:szCs w:val="52"/>
        </w:rPr>
        <w:t>2016年度部门决算</w:t>
      </w:r>
    </w:p>
    <w:p w:rsidR="001A1A79" w:rsidRDefault="001A1A79">
      <w:pPr>
        <w:shd w:val="clear" w:color="auto" w:fill="auto"/>
        <w:rPr>
          <w:rFonts w:ascii="仿宋" w:eastAsia="仿宋" w:hAnsi="仿宋" w:cs="仿宋"/>
        </w:rPr>
        <w:sectPr w:rsidR="001A1A79">
          <w:endnotePr>
            <w:numFmt w:val="decimal"/>
          </w:endnotePr>
          <w:pgSz w:w="11906" w:h="16838"/>
          <w:pgMar w:top="1440" w:right="1531" w:bottom="1440" w:left="1587" w:header="720" w:footer="720" w:gutter="0"/>
          <w:pgNumType w:start="1"/>
          <w:cols w:space="720"/>
        </w:sectPr>
      </w:pPr>
    </w:p>
    <w:p w:rsidR="001A1A79" w:rsidRDefault="00513E9E">
      <w:pPr>
        <w:shd w:val="clear" w:color="auto" w:fill="auto"/>
        <w:jc w:val="center"/>
        <w:rPr>
          <w:rFonts w:ascii="仿宋" w:eastAsia="仿宋" w:hAnsi="仿宋" w:cs="仿宋"/>
          <w:sz w:val="36"/>
          <w:szCs w:val="36"/>
        </w:rPr>
      </w:pPr>
      <w:r>
        <w:rPr>
          <w:rFonts w:ascii="仿宋" w:eastAsia="仿宋" w:hAnsi="仿宋" w:cs="仿宋" w:hint="eastAsia"/>
          <w:sz w:val="36"/>
          <w:szCs w:val="36"/>
        </w:rPr>
        <w:lastRenderedPageBreak/>
        <w:t>目　　录</w:t>
      </w:r>
    </w:p>
    <w:p w:rsidR="00D56E2B" w:rsidRPr="00D56E2B" w:rsidRDefault="00513E9E" w:rsidP="00D56E2B">
      <w:pPr>
        <w:shd w:val="clear" w:color="auto" w:fill="auto"/>
        <w:jc w:val="left"/>
        <w:rPr>
          <w:rFonts w:asciiTheme="majorEastAsia" w:eastAsiaTheme="majorEastAsia" w:hAnsi="仿宋" w:cs="仿宋"/>
          <w:sz w:val="32"/>
          <w:szCs w:val="32"/>
        </w:rPr>
      </w:pPr>
      <w:r w:rsidRPr="00D56E2B">
        <w:rPr>
          <w:rFonts w:asciiTheme="majorEastAsia" w:eastAsiaTheme="majorEastAsia" w:hAnsi="仿宋" w:cs="仿宋" w:hint="eastAsia"/>
          <w:sz w:val="32"/>
          <w:szCs w:val="32"/>
        </w:rPr>
        <w:t>第一部分　　延津县僧固乡卫生院概况</w:t>
      </w:r>
    </w:p>
    <w:p w:rsidR="001A1A79" w:rsidRPr="00D56E2B" w:rsidRDefault="00513E9E" w:rsidP="00D56E2B">
      <w:pPr>
        <w:pStyle w:val="a6"/>
        <w:shd w:val="clear" w:color="auto" w:fill="auto"/>
        <w:ind w:leftChars="171" w:left="359" w:firstLineChars="100" w:firstLine="320"/>
        <w:jc w:val="left"/>
        <w:rPr>
          <w:rFonts w:ascii="仿宋_GB2312" w:eastAsia="仿宋_GB2312" w:hAnsi="仿宋" w:cs="仿宋"/>
          <w:sz w:val="32"/>
          <w:szCs w:val="32"/>
        </w:rPr>
      </w:pPr>
      <w:r w:rsidRPr="00D56E2B">
        <w:rPr>
          <w:rFonts w:ascii="仿宋_GB2312" w:eastAsia="仿宋_GB2312" w:hAnsiTheme="minorEastAsia" w:cs="仿宋" w:hint="eastAsia"/>
          <w:sz w:val="32"/>
          <w:szCs w:val="32"/>
        </w:rPr>
        <w:t>主要职责</w:t>
      </w:r>
    </w:p>
    <w:p w:rsidR="001A1A79" w:rsidRPr="00D56E2B" w:rsidRDefault="00513E9E">
      <w:pPr>
        <w:shd w:val="clear" w:color="auto" w:fill="auto"/>
        <w:jc w:val="left"/>
        <w:rPr>
          <w:rFonts w:asciiTheme="majorEastAsia" w:eastAsiaTheme="majorEastAsia" w:hAnsi="仿宋" w:cs="仿宋"/>
          <w:sz w:val="32"/>
          <w:szCs w:val="32"/>
        </w:rPr>
      </w:pPr>
      <w:r w:rsidRPr="00D56E2B">
        <w:rPr>
          <w:rFonts w:asciiTheme="majorEastAsia" w:eastAsiaTheme="majorEastAsia" w:hAnsi="仿宋" w:cs="仿宋" w:hint="eastAsia"/>
          <w:sz w:val="32"/>
          <w:szCs w:val="32"/>
        </w:rPr>
        <w:t>第二部分　　延津县僧固乡卫生</w:t>
      </w:r>
      <w:r w:rsidR="00D56E2B">
        <w:rPr>
          <w:rFonts w:asciiTheme="majorEastAsia" w:eastAsiaTheme="majorEastAsia" w:hAnsi="仿宋" w:cs="仿宋" w:hint="eastAsia"/>
          <w:sz w:val="32"/>
          <w:szCs w:val="32"/>
        </w:rPr>
        <w:t>院</w:t>
      </w:r>
      <w:r w:rsidRPr="00D56E2B">
        <w:rPr>
          <w:rFonts w:asciiTheme="majorEastAsia" w:eastAsiaTheme="majorEastAsia" w:hAnsi="仿宋" w:cs="仿宋" w:hint="eastAsia"/>
          <w:sz w:val="32"/>
          <w:szCs w:val="32"/>
        </w:rPr>
        <w:t>2016年度部门决算表</w:t>
      </w:r>
    </w:p>
    <w:p w:rsidR="001A1A79" w:rsidRPr="00D56E2B" w:rsidRDefault="00513E9E">
      <w:pPr>
        <w:shd w:val="clear" w:color="auto" w:fill="auto"/>
        <w:jc w:val="left"/>
        <w:rPr>
          <w:rFonts w:ascii="仿宋_GB2312" w:eastAsia="仿宋_GB2312" w:hAnsi="仿宋" w:cs="仿宋"/>
          <w:sz w:val="32"/>
          <w:szCs w:val="32"/>
        </w:rPr>
      </w:pPr>
      <w:r>
        <w:rPr>
          <w:rFonts w:ascii="仿宋" w:eastAsia="仿宋" w:hAnsi="仿宋" w:cs="仿宋" w:hint="eastAsia"/>
          <w:sz w:val="32"/>
          <w:szCs w:val="32"/>
        </w:rPr>
        <w:t>一</w:t>
      </w:r>
      <w:r w:rsidRPr="00D56E2B">
        <w:rPr>
          <w:rFonts w:ascii="仿宋" w:eastAsia="仿宋" w:hAnsi="仿宋" w:cs="仿宋" w:hint="eastAsia"/>
          <w:sz w:val="32"/>
          <w:szCs w:val="32"/>
        </w:rPr>
        <w:t>、</w:t>
      </w:r>
      <w:r w:rsidRPr="00D56E2B">
        <w:rPr>
          <w:rFonts w:ascii="仿宋_GB2312" w:eastAsia="仿宋_GB2312" w:hAnsi="仿宋" w:cs="仿宋" w:hint="eastAsia"/>
          <w:sz w:val="32"/>
          <w:szCs w:val="32"/>
        </w:rPr>
        <w:t>收入支出决算总表</w:t>
      </w:r>
    </w:p>
    <w:p w:rsidR="001A1A79" w:rsidRPr="00D56E2B" w:rsidRDefault="00513E9E">
      <w:pPr>
        <w:shd w:val="clear" w:color="auto" w:fill="auto"/>
        <w:jc w:val="left"/>
        <w:rPr>
          <w:rFonts w:ascii="仿宋_GB2312" w:eastAsia="仿宋_GB2312" w:hAnsi="仿宋" w:cs="仿宋"/>
          <w:sz w:val="32"/>
          <w:szCs w:val="32"/>
        </w:rPr>
      </w:pPr>
      <w:r w:rsidRPr="00D56E2B">
        <w:rPr>
          <w:rFonts w:ascii="仿宋_GB2312" w:eastAsia="仿宋_GB2312" w:hAnsi="仿宋" w:cs="仿宋" w:hint="eastAsia"/>
          <w:sz w:val="32"/>
          <w:szCs w:val="32"/>
        </w:rPr>
        <w:t>二、收入决算表</w:t>
      </w:r>
    </w:p>
    <w:p w:rsidR="001A1A79" w:rsidRPr="00D56E2B" w:rsidRDefault="00513E9E">
      <w:pPr>
        <w:shd w:val="clear" w:color="auto" w:fill="auto"/>
        <w:jc w:val="left"/>
        <w:rPr>
          <w:rFonts w:ascii="仿宋_GB2312" w:eastAsia="仿宋_GB2312" w:hAnsi="仿宋" w:cs="仿宋"/>
          <w:sz w:val="32"/>
          <w:szCs w:val="32"/>
        </w:rPr>
      </w:pPr>
      <w:r w:rsidRPr="00D56E2B">
        <w:rPr>
          <w:rFonts w:ascii="仿宋_GB2312" w:eastAsia="仿宋_GB2312" w:hAnsi="仿宋" w:cs="仿宋" w:hint="eastAsia"/>
          <w:sz w:val="32"/>
          <w:szCs w:val="32"/>
        </w:rPr>
        <w:t>三、支出决算表</w:t>
      </w:r>
    </w:p>
    <w:p w:rsidR="001A1A79" w:rsidRPr="00D56E2B" w:rsidRDefault="00513E9E">
      <w:pPr>
        <w:shd w:val="clear" w:color="auto" w:fill="auto"/>
        <w:jc w:val="left"/>
        <w:rPr>
          <w:rFonts w:ascii="仿宋_GB2312" w:eastAsia="仿宋_GB2312" w:hAnsi="仿宋" w:cs="仿宋"/>
          <w:sz w:val="32"/>
          <w:szCs w:val="32"/>
        </w:rPr>
      </w:pPr>
      <w:r w:rsidRPr="00D56E2B">
        <w:rPr>
          <w:rFonts w:ascii="仿宋_GB2312" w:eastAsia="仿宋_GB2312" w:hAnsi="仿宋" w:cs="仿宋" w:hint="eastAsia"/>
          <w:sz w:val="32"/>
          <w:szCs w:val="32"/>
        </w:rPr>
        <w:t>四、财政拨款收入支出决算总表</w:t>
      </w:r>
    </w:p>
    <w:p w:rsidR="001A1A79" w:rsidRPr="00D56E2B" w:rsidRDefault="00513E9E">
      <w:pPr>
        <w:shd w:val="clear" w:color="auto" w:fill="auto"/>
        <w:jc w:val="left"/>
        <w:rPr>
          <w:rFonts w:ascii="仿宋_GB2312" w:eastAsia="仿宋_GB2312" w:hAnsi="仿宋" w:cs="仿宋"/>
          <w:sz w:val="32"/>
          <w:szCs w:val="32"/>
        </w:rPr>
      </w:pPr>
      <w:r w:rsidRPr="00D56E2B">
        <w:rPr>
          <w:rFonts w:ascii="仿宋_GB2312" w:eastAsia="仿宋_GB2312" w:hAnsi="仿宋" w:cs="仿宋" w:hint="eastAsia"/>
          <w:sz w:val="32"/>
          <w:szCs w:val="32"/>
        </w:rPr>
        <w:t>五、一般公共预算财政拨款支出决算表</w:t>
      </w:r>
    </w:p>
    <w:p w:rsidR="001A1A79" w:rsidRPr="00D56E2B" w:rsidRDefault="00513E9E">
      <w:pPr>
        <w:shd w:val="clear" w:color="auto" w:fill="auto"/>
        <w:jc w:val="left"/>
        <w:rPr>
          <w:rFonts w:ascii="仿宋_GB2312" w:eastAsia="仿宋_GB2312" w:hAnsi="仿宋" w:cs="仿宋"/>
          <w:sz w:val="32"/>
          <w:szCs w:val="32"/>
        </w:rPr>
      </w:pPr>
      <w:r w:rsidRPr="00D56E2B">
        <w:rPr>
          <w:rFonts w:ascii="仿宋_GB2312" w:eastAsia="仿宋_GB2312" w:hAnsi="仿宋" w:cs="仿宋" w:hint="eastAsia"/>
          <w:sz w:val="32"/>
          <w:szCs w:val="32"/>
        </w:rPr>
        <w:t>六、一般公共预算财政拨款基本支出决算表</w:t>
      </w:r>
    </w:p>
    <w:p w:rsidR="001A1A79" w:rsidRPr="00D56E2B" w:rsidRDefault="00513E9E">
      <w:pPr>
        <w:shd w:val="clear" w:color="auto" w:fill="auto"/>
        <w:jc w:val="left"/>
        <w:rPr>
          <w:rFonts w:ascii="仿宋_GB2312" w:eastAsia="仿宋_GB2312" w:hAnsi="仿宋" w:cs="仿宋"/>
          <w:sz w:val="32"/>
          <w:szCs w:val="32"/>
        </w:rPr>
      </w:pPr>
      <w:r w:rsidRPr="00D56E2B">
        <w:rPr>
          <w:rFonts w:ascii="仿宋_GB2312" w:eastAsia="仿宋_GB2312" w:hAnsi="仿宋" w:cs="仿宋" w:hint="eastAsia"/>
          <w:sz w:val="32"/>
          <w:szCs w:val="32"/>
        </w:rPr>
        <w:t>七、一般公共预算财政拨款“三公”经费支出决算表</w:t>
      </w:r>
    </w:p>
    <w:p w:rsidR="001A1A79" w:rsidRPr="00D56E2B" w:rsidRDefault="00513E9E">
      <w:pPr>
        <w:shd w:val="clear" w:color="auto" w:fill="auto"/>
        <w:jc w:val="left"/>
        <w:rPr>
          <w:rFonts w:ascii="仿宋_GB2312" w:eastAsia="仿宋_GB2312" w:hAnsi="仿宋" w:cs="仿宋"/>
          <w:sz w:val="32"/>
          <w:szCs w:val="32"/>
        </w:rPr>
      </w:pPr>
      <w:r w:rsidRPr="00D56E2B">
        <w:rPr>
          <w:rFonts w:ascii="仿宋_GB2312" w:eastAsia="仿宋_GB2312" w:hAnsi="仿宋" w:cs="仿宋" w:hint="eastAsia"/>
          <w:sz w:val="32"/>
          <w:szCs w:val="32"/>
        </w:rPr>
        <w:t>八、政府性基金预算财政拨款收入支出决算表</w:t>
      </w:r>
    </w:p>
    <w:p w:rsidR="001A1A79" w:rsidRPr="00D56E2B" w:rsidRDefault="00513E9E">
      <w:pPr>
        <w:shd w:val="clear" w:color="auto" w:fill="auto"/>
        <w:jc w:val="left"/>
        <w:rPr>
          <w:rFonts w:ascii="黑体" w:eastAsia="黑体" w:hAnsi="仿宋" w:cs="仿宋"/>
          <w:sz w:val="32"/>
          <w:szCs w:val="32"/>
        </w:rPr>
      </w:pPr>
      <w:r w:rsidRPr="00D56E2B">
        <w:rPr>
          <w:rFonts w:ascii="黑体" w:eastAsia="黑体" w:hAnsi="仿宋" w:cs="仿宋" w:hint="eastAsia"/>
          <w:sz w:val="32"/>
          <w:szCs w:val="32"/>
        </w:rPr>
        <w:t>第三部分　　延津县僧固乡卫生院2016年度部门决算情况说明</w:t>
      </w:r>
    </w:p>
    <w:p w:rsidR="001A1A79" w:rsidRPr="00D56E2B" w:rsidRDefault="00513E9E">
      <w:pPr>
        <w:shd w:val="clear" w:color="auto" w:fill="auto"/>
        <w:jc w:val="left"/>
        <w:rPr>
          <w:rFonts w:asciiTheme="majorEastAsia" w:eastAsiaTheme="majorEastAsia" w:hAnsi="仿宋" w:cs="仿宋"/>
          <w:sz w:val="32"/>
          <w:szCs w:val="32"/>
        </w:rPr>
      </w:pPr>
      <w:r w:rsidRPr="00D56E2B">
        <w:rPr>
          <w:rFonts w:asciiTheme="majorEastAsia" w:eastAsiaTheme="majorEastAsia" w:hAnsi="仿宋" w:cs="仿宋" w:hint="eastAsia"/>
          <w:sz w:val="32"/>
          <w:szCs w:val="32"/>
        </w:rPr>
        <w:t>第四部分　　名词解释</w:t>
      </w:r>
    </w:p>
    <w:p w:rsidR="001A1A79" w:rsidRDefault="001A1A79">
      <w:pPr>
        <w:shd w:val="clear" w:color="auto" w:fill="auto"/>
        <w:rPr>
          <w:rFonts w:ascii="仿宋" w:eastAsia="仿宋" w:hAnsi="仿宋" w:cs="仿宋"/>
        </w:rPr>
        <w:sectPr w:rsidR="001A1A79">
          <w:footerReference w:type="default" r:id="rId8"/>
          <w:endnotePr>
            <w:numFmt w:val="decimal"/>
          </w:endnotePr>
          <w:pgSz w:w="11906" w:h="16838"/>
          <w:pgMar w:top="1440" w:right="1531" w:bottom="1440" w:left="1587" w:header="720" w:footer="992" w:gutter="0"/>
          <w:cols w:space="720"/>
        </w:sect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Pr="00D56E2B" w:rsidRDefault="00513E9E">
      <w:pPr>
        <w:shd w:val="clear" w:color="auto" w:fill="auto"/>
        <w:jc w:val="center"/>
        <w:outlineLvl w:val="0"/>
        <w:rPr>
          <w:rFonts w:ascii="隶书" w:eastAsia="隶书" w:hAnsi="仿宋" w:cs="仿宋"/>
          <w:sz w:val="48"/>
          <w:szCs w:val="48"/>
        </w:rPr>
      </w:pPr>
      <w:r w:rsidRPr="00D56E2B">
        <w:rPr>
          <w:rFonts w:ascii="隶书" w:eastAsia="隶书" w:hAnsi="仿宋" w:cs="仿宋" w:hint="eastAsia"/>
          <w:sz w:val="48"/>
          <w:szCs w:val="48"/>
        </w:rPr>
        <w:t>第一部分　　延津县僧固乡卫生院概况</w:t>
      </w:r>
    </w:p>
    <w:p w:rsidR="001A1A79" w:rsidRDefault="001A1A79">
      <w:pPr>
        <w:shd w:val="clear" w:color="auto" w:fill="auto"/>
        <w:rPr>
          <w:rFonts w:ascii="仿宋" w:eastAsia="仿宋" w:hAnsi="仿宋" w:cs="仿宋"/>
        </w:rPr>
        <w:sectPr w:rsidR="001A1A79">
          <w:headerReference w:type="default" r:id="rId9"/>
          <w:footerReference w:type="default" r:id="rId10"/>
          <w:endnotePr>
            <w:numFmt w:val="decimal"/>
          </w:endnotePr>
          <w:pgSz w:w="11906" w:h="16838"/>
          <w:pgMar w:top="1440" w:right="1531" w:bottom="1440" w:left="1587" w:header="709" w:footer="992" w:gutter="0"/>
          <w:pgNumType w:start="1"/>
          <w:cols w:space="720"/>
        </w:sectPr>
      </w:pPr>
    </w:p>
    <w:p w:rsidR="001A1A79" w:rsidRPr="00D56E2B" w:rsidRDefault="00513E9E">
      <w:pPr>
        <w:numPr>
          <w:ilvl w:val="0"/>
          <w:numId w:val="1"/>
        </w:numPr>
        <w:shd w:val="clear" w:color="auto" w:fill="auto"/>
        <w:spacing w:line="360" w:lineRule="auto"/>
        <w:ind w:left="0" w:firstLine="640"/>
        <w:jc w:val="left"/>
        <w:outlineLvl w:val="1"/>
        <w:rPr>
          <w:rFonts w:ascii="仿宋_GB2312" w:eastAsia="仿宋_GB2312" w:hAnsi="仿宋" w:cs="仿宋"/>
          <w:b/>
          <w:sz w:val="32"/>
          <w:szCs w:val="32"/>
        </w:rPr>
      </w:pPr>
      <w:r w:rsidRPr="00D56E2B">
        <w:rPr>
          <w:rFonts w:ascii="仿宋_GB2312" w:eastAsia="仿宋_GB2312" w:hAnsi="仿宋" w:cs="仿宋" w:hint="eastAsia"/>
          <w:b/>
          <w:sz w:val="32"/>
          <w:szCs w:val="32"/>
        </w:rPr>
        <w:lastRenderedPageBreak/>
        <w:t>主要职能</w:t>
      </w:r>
    </w:p>
    <w:p w:rsidR="001A1A79" w:rsidRPr="00D56E2B" w:rsidRDefault="00513E9E">
      <w:pPr>
        <w:pStyle w:val="a5"/>
        <w:shd w:val="clear" w:color="auto" w:fill="auto"/>
        <w:spacing w:before="0" w:beforeAutospacing="0" w:after="0" w:afterAutospacing="0" w:line="600" w:lineRule="exact"/>
        <w:ind w:left="74" w:right="74" w:firstLine="560"/>
        <w:rPr>
          <w:rFonts w:ascii="仿宋_GB2312" w:eastAsia="仿宋_GB2312" w:hAnsi="仿宋" w:cs="仿宋"/>
          <w:sz w:val="32"/>
          <w:szCs w:val="32"/>
        </w:rPr>
      </w:pPr>
      <w:r w:rsidRPr="00D56E2B">
        <w:rPr>
          <w:rFonts w:ascii="仿宋_GB2312" w:eastAsia="仿宋_GB2312" w:hAnsi="仿宋" w:cs="仿宋" w:hint="eastAsia"/>
          <w:sz w:val="32"/>
          <w:szCs w:val="32"/>
        </w:rPr>
        <w:t>为人民身体健康提供医疗与预防保健服务。医疗常见病多发病护理  恢复期病人康复治疗与护理预防保健    卫生技术人员培训   初级卫生保健规划实施  卫生监督与卫生信息管理</w:t>
      </w:r>
    </w:p>
    <w:p w:rsidR="001A1A79" w:rsidRPr="00D56E2B" w:rsidRDefault="001A1A79">
      <w:pPr>
        <w:shd w:val="clear" w:color="auto" w:fill="auto"/>
        <w:jc w:val="left"/>
        <w:rPr>
          <w:rFonts w:ascii="仿宋_GB2312" w:eastAsia="仿宋_GB2312"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1A1A79" w:rsidRDefault="001A1A79">
      <w:pPr>
        <w:shd w:val="clear" w:color="auto" w:fill="auto"/>
        <w:jc w:val="center"/>
        <w:outlineLvl w:val="0"/>
        <w:rPr>
          <w:rFonts w:ascii="仿宋" w:eastAsia="仿宋" w:hAnsi="仿宋" w:cs="仿宋"/>
          <w:sz w:val="48"/>
          <w:szCs w:val="48"/>
        </w:rPr>
      </w:pPr>
    </w:p>
    <w:p w:rsidR="00D56E2B" w:rsidRDefault="00513E9E" w:rsidP="00D56E2B">
      <w:pPr>
        <w:shd w:val="clear" w:color="auto" w:fill="auto"/>
        <w:jc w:val="center"/>
        <w:outlineLvl w:val="0"/>
        <w:rPr>
          <w:rFonts w:ascii="隶书" w:eastAsia="隶书" w:hAnsi="仿宋" w:cs="仿宋"/>
          <w:sz w:val="48"/>
          <w:szCs w:val="48"/>
        </w:rPr>
      </w:pPr>
      <w:r w:rsidRPr="00D56E2B">
        <w:rPr>
          <w:rFonts w:ascii="隶书" w:eastAsia="隶书" w:hAnsi="仿宋" w:cs="仿宋" w:hint="eastAsia"/>
          <w:sz w:val="48"/>
          <w:szCs w:val="48"/>
        </w:rPr>
        <w:t>第二部分</w:t>
      </w:r>
    </w:p>
    <w:p w:rsidR="00D56E2B" w:rsidRDefault="00513E9E" w:rsidP="00D56E2B">
      <w:pPr>
        <w:shd w:val="clear" w:color="auto" w:fill="auto"/>
        <w:jc w:val="center"/>
        <w:outlineLvl w:val="0"/>
        <w:rPr>
          <w:rFonts w:ascii="隶书" w:eastAsia="隶书" w:hAnsi="仿宋" w:cs="仿宋"/>
          <w:sz w:val="48"/>
          <w:szCs w:val="48"/>
        </w:rPr>
      </w:pPr>
      <w:r w:rsidRPr="00D56E2B">
        <w:rPr>
          <w:rFonts w:ascii="隶书" w:eastAsia="隶书" w:hAnsi="仿宋" w:cs="仿宋" w:hint="eastAsia"/>
          <w:sz w:val="48"/>
          <w:szCs w:val="48"/>
        </w:rPr>
        <w:t>延津县僧固乡卫生院2016年度</w:t>
      </w:r>
    </w:p>
    <w:p w:rsidR="001A1A79" w:rsidRPr="00D56E2B" w:rsidRDefault="00513E9E" w:rsidP="00D56E2B">
      <w:pPr>
        <w:shd w:val="clear" w:color="auto" w:fill="auto"/>
        <w:jc w:val="center"/>
        <w:outlineLvl w:val="0"/>
        <w:rPr>
          <w:rFonts w:ascii="隶书" w:eastAsia="隶书" w:hAnsi="仿宋" w:cs="仿宋"/>
          <w:sz w:val="48"/>
          <w:szCs w:val="48"/>
        </w:rPr>
      </w:pPr>
      <w:r w:rsidRPr="00D56E2B">
        <w:rPr>
          <w:rFonts w:ascii="隶书" w:eastAsia="隶书" w:hAnsi="仿宋" w:cs="仿宋" w:hint="eastAsia"/>
          <w:sz w:val="48"/>
          <w:szCs w:val="48"/>
        </w:rPr>
        <w:t>部门决算表</w:t>
      </w:r>
    </w:p>
    <w:p w:rsidR="001A1A79" w:rsidRDefault="001A1A79">
      <w:pPr>
        <w:shd w:val="clear" w:color="auto" w:fill="auto"/>
        <w:rPr>
          <w:rFonts w:ascii="仿宋" w:eastAsia="仿宋" w:hAnsi="仿宋" w:cs="仿宋"/>
        </w:rPr>
        <w:sectPr w:rsidR="001A1A79">
          <w:headerReference w:type="default" r:id="rId11"/>
          <w:footerReference w:type="default" r:id="rId12"/>
          <w:endnotePr>
            <w:numFmt w:val="decimal"/>
          </w:endnotePr>
          <w:pgSz w:w="11906" w:h="16838"/>
          <w:pgMar w:top="1440" w:right="1531" w:bottom="1440" w:left="1587" w:header="709" w:footer="992" w:gutter="0"/>
          <w:cols w:space="720"/>
        </w:sectPr>
      </w:pPr>
    </w:p>
    <w:tbl>
      <w:tblPr>
        <w:tblW w:w="10350" w:type="dxa"/>
        <w:tblInd w:w="-1055" w:type="dxa"/>
        <w:tblLayout w:type="fixed"/>
        <w:tblLook w:val="04A0"/>
      </w:tblPr>
      <w:tblGrid>
        <w:gridCol w:w="1995"/>
        <w:gridCol w:w="645"/>
        <w:gridCol w:w="642"/>
        <w:gridCol w:w="472"/>
        <w:gridCol w:w="1316"/>
        <w:gridCol w:w="2325"/>
        <w:gridCol w:w="495"/>
        <w:gridCol w:w="324"/>
        <w:gridCol w:w="527"/>
        <w:gridCol w:w="1609"/>
      </w:tblGrid>
      <w:tr w:rsidR="001A1A79">
        <w:trPr>
          <w:trHeight w:val="375"/>
        </w:trPr>
        <w:tc>
          <w:tcPr>
            <w:tcW w:w="10350" w:type="dxa"/>
            <w:gridSpan w:val="10"/>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收入支出决算总表</w:t>
            </w:r>
          </w:p>
        </w:tc>
      </w:tr>
      <w:tr w:rsidR="001A1A79">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w:t>
            </w:r>
          </w:p>
        </w:tc>
        <w:tc>
          <w:tcPr>
            <w:tcW w:w="472"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公开01表</w:t>
            </w:r>
          </w:p>
        </w:tc>
      </w:tr>
      <w:tr w:rsidR="001A1A79">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472"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1A1A79">
        <w:trPr>
          <w:trHeight w:val="300"/>
        </w:trPr>
        <w:tc>
          <w:tcPr>
            <w:tcW w:w="507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b/>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b/>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jc w:val="center"/>
              <w:rPr>
                <w:rFonts w:ascii="宋体" w:eastAsia="宋体" w:hAnsi="宋体" w:cs="宋体"/>
                <w:sz w:val="16"/>
                <w:szCs w:val="16"/>
              </w:rPr>
            </w:pPr>
            <w:r>
              <w:rPr>
                <w:rFonts w:ascii="宋体" w:eastAsia="宋体" w:hAnsi="宋体" w:cs="宋体" w:hint="eastAsia"/>
                <w:sz w:val="16"/>
                <w:szCs w:val="16"/>
              </w:rPr>
              <w:t>251.12</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jc w:val="center"/>
              <w:rPr>
                <w:rFonts w:ascii="宋体" w:eastAsia="宋体" w:hAnsi="宋体" w:cs="宋体"/>
                <w:sz w:val="16"/>
                <w:szCs w:val="16"/>
              </w:rPr>
            </w:pPr>
            <w:r>
              <w:rPr>
                <w:rFonts w:ascii="宋体" w:eastAsia="宋体" w:hAnsi="宋体" w:cs="宋体" w:hint="eastAsia"/>
                <w:sz w:val="16"/>
                <w:szCs w:val="16"/>
              </w:rPr>
              <w:t>269.6</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shd w:val="clear" w:color="auto" w:fill="auto"/>
              <w:jc w:val="center"/>
              <w:rPr>
                <w:rFonts w:ascii="宋体" w:eastAsia="宋体" w:hAnsi="宋体" w:cs="宋体"/>
                <w:sz w:val="16"/>
                <w:szCs w:val="16"/>
              </w:rPr>
            </w:pPr>
            <w:r>
              <w:rPr>
                <w:rFonts w:ascii="宋体" w:eastAsia="宋体" w:hAnsi="宋体" w:cs="宋体" w:hint="eastAsia"/>
                <w:sz w:val="16"/>
                <w:szCs w:val="16"/>
              </w:rPr>
              <w:t>28.99</w:t>
            </w: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jc w:val="center"/>
              <w:rPr>
                <w:rFonts w:ascii="宋体" w:eastAsia="宋体" w:hAnsi="宋体" w:cs="宋体"/>
                <w:b/>
                <w:sz w:val="16"/>
                <w:szCs w:val="16"/>
              </w:rPr>
            </w:pPr>
            <w:r>
              <w:rPr>
                <w:rFonts w:ascii="宋体" w:eastAsia="宋体" w:hAnsi="宋体" w:cs="宋体" w:hint="eastAsia"/>
                <w:b/>
                <w:sz w:val="16"/>
                <w:szCs w:val="16"/>
              </w:rPr>
              <w:t>520.72</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shd w:val="clear" w:color="auto" w:fill="auto"/>
              <w:jc w:val="center"/>
              <w:rPr>
                <w:rFonts w:ascii="宋体" w:eastAsia="宋体" w:hAnsi="宋体" w:cs="宋体"/>
                <w:b/>
                <w:sz w:val="16"/>
                <w:szCs w:val="16"/>
              </w:rPr>
            </w:pPr>
            <w:r>
              <w:rPr>
                <w:rFonts w:ascii="宋体" w:eastAsia="宋体" w:hAnsi="宋体" w:cs="宋体" w:hint="eastAsia"/>
                <w:b/>
                <w:sz w:val="16"/>
                <w:szCs w:val="16"/>
              </w:rPr>
              <w:t>28.99</w:t>
            </w: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300"/>
        </w:trPr>
        <w:tc>
          <w:tcPr>
            <w:tcW w:w="199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总计</w:t>
            </w:r>
          </w:p>
        </w:tc>
        <w:tc>
          <w:tcPr>
            <w:tcW w:w="64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jc w:val="center"/>
              <w:rPr>
                <w:rFonts w:ascii="宋体" w:eastAsia="宋体" w:hAnsi="宋体" w:cs="宋体"/>
                <w:b/>
                <w:sz w:val="16"/>
                <w:szCs w:val="16"/>
              </w:rPr>
            </w:pPr>
            <w:r>
              <w:rPr>
                <w:rFonts w:ascii="宋体" w:eastAsia="宋体" w:hAnsi="宋体" w:cs="宋体" w:hint="eastAsia"/>
                <w:b/>
                <w:sz w:val="16"/>
                <w:szCs w:val="16"/>
              </w:rPr>
              <w:t>520.72</w:t>
            </w:r>
          </w:p>
        </w:tc>
        <w:tc>
          <w:tcPr>
            <w:tcW w:w="232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b/>
                <w:sz w:val="16"/>
                <w:szCs w:val="16"/>
              </w:rPr>
            </w:pPr>
            <w:r>
              <w:rPr>
                <w:rFonts w:ascii="宋体" w:eastAsia="宋体" w:hAnsi="宋体" w:cs="宋体" w:hint="eastAsia"/>
                <w:b/>
                <w:sz w:val="16"/>
                <w:szCs w:val="16"/>
              </w:rPr>
              <w:t>总计</w:t>
            </w:r>
          </w:p>
        </w:tc>
        <w:tc>
          <w:tcPr>
            <w:tcW w:w="49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1A1A79" w:rsidRDefault="00513E9E">
            <w:pPr>
              <w:shd w:val="clear" w:color="auto" w:fill="auto"/>
              <w:jc w:val="center"/>
              <w:rPr>
                <w:rFonts w:ascii="宋体" w:eastAsia="宋体" w:hAnsi="宋体" w:cs="宋体"/>
                <w:b/>
                <w:sz w:val="16"/>
                <w:szCs w:val="16"/>
              </w:rPr>
            </w:pPr>
            <w:r>
              <w:rPr>
                <w:rFonts w:ascii="宋体" w:eastAsia="宋体" w:hAnsi="宋体" w:cs="宋体" w:hint="eastAsia"/>
                <w:b/>
                <w:sz w:val="16"/>
                <w:szCs w:val="16"/>
              </w:rPr>
              <w:t>28.99</w:t>
            </w:r>
          </w:p>
        </w:tc>
      </w:tr>
      <w:tr w:rsidR="001A1A79">
        <w:trPr>
          <w:trHeight w:val="555"/>
        </w:trPr>
        <w:tc>
          <w:tcPr>
            <w:tcW w:w="10350" w:type="dxa"/>
            <w:gridSpan w:val="10"/>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注：本表反映部门本年度的总收支和年末结转结余情况。</w:t>
            </w:r>
          </w:p>
        </w:tc>
      </w:tr>
    </w:tbl>
    <w:p w:rsidR="001A1A79" w:rsidRDefault="001A1A79">
      <w:pPr>
        <w:shd w:val="clear" w:color="auto" w:fill="auto"/>
        <w:sectPr w:rsidR="001A1A79">
          <w:headerReference w:type="default" r:id="rId13"/>
          <w:footerReference w:type="default" r:id="rId14"/>
          <w:endnotePr>
            <w:numFmt w:val="decimal"/>
          </w:endnotePr>
          <w:pgSz w:w="11906" w:h="16838"/>
          <w:pgMar w:top="1440" w:right="1800" w:bottom="1440" w:left="1800" w:header="709" w:footer="992" w:gutter="0"/>
          <w:cols w:space="720"/>
        </w:sectPr>
      </w:pPr>
    </w:p>
    <w:tbl>
      <w:tblPr>
        <w:tblW w:w="10337" w:type="dxa"/>
        <w:tblInd w:w="-842" w:type="dxa"/>
        <w:tblLayout w:type="fixed"/>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1A1A79">
        <w:trPr>
          <w:trHeight w:val="375"/>
        </w:trPr>
        <w:tc>
          <w:tcPr>
            <w:tcW w:w="10337" w:type="dxa"/>
            <w:gridSpan w:val="16"/>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收入决算表</w:t>
            </w:r>
          </w:p>
        </w:tc>
      </w:tr>
      <w:tr w:rsidR="001A1A79">
        <w:trPr>
          <w:trHeight w:val="285"/>
        </w:trPr>
        <w:tc>
          <w:tcPr>
            <w:tcW w:w="1637"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公开02表</w:t>
            </w:r>
          </w:p>
        </w:tc>
      </w:tr>
      <w:tr w:rsidR="001A1A79">
        <w:trPr>
          <w:trHeight w:val="270"/>
        </w:trPr>
        <w:tc>
          <w:tcPr>
            <w:tcW w:w="1637"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1A1A79">
        <w:trPr>
          <w:trHeight w:val="285"/>
        </w:trPr>
        <w:tc>
          <w:tcPr>
            <w:tcW w:w="2673"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附属单位</w:t>
            </w:r>
            <w:r>
              <w:rPr>
                <w:rFonts w:ascii="宋体" w:eastAsia="宋体" w:hAnsi="宋体" w:cs="宋体" w:hint="eastAsia"/>
                <w:b/>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其他收入</w:t>
            </w:r>
          </w:p>
        </w:tc>
      </w:tr>
      <w:tr w:rsidR="001A1A79">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100" w:type="dxa"/>
            <w:gridSpan w:val="2"/>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7</w:t>
            </w:r>
          </w:p>
        </w:tc>
      </w:tr>
      <w:tr w:rsidR="001A1A79">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jc w:val="center"/>
              <w:rPr>
                <w:rFonts w:ascii="宋体" w:eastAsia="宋体" w:hAnsi="宋体" w:cs="宋体"/>
                <w:b/>
                <w:sz w:val="16"/>
                <w:szCs w:val="16"/>
              </w:rPr>
            </w:pPr>
            <w:r>
              <w:rPr>
                <w:rFonts w:ascii="宋体" w:eastAsia="宋体" w:hAnsi="宋体" w:cs="宋体" w:hint="eastAsia"/>
                <w:b/>
                <w:sz w:val="16"/>
                <w:szCs w:val="16"/>
              </w:rPr>
              <w:t>251.12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jc w:val="right"/>
              <w:rPr>
                <w:rFonts w:ascii="宋体" w:eastAsia="宋体" w:hAnsi="宋体" w:cs="宋体"/>
                <w:b/>
                <w:sz w:val="16"/>
                <w:szCs w:val="16"/>
              </w:rPr>
            </w:pPr>
            <w:r>
              <w:rPr>
                <w:rFonts w:ascii="宋体" w:eastAsia="宋体" w:hAnsi="宋体" w:cs="宋体" w:hint="eastAsia"/>
                <w:b/>
                <w:sz w:val="16"/>
                <w:szCs w:val="16"/>
              </w:rPr>
              <w:t>269.6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204</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公共安全支出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检察</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2040401</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行政运行</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2040409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两房建设</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2040450</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事业运行</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jc w:val="center"/>
              <w:rPr>
                <w:rFonts w:ascii="宋体" w:eastAsia="宋体" w:hAnsi="宋体" w:cs="宋体"/>
                <w:sz w:val="16"/>
                <w:szCs w:val="16"/>
              </w:rPr>
            </w:pPr>
            <w:r>
              <w:rPr>
                <w:rFonts w:ascii="宋体" w:eastAsia="宋体" w:hAnsi="宋体" w:cs="宋体" w:hint="eastAsia"/>
                <w:sz w:val="16"/>
                <w:szCs w:val="16"/>
              </w:rPr>
              <w:t>251.12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jc w:val="right"/>
              <w:rPr>
                <w:rFonts w:ascii="宋体" w:eastAsia="宋体" w:hAnsi="宋体" w:cs="宋体"/>
                <w:sz w:val="16"/>
                <w:szCs w:val="16"/>
              </w:rPr>
            </w:pPr>
            <w:r>
              <w:rPr>
                <w:rFonts w:ascii="宋体" w:eastAsia="宋体" w:hAnsi="宋体" w:cs="宋体" w:hint="eastAsia"/>
                <w:sz w:val="16"/>
                <w:szCs w:val="16"/>
              </w:rPr>
              <w:t>269.6</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r>
      <w:tr w:rsidR="001A1A79">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2040499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其他检察支出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r>
      <w:tr w:rsidR="001A1A79">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资源勘探信息等支出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r>
      <w:tr w:rsidR="001A1A79">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21561</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料专用基金及对应专项债务收入安排的支出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r>
      <w:tr w:rsidR="001A1A79">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2156199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其他新型墙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r>
      <w:tr w:rsidR="001A1A79">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r>
      <w:tr w:rsidR="001A1A79">
        <w:trPr>
          <w:trHeight w:val="435"/>
        </w:trPr>
        <w:tc>
          <w:tcPr>
            <w:tcW w:w="67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094"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r>
      <w:tr w:rsidR="001A1A79">
        <w:trPr>
          <w:trHeight w:val="285"/>
        </w:trPr>
        <w:tc>
          <w:tcPr>
            <w:tcW w:w="10337" w:type="dxa"/>
            <w:gridSpan w:val="16"/>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注：本表反映部门本年度取得的各项收入情况。</w:t>
            </w:r>
          </w:p>
        </w:tc>
      </w:tr>
    </w:tbl>
    <w:p w:rsidR="001A1A79" w:rsidRDefault="001A1A79">
      <w:pPr>
        <w:shd w:val="clear" w:color="auto" w:fill="auto"/>
        <w:sectPr w:rsidR="001A1A79">
          <w:headerReference w:type="default" r:id="rId15"/>
          <w:footerReference w:type="default" r:id="rId16"/>
          <w:endnotePr>
            <w:numFmt w:val="decimal"/>
          </w:endnotePr>
          <w:pgSz w:w="11906" w:h="16838"/>
          <w:pgMar w:top="2098" w:right="1531" w:bottom="1984" w:left="1587" w:header="709" w:footer="992" w:gutter="0"/>
          <w:cols w:space="720"/>
        </w:sectPr>
      </w:pPr>
    </w:p>
    <w:tbl>
      <w:tblPr>
        <w:tblW w:w="10350" w:type="dxa"/>
        <w:tblInd w:w="-836" w:type="dxa"/>
        <w:tblLayout w:type="fixed"/>
        <w:tblLook w:val="04A0"/>
      </w:tblPr>
      <w:tblGrid>
        <w:gridCol w:w="735"/>
        <w:gridCol w:w="747"/>
        <w:gridCol w:w="1638"/>
        <w:gridCol w:w="1042"/>
        <w:gridCol w:w="163"/>
        <w:gridCol w:w="836"/>
        <w:gridCol w:w="369"/>
        <w:gridCol w:w="630"/>
        <w:gridCol w:w="575"/>
        <w:gridCol w:w="424"/>
        <w:gridCol w:w="781"/>
        <w:gridCol w:w="218"/>
        <w:gridCol w:w="987"/>
        <w:gridCol w:w="1205"/>
      </w:tblGrid>
      <w:tr w:rsidR="001A1A79">
        <w:trPr>
          <w:trHeight w:val="375"/>
        </w:trPr>
        <w:tc>
          <w:tcPr>
            <w:tcW w:w="10350" w:type="dxa"/>
            <w:gridSpan w:val="14"/>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支出决算表</w:t>
            </w:r>
          </w:p>
        </w:tc>
      </w:tr>
      <w:tr w:rsidR="001A1A79">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公开03表</w:t>
            </w:r>
          </w:p>
        </w:tc>
      </w:tr>
      <w:tr w:rsidR="001A1A79">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1A1A79">
        <w:trPr>
          <w:trHeight w:val="300"/>
        </w:trPr>
        <w:tc>
          <w:tcPr>
            <w:tcW w:w="3120"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对附属单位</w:t>
            </w:r>
            <w:r>
              <w:rPr>
                <w:rFonts w:ascii="宋体" w:eastAsia="宋体" w:hAnsi="宋体" w:cs="宋体" w:hint="eastAsia"/>
                <w:b/>
                <w:sz w:val="16"/>
                <w:szCs w:val="16"/>
              </w:rPr>
              <w:br/>
              <w:t>补助支出</w:t>
            </w:r>
          </w:p>
        </w:tc>
      </w:tr>
      <w:tr w:rsidR="001A1A79">
        <w:trPr>
          <w:trHeight w:val="6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w:t>
            </w: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w:t>
            </w:r>
          </w:p>
        </w:tc>
      </w:tr>
      <w:tr w:rsidR="001A1A79">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601.6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601.6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204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公共安全支出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检察</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2040401</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2040409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两房建设</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2040450</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601.6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601.6</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其他检察支出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资源勘探信息等支出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21561</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2156199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rPr>
                <w:rFonts w:ascii="宋体" w:eastAsia="宋体" w:hAnsi="宋体" w:cs="宋体"/>
                <w:sz w:val="16"/>
                <w:szCs w:val="16"/>
              </w:rPr>
            </w:pPr>
            <w:r>
              <w:rPr>
                <w:rFonts w:ascii="宋体" w:eastAsia="宋体" w:hAnsi="宋体" w:cs="宋体" w:hint="eastAsia"/>
                <w:sz w:val="16"/>
                <w:szCs w:val="16"/>
              </w:rPr>
              <w:t>其他新型墙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73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05"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60"/>
        </w:trPr>
        <w:tc>
          <w:tcPr>
            <w:tcW w:w="10350" w:type="dxa"/>
            <w:gridSpan w:val="14"/>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注：本表反映部门本年度各项支出情况。</w:t>
            </w:r>
          </w:p>
        </w:tc>
      </w:tr>
    </w:tbl>
    <w:p w:rsidR="001A1A79" w:rsidRDefault="001A1A79">
      <w:pPr>
        <w:shd w:val="clear" w:color="auto" w:fill="auto"/>
        <w:sectPr w:rsidR="001A1A79">
          <w:headerReference w:type="default" r:id="rId17"/>
          <w:footerReference w:type="default" r:id="rId18"/>
          <w:endnotePr>
            <w:numFmt w:val="decimal"/>
          </w:endnotePr>
          <w:pgSz w:w="11906" w:h="16838"/>
          <w:pgMar w:top="2098" w:right="1474" w:bottom="1984" w:left="1587" w:header="709" w:footer="992" w:gutter="0"/>
          <w:cols w:space="720"/>
        </w:sectPr>
      </w:pPr>
    </w:p>
    <w:tbl>
      <w:tblPr>
        <w:tblW w:w="10425" w:type="dxa"/>
        <w:tblInd w:w="-902" w:type="dxa"/>
        <w:tblLayout w:type="fixed"/>
        <w:tblLook w:val="04A0"/>
      </w:tblPr>
      <w:tblGrid>
        <w:gridCol w:w="2145"/>
        <w:gridCol w:w="144"/>
        <w:gridCol w:w="261"/>
        <w:gridCol w:w="54"/>
        <w:gridCol w:w="1416"/>
        <w:gridCol w:w="1432"/>
        <w:gridCol w:w="316"/>
        <w:gridCol w:w="337"/>
        <w:gridCol w:w="420"/>
        <w:gridCol w:w="242"/>
        <w:gridCol w:w="999"/>
        <w:gridCol w:w="59"/>
        <w:gridCol w:w="1300"/>
        <w:gridCol w:w="1300"/>
      </w:tblGrid>
      <w:tr w:rsidR="001A1A79">
        <w:trPr>
          <w:trHeight w:val="169"/>
        </w:trPr>
        <w:tc>
          <w:tcPr>
            <w:tcW w:w="10425" w:type="dxa"/>
            <w:gridSpan w:val="14"/>
            <w:tcBorders>
              <w:top w:val="nil"/>
              <w:left w:val="nil"/>
              <w:bottom w:val="nil"/>
              <w:right w:val="nil"/>
            </w:tcBorders>
            <w:tcMar>
              <w:top w:w="15" w:type="dxa"/>
              <w:left w:w="15" w:type="dxa"/>
              <w:bottom w:w="15" w:type="dxa"/>
              <w:right w:w="15" w:type="dxa"/>
            </w:tcMar>
            <w:vAlign w:val="bottom"/>
          </w:tcPr>
          <w:p w:rsidR="001A1A79" w:rsidRDefault="00513E9E">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财政拨款收入支出决算表</w:t>
            </w:r>
          </w:p>
        </w:tc>
      </w:tr>
      <w:tr w:rsidR="001A1A79">
        <w:trPr>
          <w:trHeight w:val="107"/>
        </w:trPr>
        <w:tc>
          <w:tcPr>
            <w:tcW w:w="228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公开04表</w:t>
            </w:r>
          </w:p>
        </w:tc>
      </w:tr>
      <w:tr w:rsidR="001A1A79">
        <w:trPr>
          <w:trHeight w:val="90"/>
        </w:trPr>
        <w:tc>
          <w:tcPr>
            <w:tcW w:w="228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1A1A79">
        <w:trPr>
          <w:trHeight w:val="285"/>
        </w:trPr>
        <w:tc>
          <w:tcPr>
            <w:tcW w:w="402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收　　</w:t>
            </w:r>
            <w:proofErr w:type="gramEnd"/>
            <w:r>
              <w:rPr>
                <w:rFonts w:ascii="宋体" w:eastAsia="宋体" w:hAnsi="宋体" w:cs="宋体" w:hint="eastAsia"/>
                <w:b/>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支　　</w:t>
            </w:r>
            <w:proofErr w:type="gramEnd"/>
            <w:r>
              <w:rPr>
                <w:rFonts w:ascii="宋体" w:eastAsia="宋体" w:hAnsi="宋体" w:cs="宋体" w:hint="eastAsia"/>
                <w:b/>
                <w:sz w:val="16"/>
                <w:szCs w:val="16"/>
              </w:rPr>
              <w:t>出</w:t>
            </w:r>
          </w:p>
        </w:tc>
      </w:tr>
      <w:tr w:rsidR="001A1A79">
        <w:trPr>
          <w:trHeight w:val="480"/>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政府性基金预算财政拨款</w:t>
            </w: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栏　　</w:t>
            </w:r>
            <w:proofErr w:type="gramEnd"/>
            <w:r>
              <w:rPr>
                <w:rFonts w:ascii="宋体" w:eastAsia="宋体" w:hAnsi="宋体" w:cs="宋体" w:hint="eastAsia"/>
                <w:b/>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b/>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    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b/>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251.1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28.9</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251.1</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251.1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28.9</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251.1</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r>
      <w:tr w:rsidR="001A1A79">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90"/>
        </w:trPr>
        <w:tc>
          <w:tcPr>
            <w:tcW w:w="214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b/>
                <w:sz w:val="16"/>
                <w:szCs w:val="16"/>
              </w:rPr>
            </w:pPr>
          </w:p>
        </w:tc>
        <w:tc>
          <w:tcPr>
            <w:tcW w:w="2085"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总计</w:t>
            </w:r>
          </w:p>
        </w:tc>
        <w:tc>
          <w:tcPr>
            <w:tcW w:w="4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28.9</w:t>
            </w:r>
          </w:p>
        </w:tc>
        <w:tc>
          <w:tcPr>
            <w:tcW w:w="130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251.1</w:t>
            </w:r>
          </w:p>
        </w:tc>
        <w:tc>
          <w:tcPr>
            <w:tcW w:w="130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495"/>
        </w:trPr>
        <w:tc>
          <w:tcPr>
            <w:tcW w:w="10425" w:type="dxa"/>
            <w:gridSpan w:val="14"/>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注：本表反映部门本年度一般公共预算财政拨款和政府性基金预算财政拨款的总收支和年末结转结余情况。             </w:t>
            </w:r>
          </w:p>
        </w:tc>
      </w:tr>
    </w:tbl>
    <w:p w:rsidR="001A1A79" w:rsidRDefault="00513E9E">
      <w:pPr>
        <w:shd w:val="clear" w:color="auto" w:fill="auto"/>
      </w:pPr>
      <w:r>
        <w:br w:type="page"/>
      </w:r>
    </w:p>
    <w:tbl>
      <w:tblPr>
        <w:tblW w:w="10440" w:type="dxa"/>
        <w:tblInd w:w="-917" w:type="dxa"/>
        <w:tblLayout w:type="fixed"/>
        <w:tblLook w:val="04A0"/>
      </w:tblPr>
      <w:tblGrid>
        <w:gridCol w:w="1216"/>
        <w:gridCol w:w="675"/>
        <w:gridCol w:w="1800"/>
        <w:gridCol w:w="2249"/>
        <w:gridCol w:w="76"/>
        <w:gridCol w:w="1575"/>
        <w:gridCol w:w="598"/>
        <w:gridCol w:w="2251"/>
      </w:tblGrid>
      <w:tr w:rsidR="001A1A79">
        <w:trPr>
          <w:trHeight w:val="375"/>
        </w:trPr>
        <w:tc>
          <w:tcPr>
            <w:tcW w:w="10440" w:type="dxa"/>
            <w:gridSpan w:val="8"/>
            <w:tcBorders>
              <w:top w:val="nil"/>
              <w:left w:val="nil"/>
              <w:bottom w:val="nil"/>
              <w:right w:val="nil"/>
            </w:tcBorders>
            <w:tcMar>
              <w:top w:w="15" w:type="dxa"/>
              <w:left w:w="15" w:type="dxa"/>
              <w:bottom w:w="15" w:type="dxa"/>
              <w:right w:w="15" w:type="dxa"/>
            </w:tcMar>
            <w:vAlign w:val="bottom"/>
          </w:tcPr>
          <w:p w:rsidR="001A1A79" w:rsidRDefault="00513E9E">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一般公共预算财政拨款支出决算表</w:t>
            </w:r>
          </w:p>
        </w:tc>
      </w:tr>
      <w:tr w:rsidR="001A1A79">
        <w:trPr>
          <w:trHeight w:val="285"/>
        </w:trPr>
        <w:tc>
          <w:tcPr>
            <w:tcW w:w="1891"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公开05表</w:t>
            </w:r>
          </w:p>
        </w:tc>
      </w:tr>
      <w:tr w:rsidR="001A1A79">
        <w:trPr>
          <w:trHeight w:val="270"/>
        </w:trPr>
        <w:tc>
          <w:tcPr>
            <w:tcW w:w="1891"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1A1A79">
        <w:trPr>
          <w:trHeight w:val="300"/>
        </w:trPr>
        <w:tc>
          <w:tcPr>
            <w:tcW w:w="3691"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项目支出</w:t>
            </w:r>
          </w:p>
        </w:tc>
      </w:tr>
      <w:tr w:rsidR="001A1A79">
        <w:trPr>
          <w:trHeight w:val="6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49" w:type="dxa"/>
            <w:gridSpan w:val="3"/>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51"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r>
      <w:tr w:rsidR="001A1A79">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251.1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251.1</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204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公共安全支出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检察</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2040401</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Times New Roman" w:eastAsia="宋体" w:hAnsi="Times New Roman"/>
                <w:sz w:val="20"/>
                <w:szCs w:val="20"/>
              </w:rPr>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2040409</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两房建设</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2040450</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251.1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251.1</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2040499</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其他检察支出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7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300"/>
        </w:trPr>
        <w:tc>
          <w:tcPr>
            <w:tcW w:w="1216"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249"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2251"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600"/>
        </w:trPr>
        <w:tc>
          <w:tcPr>
            <w:tcW w:w="10440" w:type="dxa"/>
            <w:gridSpan w:val="8"/>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注：本表反映部门本年度一般公共预算财政拨款实际支出情况。             </w:t>
            </w:r>
          </w:p>
        </w:tc>
      </w:tr>
    </w:tbl>
    <w:p w:rsidR="001A1A79" w:rsidRDefault="001A1A79">
      <w:pPr>
        <w:shd w:val="clear" w:color="auto" w:fill="auto"/>
        <w:sectPr w:rsidR="001A1A79">
          <w:headerReference w:type="default" r:id="rId19"/>
          <w:footerReference w:type="default" r:id="rId20"/>
          <w:endnotePr>
            <w:numFmt w:val="decimal"/>
          </w:endnotePr>
          <w:pgSz w:w="11906" w:h="16838"/>
          <w:pgMar w:top="1440" w:right="1531" w:bottom="1440" w:left="1587" w:header="709" w:footer="992" w:gutter="0"/>
          <w:cols w:space="720"/>
        </w:sectPr>
      </w:pPr>
    </w:p>
    <w:tbl>
      <w:tblPr>
        <w:tblW w:w="10485" w:type="dxa"/>
        <w:tblInd w:w="-911" w:type="dxa"/>
        <w:tblLayout w:type="fixed"/>
        <w:tblLook w:val="04A0"/>
      </w:tblPr>
      <w:tblGrid>
        <w:gridCol w:w="715"/>
        <w:gridCol w:w="935"/>
        <w:gridCol w:w="1794"/>
        <w:gridCol w:w="1620"/>
        <w:gridCol w:w="754"/>
        <w:gridCol w:w="117"/>
        <w:gridCol w:w="1677"/>
        <w:gridCol w:w="1163"/>
        <w:gridCol w:w="1710"/>
      </w:tblGrid>
      <w:tr w:rsidR="001A1A79">
        <w:trPr>
          <w:trHeight w:val="375"/>
        </w:trPr>
        <w:tc>
          <w:tcPr>
            <w:tcW w:w="10485" w:type="dxa"/>
            <w:gridSpan w:val="9"/>
            <w:tcBorders>
              <w:top w:val="nil"/>
              <w:left w:val="nil"/>
              <w:bottom w:val="nil"/>
              <w:right w:val="nil"/>
            </w:tcBorders>
            <w:tcMar>
              <w:top w:w="15" w:type="dxa"/>
              <w:left w:w="15" w:type="dxa"/>
              <w:bottom w:w="15" w:type="dxa"/>
              <w:right w:w="15" w:type="dxa"/>
            </w:tcMar>
            <w:vAlign w:val="bottom"/>
          </w:tcPr>
          <w:p w:rsidR="001A1A79" w:rsidRDefault="00513E9E">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一般公共预算财政拨款基本支出决算表</w:t>
            </w:r>
          </w:p>
        </w:tc>
      </w:tr>
      <w:tr w:rsidR="001A1A79">
        <w:trPr>
          <w:trHeight w:val="285"/>
        </w:trPr>
        <w:tc>
          <w:tcPr>
            <w:tcW w:w="165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公开06表</w:t>
            </w:r>
          </w:p>
        </w:tc>
      </w:tr>
      <w:tr w:rsidR="001A1A79">
        <w:trPr>
          <w:trHeight w:val="270"/>
        </w:trPr>
        <w:tc>
          <w:tcPr>
            <w:tcW w:w="165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1A1A79">
        <w:trPr>
          <w:trHeight w:val="300"/>
        </w:trPr>
        <w:tc>
          <w:tcPr>
            <w:tcW w:w="5064" w:type="dxa"/>
            <w:gridSpan w:val="4"/>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公用经费</w:t>
            </w:r>
          </w:p>
        </w:tc>
      </w:tr>
      <w:tr w:rsidR="001A1A79">
        <w:trPr>
          <w:trHeight w:val="6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经济分类</w:t>
            </w:r>
          </w:p>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经济分类</w:t>
            </w:r>
          </w:p>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金额</w:t>
            </w: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50.3</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147.67</w:t>
            </w: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32.4</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w:t>
            </w: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pPr>
            <w:r>
              <w:t>14.3</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3.3</w:t>
            </w: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pPr>
            <w:r>
              <w:t>0.8</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pPr>
            <w:r>
              <w:t>0.5</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shd w:val="clear" w:color="auto" w:fill="auto"/>
            </w:pPr>
            <w:r>
              <w:t>0.17</w:t>
            </w: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shd w:val="clear" w:color="auto" w:fill="auto"/>
            </w:pPr>
            <w:r>
              <w:t>16.6</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Times New Roman" w:eastAsia="宋体" w:hAnsi="Times New Roman"/>
                <w:sz w:val="20"/>
                <w:szCs w:val="20"/>
              </w:rPr>
            </w:pPr>
            <w:r>
              <w:rPr>
                <w:rFonts w:ascii="Times New Roman" w:eastAsia="宋体" w:hAnsi="Times New Roman" w:hint="eastAsia"/>
                <w:sz w:val="20"/>
                <w:szCs w:val="20"/>
              </w:rPr>
              <w:t>4.3</w:t>
            </w: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Times New Roman" w:eastAsia="宋体" w:hAnsi="Times New Roman"/>
                <w:sz w:val="20"/>
                <w:szCs w:val="20"/>
              </w:rPr>
            </w:pPr>
            <w:r>
              <w:rPr>
                <w:rFonts w:ascii="Times New Roman" w:eastAsia="宋体" w:hAnsi="Times New Roman" w:hint="eastAsia"/>
                <w:sz w:val="20"/>
                <w:szCs w:val="20"/>
              </w:rPr>
              <w:t>0.4</w:t>
            </w: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38.1</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38.1</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Times New Roman" w:eastAsia="宋体" w:hAnsi="Times New Roman"/>
                <w:sz w:val="20"/>
                <w:szCs w:val="20"/>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shd w:val="clear" w:color="auto" w:fill="auto"/>
            </w:pPr>
            <w:r>
              <w:t>0.2</w:t>
            </w: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shd w:val="clear" w:color="auto" w:fill="auto"/>
            </w:pPr>
            <w:r>
              <w:t>136.8</w:t>
            </w: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0.1</w:t>
            </w: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center"/>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0.5</w:t>
            </w: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b/>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Times New Roman" w:eastAsia="宋体" w:hAnsi="Times New Roman"/>
                <w:b/>
                <w:bCs/>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Times New Roman" w:eastAsia="宋体" w:hAnsi="Times New Roman"/>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b/>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b/>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b/>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left"/>
              <w:rPr>
                <w:rFonts w:ascii="宋体" w:eastAsia="宋体" w:hAns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jc w:val="right"/>
              <w:rPr>
                <w:rFonts w:ascii="宋体" w:eastAsia="宋体" w:hAns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center"/>
              <w:rPr>
                <w:rFonts w:ascii="宋体" w:eastAsia="宋体" w:hAnsi="宋体" w:cs="宋体"/>
                <w:sz w:val="16"/>
                <w:szCs w:val="16"/>
              </w:rPr>
            </w:pPr>
          </w:p>
        </w:tc>
      </w:tr>
      <w:tr w:rsidR="001A1A79">
        <w:trPr>
          <w:trHeight w:val="477"/>
        </w:trPr>
        <w:tc>
          <w:tcPr>
            <w:tcW w:w="10485" w:type="dxa"/>
            <w:gridSpan w:val="9"/>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注：本表反映部门本年度一般公共预算财政拨款基本支出明细情况。</w:t>
            </w:r>
          </w:p>
        </w:tc>
      </w:tr>
    </w:tbl>
    <w:p w:rsidR="001A1A79" w:rsidRDefault="001A1A79">
      <w:pPr>
        <w:shd w:val="clear" w:color="auto" w:fill="auto"/>
        <w:sectPr w:rsidR="001A1A79">
          <w:headerReference w:type="default" r:id="rId21"/>
          <w:footerReference w:type="default" r:id="rId22"/>
          <w:endnotePr>
            <w:numFmt w:val="decimal"/>
          </w:endnotePr>
          <w:pgSz w:w="11906" w:h="16838"/>
          <w:pgMar w:top="1440" w:right="1531" w:bottom="1440" w:left="1587" w:header="709" w:footer="992" w:gutter="0"/>
          <w:cols w:space="720"/>
        </w:sectPr>
      </w:pPr>
    </w:p>
    <w:tbl>
      <w:tblPr>
        <w:tblW w:w="10485" w:type="dxa"/>
        <w:tblInd w:w="-926" w:type="dxa"/>
        <w:tblLayout w:type="fixed"/>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1A1A79">
        <w:trPr>
          <w:trHeight w:val="375"/>
        </w:trPr>
        <w:tc>
          <w:tcPr>
            <w:tcW w:w="10485" w:type="dxa"/>
            <w:gridSpan w:val="22"/>
            <w:tcBorders>
              <w:top w:val="nil"/>
              <w:left w:val="nil"/>
              <w:bottom w:val="nil"/>
              <w:right w:val="nil"/>
            </w:tcBorders>
            <w:tcMar>
              <w:top w:w="15" w:type="dxa"/>
              <w:left w:w="15" w:type="dxa"/>
              <w:bottom w:w="15" w:type="dxa"/>
              <w:right w:w="15" w:type="dxa"/>
            </w:tcMar>
            <w:vAlign w:val="bottom"/>
          </w:tcPr>
          <w:p w:rsidR="001A1A79" w:rsidRDefault="00513E9E">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一般公共预算财政拨款“三公”经费支出决算表</w:t>
            </w:r>
          </w:p>
        </w:tc>
      </w:tr>
      <w:tr w:rsidR="001A1A79">
        <w:trPr>
          <w:trHeight w:val="285"/>
        </w:trPr>
        <w:tc>
          <w:tcPr>
            <w:tcW w:w="1783"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公开07表</w:t>
            </w:r>
          </w:p>
        </w:tc>
      </w:tr>
      <w:tr w:rsidR="001A1A79">
        <w:trPr>
          <w:trHeight w:val="270"/>
        </w:trPr>
        <w:tc>
          <w:tcPr>
            <w:tcW w:w="1783"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1A1A79">
        <w:trPr>
          <w:trHeight w:val="300"/>
        </w:trPr>
        <w:tc>
          <w:tcPr>
            <w:tcW w:w="5310" w:type="dxa"/>
            <w:gridSpan w:val="11"/>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2016年度决算数</w:t>
            </w:r>
          </w:p>
        </w:tc>
      </w:tr>
      <w:tr w:rsidR="001A1A79">
        <w:trPr>
          <w:trHeight w:val="600"/>
        </w:trPr>
        <w:tc>
          <w:tcPr>
            <w:tcW w:w="922" w:type="dxa"/>
            <w:vMerge w:val="restart"/>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公务接待费</w:t>
            </w:r>
          </w:p>
        </w:tc>
      </w:tr>
      <w:tr w:rsidR="001A1A79">
        <w:trPr>
          <w:trHeight w:val="600"/>
        </w:trPr>
        <w:tc>
          <w:tcPr>
            <w:tcW w:w="922" w:type="dxa"/>
            <w:vMerge/>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923"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922"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923" w:type="dxa"/>
            <w:gridSpan w:val="3"/>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公务用车</w:t>
            </w:r>
            <w:r>
              <w:rPr>
                <w:rFonts w:ascii="宋体" w:eastAsia="宋体" w:hAnsi="宋体" w:cs="宋体" w:hint="eastAsia"/>
                <w:b/>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300"/>
        </w:trPr>
        <w:tc>
          <w:tcPr>
            <w:tcW w:w="922"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5</w:t>
            </w:r>
          </w:p>
        </w:tc>
        <w:tc>
          <w:tcPr>
            <w:tcW w:w="9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11</w:t>
            </w:r>
          </w:p>
        </w:tc>
        <w:tc>
          <w:tcPr>
            <w:tcW w:w="87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12</w:t>
            </w:r>
          </w:p>
        </w:tc>
      </w:tr>
      <w:tr w:rsidR="001A1A79">
        <w:trPr>
          <w:trHeight w:val="600"/>
        </w:trPr>
        <w:tc>
          <w:tcPr>
            <w:tcW w:w="922"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923"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70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8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0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91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9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923"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8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87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600"/>
        </w:trPr>
        <w:tc>
          <w:tcPr>
            <w:tcW w:w="10485" w:type="dxa"/>
            <w:gridSpan w:val="22"/>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1A1A79" w:rsidRDefault="001A1A79">
      <w:pPr>
        <w:shd w:val="clear" w:color="auto" w:fill="auto"/>
        <w:sectPr w:rsidR="001A1A79">
          <w:headerReference w:type="default" r:id="rId23"/>
          <w:footerReference w:type="default" r:id="rId24"/>
          <w:endnotePr>
            <w:numFmt w:val="decimal"/>
          </w:endnotePr>
          <w:pgSz w:w="11906" w:h="16838"/>
          <w:pgMar w:top="1440" w:right="1531" w:bottom="1440" w:left="1587" w:header="709" w:footer="992" w:gutter="0"/>
          <w:cols w:space="720"/>
        </w:sectPr>
      </w:pPr>
    </w:p>
    <w:tbl>
      <w:tblPr>
        <w:tblW w:w="10500" w:type="dxa"/>
        <w:tblInd w:w="-917" w:type="dxa"/>
        <w:tblLayout w:type="fixed"/>
        <w:tblLook w:val="04A0"/>
      </w:tblPr>
      <w:tblGrid>
        <w:gridCol w:w="705"/>
        <w:gridCol w:w="886"/>
        <w:gridCol w:w="1436"/>
        <w:gridCol w:w="1166"/>
        <w:gridCol w:w="65"/>
        <w:gridCol w:w="1232"/>
        <w:gridCol w:w="751"/>
        <w:gridCol w:w="499"/>
        <w:gridCol w:w="500"/>
        <w:gridCol w:w="750"/>
        <w:gridCol w:w="1250"/>
        <w:gridCol w:w="1260"/>
      </w:tblGrid>
      <w:tr w:rsidR="001A1A79">
        <w:trPr>
          <w:trHeight w:val="375"/>
        </w:trPr>
        <w:tc>
          <w:tcPr>
            <w:tcW w:w="10500" w:type="dxa"/>
            <w:gridSpan w:val="12"/>
            <w:tcBorders>
              <w:top w:val="nil"/>
              <w:left w:val="nil"/>
              <w:bottom w:val="nil"/>
              <w:right w:val="nil"/>
            </w:tcBorders>
            <w:tcMar>
              <w:top w:w="15" w:type="dxa"/>
              <w:left w:w="15" w:type="dxa"/>
              <w:bottom w:w="15" w:type="dxa"/>
              <w:right w:w="15" w:type="dxa"/>
            </w:tcMar>
            <w:vAlign w:val="bottom"/>
          </w:tcPr>
          <w:p w:rsidR="001A1A79" w:rsidRDefault="00513E9E">
            <w:pPr>
              <w:widowControl/>
              <w:shd w:val="clear" w:color="auto" w:fill="auto"/>
              <w:jc w:val="center"/>
              <w:rPr>
                <w:rFonts w:ascii="黑体" w:eastAsia="黑体" w:hAnsi="黑体" w:cs="黑体"/>
                <w:sz w:val="28"/>
                <w:szCs w:val="28"/>
              </w:rPr>
            </w:pPr>
            <w:r>
              <w:rPr>
                <w:rFonts w:ascii="黑体" w:eastAsia="黑体" w:hAnsi="黑体" w:cs="黑体" w:hint="eastAsia"/>
                <w:sz w:val="28"/>
                <w:szCs w:val="28"/>
              </w:rPr>
              <w:lastRenderedPageBreak/>
              <w:t>政府性基金预算财政拨款收入支出决算表</w:t>
            </w:r>
          </w:p>
        </w:tc>
      </w:tr>
      <w:tr w:rsidR="001A1A79">
        <w:trPr>
          <w:trHeight w:val="285"/>
        </w:trPr>
        <w:tc>
          <w:tcPr>
            <w:tcW w:w="1591"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公开08表</w:t>
            </w:r>
          </w:p>
        </w:tc>
      </w:tr>
      <w:tr w:rsidR="001A1A79">
        <w:trPr>
          <w:trHeight w:val="270"/>
        </w:trPr>
        <w:tc>
          <w:tcPr>
            <w:tcW w:w="1591"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1A1A79" w:rsidRDefault="001A1A79">
            <w:pPr>
              <w:shd w:val="clear" w:color="auto" w:fill="auto"/>
              <w:rPr>
                <w:rFonts w:ascii="宋体" w:eastAsia="宋体" w:hAns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right"/>
              <w:rPr>
                <w:rFonts w:ascii="宋体" w:eastAsia="宋体" w:hAnsi="宋体" w:cs="宋体"/>
                <w:sz w:val="16"/>
                <w:szCs w:val="16"/>
              </w:rPr>
            </w:pPr>
            <w:r>
              <w:rPr>
                <w:rFonts w:ascii="宋体" w:eastAsia="宋体" w:hAnsi="宋体" w:cs="宋体" w:hint="eastAsia"/>
                <w:sz w:val="16"/>
                <w:szCs w:val="16"/>
              </w:rPr>
              <w:t>单位：万元</w:t>
            </w:r>
          </w:p>
        </w:tc>
      </w:tr>
      <w:tr w:rsidR="001A1A79">
        <w:trPr>
          <w:trHeight w:val="285"/>
        </w:trPr>
        <w:tc>
          <w:tcPr>
            <w:tcW w:w="3027"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proofErr w:type="gramStart"/>
            <w:r>
              <w:rPr>
                <w:rFonts w:ascii="宋体" w:eastAsia="宋体" w:hAnsi="宋体" w:cs="宋体" w:hint="eastAsia"/>
                <w:b/>
                <w:sz w:val="16"/>
                <w:szCs w:val="16"/>
              </w:rPr>
              <w:t xml:space="preserve">项　　</w:t>
            </w:r>
            <w:proofErr w:type="gramEnd"/>
            <w:r>
              <w:rPr>
                <w:rFonts w:ascii="宋体" w:eastAsia="宋体" w:hAnsi="宋体" w:cs="宋体" w:hint="eastAsia"/>
                <w:b/>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年末结转和结余</w:t>
            </w:r>
          </w:p>
        </w:tc>
      </w:tr>
      <w:tr w:rsidR="001A1A79">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功能分类</w:t>
            </w:r>
            <w:r>
              <w:rPr>
                <w:rFonts w:ascii="宋体" w:eastAsia="宋体" w:hAnsi="宋体" w:cs="宋体" w:hint="eastAsia"/>
                <w:b/>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32"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1</w:t>
            </w: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4</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5</w:t>
            </w: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6</w:t>
            </w:r>
          </w:p>
        </w:tc>
      </w:tr>
      <w:tr w:rsidR="001A1A79">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b/>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r>
      <w:tr w:rsidR="001A1A7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sz w:val="16"/>
                <w:szCs w:val="16"/>
              </w:rPr>
            </w:pPr>
            <w:r>
              <w:rPr>
                <w:rFonts w:ascii="宋体" w:eastAsia="宋体" w:hAnsi="宋体" w:cs="宋体" w:hint="eastAsia"/>
                <w:sz w:val="16"/>
                <w:szCs w:val="16"/>
              </w:rPr>
              <w:t>215</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b/>
                <w:sz w:val="16"/>
                <w:szCs w:val="16"/>
              </w:rPr>
            </w:pPr>
            <w:r>
              <w:rPr>
                <w:rFonts w:ascii="宋体" w:eastAsia="宋体" w:hAnsi="宋体" w:cs="宋体" w:hint="eastAsia"/>
                <w:sz w:val="16"/>
                <w:szCs w:val="16"/>
              </w:rPr>
              <w:t>资源勘探信息等支出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21561</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center"/>
              <w:rPr>
                <w:rFonts w:ascii="宋体" w:eastAsia="宋体" w:hAnsi="宋体" w:cs="宋体"/>
                <w:sz w:val="16"/>
                <w:szCs w:val="16"/>
              </w:rPr>
            </w:pPr>
            <w:r>
              <w:rPr>
                <w:rFonts w:ascii="宋体" w:eastAsia="宋体" w:hAnsi="宋体" w:cs="宋体" w:hint="eastAsia"/>
                <w:sz w:val="16"/>
                <w:szCs w:val="16"/>
              </w:rPr>
              <w:t>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2156199</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513E9E">
            <w:pPr>
              <w:widowControl/>
              <w:shd w:val="clear" w:color="auto" w:fill="auto"/>
              <w:rPr>
                <w:rFonts w:ascii="宋体" w:eastAsia="宋体" w:hAnsi="宋体" w:cs="宋体"/>
                <w:sz w:val="16"/>
                <w:szCs w:val="16"/>
              </w:rPr>
            </w:pPr>
            <w:r>
              <w:rPr>
                <w:rFonts w:ascii="宋体" w:eastAsia="宋体" w:hAnsi="宋体" w:cs="宋体" w:hint="eastAsia"/>
                <w:sz w:val="16"/>
                <w:szCs w:val="16"/>
              </w:rPr>
              <w:t>其他新型墙</w:t>
            </w:r>
            <w:proofErr w:type="gramStart"/>
            <w:r>
              <w:rPr>
                <w:rFonts w:ascii="宋体" w:eastAsia="宋体" w:hAnsi="宋体" w:cs="宋体" w:hint="eastAsia"/>
                <w:sz w:val="16"/>
                <w:szCs w:val="16"/>
              </w:rPr>
              <w:t>体材</w:t>
            </w:r>
            <w:proofErr w:type="gramEnd"/>
            <w:r>
              <w:rPr>
                <w:rFonts w:ascii="宋体" w:eastAsia="宋体" w:hAnsi="宋体" w:cs="宋体" w:hint="eastAsia"/>
                <w:sz w:val="16"/>
                <w:szCs w:val="16"/>
              </w:rPr>
              <w:t>料专项基金支出</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shd w:val="clear" w:color="auto" w:fill="auto"/>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shd w:val="clear" w:color="auto" w:fill="auto"/>
            </w:pPr>
          </w:p>
        </w:tc>
      </w:tr>
      <w:tr w:rsidR="001A1A7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b/>
                <w:sz w:val="16"/>
                <w:szCs w:val="16"/>
              </w:rPr>
            </w:pPr>
          </w:p>
        </w:tc>
      </w:tr>
      <w:tr w:rsidR="001A1A7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70"/>
        </w:trPr>
        <w:tc>
          <w:tcPr>
            <w:tcW w:w="70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left"/>
              <w:rPr>
                <w:rFonts w:ascii="宋体" w:eastAsia="宋体" w:hAnsi="宋体" w:cs="宋体"/>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32"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5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c>
          <w:tcPr>
            <w:tcW w:w="126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1A1A79" w:rsidRDefault="001A1A79">
            <w:pPr>
              <w:widowControl/>
              <w:shd w:val="clear" w:color="auto" w:fill="auto"/>
              <w:jc w:val="right"/>
              <w:rPr>
                <w:rFonts w:ascii="宋体" w:eastAsia="宋体" w:hAnsi="宋体" w:cs="宋体"/>
                <w:sz w:val="16"/>
                <w:szCs w:val="16"/>
              </w:rPr>
            </w:pPr>
          </w:p>
        </w:tc>
      </w:tr>
      <w:tr w:rsidR="001A1A79">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sz w:val="16"/>
                <w:szCs w:val="16"/>
              </w:rPr>
            </w:pPr>
            <w:r>
              <w:rPr>
                <w:rFonts w:ascii="宋体" w:eastAsia="宋体" w:hAnsi="宋体" w:cs="宋体" w:hint="eastAsia"/>
                <w:sz w:val="16"/>
                <w:szCs w:val="16"/>
              </w:rPr>
              <w:t>注：本表反映部门本年度政府性基金预算财政拨款收入支出及结转和结余情况。</w:t>
            </w:r>
          </w:p>
        </w:tc>
      </w:tr>
      <w:tr w:rsidR="001A1A79">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1A1A79" w:rsidRDefault="00513E9E">
            <w:pPr>
              <w:widowControl/>
              <w:shd w:val="clear" w:color="auto" w:fill="auto"/>
              <w:jc w:val="left"/>
              <w:rPr>
                <w:rFonts w:ascii="宋体" w:eastAsia="宋体" w:hAnsi="宋体" w:cs="宋体"/>
                <w:b/>
                <w:color w:val="FF0000"/>
                <w:sz w:val="20"/>
                <w:szCs w:val="20"/>
              </w:rPr>
            </w:pPr>
            <w:r>
              <w:rPr>
                <w:rFonts w:ascii="宋体" w:eastAsia="宋体" w:hAnsi="宋体" w:cs="宋体" w:hint="eastAsia"/>
                <w:b/>
                <w:color w:val="FF0000"/>
                <w:sz w:val="20"/>
                <w:szCs w:val="20"/>
              </w:rPr>
              <w:t>（该报表全部数据为零时）说明：xx厅（局）没有政府性基金收入，也没有使用政府性基金安排的支出，故本表无数据。</w:t>
            </w:r>
          </w:p>
        </w:tc>
      </w:tr>
    </w:tbl>
    <w:p w:rsidR="001A1A79" w:rsidRDefault="001A1A79">
      <w:pPr>
        <w:shd w:val="clear" w:color="auto" w:fill="auto"/>
        <w:sectPr w:rsidR="001A1A79">
          <w:headerReference w:type="default" r:id="rId25"/>
          <w:footerReference w:type="default" r:id="rId26"/>
          <w:endnotePr>
            <w:numFmt w:val="decimal"/>
          </w:endnotePr>
          <w:pgSz w:w="11906" w:h="16838"/>
          <w:pgMar w:top="1440" w:right="1531" w:bottom="1440" w:left="1587" w:header="709" w:footer="992" w:gutter="0"/>
          <w:cols w:space="720"/>
        </w:sectPr>
      </w:pPr>
    </w:p>
    <w:p w:rsidR="001A1A79" w:rsidRDefault="001A1A79">
      <w:pPr>
        <w:shd w:val="clear" w:color="auto" w:fill="auto"/>
        <w:jc w:val="left"/>
        <w:rPr>
          <w:rFonts w:ascii="黑体" w:eastAsia="黑体" w:hAnsi="黑体" w:cs="黑体"/>
          <w:sz w:val="32"/>
          <w:szCs w:val="32"/>
        </w:rPr>
      </w:pPr>
    </w:p>
    <w:p w:rsidR="001A1A79" w:rsidRDefault="001A1A79">
      <w:pPr>
        <w:shd w:val="clear" w:color="auto" w:fill="auto"/>
        <w:jc w:val="left"/>
        <w:rPr>
          <w:rFonts w:ascii="黑体" w:eastAsia="黑体" w:hAnsi="黑体" w:cs="黑体"/>
          <w:sz w:val="32"/>
          <w:szCs w:val="32"/>
        </w:rPr>
      </w:pPr>
    </w:p>
    <w:p w:rsidR="001A1A79" w:rsidRDefault="001A1A79">
      <w:pPr>
        <w:shd w:val="clear" w:color="auto" w:fill="auto"/>
        <w:jc w:val="left"/>
        <w:rPr>
          <w:rFonts w:ascii="黑体" w:eastAsia="黑体" w:hAnsi="黑体" w:cs="黑体"/>
          <w:sz w:val="32"/>
          <w:szCs w:val="32"/>
        </w:rPr>
      </w:pPr>
    </w:p>
    <w:p w:rsidR="001A1A79" w:rsidRDefault="001A1A79">
      <w:pPr>
        <w:shd w:val="clear" w:color="auto" w:fill="auto"/>
        <w:jc w:val="left"/>
        <w:rPr>
          <w:rFonts w:ascii="黑体" w:eastAsia="黑体" w:hAnsi="黑体" w:cs="黑体"/>
          <w:sz w:val="32"/>
          <w:szCs w:val="32"/>
        </w:rPr>
      </w:pPr>
    </w:p>
    <w:p w:rsidR="001A1A79" w:rsidRDefault="001A1A79">
      <w:pPr>
        <w:shd w:val="clear" w:color="auto" w:fill="auto"/>
        <w:jc w:val="left"/>
        <w:rPr>
          <w:rFonts w:ascii="黑体" w:eastAsia="黑体" w:hAnsi="黑体" w:cs="黑体"/>
          <w:sz w:val="32"/>
          <w:szCs w:val="32"/>
        </w:rPr>
      </w:pPr>
    </w:p>
    <w:p w:rsidR="001A1A79" w:rsidRDefault="001A1A79">
      <w:pPr>
        <w:shd w:val="clear" w:color="auto" w:fill="auto"/>
        <w:jc w:val="left"/>
        <w:rPr>
          <w:rFonts w:ascii="黑体" w:eastAsia="黑体" w:hAnsi="黑体" w:cs="黑体"/>
          <w:sz w:val="32"/>
          <w:szCs w:val="32"/>
        </w:rPr>
      </w:pPr>
    </w:p>
    <w:p w:rsidR="001A1A79" w:rsidRDefault="001A1A79">
      <w:pPr>
        <w:shd w:val="clear" w:color="auto" w:fill="auto"/>
        <w:jc w:val="left"/>
        <w:rPr>
          <w:rFonts w:ascii="黑体" w:eastAsia="黑体" w:hAnsi="黑体" w:cs="黑体"/>
          <w:sz w:val="32"/>
          <w:szCs w:val="32"/>
        </w:rPr>
      </w:pPr>
    </w:p>
    <w:p w:rsidR="001A1A79" w:rsidRPr="00D56E2B" w:rsidRDefault="00513E9E">
      <w:pPr>
        <w:shd w:val="clear" w:color="auto" w:fill="auto"/>
        <w:jc w:val="center"/>
        <w:outlineLvl w:val="0"/>
        <w:rPr>
          <w:rFonts w:ascii="隶书" w:eastAsia="隶书" w:hAnsi="仿宋" w:cs="仿宋"/>
          <w:sz w:val="48"/>
          <w:szCs w:val="48"/>
        </w:rPr>
      </w:pPr>
      <w:r w:rsidRPr="00D56E2B">
        <w:rPr>
          <w:rFonts w:ascii="隶书" w:eastAsia="隶书" w:hAnsi="仿宋" w:cs="仿宋" w:hint="eastAsia"/>
          <w:sz w:val="48"/>
          <w:szCs w:val="48"/>
        </w:rPr>
        <w:t>第三部分</w:t>
      </w:r>
    </w:p>
    <w:p w:rsidR="001A1A79" w:rsidRPr="00D56E2B" w:rsidRDefault="00513E9E">
      <w:pPr>
        <w:shd w:val="clear" w:color="auto" w:fill="auto"/>
        <w:jc w:val="center"/>
        <w:rPr>
          <w:rFonts w:ascii="隶书" w:eastAsia="隶书" w:hAnsi="仿宋" w:cs="仿宋"/>
          <w:sz w:val="48"/>
          <w:szCs w:val="48"/>
        </w:rPr>
      </w:pPr>
      <w:r w:rsidRPr="00D56E2B">
        <w:rPr>
          <w:rFonts w:ascii="隶书" w:eastAsia="隶书" w:hAnsi="仿宋" w:cs="仿宋" w:hint="eastAsia"/>
          <w:sz w:val="48"/>
          <w:szCs w:val="48"/>
        </w:rPr>
        <w:t>延津县僧固卫生院</w:t>
      </w:r>
    </w:p>
    <w:p w:rsidR="001A1A79" w:rsidRPr="00D56E2B" w:rsidRDefault="00513E9E">
      <w:pPr>
        <w:shd w:val="clear" w:color="auto" w:fill="auto"/>
        <w:jc w:val="center"/>
        <w:rPr>
          <w:rFonts w:ascii="隶书" w:eastAsia="隶书" w:hAnsi="隶书" w:cs="隶书"/>
          <w:sz w:val="48"/>
          <w:szCs w:val="48"/>
        </w:rPr>
      </w:pPr>
      <w:r w:rsidRPr="00D56E2B">
        <w:rPr>
          <w:rFonts w:ascii="隶书" w:eastAsia="隶书" w:hAnsi="仿宋" w:cs="仿宋" w:hint="eastAsia"/>
          <w:sz w:val="48"/>
          <w:szCs w:val="48"/>
        </w:rPr>
        <w:t>2016年度部门决算情况说明</w:t>
      </w:r>
    </w:p>
    <w:p w:rsidR="001A1A79" w:rsidRDefault="001A1A79">
      <w:pPr>
        <w:shd w:val="clear" w:color="auto" w:fill="auto"/>
        <w:sectPr w:rsidR="001A1A79">
          <w:headerReference w:type="default" r:id="rId27"/>
          <w:footerReference w:type="default" r:id="rId28"/>
          <w:endnotePr>
            <w:numFmt w:val="decimal"/>
          </w:endnotePr>
          <w:pgSz w:w="11906" w:h="16838"/>
          <w:pgMar w:top="1440" w:right="1531" w:bottom="1440" w:left="1587" w:header="709" w:footer="992" w:gutter="0"/>
          <w:cols w:space="720"/>
        </w:sectPr>
      </w:pPr>
    </w:p>
    <w:p w:rsidR="001A1A79" w:rsidRPr="00D56E2B" w:rsidRDefault="00513E9E">
      <w:pPr>
        <w:numPr>
          <w:ilvl w:val="0"/>
          <w:numId w:val="2"/>
        </w:numPr>
        <w:shd w:val="clear" w:color="auto" w:fill="auto"/>
        <w:spacing w:line="360" w:lineRule="auto"/>
        <w:ind w:left="0" w:firstLine="640"/>
        <w:outlineLvl w:val="1"/>
        <w:rPr>
          <w:rFonts w:asciiTheme="majorEastAsia" w:eastAsiaTheme="majorEastAsia" w:hAnsi="仿宋" w:cs="仿宋"/>
          <w:sz w:val="32"/>
          <w:szCs w:val="32"/>
        </w:rPr>
      </w:pPr>
      <w:r w:rsidRPr="00D56E2B">
        <w:rPr>
          <w:rFonts w:asciiTheme="majorEastAsia" w:eastAsiaTheme="majorEastAsia" w:hAnsi="仿宋" w:cs="仿宋" w:hint="eastAsia"/>
          <w:sz w:val="32"/>
          <w:szCs w:val="32"/>
        </w:rPr>
        <w:lastRenderedPageBreak/>
        <w:t>关于收入支出决算总体情况说明</w:t>
      </w:r>
    </w:p>
    <w:p w:rsidR="001A1A79" w:rsidRPr="00D56E2B" w:rsidRDefault="00513E9E">
      <w:pPr>
        <w:shd w:val="clear" w:color="auto" w:fill="auto"/>
        <w:spacing w:line="360" w:lineRule="auto"/>
        <w:ind w:firstLine="640"/>
        <w:rPr>
          <w:rFonts w:ascii="仿宋_GB2312" w:eastAsia="仿宋_GB2312" w:hAnsi="仿宋" w:cs="仿宋"/>
          <w:sz w:val="32"/>
          <w:szCs w:val="32"/>
        </w:rPr>
      </w:pPr>
      <w:r w:rsidRPr="00D56E2B">
        <w:rPr>
          <w:rFonts w:ascii="仿宋_GB2312" w:eastAsia="仿宋_GB2312" w:hAnsi="仿宋" w:cs="仿宋" w:hint="eastAsia"/>
          <w:sz w:val="32"/>
          <w:szCs w:val="32"/>
        </w:rPr>
        <w:t>2016年度收入总计520.72万元，支出总计601.6万元，2015年相比，收入增加0万元，增长0%，支出增加311.8万元，增长51.8%。</w:t>
      </w:r>
    </w:p>
    <w:p w:rsidR="001A1A79" w:rsidRPr="00D56E2B" w:rsidRDefault="00513E9E">
      <w:pPr>
        <w:numPr>
          <w:ilvl w:val="0"/>
          <w:numId w:val="2"/>
        </w:numPr>
        <w:shd w:val="clear" w:color="auto" w:fill="auto"/>
        <w:spacing w:line="360" w:lineRule="auto"/>
        <w:ind w:left="0" w:firstLine="640"/>
        <w:outlineLvl w:val="1"/>
        <w:rPr>
          <w:rFonts w:asciiTheme="majorEastAsia" w:eastAsiaTheme="majorEastAsia" w:hAnsi="仿宋" w:cs="仿宋"/>
          <w:sz w:val="32"/>
          <w:szCs w:val="32"/>
        </w:rPr>
      </w:pPr>
      <w:r w:rsidRPr="00D56E2B">
        <w:rPr>
          <w:rFonts w:asciiTheme="majorEastAsia" w:eastAsiaTheme="majorEastAsia" w:hAnsi="仿宋" w:cs="仿宋" w:hint="eastAsia"/>
          <w:sz w:val="32"/>
          <w:szCs w:val="32"/>
        </w:rPr>
        <w:t>关于收入决算情况说明</w:t>
      </w:r>
    </w:p>
    <w:p w:rsidR="001A1A79" w:rsidRPr="00D56E2B" w:rsidRDefault="00513E9E">
      <w:pPr>
        <w:shd w:val="clear" w:color="auto" w:fill="auto"/>
        <w:spacing w:line="360" w:lineRule="auto"/>
        <w:ind w:firstLine="640"/>
        <w:rPr>
          <w:rFonts w:ascii="仿宋_GB2312" w:eastAsia="仿宋_GB2312" w:hAnsi="仿宋" w:cs="仿宋"/>
          <w:sz w:val="32"/>
          <w:szCs w:val="32"/>
        </w:rPr>
      </w:pPr>
      <w:r w:rsidRPr="00D56E2B">
        <w:rPr>
          <w:rFonts w:ascii="仿宋_GB2312" w:eastAsia="仿宋_GB2312" w:hAnsi="仿宋" w:cs="仿宋" w:hint="eastAsia"/>
          <w:sz w:val="32"/>
          <w:szCs w:val="32"/>
        </w:rPr>
        <w:t>2016年度收入合计520.72万元，其中：财政拨款收入251.1万元，占48.2%。</w:t>
      </w:r>
    </w:p>
    <w:p w:rsidR="001A1A79" w:rsidRPr="00D56E2B" w:rsidRDefault="00513E9E">
      <w:pPr>
        <w:numPr>
          <w:ilvl w:val="0"/>
          <w:numId w:val="2"/>
        </w:numPr>
        <w:shd w:val="clear" w:color="auto" w:fill="auto"/>
        <w:spacing w:line="360" w:lineRule="auto"/>
        <w:ind w:left="0" w:firstLine="640"/>
        <w:outlineLvl w:val="1"/>
        <w:rPr>
          <w:rFonts w:asciiTheme="majorEastAsia" w:eastAsiaTheme="majorEastAsia" w:hAnsi="仿宋" w:cs="仿宋"/>
          <w:sz w:val="32"/>
          <w:szCs w:val="32"/>
        </w:rPr>
      </w:pPr>
      <w:r w:rsidRPr="00D56E2B">
        <w:rPr>
          <w:rFonts w:asciiTheme="majorEastAsia" w:eastAsiaTheme="majorEastAsia" w:hAnsi="仿宋" w:cs="仿宋" w:hint="eastAsia"/>
          <w:sz w:val="32"/>
          <w:szCs w:val="32"/>
        </w:rPr>
        <w:t>关于支出决算情况说明</w:t>
      </w:r>
    </w:p>
    <w:p w:rsidR="001A1A79" w:rsidRPr="00D56E2B" w:rsidRDefault="00513E9E">
      <w:pPr>
        <w:shd w:val="clear" w:color="auto" w:fill="auto"/>
        <w:spacing w:line="360" w:lineRule="auto"/>
        <w:ind w:firstLine="640"/>
        <w:rPr>
          <w:rFonts w:ascii="仿宋_GB2312" w:eastAsia="仿宋_GB2312" w:hAnsi="仿宋" w:cs="仿宋"/>
          <w:sz w:val="32"/>
          <w:szCs w:val="32"/>
        </w:rPr>
      </w:pPr>
      <w:r w:rsidRPr="00D56E2B">
        <w:rPr>
          <w:rFonts w:ascii="仿宋_GB2312" w:eastAsia="仿宋_GB2312" w:hAnsi="仿宋" w:cs="仿宋" w:hint="eastAsia"/>
          <w:sz w:val="32"/>
          <w:szCs w:val="32"/>
        </w:rPr>
        <w:t>2016年度支出合计601.6万元，其中：基本支出601.6万元，占100%。</w:t>
      </w:r>
    </w:p>
    <w:p w:rsidR="001A1A79" w:rsidRPr="00D56E2B" w:rsidRDefault="00513E9E">
      <w:pPr>
        <w:numPr>
          <w:ilvl w:val="0"/>
          <w:numId w:val="2"/>
        </w:numPr>
        <w:shd w:val="clear" w:color="auto" w:fill="auto"/>
        <w:spacing w:line="360" w:lineRule="auto"/>
        <w:ind w:left="0" w:firstLine="640"/>
        <w:outlineLvl w:val="1"/>
        <w:rPr>
          <w:rFonts w:asciiTheme="majorEastAsia" w:eastAsiaTheme="majorEastAsia" w:hAnsi="仿宋" w:cs="仿宋"/>
          <w:sz w:val="32"/>
          <w:szCs w:val="32"/>
        </w:rPr>
      </w:pPr>
      <w:r w:rsidRPr="00D56E2B">
        <w:rPr>
          <w:rFonts w:asciiTheme="majorEastAsia" w:eastAsiaTheme="majorEastAsia" w:hAnsi="仿宋" w:cs="仿宋" w:hint="eastAsia"/>
          <w:sz w:val="32"/>
          <w:szCs w:val="32"/>
        </w:rPr>
        <w:t>关于财政拨款收入支出决算总体情况说明</w:t>
      </w:r>
    </w:p>
    <w:p w:rsidR="001A1A79" w:rsidRPr="00D56E2B" w:rsidRDefault="00513E9E">
      <w:pPr>
        <w:shd w:val="clear" w:color="auto" w:fill="auto"/>
        <w:spacing w:line="360" w:lineRule="auto"/>
        <w:ind w:firstLine="640"/>
        <w:rPr>
          <w:rFonts w:ascii="仿宋_GB2312" w:eastAsia="仿宋_GB2312" w:hAnsi="仿宋" w:cs="仿宋"/>
          <w:sz w:val="32"/>
          <w:szCs w:val="32"/>
        </w:rPr>
      </w:pPr>
      <w:r w:rsidRPr="00D56E2B">
        <w:rPr>
          <w:rFonts w:ascii="仿宋_GB2312" w:eastAsia="仿宋_GB2312" w:hAnsi="仿宋" w:cs="仿宋" w:hint="eastAsia"/>
          <w:sz w:val="32"/>
          <w:szCs w:val="32"/>
        </w:rPr>
        <w:t>2016年财政拨款收入决算520.72万元，与2015年相比，财政拨款收入增加0，增长0%；支出决算601.6万元，与2015年相比支出增加311.8万元，增长48.2%。</w:t>
      </w:r>
    </w:p>
    <w:p w:rsidR="001A1A79" w:rsidRPr="00D56E2B" w:rsidRDefault="00513E9E">
      <w:pPr>
        <w:numPr>
          <w:ilvl w:val="0"/>
          <w:numId w:val="2"/>
        </w:numPr>
        <w:shd w:val="clear" w:color="auto" w:fill="auto"/>
        <w:spacing w:line="360" w:lineRule="auto"/>
        <w:ind w:left="0" w:firstLine="640"/>
        <w:outlineLvl w:val="1"/>
        <w:rPr>
          <w:rFonts w:asciiTheme="majorEastAsia" w:eastAsiaTheme="majorEastAsia" w:hAnsi="仿宋" w:cs="仿宋"/>
          <w:sz w:val="32"/>
          <w:szCs w:val="32"/>
        </w:rPr>
      </w:pPr>
      <w:r w:rsidRPr="00D56E2B">
        <w:rPr>
          <w:rFonts w:asciiTheme="majorEastAsia" w:eastAsiaTheme="majorEastAsia" w:hAnsi="仿宋" w:cs="仿宋" w:hint="eastAsia"/>
          <w:sz w:val="32"/>
          <w:szCs w:val="32"/>
        </w:rPr>
        <w:t>关于一般公共预算财政拨款支出决算情况说明</w:t>
      </w:r>
    </w:p>
    <w:p w:rsidR="001A1A79" w:rsidRPr="00D56E2B" w:rsidRDefault="00513E9E">
      <w:pPr>
        <w:numPr>
          <w:ilvl w:val="0"/>
          <w:numId w:val="3"/>
        </w:numPr>
        <w:shd w:val="clear" w:color="auto" w:fill="auto"/>
        <w:spacing w:line="360" w:lineRule="auto"/>
        <w:ind w:left="0" w:firstLine="640"/>
        <w:rPr>
          <w:rFonts w:ascii="仿宋_GB2312" w:eastAsia="仿宋_GB2312" w:hAnsi="仿宋" w:cs="仿宋"/>
          <w:b/>
          <w:sz w:val="32"/>
          <w:szCs w:val="32"/>
        </w:rPr>
      </w:pPr>
      <w:r w:rsidRPr="00D56E2B">
        <w:rPr>
          <w:rFonts w:ascii="仿宋_GB2312" w:eastAsia="仿宋_GB2312" w:hAnsi="仿宋" w:cs="仿宋" w:hint="eastAsia"/>
          <w:b/>
          <w:sz w:val="32"/>
          <w:szCs w:val="32"/>
        </w:rPr>
        <w:t>财政拨款支出决算总体情况。</w:t>
      </w:r>
    </w:p>
    <w:p w:rsidR="001A1A79" w:rsidRPr="00D56E2B" w:rsidRDefault="00513E9E">
      <w:pPr>
        <w:shd w:val="clear" w:color="auto" w:fill="auto"/>
        <w:spacing w:line="360" w:lineRule="auto"/>
        <w:ind w:firstLine="640"/>
        <w:rPr>
          <w:rFonts w:ascii="仿宋_GB2312" w:eastAsia="仿宋_GB2312" w:hAnsi="仿宋" w:cs="仿宋"/>
          <w:sz w:val="32"/>
          <w:szCs w:val="32"/>
        </w:rPr>
      </w:pPr>
      <w:r w:rsidRPr="00D56E2B">
        <w:rPr>
          <w:rFonts w:ascii="仿宋_GB2312" w:eastAsia="仿宋_GB2312" w:hAnsi="仿宋" w:cs="仿宋" w:hint="eastAsia"/>
          <w:sz w:val="32"/>
          <w:szCs w:val="32"/>
        </w:rPr>
        <w:t>2016年一般公共预算财政拨款支出251.1万元，占支出合计的41.7。与2015年相比，一般公共预算财政拨款支出增加万元，增长0%。</w:t>
      </w:r>
    </w:p>
    <w:p w:rsidR="001A1A79" w:rsidRPr="00D56E2B" w:rsidRDefault="00513E9E">
      <w:pPr>
        <w:numPr>
          <w:ilvl w:val="0"/>
          <w:numId w:val="3"/>
        </w:numPr>
        <w:shd w:val="clear" w:color="auto" w:fill="auto"/>
        <w:spacing w:line="360" w:lineRule="auto"/>
        <w:ind w:left="0" w:firstLine="640"/>
        <w:rPr>
          <w:rFonts w:ascii="仿宋_GB2312" w:eastAsia="仿宋_GB2312" w:hAnsi="仿宋" w:cs="仿宋"/>
          <w:b/>
          <w:sz w:val="32"/>
          <w:szCs w:val="32"/>
        </w:rPr>
      </w:pPr>
      <w:r w:rsidRPr="00D56E2B">
        <w:rPr>
          <w:rFonts w:ascii="仿宋_GB2312" w:eastAsia="仿宋_GB2312" w:hAnsi="仿宋" w:cs="仿宋" w:hint="eastAsia"/>
          <w:b/>
          <w:sz w:val="32"/>
          <w:szCs w:val="32"/>
        </w:rPr>
        <w:t>财政拨款支出决算结构情况。</w:t>
      </w:r>
    </w:p>
    <w:p w:rsidR="001A1A79" w:rsidRPr="00D56E2B" w:rsidRDefault="00513E9E">
      <w:pPr>
        <w:shd w:val="clear" w:color="auto" w:fill="auto"/>
        <w:spacing w:line="360" w:lineRule="auto"/>
        <w:ind w:firstLine="640"/>
        <w:rPr>
          <w:rFonts w:ascii="仿宋_GB2312" w:eastAsia="仿宋_GB2312" w:hAnsi="仿宋" w:cs="仿宋"/>
          <w:sz w:val="32"/>
          <w:szCs w:val="32"/>
        </w:rPr>
      </w:pPr>
      <w:r w:rsidRPr="00D56E2B">
        <w:rPr>
          <w:rFonts w:ascii="仿宋_GB2312" w:eastAsia="仿宋_GB2312" w:hAnsi="仿宋" w:cs="仿宋" w:hint="eastAsia"/>
          <w:sz w:val="32"/>
          <w:szCs w:val="32"/>
        </w:rPr>
        <w:t>2016年度一般公共预算财政拨款支出251.1万元，主要用于以下方面：事业运行支出251.1万元，占100%。</w:t>
      </w:r>
    </w:p>
    <w:p w:rsidR="001A1A79" w:rsidRPr="00D56E2B" w:rsidRDefault="00513E9E">
      <w:pPr>
        <w:numPr>
          <w:ilvl w:val="0"/>
          <w:numId w:val="3"/>
        </w:numPr>
        <w:shd w:val="clear" w:color="auto" w:fill="auto"/>
        <w:spacing w:line="360" w:lineRule="auto"/>
        <w:ind w:left="0" w:firstLine="640"/>
        <w:rPr>
          <w:rFonts w:ascii="仿宋_GB2312" w:eastAsia="仿宋_GB2312" w:hAnsi="仿宋" w:cs="仿宋"/>
          <w:b/>
          <w:sz w:val="32"/>
          <w:szCs w:val="32"/>
        </w:rPr>
      </w:pPr>
      <w:r w:rsidRPr="00D56E2B">
        <w:rPr>
          <w:rFonts w:ascii="仿宋_GB2312" w:eastAsia="仿宋_GB2312" w:hAnsi="仿宋" w:cs="仿宋" w:hint="eastAsia"/>
          <w:b/>
          <w:sz w:val="32"/>
          <w:szCs w:val="32"/>
        </w:rPr>
        <w:lastRenderedPageBreak/>
        <w:t>财政拨款支出决算具体情况。</w:t>
      </w:r>
    </w:p>
    <w:p w:rsidR="001A1A79" w:rsidRPr="00D56E2B" w:rsidRDefault="00513E9E">
      <w:pPr>
        <w:shd w:val="clear" w:color="auto" w:fill="auto"/>
        <w:spacing w:line="360" w:lineRule="auto"/>
        <w:ind w:firstLine="640"/>
        <w:rPr>
          <w:rFonts w:ascii="仿宋_GB2312" w:eastAsia="仿宋_GB2312" w:hAnsi="仿宋" w:cs="仿宋"/>
          <w:sz w:val="32"/>
          <w:szCs w:val="32"/>
        </w:rPr>
      </w:pPr>
      <w:r w:rsidRPr="00D56E2B">
        <w:rPr>
          <w:rFonts w:ascii="仿宋_GB2312" w:eastAsia="仿宋_GB2312" w:hAnsi="仿宋" w:cs="仿宋" w:hint="eastAsia"/>
          <w:sz w:val="32"/>
          <w:szCs w:val="32"/>
        </w:rPr>
        <w:t>2016年度一般公共预算财政拨款支出年初预算为251.1万元，支出决算为601.6万元，完成年初预算的239.5%。决算数大于预算数的主要原因：一是事业运行支出大于预算；二是事业支出大于预算；</w:t>
      </w:r>
    </w:p>
    <w:p w:rsidR="001A1A79" w:rsidRPr="00D56E2B" w:rsidRDefault="00513E9E">
      <w:pPr>
        <w:shd w:val="clear" w:color="auto" w:fill="auto"/>
        <w:spacing w:line="360" w:lineRule="auto"/>
        <w:ind w:firstLine="640"/>
        <w:rPr>
          <w:rFonts w:asciiTheme="majorEastAsia" w:eastAsiaTheme="majorEastAsia" w:hAnsi="仿宋" w:cs="仿宋"/>
          <w:sz w:val="32"/>
          <w:szCs w:val="32"/>
        </w:rPr>
      </w:pPr>
      <w:r w:rsidRPr="00D56E2B">
        <w:rPr>
          <w:rFonts w:asciiTheme="majorEastAsia" w:eastAsiaTheme="majorEastAsia" w:hAnsi="仿宋" w:cs="仿宋" w:hint="eastAsia"/>
          <w:sz w:val="32"/>
          <w:szCs w:val="32"/>
        </w:rPr>
        <w:t xml:space="preserve"> 六、关于一般公共预算财政拨款基本支出决算情况说明</w:t>
      </w:r>
    </w:p>
    <w:p w:rsidR="001A1A79" w:rsidRPr="00D56E2B" w:rsidRDefault="00513E9E">
      <w:pPr>
        <w:shd w:val="clear" w:color="auto" w:fill="auto"/>
        <w:spacing w:line="360" w:lineRule="auto"/>
        <w:ind w:firstLine="640"/>
        <w:rPr>
          <w:rFonts w:ascii="仿宋_GB2312" w:eastAsia="仿宋_GB2312" w:hAnsi="仿宋" w:cs="仿宋"/>
          <w:sz w:val="32"/>
          <w:szCs w:val="32"/>
        </w:rPr>
      </w:pPr>
      <w:r w:rsidRPr="00D56E2B">
        <w:rPr>
          <w:rFonts w:ascii="仿宋_GB2312" w:eastAsia="仿宋_GB2312" w:hAnsi="仿宋" w:cs="仿宋" w:hint="eastAsia"/>
          <w:sz w:val="32"/>
          <w:szCs w:val="32"/>
        </w:rPr>
        <w:t>2016年一般公共预算财政拨款基本支出601.6万元，其中：</w:t>
      </w:r>
      <w:r w:rsidRPr="00D56E2B">
        <w:rPr>
          <w:rFonts w:ascii="仿宋_GB2312" w:eastAsia="仿宋_GB2312" w:hAnsi="仿宋" w:cs="仿宋" w:hint="eastAsia"/>
          <w:bCs/>
          <w:spacing w:val="-2"/>
          <w:sz w:val="32"/>
          <w:szCs w:val="32"/>
        </w:rPr>
        <w:t>人员经费103万元</w:t>
      </w:r>
      <w:r w:rsidRPr="00D56E2B">
        <w:rPr>
          <w:rFonts w:ascii="仿宋_GB2312" w:eastAsia="仿宋_GB2312" w:hAnsi="仿宋" w:cs="仿宋" w:hint="eastAsia"/>
          <w:bCs/>
          <w:sz w:val="32"/>
          <w:szCs w:val="32"/>
        </w:rPr>
        <w:t>，</w:t>
      </w:r>
      <w:r w:rsidRPr="00D56E2B">
        <w:rPr>
          <w:rFonts w:ascii="仿宋_GB2312" w:eastAsia="仿宋_GB2312" w:hAnsi="仿宋" w:cs="仿宋" w:hint="eastAsia"/>
          <w:sz w:val="32"/>
          <w:szCs w:val="32"/>
        </w:rPr>
        <w:t>主要包括：基本工资、津贴补贴、奖金、其他社会保障缴费、伙食补助费、离退休费、抚恤金、生活补助、住房公积金等；</w:t>
      </w:r>
      <w:r w:rsidRPr="00D56E2B">
        <w:rPr>
          <w:rFonts w:ascii="仿宋_GB2312" w:eastAsia="仿宋_GB2312" w:hAnsi="仿宋" w:cs="仿宋" w:hint="eastAsia"/>
          <w:b/>
          <w:spacing w:val="-2"/>
          <w:sz w:val="32"/>
          <w:szCs w:val="32"/>
        </w:rPr>
        <w:t>公用经费148</w:t>
      </w:r>
      <w:r w:rsidRPr="00D56E2B">
        <w:rPr>
          <w:rFonts w:ascii="仿宋_GB2312" w:eastAsia="仿宋_GB2312" w:hAnsi="仿宋" w:cs="仿宋" w:hint="eastAsia"/>
          <w:spacing w:val="-2"/>
          <w:sz w:val="32"/>
          <w:szCs w:val="32"/>
        </w:rPr>
        <w:t>万元</w:t>
      </w:r>
      <w:r w:rsidRPr="00D56E2B">
        <w:rPr>
          <w:rFonts w:ascii="仿宋_GB2312" w:eastAsia="仿宋_GB2312" w:hAnsi="仿宋" w:cs="仿宋" w:hint="eastAsia"/>
          <w:sz w:val="32"/>
          <w:szCs w:val="32"/>
        </w:rPr>
        <w:t>，主要包括：办公费、手续费、水费、电费、邮电费、物业管理费、差旅费、维护费、租赁费、培训费、公务接待费、被装购置费、劳务费、公务用车维护费、其他；其他资本性支出0万元，包括办公设备购置、专用设备购置、信息网络及软件购置更新、其他等。</w:t>
      </w:r>
    </w:p>
    <w:p w:rsidR="001A1A79" w:rsidRDefault="001A1A79">
      <w:pPr>
        <w:shd w:val="clear" w:color="auto" w:fill="auto"/>
        <w:spacing w:line="360" w:lineRule="auto"/>
        <w:ind w:left="-420" w:firstLine="640"/>
        <w:outlineLvl w:val="1"/>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1A1A79" w:rsidRDefault="001A1A79">
      <w:pPr>
        <w:shd w:val="clear" w:color="auto" w:fill="auto"/>
        <w:jc w:val="left"/>
        <w:rPr>
          <w:rFonts w:ascii="仿宋" w:eastAsia="仿宋" w:hAnsi="仿宋" w:cs="仿宋"/>
          <w:sz w:val="32"/>
          <w:szCs w:val="32"/>
        </w:rPr>
      </w:pPr>
    </w:p>
    <w:p w:rsidR="00D56E2B" w:rsidRDefault="00D56E2B">
      <w:pPr>
        <w:shd w:val="clear" w:color="auto" w:fill="auto"/>
        <w:jc w:val="center"/>
        <w:outlineLvl w:val="0"/>
        <w:rPr>
          <w:rFonts w:ascii="仿宋" w:eastAsia="仿宋" w:hAnsi="仿宋" w:cs="仿宋"/>
          <w:sz w:val="48"/>
          <w:szCs w:val="48"/>
        </w:rPr>
      </w:pPr>
    </w:p>
    <w:p w:rsidR="00D56E2B" w:rsidRDefault="00D56E2B">
      <w:pPr>
        <w:shd w:val="clear" w:color="auto" w:fill="auto"/>
        <w:jc w:val="center"/>
        <w:outlineLvl w:val="0"/>
        <w:rPr>
          <w:rFonts w:ascii="仿宋" w:eastAsia="仿宋" w:hAnsi="仿宋" w:cs="仿宋"/>
          <w:sz w:val="48"/>
          <w:szCs w:val="48"/>
        </w:rPr>
      </w:pPr>
    </w:p>
    <w:p w:rsidR="00D56E2B" w:rsidRDefault="00D56E2B">
      <w:pPr>
        <w:shd w:val="clear" w:color="auto" w:fill="auto"/>
        <w:jc w:val="center"/>
        <w:outlineLvl w:val="0"/>
        <w:rPr>
          <w:rFonts w:ascii="仿宋" w:eastAsia="仿宋" w:hAnsi="仿宋" w:cs="仿宋"/>
          <w:sz w:val="48"/>
          <w:szCs w:val="48"/>
        </w:rPr>
      </w:pPr>
    </w:p>
    <w:p w:rsidR="00D56E2B" w:rsidRDefault="00D56E2B">
      <w:pPr>
        <w:shd w:val="clear" w:color="auto" w:fill="auto"/>
        <w:jc w:val="center"/>
        <w:outlineLvl w:val="0"/>
        <w:rPr>
          <w:rFonts w:ascii="仿宋" w:eastAsia="仿宋" w:hAnsi="仿宋" w:cs="仿宋"/>
          <w:sz w:val="48"/>
          <w:szCs w:val="48"/>
        </w:rPr>
      </w:pPr>
    </w:p>
    <w:p w:rsidR="00D56E2B" w:rsidRDefault="00D56E2B">
      <w:pPr>
        <w:shd w:val="clear" w:color="auto" w:fill="auto"/>
        <w:jc w:val="center"/>
        <w:outlineLvl w:val="0"/>
        <w:rPr>
          <w:rFonts w:ascii="仿宋" w:eastAsia="仿宋" w:hAnsi="仿宋" w:cs="仿宋"/>
          <w:sz w:val="48"/>
          <w:szCs w:val="48"/>
        </w:rPr>
      </w:pPr>
    </w:p>
    <w:p w:rsidR="00D56E2B" w:rsidRDefault="00D56E2B">
      <w:pPr>
        <w:shd w:val="clear" w:color="auto" w:fill="auto"/>
        <w:jc w:val="center"/>
        <w:outlineLvl w:val="0"/>
        <w:rPr>
          <w:rFonts w:ascii="仿宋" w:eastAsia="仿宋" w:hAnsi="仿宋" w:cs="仿宋"/>
          <w:sz w:val="48"/>
          <w:szCs w:val="48"/>
        </w:rPr>
      </w:pPr>
    </w:p>
    <w:p w:rsidR="00D56E2B" w:rsidRDefault="00D56E2B">
      <w:pPr>
        <w:shd w:val="clear" w:color="auto" w:fill="auto"/>
        <w:jc w:val="center"/>
        <w:outlineLvl w:val="0"/>
        <w:rPr>
          <w:rFonts w:ascii="仿宋" w:eastAsia="仿宋" w:hAnsi="仿宋" w:cs="仿宋"/>
          <w:sz w:val="48"/>
          <w:szCs w:val="48"/>
        </w:rPr>
      </w:pPr>
    </w:p>
    <w:p w:rsidR="00D56E2B" w:rsidRDefault="00D56E2B">
      <w:pPr>
        <w:shd w:val="clear" w:color="auto" w:fill="auto"/>
        <w:jc w:val="center"/>
        <w:outlineLvl w:val="0"/>
        <w:rPr>
          <w:rFonts w:ascii="仿宋" w:eastAsia="仿宋" w:hAnsi="仿宋" w:cs="仿宋"/>
          <w:sz w:val="48"/>
          <w:szCs w:val="48"/>
        </w:rPr>
      </w:pPr>
    </w:p>
    <w:p w:rsidR="00D56E2B" w:rsidRDefault="00D56E2B">
      <w:pPr>
        <w:shd w:val="clear" w:color="auto" w:fill="auto"/>
        <w:jc w:val="center"/>
        <w:outlineLvl w:val="0"/>
        <w:rPr>
          <w:rFonts w:ascii="仿宋" w:eastAsia="仿宋" w:hAnsi="仿宋" w:cs="仿宋"/>
          <w:sz w:val="48"/>
          <w:szCs w:val="48"/>
        </w:rPr>
      </w:pPr>
    </w:p>
    <w:p w:rsidR="001A1A79" w:rsidRPr="00D56E2B" w:rsidRDefault="00513E9E">
      <w:pPr>
        <w:shd w:val="clear" w:color="auto" w:fill="auto"/>
        <w:jc w:val="center"/>
        <w:outlineLvl w:val="0"/>
        <w:rPr>
          <w:rFonts w:ascii="隶书" w:eastAsia="隶书" w:hAnsi="仿宋" w:cs="仿宋"/>
          <w:sz w:val="48"/>
          <w:szCs w:val="48"/>
        </w:rPr>
      </w:pPr>
      <w:r w:rsidRPr="00D56E2B">
        <w:rPr>
          <w:rFonts w:ascii="隶书" w:eastAsia="隶书" w:hAnsi="仿宋" w:cs="仿宋" w:hint="eastAsia"/>
          <w:sz w:val="48"/>
          <w:szCs w:val="48"/>
        </w:rPr>
        <w:t>第四部分　　名词解释</w:t>
      </w:r>
    </w:p>
    <w:p w:rsidR="001A1A79" w:rsidRDefault="001A1A79">
      <w:pPr>
        <w:shd w:val="clear" w:color="auto" w:fill="auto"/>
        <w:outlineLvl w:val="0"/>
        <w:rPr>
          <w:rFonts w:ascii="仿宋" w:eastAsia="仿宋" w:hAnsi="仿宋" w:cs="仿宋"/>
          <w:sz w:val="48"/>
          <w:szCs w:val="48"/>
        </w:rPr>
      </w:pPr>
    </w:p>
    <w:p w:rsidR="001A1A79" w:rsidRDefault="001A1A79">
      <w:pPr>
        <w:shd w:val="clear" w:color="auto" w:fill="auto"/>
        <w:rPr>
          <w:rFonts w:ascii="仿宋" w:eastAsia="仿宋" w:hAnsi="仿宋" w:cs="仿宋"/>
        </w:rPr>
        <w:sectPr w:rsidR="001A1A79">
          <w:headerReference w:type="default" r:id="rId29"/>
          <w:footerReference w:type="default" r:id="rId30"/>
          <w:endnotePr>
            <w:numFmt w:val="decimal"/>
          </w:endnotePr>
          <w:pgSz w:w="11906" w:h="16838"/>
          <w:pgMar w:top="1440" w:right="1531" w:bottom="1440" w:left="1587" w:header="709" w:footer="992" w:gutter="0"/>
          <w:cols w:space="720"/>
        </w:sectPr>
      </w:pPr>
    </w:p>
    <w:p w:rsidR="001A1A79" w:rsidRPr="00D56E2B" w:rsidRDefault="00513E9E">
      <w:pPr>
        <w:shd w:val="clear" w:color="auto" w:fill="auto"/>
        <w:spacing w:line="360" w:lineRule="auto"/>
        <w:ind w:firstLine="643"/>
        <w:rPr>
          <w:rFonts w:ascii="仿宋_GB2312" w:eastAsia="仿宋_GB2312" w:hAnsi="仿宋" w:cs="仿宋"/>
          <w:sz w:val="32"/>
          <w:szCs w:val="32"/>
        </w:rPr>
      </w:pPr>
      <w:r w:rsidRPr="00D56E2B">
        <w:rPr>
          <w:rFonts w:ascii="仿宋_GB2312" w:eastAsia="仿宋_GB2312" w:hAnsi="仿宋" w:cs="仿宋" w:hint="eastAsia"/>
          <w:b/>
          <w:bCs/>
          <w:sz w:val="32"/>
          <w:szCs w:val="32"/>
        </w:rPr>
        <w:lastRenderedPageBreak/>
        <w:t>一、财政拨款收入：</w:t>
      </w:r>
      <w:r w:rsidRPr="00D56E2B">
        <w:rPr>
          <w:rFonts w:ascii="仿宋_GB2312" w:eastAsia="仿宋_GB2312" w:hAnsi="仿宋" w:cs="仿宋" w:hint="eastAsia"/>
          <w:bCs/>
          <w:sz w:val="32"/>
          <w:szCs w:val="32"/>
        </w:rPr>
        <w:t>指行政单位向同级财政部门取得的各</w:t>
      </w:r>
      <w:proofErr w:type="gramStart"/>
      <w:r w:rsidRPr="00D56E2B">
        <w:rPr>
          <w:rFonts w:ascii="仿宋_GB2312" w:eastAsia="仿宋_GB2312" w:hAnsi="仿宋" w:cs="仿宋" w:hint="eastAsia"/>
          <w:bCs/>
          <w:sz w:val="32"/>
          <w:szCs w:val="32"/>
        </w:rPr>
        <w:t>类财政</w:t>
      </w:r>
      <w:proofErr w:type="gramEnd"/>
      <w:r w:rsidRPr="00D56E2B">
        <w:rPr>
          <w:rFonts w:ascii="仿宋_GB2312" w:eastAsia="仿宋_GB2312" w:hAnsi="仿宋" w:cs="仿宋" w:hint="eastAsia"/>
          <w:bCs/>
          <w:sz w:val="32"/>
          <w:szCs w:val="32"/>
        </w:rPr>
        <w:t>预算资金，包括为其基本支出和项目支出向同级财政部门申请取得的财政拨款</w:t>
      </w:r>
      <w:r w:rsidRPr="00D56E2B">
        <w:rPr>
          <w:rFonts w:ascii="仿宋_GB2312" w:eastAsia="仿宋_GB2312" w:hAnsi="仿宋" w:cs="仿宋" w:hint="eastAsia"/>
          <w:sz w:val="32"/>
          <w:szCs w:val="32"/>
        </w:rPr>
        <w:t>。</w:t>
      </w:r>
    </w:p>
    <w:p w:rsidR="001A1A79" w:rsidRPr="00D56E2B" w:rsidRDefault="00513E9E">
      <w:pPr>
        <w:shd w:val="clear" w:color="auto" w:fill="auto"/>
        <w:spacing w:line="360" w:lineRule="auto"/>
        <w:ind w:firstLine="643"/>
        <w:rPr>
          <w:rFonts w:ascii="仿宋_GB2312" w:eastAsia="仿宋_GB2312" w:hAnsi="仿宋" w:cs="仿宋"/>
          <w:sz w:val="32"/>
          <w:szCs w:val="32"/>
        </w:rPr>
      </w:pPr>
      <w:r w:rsidRPr="00D56E2B">
        <w:rPr>
          <w:rFonts w:ascii="仿宋_GB2312" w:eastAsia="仿宋_GB2312" w:hAnsi="仿宋" w:cs="仿宋" w:hint="eastAsia"/>
          <w:b/>
          <w:bCs/>
          <w:sz w:val="32"/>
          <w:szCs w:val="32"/>
        </w:rPr>
        <w:t>二、其他收入：</w:t>
      </w:r>
      <w:r w:rsidRPr="00D56E2B">
        <w:rPr>
          <w:rFonts w:ascii="仿宋_GB2312" w:eastAsia="仿宋_GB2312" w:hAnsi="仿宋" w:cs="仿宋" w:hint="eastAsia"/>
          <w:sz w:val="32"/>
          <w:szCs w:val="32"/>
        </w:rPr>
        <w:t>指行政单位取得的除“财政拨款收入”、以外的收入。</w:t>
      </w:r>
    </w:p>
    <w:p w:rsidR="001A1A79" w:rsidRPr="00D56E2B" w:rsidRDefault="00513E9E">
      <w:pPr>
        <w:shd w:val="clear" w:color="auto" w:fill="auto"/>
        <w:spacing w:line="360" w:lineRule="auto"/>
        <w:ind w:firstLine="643"/>
        <w:rPr>
          <w:rFonts w:ascii="仿宋_GB2312" w:eastAsia="仿宋_GB2312" w:hAnsi="仿宋" w:cs="仿宋"/>
          <w:sz w:val="32"/>
          <w:szCs w:val="32"/>
        </w:rPr>
      </w:pPr>
      <w:r w:rsidRPr="00D56E2B">
        <w:rPr>
          <w:rFonts w:ascii="仿宋_GB2312" w:eastAsia="仿宋_GB2312" w:hAnsi="仿宋" w:cs="仿宋" w:hint="eastAsia"/>
          <w:b/>
          <w:bCs/>
          <w:sz w:val="32"/>
          <w:szCs w:val="32"/>
        </w:rPr>
        <w:t>五、年末结转和结余：</w:t>
      </w:r>
      <w:r w:rsidRPr="00D56E2B">
        <w:rPr>
          <w:rFonts w:ascii="仿宋_GB2312" w:eastAsia="仿宋_GB2312" w:hAnsi="仿宋" w:cs="仿宋" w:hint="eastAsia"/>
          <w:sz w:val="32"/>
          <w:szCs w:val="32"/>
        </w:rPr>
        <w:t>指本年度或以前年度预算安排、因客观条件发生变化无法按原计划实施，需延迟到以后年度按有关规定继续使用的资金。</w:t>
      </w:r>
    </w:p>
    <w:p w:rsidR="001A1A79" w:rsidRPr="00D56E2B" w:rsidRDefault="00513E9E">
      <w:pPr>
        <w:shd w:val="clear" w:color="auto" w:fill="auto"/>
        <w:spacing w:line="360" w:lineRule="auto"/>
        <w:ind w:firstLine="643"/>
        <w:rPr>
          <w:rFonts w:ascii="仿宋_GB2312" w:eastAsia="仿宋_GB2312" w:hAnsi="仿宋" w:cs="仿宋"/>
          <w:sz w:val="32"/>
          <w:szCs w:val="32"/>
        </w:rPr>
      </w:pPr>
      <w:r w:rsidRPr="00D56E2B">
        <w:rPr>
          <w:rFonts w:ascii="仿宋_GB2312" w:eastAsia="仿宋_GB2312" w:hAnsi="仿宋" w:cs="仿宋" w:hint="eastAsia"/>
          <w:b/>
          <w:bCs/>
          <w:sz w:val="32"/>
          <w:szCs w:val="32"/>
        </w:rPr>
        <w:t>六、基本支出：</w:t>
      </w:r>
      <w:r w:rsidRPr="00D56E2B">
        <w:rPr>
          <w:rFonts w:ascii="仿宋_GB2312" w:eastAsia="仿宋_GB2312" w:hAnsi="仿宋" w:cs="仿宋" w:hint="eastAsia"/>
          <w:sz w:val="32"/>
          <w:szCs w:val="32"/>
        </w:rPr>
        <w:t>指为保障机构正常运转、完成日常工作任务而发生的人员支出和公用支出。</w:t>
      </w:r>
    </w:p>
    <w:p w:rsidR="001A1A79" w:rsidRDefault="001A1A79">
      <w:pPr>
        <w:shd w:val="clear" w:color="auto" w:fill="auto"/>
        <w:spacing w:line="360" w:lineRule="auto"/>
        <w:ind w:firstLine="640"/>
        <w:rPr>
          <w:rFonts w:ascii="仿宋" w:eastAsia="仿宋" w:hAnsi="仿宋" w:cs="仿宋"/>
          <w:sz w:val="32"/>
          <w:szCs w:val="32"/>
        </w:rPr>
      </w:pPr>
    </w:p>
    <w:p w:rsidR="001A1A79" w:rsidRDefault="001A1A79">
      <w:pPr>
        <w:shd w:val="clear" w:color="auto" w:fill="auto"/>
        <w:spacing w:line="360" w:lineRule="auto"/>
        <w:ind w:firstLine="640"/>
        <w:rPr>
          <w:rFonts w:ascii="仿宋" w:eastAsia="仿宋" w:hAnsi="仿宋" w:cs="仿宋"/>
          <w:sz w:val="32"/>
          <w:szCs w:val="32"/>
        </w:rPr>
      </w:pPr>
    </w:p>
    <w:p w:rsidR="001A1A79" w:rsidRDefault="001A1A79">
      <w:pPr>
        <w:shd w:val="clear" w:color="auto" w:fill="auto"/>
        <w:spacing w:line="360" w:lineRule="auto"/>
        <w:ind w:firstLine="640"/>
        <w:rPr>
          <w:rFonts w:ascii="仿宋" w:eastAsia="仿宋" w:hAnsi="仿宋" w:cs="仿宋"/>
          <w:sz w:val="32"/>
          <w:szCs w:val="32"/>
        </w:rPr>
      </w:pPr>
      <w:bookmarkStart w:id="0" w:name="_GoBack"/>
      <w:bookmarkEnd w:id="0"/>
    </w:p>
    <w:p w:rsidR="001A1A79" w:rsidRDefault="001A1A79">
      <w:pPr>
        <w:shd w:val="clear" w:color="auto" w:fill="auto"/>
        <w:spacing w:line="360" w:lineRule="auto"/>
        <w:rPr>
          <w:rFonts w:ascii="仿宋" w:eastAsia="仿宋" w:hAnsi="仿宋" w:cs="仿宋"/>
          <w:sz w:val="52"/>
          <w:szCs w:val="52"/>
          <w:shd w:val="clear" w:color="auto" w:fill="FFFF00"/>
        </w:rPr>
      </w:pPr>
    </w:p>
    <w:p w:rsidR="001A1A79" w:rsidRPr="00D56E2B" w:rsidRDefault="00513E9E">
      <w:pPr>
        <w:shd w:val="clear" w:color="auto" w:fill="auto"/>
        <w:spacing w:line="360" w:lineRule="auto"/>
        <w:jc w:val="right"/>
        <w:rPr>
          <w:rFonts w:ascii="仿宋_GB2312" w:eastAsia="仿宋_GB2312" w:hAnsi="仿宋_GB2312" w:cs="Courier New"/>
          <w:sz w:val="32"/>
          <w:szCs w:val="32"/>
        </w:rPr>
      </w:pPr>
      <w:r w:rsidRPr="00D56E2B">
        <w:rPr>
          <w:rFonts w:ascii="仿宋_GB2312" w:eastAsia="仿宋_GB2312" w:hAnsi="仿宋_GB2312" w:cs="Courier New" w:hint="eastAsia"/>
          <w:sz w:val="32"/>
          <w:szCs w:val="32"/>
        </w:rPr>
        <w:t>2017年9月22日</w:t>
      </w:r>
    </w:p>
    <w:p w:rsidR="001A1A79" w:rsidRPr="00D56E2B" w:rsidRDefault="00513E9E">
      <w:pPr>
        <w:shd w:val="clear" w:color="auto" w:fill="auto"/>
        <w:spacing w:line="360" w:lineRule="auto"/>
        <w:jc w:val="right"/>
        <w:rPr>
          <w:rFonts w:ascii="仿宋_GB2312" w:eastAsia="仿宋_GB2312" w:hAnsi="仿宋_GB2312" w:cs="Courier New"/>
          <w:sz w:val="32"/>
          <w:szCs w:val="32"/>
        </w:rPr>
      </w:pPr>
      <w:r w:rsidRPr="00D56E2B">
        <w:rPr>
          <w:rFonts w:ascii="仿宋_GB2312" w:eastAsia="仿宋_GB2312" w:hAnsi="仿宋_GB2312" w:cs="Courier New" w:hint="eastAsia"/>
          <w:sz w:val="32"/>
          <w:szCs w:val="32"/>
        </w:rPr>
        <w:t>李建玲</w:t>
      </w:r>
    </w:p>
    <w:p w:rsidR="001A1A79" w:rsidRPr="00D56E2B" w:rsidRDefault="00513E9E">
      <w:pPr>
        <w:shd w:val="clear" w:color="auto" w:fill="auto"/>
        <w:spacing w:line="360" w:lineRule="auto"/>
        <w:jc w:val="right"/>
        <w:rPr>
          <w:rFonts w:ascii="仿宋_GB2312" w:eastAsia="仿宋_GB2312" w:hAnsi="仿宋_GB2312" w:cs="Courier New"/>
          <w:sz w:val="32"/>
          <w:szCs w:val="32"/>
        </w:rPr>
      </w:pPr>
      <w:r w:rsidRPr="00D56E2B">
        <w:rPr>
          <w:rFonts w:ascii="仿宋_GB2312" w:eastAsia="仿宋_GB2312" w:hAnsi="仿宋_GB2312" w:cs="Courier New" w:hint="eastAsia"/>
          <w:sz w:val="32"/>
          <w:szCs w:val="32"/>
        </w:rPr>
        <w:t>13937347246</w:t>
      </w:r>
    </w:p>
    <w:sectPr w:rsidR="001A1A79" w:rsidRPr="00D56E2B" w:rsidSect="001A1A79">
      <w:headerReference w:type="default" r:id="rId31"/>
      <w:footerReference w:type="default" r:id="rId32"/>
      <w:endnotePr>
        <w:numFmt w:val="decimal"/>
      </w:endnotePr>
      <w:pgSz w:w="11906" w:h="16838"/>
      <w:pgMar w:top="1440" w:right="1531" w:bottom="1440" w:left="1587" w:header="709"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A79" w:rsidRDefault="001A1A79" w:rsidP="001A1A79">
      <w:r>
        <w:separator/>
      </w:r>
    </w:p>
  </w:endnote>
  <w:endnote w:type="continuationSeparator" w:id="1">
    <w:p w:rsidR="001A1A79" w:rsidRDefault="001A1A79" w:rsidP="001A1A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60288" behindDoc="0" locked="0" layoutInCell="0" allowOverlap="1">
          <wp:simplePos x="0" y="0"/>
          <wp:positionH relativeFrom="margin">
            <wp:align>center</wp:align>
          </wp:positionH>
          <wp:positionV relativeFrom="paragraph">
            <wp:posOffset>0</wp:posOffset>
          </wp:positionV>
          <wp:extent cx="115570" cy="139700"/>
          <wp:effectExtent l="0" t="0" r="0" b="0"/>
          <wp:wrapNone/>
          <wp:docPr id="9" name="图片模式5"/>
          <wp:cNvGraphicFramePr/>
          <a:graphic xmlns:a="http://schemas.openxmlformats.org/drawingml/2006/main">
            <a:graphicData uri="http://schemas.openxmlformats.org/drawingml/2006/picture">
              <pic:pic xmlns:pic="http://schemas.openxmlformats.org/drawingml/2006/picture">
                <pic:nvPicPr>
                  <pic:cNvPr id="9" name="图片模式5"/>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61312" behindDoc="0" locked="0" layoutInCell="0" allowOverlap="1">
          <wp:simplePos x="0" y="0"/>
          <wp:positionH relativeFrom="margin">
            <wp:align>center</wp:align>
          </wp:positionH>
          <wp:positionV relativeFrom="paragraph">
            <wp:posOffset>0</wp:posOffset>
          </wp:positionV>
          <wp:extent cx="115570" cy="139700"/>
          <wp:effectExtent l="0" t="0" r="0" b="0"/>
          <wp:wrapNone/>
          <wp:docPr id="10" name="图片模式4"/>
          <wp:cNvGraphicFramePr/>
          <a:graphic xmlns:a="http://schemas.openxmlformats.org/drawingml/2006/main">
            <a:graphicData uri="http://schemas.openxmlformats.org/drawingml/2006/picture">
              <pic:pic xmlns:pic="http://schemas.openxmlformats.org/drawingml/2006/picture">
                <pic:nvPicPr>
                  <pic:cNvPr id="10" name="图片模式4"/>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62336" behindDoc="0" locked="0" layoutInCell="0" allowOverlap="1">
          <wp:simplePos x="0" y="0"/>
          <wp:positionH relativeFrom="margin">
            <wp:align>center</wp:align>
          </wp:positionH>
          <wp:positionV relativeFrom="paragraph">
            <wp:posOffset>0</wp:posOffset>
          </wp:positionV>
          <wp:extent cx="115570" cy="139700"/>
          <wp:effectExtent l="0" t="0" r="0" b="0"/>
          <wp:wrapNone/>
          <wp:docPr id="11" name="图片模式3"/>
          <wp:cNvGraphicFramePr/>
          <a:graphic xmlns:a="http://schemas.openxmlformats.org/drawingml/2006/main">
            <a:graphicData uri="http://schemas.openxmlformats.org/drawingml/2006/picture">
              <pic:pic xmlns:pic="http://schemas.openxmlformats.org/drawingml/2006/picture">
                <pic:nvPicPr>
                  <pic:cNvPr id="11" name="图片模式3"/>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63360" behindDoc="0" locked="0" layoutInCell="0" allowOverlap="1">
          <wp:simplePos x="0" y="0"/>
          <wp:positionH relativeFrom="margin">
            <wp:align>center</wp:align>
          </wp:positionH>
          <wp:positionV relativeFrom="paragraph">
            <wp:posOffset>0</wp:posOffset>
          </wp:positionV>
          <wp:extent cx="115570" cy="139700"/>
          <wp:effectExtent l="0" t="0" r="0" b="0"/>
          <wp:wrapNone/>
          <wp:docPr id="12" name="图片模式1"/>
          <wp:cNvGraphicFramePr/>
          <a:graphic xmlns:a="http://schemas.openxmlformats.org/drawingml/2006/main">
            <a:graphicData uri="http://schemas.openxmlformats.org/drawingml/2006/picture">
              <pic:pic xmlns:pic="http://schemas.openxmlformats.org/drawingml/2006/picture">
                <pic:nvPicPr>
                  <pic:cNvPr id="12" name="图片模式1"/>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52096" behindDoc="0" locked="0" layoutInCell="0" allowOverlap="1">
          <wp:simplePos x="0" y="0"/>
          <wp:positionH relativeFrom="margin">
            <wp:align>center</wp:align>
          </wp:positionH>
          <wp:positionV relativeFrom="paragraph">
            <wp:posOffset>0</wp:posOffset>
          </wp:positionV>
          <wp:extent cx="114300" cy="139700"/>
          <wp:effectExtent l="0" t="0" r="0" b="0"/>
          <wp:wrapNone/>
          <wp:docPr id="1" name="图片模式13"/>
          <wp:cNvGraphicFramePr/>
          <a:graphic xmlns:a="http://schemas.openxmlformats.org/drawingml/2006/main">
            <a:graphicData uri="http://schemas.openxmlformats.org/drawingml/2006/picture">
              <pic:pic xmlns:pic="http://schemas.openxmlformats.org/drawingml/2006/picture">
                <pic:nvPicPr>
                  <pic:cNvPr id="1" name="图片模式13"/>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53120" behindDoc="0" locked="0" layoutInCell="0" allowOverlap="1">
          <wp:simplePos x="0" y="0"/>
          <wp:positionH relativeFrom="margin">
            <wp:align>center</wp:align>
          </wp:positionH>
          <wp:positionV relativeFrom="paragraph">
            <wp:posOffset>0</wp:posOffset>
          </wp:positionV>
          <wp:extent cx="114300" cy="139700"/>
          <wp:effectExtent l="0" t="0" r="0" b="0"/>
          <wp:wrapNone/>
          <wp:docPr id="2" name="图片模式12"/>
          <wp:cNvGraphicFramePr/>
          <a:graphic xmlns:a="http://schemas.openxmlformats.org/drawingml/2006/main">
            <a:graphicData uri="http://schemas.openxmlformats.org/drawingml/2006/picture">
              <pic:pic xmlns:pic="http://schemas.openxmlformats.org/drawingml/2006/picture">
                <pic:nvPicPr>
                  <pic:cNvPr id="2" name="图片模式12"/>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54144" behindDoc="0" locked="0" layoutInCell="0" allowOverlap="1">
          <wp:simplePos x="0" y="0"/>
          <wp:positionH relativeFrom="margin">
            <wp:align>center</wp:align>
          </wp:positionH>
          <wp:positionV relativeFrom="paragraph">
            <wp:posOffset>0</wp:posOffset>
          </wp:positionV>
          <wp:extent cx="114300" cy="139700"/>
          <wp:effectExtent l="0" t="0" r="0" b="0"/>
          <wp:wrapNone/>
          <wp:docPr id="3" name="图片模式11"/>
          <wp:cNvGraphicFramePr/>
          <a:graphic xmlns:a="http://schemas.openxmlformats.org/drawingml/2006/main">
            <a:graphicData uri="http://schemas.openxmlformats.org/drawingml/2006/picture">
              <pic:pic xmlns:pic="http://schemas.openxmlformats.org/drawingml/2006/picture">
                <pic:nvPicPr>
                  <pic:cNvPr id="3" name="图片模式11"/>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55168" behindDoc="0" locked="0" layoutInCell="0" allowOverlap="1">
          <wp:simplePos x="0" y="0"/>
          <wp:positionH relativeFrom="margin">
            <wp:align>center</wp:align>
          </wp:positionH>
          <wp:positionV relativeFrom="paragraph">
            <wp:posOffset>0</wp:posOffset>
          </wp:positionV>
          <wp:extent cx="114300" cy="139700"/>
          <wp:effectExtent l="0" t="0" r="0" b="0"/>
          <wp:wrapNone/>
          <wp:docPr id="4" name="图片模式10"/>
          <wp:cNvGraphicFramePr/>
          <a:graphic xmlns:a="http://schemas.openxmlformats.org/drawingml/2006/main">
            <a:graphicData uri="http://schemas.openxmlformats.org/drawingml/2006/picture">
              <pic:pic xmlns:pic="http://schemas.openxmlformats.org/drawingml/2006/picture">
                <pic:nvPicPr>
                  <pic:cNvPr id="4" name="图片模式10"/>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56192" behindDoc="0" locked="0" layoutInCell="0" allowOverlap="1">
          <wp:simplePos x="0" y="0"/>
          <wp:positionH relativeFrom="margin">
            <wp:align>center</wp:align>
          </wp:positionH>
          <wp:positionV relativeFrom="paragraph">
            <wp:posOffset>0</wp:posOffset>
          </wp:positionV>
          <wp:extent cx="114300" cy="139700"/>
          <wp:effectExtent l="0" t="0" r="0" b="0"/>
          <wp:wrapNone/>
          <wp:docPr id="5" name="图片模式9"/>
          <wp:cNvGraphicFramePr/>
          <a:graphic xmlns:a="http://schemas.openxmlformats.org/drawingml/2006/main">
            <a:graphicData uri="http://schemas.openxmlformats.org/drawingml/2006/picture">
              <pic:pic xmlns:pic="http://schemas.openxmlformats.org/drawingml/2006/picture">
                <pic:nvPicPr>
                  <pic:cNvPr id="5" name="图片模式9"/>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57216" behindDoc="0" locked="0" layoutInCell="0" allowOverlap="1">
          <wp:simplePos x="0" y="0"/>
          <wp:positionH relativeFrom="margin">
            <wp:align>center</wp:align>
          </wp:positionH>
          <wp:positionV relativeFrom="paragraph">
            <wp:posOffset>0</wp:posOffset>
          </wp:positionV>
          <wp:extent cx="114300" cy="139700"/>
          <wp:effectExtent l="0" t="0" r="0" b="0"/>
          <wp:wrapNone/>
          <wp:docPr id="6" name="图片模式8"/>
          <wp:cNvGraphicFramePr/>
          <a:graphic xmlns:a="http://schemas.openxmlformats.org/drawingml/2006/main">
            <a:graphicData uri="http://schemas.openxmlformats.org/drawingml/2006/picture">
              <pic:pic xmlns:pic="http://schemas.openxmlformats.org/drawingml/2006/picture">
                <pic:nvPicPr>
                  <pic:cNvPr id="6" name="图片模式8"/>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58240" behindDoc="0" locked="0" layoutInCell="0" allowOverlap="1">
          <wp:simplePos x="0" y="0"/>
          <wp:positionH relativeFrom="margin">
            <wp:align>center</wp:align>
          </wp:positionH>
          <wp:positionV relativeFrom="paragraph">
            <wp:posOffset>0</wp:posOffset>
          </wp:positionV>
          <wp:extent cx="114300" cy="139700"/>
          <wp:effectExtent l="0" t="0" r="0" b="0"/>
          <wp:wrapNone/>
          <wp:docPr id="7" name="图片模式7"/>
          <wp:cNvGraphicFramePr/>
          <a:graphic xmlns:a="http://schemas.openxmlformats.org/drawingml/2006/main">
            <a:graphicData uri="http://schemas.openxmlformats.org/drawingml/2006/picture">
              <pic:pic xmlns:pic="http://schemas.openxmlformats.org/drawingml/2006/picture">
                <pic:nvPicPr>
                  <pic:cNvPr id="7" name="图片模式7"/>
                  <pic:cNvPicPr/>
                </pic:nvPicPr>
                <pic:blipFill>
                  <a:blip/>
                  <a:stretch>
                    <a:fillRect/>
                  </a:stretch>
                </pic:blipFill>
                <pic:spPr>
                  <a:xfrm>
                    <a:off x="0" y="0"/>
                    <a:ext cx="114300" cy="139700"/>
                  </a:xfrm>
                  <a:prstGeom prst="rect">
                    <a:avLst/>
                  </a:prstGeom>
                  <a:noFill/>
                  <a:ln w="12700">
                    <a:noFill/>
                  </a:ln>
                </pic:spPr>
              </pic:pic>
            </a:graphicData>
          </a:graphic>
        </wp:anchor>
      </w:drawing>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513E9E">
    <w:r>
      <w:rPr>
        <w:noProof/>
      </w:rPr>
      <w:drawing>
        <wp:anchor distT="0" distB="0" distL="114300" distR="114300" simplePos="0" relativeHeight="251659264" behindDoc="0" locked="0" layoutInCell="0" allowOverlap="1">
          <wp:simplePos x="0" y="0"/>
          <wp:positionH relativeFrom="margin">
            <wp:align>center</wp:align>
          </wp:positionH>
          <wp:positionV relativeFrom="paragraph">
            <wp:posOffset>0</wp:posOffset>
          </wp:positionV>
          <wp:extent cx="115570" cy="139700"/>
          <wp:effectExtent l="0" t="0" r="0" b="0"/>
          <wp:wrapNone/>
          <wp:docPr id="8" name="图片模式6"/>
          <wp:cNvGraphicFramePr/>
          <a:graphic xmlns:a="http://schemas.openxmlformats.org/drawingml/2006/main">
            <a:graphicData uri="http://schemas.openxmlformats.org/drawingml/2006/picture">
              <pic:pic xmlns:pic="http://schemas.openxmlformats.org/drawingml/2006/picture">
                <pic:nvPicPr>
                  <pic:cNvPr id="8" name="图片模式6"/>
                  <pic:cNvPicPr/>
                </pic:nvPicPr>
                <pic:blipFill>
                  <a:blip/>
                  <a:stretch>
                    <a:fillRect/>
                  </a:stretch>
                </pic:blipFill>
                <pic:spPr>
                  <a:xfrm>
                    <a:off x="0" y="0"/>
                    <a:ext cx="115570" cy="139700"/>
                  </a:xfrm>
                  <a:prstGeom prst="rect">
                    <a:avLst/>
                  </a:prstGeom>
                  <a:noFill/>
                  <a:ln w="12700">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A79" w:rsidRDefault="001A1A79" w:rsidP="001A1A79">
      <w:r>
        <w:separator/>
      </w:r>
    </w:p>
  </w:footnote>
  <w:footnote w:type="continuationSeparator" w:id="1">
    <w:p w:rsidR="001A1A79" w:rsidRDefault="001A1A79" w:rsidP="001A1A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79" w:rsidRDefault="001A1A7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CCD98"/>
    <w:multiLevelType w:val="singleLevel"/>
    <w:tmpl w:val="59CCCD98"/>
    <w:lvl w:ilvl="0">
      <w:start w:val="1"/>
      <w:numFmt w:val="chineseCounting"/>
      <w:suff w:val="nothing"/>
      <w:lvlText w:val="%1、"/>
      <w:lvlJc w:val="left"/>
      <w:pPr>
        <w:ind w:left="420" w:firstLine="0"/>
      </w:pPr>
    </w:lvl>
  </w:abstractNum>
  <w:abstractNum w:abstractNumId="1">
    <w:nsid w:val="59CCCDA3"/>
    <w:multiLevelType w:val="singleLevel"/>
    <w:tmpl w:val="59CCCDA3"/>
    <w:lvl w:ilvl="0">
      <w:start w:val="1"/>
      <w:numFmt w:val="chineseCounting"/>
      <w:suff w:val="nothing"/>
      <w:lvlText w:val="%1、"/>
      <w:lvlJc w:val="left"/>
      <w:pPr>
        <w:ind w:left="420" w:firstLine="0"/>
      </w:pPr>
    </w:lvl>
  </w:abstractNum>
  <w:abstractNum w:abstractNumId="2">
    <w:nsid w:val="59CCCDAE"/>
    <w:multiLevelType w:val="singleLevel"/>
    <w:tmpl w:val="59CCCDAE"/>
    <w:lvl w:ilvl="0">
      <w:start w:val="1"/>
      <w:numFmt w:val="chineseCounting"/>
      <w:suff w:val="nothing"/>
      <w:lvlText w:val="（%1）"/>
      <w:lvlJc w:val="left"/>
      <w:pPr>
        <w:ind w:left="420" w:firstLine="0"/>
      </w:pPr>
    </w:lvl>
  </w:abstractNum>
  <w:abstractNum w:abstractNumId="3">
    <w:nsid w:val="66B75751"/>
    <w:multiLevelType w:val="hybridMultilevel"/>
    <w:tmpl w:val="3C4CB0FE"/>
    <w:lvl w:ilvl="0" w:tplc="711A8D8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characterSpacingControl w:val="doNotCompress"/>
  <w:hdrShapeDefaults>
    <o:shapedefaults v:ext="edit" spidmax="2050"/>
  </w:hdrShapeDefaults>
  <w:footnotePr>
    <w:footnote w:id="0"/>
    <w:footnote w:id="1"/>
  </w:footnotePr>
  <w:endnotePr>
    <w:numFmt w:val="decimal"/>
    <w:endnote w:id="0"/>
    <w:endnote w:id="1"/>
  </w:endnotePr>
  <w:compat>
    <w:doNotExpandShiftReturn/>
    <w:useFELayout/>
  </w:compat>
  <w:rsids>
    <w:rsidRoot w:val="001A1A79"/>
    <w:rsid w:val="000A6DBB"/>
    <w:rsid w:val="001A1A79"/>
    <w:rsid w:val="00513E9E"/>
    <w:rsid w:val="008966D6"/>
    <w:rsid w:val="00986738"/>
    <w:rsid w:val="00D56E2B"/>
    <w:rsid w:val="43F21E2E"/>
    <w:rsid w:val="6F0437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Normal (Web)" w:semiHidden="0" w:uiPriority="0" w:unhideWhenUsed="0" w:qFormat="1"/>
    <w:lsdException w:name="Normal Table"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font41"/>
    <w:qFormat/>
    <w:rsid w:val="001A1A79"/>
    <w:pPr>
      <w:widowControl w:val="0"/>
      <w:pBdr>
        <w:top w:val="none" w:sz="0" w:space="0" w:color="000000"/>
        <w:left w:val="none" w:sz="0" w:space="0" w:color="000000"/>
        <w:bottom w:val="none" w:sz="0" w:space="0" w:color="000000"/>
        <w:right w:val="none" w:sz="0" w:space="0" w:color="000000"/>
        <w:between w:val="none" w:sz="0" w:space="0" w:color="000000"/>
      </w:pBdr>
      <w:shd w:val="solid" w:color="auto" w:fill="auto"/>
      <w:jc w:val="both"/>
    </w:pPr>
    <w:rPr>
      <w:rFonts w:eastAsia="Calibri"/>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1A1A79"/>
    <w:pPr>
      <w:widowControl w:val="0"/>
      <w:pBdr>
        <w:top w:val="none" w:sz="0" w:space="3" w:color="000000"/>
        <w:left w:val="none" w:sz="0" w:space="3" w:color="000000"/>
        <w:bottom w:val="none" w:sz="0" w:space="3" w:color="000000"/>
        <w:right w:val="none" w:sz="0" w:space="3" w:color="000000"/>
        <w:between w:val="none" w:sz="0" w:space="0" w:color="000000"/>
      </w:pBdr>
      <w:shd w:val="solid" w:color="auto" w:fill="auto"/>
    </w:pPr>
    <w:rPr>
      <w:rFonts w:eastAsia="Calibri"/>
      <w:kern w:val="1"/>
      <w:sz w:val="18"/>
      <w:szCs w:val="24"/>
    </w:rPr>
  </w:style>
  <w:style w:type="paragraph" w:styleId="a4">
    <w:name w:val="header"/>
    <w:qFormat/>
    <w:rsid w:val="001A1A79"/>
    <w:pPr>
      <w:widowControl w:val="0"/>
      <w:pBdr>
        <w:top w:val="none" w:sz="0" w:space="1" w:color="000000"/>
        <w:left w:val="none" w:sz="0" w:space="4" w:color="000000"/>
        <w:bottom w:val="none" w:sz="0" w:space="1" w:color="000000"/>
        <w:right w:val="none" w:sz="0" w:space="4" w:color="000000"/>
        <w:between w:val="none" w:sz="0" w:space="0" w:color="000000"/>
      </w:pBdr>
      <w:shd w:val="solid" w:color="auto" w:fill="auto"/>
      <w:jc w:val="both"/>
    </w:pPr>
    <w:rPr>
      <w:rFonts w:eastAsia="Calibri"/>
      <w:kern w:val="1"/>
      <w:sz w:val="18"/>
      <w:szCs w:val="24"/>
    </w:rPr>
  </w:style>
  <w:style w:type="paragraph" w:styleId="a5">
    <w:name w:val="Normal (Web)"/>
    <w:qFormat/>
    <w:rsid w:val="001A1A79"/>
    <w:pPr>
      <w:pBdr>
        <w:top w:val="none" w:sz="0" w:space="3" w:color="000000"/>
        <w:left w:val="none" w:sz="0" w:space="3" w:color="000000"/>
        <w:bottom w:val="none" w:sz="0" w:space="3" w:color="000000"/>
        <w:right w:val="none" w:sz="0" w:space="3" w:color="000000"/>
        <w:between w:val="none" w:sz="0" w:space="0" w:color="000000"/>
      </w:pBdr>
      <w:shd w:val="solid" w:color="auto" w:fill="auto"/>
      <w:spacing w:before="100" w:beforeAutospacing="1" w:after="100" w:afterAutospacing="1"/>
    </w:pPr>
    <w:rPr>
      <w:rFonts w:ascii="宋体" w:eastAsia="宋体" w:hAnsi="宋体" w:cs="宋体"/>
      <w:kern w:val="1"/>
      <w:sz w:val="24"/>
      <w:szCs w:val="24"/>
    </w:rPr>
  </w:style>
  <w:style w:type="character" w:customStyle="1" w:styleId="font31">
    <w:name w:val="font31"/>
    <w:qFormat/>
    <w:rsid w:val="001A1A79"/>
    <w:rPr>
      <w:rFonts w:ascii="Arial" w:hAnsi="Arial" w:cs="Arial"/>
      <w:sz w:val="16"/>
      <w:szCs w:val="16"/>
    </w:rPr>
  </w:style>
  <w:style w:type="character" w:customStyle="1" w:styleId="font01">
    <w:name w:val="font01"/>
    <w:qFormat/>
    <w:rsid w:val="001A1A79"/>
    <w:rPr>
      <w:rFonts w:ascii="Arial" w:hAnsi="Arial" w:cs="Arial"/>
      <w:sz w:val="16"/>
      <w:szCs w:val="16"/>
    </w:rPr>
  </w:style>
  <w:style w:type="character" w:customStyle="1" w:styleId="font41">
    <w:name w:val="font41"/>
    <w:qFormat/>
    <w:rsid w:val="001A1A79"/>
    <w:rPr>
      <w:rFonts w:ascii="宋体" w:eastAsia="宋体" w:hAnsi="宋体" w:cs="宋体" w:hint="eastAsia"/>
      <w:sz w:val="16"/>
      <w:szCs w:val="16"/>
    </w:rPr>
  </w:style>
  <w:style w:type="paragraph" w:styleId="a6">
    <w:name w:val="List Paragraph"/>
    <w:basedOn w:val="a"/>
    <w:uiPriority w:val="99"/>
    <w:unhideWhenUsed/>
    <w:rsid w:val="00D56E2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962</Words>
  <Characters>5490</Characters>
  <Application>Microsoft Office Word</Application>
  <DocSecurity>0</DocSecurity>
  <Lines>45</Lines>
  <Paragraphs>12</Paragraphs>
  <ScaleCrop>false</ScaleCrop>
  <Company>SG</Company>
  <LinksUpToDate>false</LinksUpToDate>
  <CharactersWithSpaces>6440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13</cp:revision>
  <cp:lastPrinted>2017-09-07T01:21:00Z</cp:lastPrinted>
  <dcterms:created xsi:type="dcterms:W3CDTF">2017-09-07T02:51:00Z</dcterms:created>
  <dcterms:modified xsi:type="dcterms:W3CDTF">2017-09-23T03:21:00Z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