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257" w:rsidRDefault="00514257">
      <w:pPr>
        <w:jc w:val="center"/>
        <w:rPr>
          <w:rFonts w:ascii="方正小标宋简体" w:eastAsia="方正小标宋简体" w:hAnsi="方正小标宋简体" w:cs="方正小标宋简体" w:hint="eastAsia"/>
          <w:sz w:val="52"/>
          <w:szCs w:val="52"/>
        </w:rPr>
      </w:pPr>
    </w:p>
    <w:p w:rsidR="00B4221D" w:rsidRDefault="00B4221D">
      <w:pPr>
        <w:jc w:val="center"/>
        <w:rPr>
          <w:rFonts w:ascii="方正小标宋简体" w:eastAsia="方正小标宋简体" w:hAnsi="方正小标宋简体" w:cs="方正小标宋简体"/>
          <w:sz w:val="52"/>
          <w:szCs w:val="52"/>
        </w:rPr>
      </w:pPr>
    </w:p>
    <w:p w:rsidR="00B4221D" w:rsidRDefault="00B4221D">
      <w:pPr>
        <w:jc w:val="center"/>
        <w:rPr>
          <w:rFonts w:ascii="方正小标宋简体" w:eastAsia="方正小标宋简体" w:hAnsi="方正小标宋简体" w:cs="方正小标宋简体"/>
          <w:sz w:val="52"/>
          <w:szCs w:val="52"/>
        </w:rPr>
      </w:pPr>
    </w:p>
    <w:p w:rsidR="00B4221D" w:rsidRDefault="00B4221D">
      <w:pPr>
        <w:jc w:val="center"/>
        <w:rPr>
          <w:rFonts w:ascii="方正小标宋简体" w:eastAsia="方正小标宋简体" w:hAnsi="方正小标宋简体" w:cs="方正小标宋简体"/>
          <w:sz w:val="52"/>
          <w:szCs w:val="52"/>
        </w:rPr>
      </w:pPr>
    </w:p>
    <w:p w:rsidR="00B4221D" w:rsidRDefault="00154DB2" w:rsidP="00011CB9">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延津县卫生学校</w:t>
      </w:r>
    </w:p>
    <w:p w:rsidR="00B4221D" w:rsidRDefault="00B4221D">
      <w:pPr>
        <w:jc w:val="center"/>
        <w:rPr>
          <w:rFonts w:ascii="黑体" w:eastAsia="黑体" w:hAnsi="黑体" w:cs="黑体"/>
          <w:sz w:val="52"/>
          <w:szCs w:val="52"/>
        </w:rPr>
      </w:pPr>
    </w:p>
    <w:p w:rsidR="00B4221D" w:rsidRDefault="00154DB2">
      <w:pPr>
        <w:jc w:val="center"/>
        <w:rPr>
          <w:rFonts w:ascii="隶书" w:eastAsia="隶书" w:hAnsi="隶书" w:cs="隶书"/>
          <w:sz w:val="52"/>
          <w:szCs w:val="52"/>
        </w:rPr>
      </w:pPr>
      <w:r>
        <w:rPr>
          <w:rFonts w:ascii="隶书" w:eastAsia="隶书" w:hAnsi="隶书" w:cs="隶书" w:hint="eastAsia"/>
          <w:sz w:val="52"/>
          <w:szCs w:val="52"/>
        </w:rPr>
        <w:t>2016年度部门决算</w:t>
      </w:r>
    </w:p>
    <w:p w:rsidR="00B4221D" w:rsidRDefault="00B4221D">
      <w:pPr>
        <w:sectPr w:rsidR="00B4221D">
          <w:endnotePr>
            <w:numFmt w:val="decimal"/>
          </w:endnotePr>
          <w:pgSz w:w="11906" w:h="16838"/>
          <w:pgMar w:top="1440" w:right="1531" w:bottom="1440" w:left="1587" w:header="720" w:footer="720" w:gutter="0"/>
          <w:pgNumType w:start="1"/>
          <w:cols w:space="720"/>
        </w:sectPr>
      </w:pPr>
    </w:p>
    <w:p w:rsidR="00B4221D" w:rsidRPr="00011CB9" w:rsidRDefault="00154DB2">
      <w:pPr>
        <w:jc w:val="center"/>
        <w:rPr>
          <w:rFonts w:ascii="仿宋_GB2312" w:eastAsia="仿宋_GB2312" w:hAnsi="黑体" w:cs="黑体"/>
          <w:sz w:val="36"/>
          <w:szCs w:val="36"/>
        </w:rPr>
      </w:pPr>
      <w:r w:rsidRPr="00011CB9">
        <w:rPr>
          <w:rFonts w:ascii="仿宋_GB2312" w:eastAsia="仿宋_GB2312" w:hAnsi="黑体" w:cs="黑体" w:hint="eastAsia"/>
          <w:sz w:val="36"/>
          <w:szCs w:val="36"/>
        </w:rPr>
        <w:lastRenderedPageBreak/>
        <w:t>目　　录</w:t>
      </w:r>
    </w:p>
    <w:p w:rsidR="00B4221D" w:rsidRPr="00154DB2" w:rsidRDefault="00154DB2">
      <w:pPr>
        <w:jc w:val="left"/>
        <w:rPr>
          <w:rFonts w:ascii="仿宋_GB2312" w:eastAsia="仿宋_GB2312" w:hAnsi="黑体" w:cs="黑体"/>
          <w:b/>
          <w:sz w:val="32"/>
          <w:szCs w:val="32"/>
        </w:rPr>
      </w:pPr>
      <w:r w:rsidRPr="00154DB2">
        <w:rPr>
          <w:rFonts w:ascii="仿宋_GB2312" w:eastAsia="仿宋_GB2312" w:hAnsi="黑体" w:cs="黑体" w:hint="eastAsia"/>
          <w:b/>
          <w:sz w:val="32"/>
          <w:szCs w:val="32"/>
        </w:rPr>
        <w:t>第一部分　　延津县卫生学校概况</w:t>
      </w:r>
    </w:p>
    <w:p w:rsidR="00B4221D" w:rsidRPr="00011CB9" w:rsidRDefault="00154DB2">
      <w:pPr>
        <w:ind w:firstLine="960"/>
        <w:jc w:val="left"/>
        <w:rPr>
          <w:rFonts w:ascii="仿宋_GB2312" w:eastAsia="仿宋_GB2312" w:hAnsi="宋体" w:cs="宋体"/>
          <w:sz w:val="32"/>
          <w:szCs w:val="32"/>
        </w:rPr>
      </w:pPr>
      <w:r w:rsidRPr="00011CB9">
        <w:rPr>
          <w:rFonts w:ascii="仿宋_GB2312" w:eastAsia="仿宋_GB2312" w:hAnsi="宋体" w:cs="宋体" w:hint="eastAsia"/>
          <w:sz w:val="32"/>
          <w:szCs w:val="32"/>
        </w:rPr>
        <w:t>主要职责</w:t>
      </w:r>
    </w:p>
    <w:p w:rsidR="00B4221D" w:rsidRPr="00154DB2" w:rsidRDefault="00154DB2">
      <w:pPr>
        <w:jc w:val="left"/>
        <w:rPr>
          <w:rFonts w:ascii="仿宋_GB2312" w:eastAsia="仿宋_GB2312" w:hAnsi="黑体" w:cs="黑体"/>
          <w:b/>
          <w:sz w:val="32"/>
          <w:szCs w:val="32"/>
        </w:rPr>
      </w:pPr>
      <w:r w:rsidRPr="00154DB2">
        <w:rPr>
          <w:rFonts w:ascii="仿宋_GB2312" w:eastAsia="仿宋_GB2312" w:hAnsi="黑体" w:cs="黑体" w:hint="eastAsia"/>
          <w:b/>
          <w:sz w:val="32"/>
          <w:szCs w:val="32"/>
        </w:rPr>
        <w:t>第二部分　　延津县卫生学校 2016年度部门决算表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一、收入支出决算总表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二、收入决算表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三、支出决算表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四、财政拨款收入支出决算总表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五、一般公共预算财政拨款支出决算表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六、一般公共预算财政拨款基本支出决算表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七、一般公共预算财政拨款“三公”经费支出决算表</w:t>
      </w:r>
    </w:p>
    <w:p w:rsidR="00B4221D" w:rsidRPr="00011CB9" w:rsidRDefault="00154DB2">
      <w:pPr>
        <w:jc w:val="left"/>
        <w:rPr>
          <w:rFonts w:ascii="仿宋_GB2312" w:eastAsia="仿宋_GB2312" w:hAnsi="宋体" w:cs="宋体"/>
          <w:sz w:val="32"/>
          <w:szCs w:val="32"/>
        </w:rPr>
      </w:pPr>
      <w:r w:rsidRPr="00011CB9">
        <w:rPr>
          <w:rFonts w:ascii="仿宋_GB2312" w:eastAsia="仿宋_GB2312" w:hAnsi="宋体" w:cs="宋体" w:hint="eastAsia"/>
          <w:sz w:val="32"/>
          <w:szCs w:val="32"/>
        </w:rPr>
        <w:t>八、政府性基金预算财政拨款收入支出决算表</w:t>
      </w:r>
    </w:p>
    <w:p w:rsidR="00B4221D" w:rsidRPr="00154DB2" w:rsidRDefault="00154DB2">
      <w:pPr>
        <w:jc w:val="left"/>
        <w:rPr>
          <w:rFonts w:ascii="仿宋_GB2312" w:eastAsia="仿宋_GB2312" w:hAnsi="黑体" w:cs="黑体"/>
          <w:b/>
          <w:sz w:val="32"/>
          <w:szCs w:val="32"/>
        </w:rPr>
      </w:pPr>
      <w:r w:rsidRPr="00154DB2">
        <w:rPr>
          <w:rFonts w:ascii="仿宋_GB2312" w:eastAsia="仿宋_GB2312" w:hAnsi="黑体" w:cs="黑体" w:hint="eastAsia"/>
          <w:b/>
          <w:sz w:val="32"/>
          <w:szCs w:val="32"/>
        </w:rPr>
        <w:t>第三部分　　延津县卫生学校2016年度部门决算情况说明</w:t>
      </w:r>
    </w:p>
    <w:p w:rsidR="00B4221D" w:rsidRPr="00154DB2" w:rsidRDefault="00154DB2">
      <w:pPr>
        <w:jc w:val="left"/>
        <w:rPr>
          <w:rFonts w:ascii="仿宋_GB2312" w:eastAsia="仿宋_GB2312" w:hAnsi="黑体" w:cs="黑体"/>
          <w:b/>
          <w:sz w:val="32"/>
          <w:szCs w:val="32"/>
        </w:rPr>
      </w:pPr>
      <w:r w:rsidRPr="00154DB2">
        <w:rPr>
          <w:rFonts w:ascii="仿宋_GB2312" w:eastAsia="仿宋_GB2312" w:hAnsi="黑体" w:cs="黑体" w:hint="eastAsia"/>
          <w:b/>
          <w:sz w:val="32"/>
          <w:szCs w:val="32"/>
        </w:rPr>
        <w:t>第四部分　　名词解释</w:t>
      </w:r>
    </w:p>
    <w:p w:rsidR="00B4221D" w:rsidRDefault="00B4221D">
      <w:pPr>
        <w:sectPr w:rsidR="00B4221D">
          <w:footerReference w:type="default" r:id="rId8"/>
          <w:endnotePr>
            <w:numFmt w:val="decimal"/>
          </w:endnotePr>
          <w:pgSz w:w="11906" w:h="16838"/>
          <w:pgMar w:top="1440" w:right="1531" w:bottom="1440" w:left="1587" w:header="720" w:footer="992" w:gutter="0"/>
          <w:cols w:space="720"/>
        </w:sect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Pr="00154DB2" w:rsidRDefault="00154DB2">
      <w:pPr>
        <w:jc w:val="center"/>
        <w:outlineLvl w:val="0"/>
        <w:rPr>
          <w:rFonts w:ascii="隶书" w:eastAsia="隶书" w:hAnsi="隶书" w:cs="隶书"/>
          <w:sz w:val="48"/>
          <w:szCs w:val="48"/>
        </w:rPr>
      </w:pPr>
      <w:r w:rsidRPr="00154DB2">
        <w:rPr>
          <w:rFonts w:ascii="隶书" w:eastAsia="隶书" w:hAnsi="隶书" w:cs="隶书" w:hint="eastAsia"/>
          <w:sz w:val="48"/>
          <w:szCs w:val="48"/>
        </w:rPr>
        <w:t>第一部分　　延津县卫生学校概况</w:t>
      </w:r>
    </w:p>
    <w:p w:rsidR="00B4221D" w:rsidRDefault="00B4221D">
      <w:pPr>
        <w:sectPr w:rsidR="00B4221D">
          <w:headerReference w:type="default" r:id="rId9"/>
          <w:footerReference w:type="default" r:id="rId10"/>
          <w:endnotePr>
            <w:numFmt w:val="decimal"/>
          </w:endnotePr>
          <w:pgSz w:w="11906" w:h="16838"/>
          <w:pgMar w:top="1440" w:right="1531" w:bottom="1440" w:left="1587" w:header="720" w:footer="992" w:gutter="0"/>
          <w:pgNumType w:start="1"/>
          <w:cols w:space="720"/>
        </w:sectPr>
      </w:pPr>
    </w:p>
    <w:p w:rsidR="00B4221D" w:rsidRPr="00011CB9" w:rsidRDefault="00154DB2">
      <w:pPr>
        <w:numPr>
          <w:ilvl w:val="0"/>
          <w:numId w:val="1"/>
        </w:numPr>
        <w:spacing w:line="360" w:lineRule="auto"/>
        <w:ind w:left="0" w:firstLine="640"/>
        <w:jc w:val="left"/>
        <w:outlineLvl w:val="1"/>
        <w:rPr>
          <w:rFonts w:ascii="仿宋_GB2312" w:eastAsia="仿宋_GB2312" w:hAnsi="黑体" w:cs="黑体"/>
          <w:b/>
          <w:bCs/>
          <w:sz w:val="32"/>
          <w:szCs w:val="32"/>
        </w:rPr>
      </w:pPr>
      <w:r w:rsidRPr="00011CB9">
        <w:rPr>
          <w:rFonts w:ascii="仿宋_GB2312" w:eastAsia="仿宋_GB2312" w:hAnsi="黑体" w:cs="黑体" w:hint="eastAsia"/>
          <w:b/>
          <w:bCs/>
          <w:sz w:val="32"/>
          <w:szCs w:val="32"/>
        </w:rPr>
        <w:lastRenderedPageBreak/>
        <w:t>主要职能</w:t>
      </w:r>
    </w:p>
    <w:p w:rsidR="00B4221D" w:rsidRPr="00011CB9" w:rsidRDefault="00154DB2">
      <w:pPr>
        <w:rPr>
          <w:rFonts w:ascii="仿宋_GB2312" w:eastAsia="仿宋_GB2312" w:hAnsi="微软雅黑" w:cs="微软雅黑"/>
          <w:sz w:val="28"/>
          <w:szCs w:val="28"/>
        </w:rPr>
      </w:pPr>
      <w:r w:rsidRPr="00011CB9">
        <w:rPr>
          <w:rFonts w:ascii="仿宋_GB2312" w:eastAsia="仿宋_GB2312" w:hAnsi="微软雅黑" w:cs="微软雅黑" w:hint="eastAsia"/>
          <w:color w:val="333333"/>
          <w:sz w:val="32"/>
          <w:szCs w:val="32"/>
          <w:shd w:val="clear" w:color="auto" w:fill="FFFFFF"/>
        </w:rPr>
        <w:t>卫生学校是县级医疗卫生机构，一直以来</w:t>
      </w:r>
      <w:r w:rsidRPr="00011CB9">
        <w:rPr>
          <w:rFonts w:ascii="仿宋_GB2312" w:eastAsia="仿宋_GB2312" w:hAnsi="微软雅黑" w:cs="微软雅黑" w:hint="eastAsia"/>
          <w:color w:val="000000"/>
          <w:sz w:val="32"/>
          <w:szCs w:val="32"/>
        </w:rPr>
        <w:t>忠诚于医学教育事业，热心于医学教育工作，热爱本职工作。积极完成上级医疗机构交给的各项工作， 培养农村医学人才，组织培训，向上一级输送专业技术人才。</w:t>
      </w:r>
    </w:p>
    <w:p w:rsidR="00B4221D" w:rsidRPr="00011CB9" w:rsidRDefault="00B4221D">
      <w:pPr>
        <w:jc w:val="left"/>
        <w:rPr>
          <w:rFonts w:ascii="仿宋_GB2312" w:eastAsia="仿宋_GB2312" w:hAnsi="微软雅黑" w:cs="微软雅黑"/>
          <w:sz w:val="32"/>
          <w:szCs w:val="32"/>
        </w:rPr>
      </w:pPr>
    </w:p>
    <w:p w:rsidR="00B4221D" w:rsidRPr="00011CB9" w:rsidRDefault="00B4221D">
      <w:pPr>
        <w:jc w:val="left"/>
        <w:rPr>
          <w:rFonts w:ascii="仿宋_GB2312" w:eastAsia="仿宋_GB2312" w:hAnsi="仿宋_GB2312" w:cs="黑体"/>
          <w:sz w:val="32"/>
          <w:szCs w:val="32"/>
        </w:rPr>
      </w:pPr>
    </w:p>
    <w:p w:rsidR="00B4221D" w:rsidRPr="00011CB9" w:rsidRDefault="00B4221D">
      <w:pPr>
        <w:jc w:val="left"/>
        <w:rPr>
          <w:rFonts w:ascii="仿宋_GB2312" w:eastAsia="仿宋_GB2312" w:hAnsi="仿宋_GB2312"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154DB2" w:rsidRDefault="00154DB2">
      <w:pPr>
        <w:jc w:val="center"/>
        <w:outlineLvl w:val="0"/>
        <w:rPr>
          <w:rFonts w:ascii="隶书" w:eastAsia="隶书" w:hAnsi="隶书" w:cs="隶书"/>
          <w:sz w:val="48"/>
          <w:szCs w:val="48"/>
        </w:rPr>
      </w:pPr>
      <w:r w:rsidRPr="00154DB2">
        <w:rPr>
          <w:rFonts w:ascii="隶书" w:eastAsia="隶书" w:hAnsi="隶书" w:cs="隶书" w:hint="eastAsia"/>
          <w:sz w:val="48"/>
          <w:szCs w:val="48"/>
        </w:rPr>
        <w:t>第二部分</w:t>
      </w:r>
    </w:p>
    <w:p w:rsidR="00B4221D" w:rsidRPr="00154DB2" w:rsidRDefault="00154DB2">
      <w:pPr>
        <w:jc w:val="center"/>
        <w:rPr>
          <w:rFonts w:ascii="隶书" w:eastAsia="隶书" w:hAnsi="隶书" w:cs="隶书"/>
          <w:sz w:val="48"/>
          <w:szCs w:val="48"/>
        </w:rPr>
      </w:pPr>
      <w:r w:rsidRPr="00154DB2">
        <w:rPr>
          <w:rFonts w:ascii="隶书" w:eastAsia="隶书" w:hAnsi="隶书" w:cs="隶书" w:hint="eastAsia"/>
          <w:sz w:val="48"/>
          <w:szCs w:val="48"/>
        </w:rPr>
        <w:t>延津县卫生学校2016年度部门决算表</w:t>
      </w:r>
    </w:p>
    <w:p w:rsidR="00B4221D" w:rsidRPr="00154DB2" w:rsidRDefault="00B4221D">
      <w:pPr>
        <w:rPr>
          <w:rFonts w:ascii="隶书" w:eastAsia="隶书"/>
        </w:rPr>
        <w:sectPr w:rsidR="00B4221D" w:rsidRPr="00154DB2">
          <w:headerReference w:type="default" r:id="rId11"/>
          <w:footerReference w:type="default" r:id="rId12"/>
          <w:endnotePr>
            <w:numFmt w:val="decimal"/>
          </w:endnotePr>
          <w:pgSz w:w="11906" w:h="16838"/>
          <w:pgMar w:top="1440" w:right="1531" w:bottom="1440" w:left="1587" w:header="720"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B4221D">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B4221D">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公开01表</w:t>
            </w:r>
          </w:p>
        </w:tc>
      </w:tr>
      <w:tr w:rsidR="00B4221D">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sz w:val="16"/>
                <w:szCs w:val="16"/>
              </w:rPr>
            </w:pPr>
            <w:r>
              <w:rPr>
                <w:rFonts w:ascii="宋体" w:eastAsia="宋体" w:hAnsi="宋体" w:cs="宋体" w:hint="eastAsia"/>
                <w:sz w:val="16"/>
                <w:szCs w:val="16"/>
              </w:rPr>
              <w:t>55.5</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sz w:val="16"/>
                <w:szCs w:val="16"/>
              </w:rPr>
            </w:pPr>
            <w:r>
              <w:rPr>
                <w:rFonts w:ascii="宋体" w:eastAsia="宋体" w:hAnsi="宋体" w:cs="宋体" w:hint="eastAsia"/>
                <w:sz w:val="16"/>
                <w:szCs w:val="16"/>
              </w:rPr>
              <w:t>55.5</w:t>
            </w: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b/>
                <w:sz w:val="16"/>
                <w:szCs w:val="16"/>
              </w:rPr>
            </w:pPr>
            <w:r>
              <w:rPr>
                <w:rFonts w:ascii="宋体" w:eastAsia="宋体" w:hAnsi="宋体" w:cs="宋体" w:hint="eastAsia"/>
                <w:b/>
                <w:sz w:val="16"/>
                <w:szCs w:val="16"/>
              </w:rPr>
              <w:t>55.5</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b/>
                <w:sz w:val="16"/>
                <w:szCs w:val="16"/>
              </w:rPr>
            </w:pPr>
            <w:r>
              <w:rPr>
                <w:rFonts w:ascii="宋体" w:eastAsia="宋体" w:hAnsi="宋体" w:cs="宋体" w:hint="eastAsia"/>
                <w:b/>
                <w:sz w:val="16"/>
                <w:szCs w:val="16"/>
              </w:rPr>
              <w:t>55.5</w:t>
            </w: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b/>
                <w:sz w:val="16"/>
                <w:szCs w:val="16"/>
              </w:rPr>
            </w:pPr>
            <w:r>
              <w:rPr>
                <w:rFonts w:ascii="宋体" w:eastAsia="宋体" w:hAnsi="宋体" w:cs="宋体" w:hint="eastAsia"/>
                <w:b/>
                <w:sz w:val="16"/>
                <w:szCs w:val="16"/>
              </w:rPr>
              <w:t>55.5</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b/>
                <w:sz w:val="16"/>
                <w:szCs w:val="16"/>
              </w:rPr>
            </w:pPr>
            <w:r>
              <w:rPr>
                <w:rFonts w:ascii="宋体" w:eastAsia="宋体" w:hAnsi="宋体" w:cs="宋体" w:hint="eastAsia"/>
                <w:b/>
                <w:sz w:val="16"/>
                <w:szCs w:val="16"/>
              </w:rPr>
              <w:t>55.5</w:t>
            </w:r>
          </w:p>
        </w:tc>
      </w:tr>
      <w:tr w:rsidR="00B4221D">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B4221D" w:rsidRDefault="00B4221D">
      <w:pPr>
        <w:sectPr w:rsidR="00B4221D">
          <w:headerReference w:type="default" r:id="rId13"/>
          <w:footerReference w:type="default" r:id="rId14"/>
          <w:endnotePr>
            <w:numFmt w:val="decimal"/>
          </w:endnotePr>
          <w:pgSz w:w="11906" w:h="16838"/>
          <w:pgMar w:top="1440" w:right="1800" w:bottom="1440" w:left="1800" w:header="720"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B4221D">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B4221D">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公开02表</w:t>
            </w:r>
          </w:p>
        </w:tc>
      </w:tr>
      <w:tr w:rsidR="00B4221D">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其他收入</w:t>
            </w:r>
          </w:p>
        </w:tc>
      </w:tr>
      <w:tr w:rsidR="00B4221D">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7</w:t>
            </w:r>
          </w:p>
        </w:tc>
      </w:tr>
      <w:tr w:rsidR="00B4221D">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b/>
                <w:sz w:val="16"/>
                <w:szCs w:val="16"/>
              </w:rPr>
            </w:pPr>
            <w:r>
              <w:rPr>
                <w:rFonts w:ascii="宋体" w:eastAsia="宋体" w:hAnsi="宋体" w:cs="宋体" w:hint="eastAsia"/>
                <w:b/>
                <w:sz w:val="16"/>
                <w:szCs w:val="16"/>
              </w:rPr>
              <w:t>55.5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检察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2040401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2040409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两房建设</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2040450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jc w:val="center"/>
              <w:rPr>
                <w:rFonts w:ascii="宋体" w:eastAsia="宋体" w:hAnsi="宋体" w:cs="宋体"/>
                <w:sz w:val="16"/>
                <w:szCs w:val="16"/>
              </w:rPr>
            </w:pPr>
            <w:r>
              <w:rPr>
                <w:rFonts w:ascii="宋体" w:eastAsia="宋体" w:hAnsi="宋体" w:cs="宋体" w:hint="eastAsia"/>
                <w:sz w:val="16"/>
                <w:szCs w:val="16"/>
              </w:rPr>
              <w:t>55.5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其他检察支出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资源勘探信息等支出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21561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料专用基金及对应专项债务收入安排的支出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2156199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B4221D" w:rsidRDefault="00B4221D">
      <w:pPr>
        <w:sectPr w:rsidR="00B4221D">
          <w:headerReference w:type="default" r:id="rId15"/>
          <w:footerReference w:type="default" r:id="rId16"/>
          <w:endnotePr>
            <w:numFmt w:val="decimal"/>
          </w:endnotePr>
          <w:pgSz w:w="11906" w:h="16838"/>
          <w:pgMar w:top="2098" w:right="1531" w:bottom="1984" w:left="1587" w:header="720"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B4221D">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B4221D">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公开03表</w:t>
            </w:r>
          </w:p>
        </w:tc>
      </w:tr>
      <w:tr w:rsidR="00B4221D">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B4221D">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B4221D">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检察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2040401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2040409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2040450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2040499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其他检察支出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B4221D" w:rsidRDefault="00B4221D">
      <w:pPr>
        <w:sectPr w:rsidR="00B4221D">
          <w:headerReference w:type="default" r:id="rId17"/>
          <w:footerReference w:type="default" r:id="rId18"/>
          <w:endnotePr>
            <w:numFmt w:val="decimal"/>
          </w:endnotePr>
          <w:pgSz w:w="11906" w:h="16838"/>
          <w:pgMar w:top="2098" w:right="1474" w:bottom="1984" w:left="1587" w:header="720"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B4221D">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B4221D">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公开04表</w:t>
            </w:r>
          </w:p>
        </w:tc>
      </w:tr>
      <w:tr w:rsidR="00B4221D">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B4221D">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4</w:t>
            </w: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r>
      <w:tr w:rsidR="00B4221D">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B4221D" w:rsidRDefault="00154DB2">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B4221D">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B4221D">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公开05表</w:t>
            </w:r>
          </w:p>
        </w:tc>
      </w:tr>
      <w:tr w:rsidR="00B4221D">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r>
      <w:tr w:rsidR="00B4221D">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w:t>
            </w:r>
          </w:p>
        </w:tc>
      </w:tr>
      <w:tr w:rsidR="00B4221D">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55.5</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55.5</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B4221D" w:rsidRDefault="00B4221D">
      <w:pPr>
        <w:sectPr w:rsidR="00B4221D">
          <w:headerReference w:type="default" r:id="rId19"/>
          <w:footerReference w:type="default" r:id="rId20"/>
          <w:endnotePr>
            <w:numFmt w:val="decimal"/>
          </w:endnotePr>
          <w:pgSz w:w="11906" w:h="16838"/>
          <w:pgMar w:top="1440" w:right="1531" w:bottom="1440" w:left="1587" w:header="720"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B4221D">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B4221D">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公开06表</w:t>
            </w:r>
          </w:p>
        </w:tc>
      </w:tr>
      <w:tr w:rsidR="00B4221D">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公用经费</w:t>
            </w:r>
          </w:p>
        </w:tc>
      </w:tr>
      <w:tr w:rsidR="00B4221D">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经济分类</w:t>
            </w:r>
          </w:p>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金额</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6.91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0.19</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6.91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0.08</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0.01</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left"/>
              <w:rPr>
                <w:rFonts w:ascii="Times New Roman" w:eastAsia="宋体" w:hAnsi="Times New Roman"/>
                <w:kern w:val="0"/>
                <w:sz w:val="20"/>
                <w:szCs w:val="20"/>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left"/>
              <w:rPr>
                <w:rFonts w:ascii="Times New Roman" w:eastAsia="宋体" w:hAnsi="Times New Roman"/>
                <w:kern w:val="0"/>
                <w:sz w:val="20"/>
                <w:szCs w:val="20"/>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47.36</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45.92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left"/>
              <w:rPr>
                <w:rFonts w:ascii="Times New Roman" w:eastAsia="宋体" w:hAnsi="Times New Roman"/>
                <w:kern w:val="0"/>
                <w:sz w:val="20"/>
                <w:szCs w:val="20"/>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1.44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0.1</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Times New Roman" w:eastAsia="宋体" w:hAnsi="Times New Roman"/>
                <w:b/>
                <w:bCs/>
                <w:kern w:val="0"/>
                <w:sz w:val="16"/>
                <w:szCs w:val="16"/>
              </w:rPr>
            </w:pPr>
            <w:r>
              <w:rPr>
                <w:rFonts w:ascii="Times New Roman" w:eastAsia="宋体" w:hAnsi="Times New Roman" w:hint="eastAsia"/>
                <w:b/>
                <w:bCs/>
                <w:kern w:val="0"/>
                <w:sz w:val="16"/>
                <w:szCs w:val="16"/>
              </w:rPr>
              <w:t>1.04</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Times New Roman" w:eastAsia="宋体" w:hAnsi="Times New Roman"/>
                <w:kern w:val="0"/>
                <w:sz w:val="16"/>
                <w:szCs w:val="16"/>
              </w:rPr>
            </w:pPr>
            <w:r>
              <w:rPr>
                <w:rFonts w:ascii="Times New Roman" w:eastAsia="宋体" w:hAnsi="Times New Roman" w:hint="eastAsia"/>
                <w:kern w:val="0"/>
                <w:sz w:val="16"/>
                <w:szCs w:val="16"/>
              </w:rPr>
              <w:t>1.04</w:t>
            </w: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r>
      <w:tr w:rsidR="00B4221D">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B4221D" w:rsidRDefault="00B4221D">
      <w:pPr>
        <w:sectPr w:rsidR="00B4221D">
          <w:headerReference w:type="default" r:id="rId21"/>
          <w:footerReference w:type="default" r:id="rId22"/>
          <w:endnotePr>
            <w:numFmt w:val="decimal"/>
          </w:endnotePr>
          <w:pgSz w:w="11906" w:h="16838"/>
          <w:pgMar w:top="1440" w:right="1531" w:bottom="1440" w:left="1587" w:header="720"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B4221D">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B4221D">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公开07表</w:t>
            </w:r>
          </w:p>
        </w:tc>
      </w:tr>
      <w:tr w:rsidR="00B4221D">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B4221D">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公务接待费</w:t>
            </w:r>
          </w:p>
        </w:tc>
      </w:tr>
      <w:tr w:rsidR="00B4221D">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sz w:val="16"/>
                <w:szCs w:val="16"/>
              </w:rPr>
            </w:pPr>
            <w:r>
              <w:rPr>
                <w:rFonts w:ascii="宋体" w:eastAsia="宋体" w:hAnsi="宋体" w:cs="宋体" w:hint="eastAsia"/>
                <w:sz w:val="16"/>
                <w:szCs w:val="16"/>
              </w:rPr>
              <w:t>12</w:t>
            </w:r>
          </w:p>
        </w:tc>
      </w:tr>
      <w:tr w:rsidR="00B4221D">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B4221D" w:rsidRDefault="00B4221D">
      <w:pPr>
        <w:sectPr w:rsidR="00B4221D">
          <w:headerReference w:type="default" r:id="rId23"/>
          <w:footerReference w:type="default" r:id="rId24"/>
          <w:endnotePr>
            <w:numFmt w:val="decimal"/>
          </w:endnotePr>
          <w:pgSz w:w="11906" w:h="16838"/>
          <w:pgMar w:top="1440" w:right="1531" w:bottom="1440" w:left="1587" w:header="720"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B4221D">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B4221D" w:rsidRDefault="00154DB2">
            <w:pPr>
              <w:widowControl/>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B4221D">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公开08表</w:t>
            </w:r>
          </w:p>
        </w:tc>
      </w:tr>
      <w:tr w:rsidR="00B4221D">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B4221D" w:rsidRDefault="00B4221D">
            <w:pPr>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B4221D" w:rsidRDefault="00154DB2">
            <w:pPr>
              <w:widowControl/>
              <w:jc w:val="right"/>
              <w:rPr>
                <w:rFonts w:ascii="宋体" w:eastAsia="宋体" w:hAnsi="宋体" w:cs="宋体"/>
                <w:sz w:val="16"/>
                <w:szCs w:val="16"/>
              </w:rPr>
            </w:pPr>
            <w:r>
              <w:rPr>
                <w:rFonts w:ascii="宋体" w:eastAsia="宋体" w:hAnsi="宋体" w:cs="宋体" w:hint="eastAsia"/>
                <w:sz w:val="16"/>
                <w:szCs w:val="16"/>
              </w:rPr>
              <w:t>单位：万元</w:t>
            </w:r>
          </w:p>
        </w:tc>
      </w:tr>
      <w:tr w:rsidR="00B4221D">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B4221D">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6</w:t>
            </w:r>
          </w:p>
        </w:tc>
      </w:tr>
      <w:tr w:rsidR="00B4221D">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154DB2">
            <w:pPr>
              <w:widowControl/>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center"/>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b/>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B4221D" w:rsidRDefault="00B4221D">
            <w:pPr>
              <w:widowControl/>
              <w:jc w:val="right"/>
              <w:rPr>
                <w:rFonts w:ascii="宋体" w:eastAsia="宋体" w:hAnsi="宋体" w:cs="宋体"/>
                <w:sz w:val="16"/>
                <w:szCs w:val="16"/>
              </w:rPr>
            </w:pPr>
          </w:p>
        </w:tc>
      </w:tr>
      <w:tr w:rsidR="00B4221D">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B4221D">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B4221D" w:rsidRDefault="00154DB2">
            <w:pPr>
              <w:widowControl/>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B4221D" w:rsidRDefault="00B4221D">
      <w:pPr>
        <w:sectPr w:rsidR="00B4221D">
          <w:headerReference w:type="default" r:id="rId25"/>
          <w:footerReference w:type="default" r:id="rId26"/>
          <w:endnotePr>
            <w:numFmt w:val="decimal"/>
          </w:endnotePr>
          <w:pgSz w:w="11906" w:h="16838"/>
          <w:pgMar w:top="1440" w:right="1531" w:bottom="1440" w:left="1587" w:header="720" w:footer="992" w:gutter="0"/>
          <w:cols w:space="720"/>
        </w:sect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B4221D">
      <w:pPr>
        <w:jc w:val="left"/>
        <w:rPr>
          <w:rFonts w:ascii="黑体" w:eastAsia="黑体" w:hAnsi="黑体" w:cs="黑体"/>
          <w:sz w:val="32"/>
          <w:szCs w:val="32"/>
        </w:rPr>
      </w:pPr>
    </w:p>
    <w:p w:rsidR="00B4221D" w:rsidRDefault="00154DB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B4221D" w:rsidRDefault="00154DB2">
      <w:pPr>
        <w:jc w:val="center"/>
        <w:rPr>
          <w:rFonts w:ascii="隶书" w:eastAsia="隶书" w:hAnsi="隶书" w:cs="隶书"/>
          <w:sz w:val="48"/>
          <w:szCs w:val="48"/>
        </w:rPr>
      </w:pPr>
      <w:r>
        <w:rPr>
          <w:rFonts w:ascii="隶书" w:eastAsia="隶书" w:hAnsi="隶书" w:cs="隶书" w:hint="eastAsia"/>
          <w:sz w:val="48"/>
          <w:szCs w:val="48"/>
        </w:rPr>
        <w:t>延津县卫生学校</w:t>
      </w:r>
    </w:p>
    <w:p w:rsidR="00B4221D" w:rsidRDefault="00154DB2">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B4221D" w:rsidRDefault="00B4221D">
      <w:pPr>
        <w:sectPr w:rsidR="00B4221D">
          <w:headerReference w:type="default" r:id="rId27"/>
          <w:footerReference w:type="default" r:id="rId28"/>
          <w:endnotePr>
            <w:numFmt w:val="decimal"/>
          </w:endnotePr>
          <w:pgSz w:w="11906" w:h="16838"/>
          <w:pgMar w:top="1440" w:right="1531" w:bottom="1440" w:left="1587" w:header="720" w:footer="992" w:gutter="0"/>
          <w:cols w:space="720"/>
        </w:sectPr>
      </w:pP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lastRenderedPageBreak/>
        <w:t>关于收入支出决算总体情况说明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2016年度收入总计55.5万元，支出总计55.5万元，2015年相比，收入增加3.34万元，增长6.4%，主要是支出增加3.34万元，增长6.4%。</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关于收入决算情况说明</w:t>
      </w:r>
    </w:p>
    <w:p w:rsidR="00B4221D" w:rsidRPr="00011CB9" w:rsidRDefault="00154DB2">
      <w:pPr>
        <w:spacing w:line="360" w:lineRule="auto"/>
        <w:ind w:firstLine="640"/>
        <w:rPr>
          <w:rFonts w:ascii="仿宋_GB2312" w:eastAsia="仿宋_GB2312" w:hAnsi="仿宋_GB2312"/>
          <w:sz w:val="32"/>
          <w:szCs w:val="32"/>
        </w:rPr>
      </w:pPr>
      <w:r w:rsidRPr="00011CB9">
        <w:rPr>
          <w:rFonts w:ascii="仿宋_GB2312" w:eastAsia="仿宋_GB2312" w:hAnsi="仿宋_GB2312" w:cs="Courier New" w:hint="eastAsia"/>
          <w:sz w:val="32"/>
          <w:szCs w:val="32"/>
        </w:rPr>
        <w:t>2016年度</w:t>
      </w:r>
      <w:r w:rsidRPr="00011CB9">
        <w:rPr>
          <w:rFonts w:ascii="仿宋_GB2312" w:eastAsia="仿宋_GB2312" w:hAnsi="仿宋_GB2312" w:hint="eastAsia"/>
          <w:sz w:val="32"/>
          <w:szCs w:val="32"/>
        </w:rPr>
        <w:t>收入合计</w:t>
      </w:r>
      <w:r w:rsidRPr="00011CB9">
        <w:rPr>
          <w:rFonts w:ascii="仿宋_GB2312" w:eastAsia="仿宋_GB2312" w:hAnsi="仿宋_GB2312" w:cs="Courier New" w:hint="eastAsia"/>
          <w:sz w:val="32"/>
          <w:szCs w:val="32"/>
        </w:rPr>
        <w:t>55.5</w:t>
      </w:r>
      <w:r w:rsidRPr="00011CB9">
        <w:rPr>
          <w:rFonts w:ascii="仿宋_GB2312" w:eastAsia="仿宋_GB2312" w:hAnsi="仿宋_GB2312" w:hint="eastAsia"/>
          <w:sz w:val="32"/>
          <w:szCs w:val="32"/>
        </w:rPr>
        <w:t>万元，其中：财政拨款收入55.5万元，占100%。</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关于支出决算情况说明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2016年度支出合计55.5万元，其中：基本支出55.5万元，占100%。</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关于财政拨款收入支出决算总体情况说明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2016年财政拨款收入决算55.5万元，与2015年相比，财政拨款收入增加3.34万元，增长6.4%；支出决算55.5万元，与2015年相比支出增加3.34万元，增长6.4%。</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关于一般公共预算财政拨款支出决算情况说明</w:t>
      </w:r>
    </w:p>
    <w:p w:rsidR="00B4221D" w:rsidRPr="00011CB9" w:rsidRDefault="00154DB2">
      <w:pPr>
        <w:numPr>
          <w:ilvl w:val="0"/>
          <w:numId w:val="3"/>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t>财政拨款支出决算总体情况。</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2016年一般公共预算财政拨款支出55.5万元，占支出合计的100%。与2015年相比，一般公共预算财政拨款支出增加3.34万元，增长6.4%。</w:t>
      </w:r>
    </w:p>
    <w:p w:rsidR="00B4221D" w:rsidRPr="00011CB9" w:rsidRDefault="00154DB2">
      <w:pPr>
        <w:numPr>
          <w:ilvl w:val="0"/>
          <w:numId w:val="3"/>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t>财政拨款支出决算结构情况。</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2016年度一般公共预算财政拨款支出55.5万元，主要用于以下方面：事业运行支出55.5万元，占100%。</w:t>
      </w:r>
    </w:p>
    <w:p w:rsidR="00B4221D" w:rsidRPr="00011CB9" w:rsidRDefault="00154DB2">
      <w:pPr>
        <w:numPr>
          <w:ilvl w:val="0"/>
          <w:numId w:val="3"/>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lastRenderedPageBreak/>
        <w:t>财政拨款支出决算具体情况。</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2016年度一般公共预算财政拨款支出年初预算为46.58万元，支出决算为46.58万元，完成年初预算的119.15%。决算数大于预算数的主要原因是事业支出大于预算。具体包括：</w:t>
      </w:r>
    </w:p>
    <w:p w:rsidR="00B4221D" w:rsidRPr="00011CB9" w:rsidRDefault="00154DB2">
      <w:pPr>
        <w:spacing w:line="360" w:lineRule="auto"/>
        <w:ind w:firstLine="32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一般公共服务支出事业运行（项）。年初预算46.58万元，支出决算55.5万元，完成年初预算的119.15%，决算数大于预算数的主要原因是：年中根据事业支出的需要调整预算8.92万元。</w:t>
      </w:r>
    </w:p>
    <w:p w:rsidR="00B4221D" w:rsidRPr="00011CB9" w:rsidRDefault="00154DB2">
      <w:pPr>
        <w:spacing w:line="360" w:lineRule="auto"/>
        <w:ind w:firstLine="640"/>
        <w:rPr>
          <w:rFonts w:ascii="仿宋_GB2312" w:eastAsia="仿宋_GB2312" w:hAnsi="黑体"/>
          <w:sz w:val="32"/>
          <w:szCs w:val="32"/>
        </w:rPr>
      </w:pPr>
      <w:r w:rsidRPr="00011CB9">
        <w:rPr>
          <w:rFonts w:ascii="仿宋_GB2312" w:eastAsia="仿宋_GB2312" w:hAnsi="仿宋_GB2312" w:cs="Courier New" w:hint="eastAsia"/>
          <w:sz w:val="32"/>
          <w:szCs w:val="32"/>
        </w:rPr>
        <w:t xml:space="preserve"> 六、</w:t>
      </w:r>
      <w:r w:rsidRPr="00011CB9">
        <w:rPr>
          <w:rFonts w:ascii="仿宋_GB2312" w:eastAsia="仿宋_GB2312" w:hAnsi="黑体" w:hint="eastAsia"/>
          <w:sz w:val="32"/>
          <w:szCs w:val="32"/>
        </w:rPr>
        <w:t>关于一般公共预算财政拨款基本支出决算情况说明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2016年一般公共预算财政拨款基本支出55.5万元，其中：</w:t>
      </w:r>
      <w:r w:rsidRPr="00011CB9">
        <w:rPr>
          <w:rFonts w:ascii="仿宋_GB2312" w:eastAsia="仿宋_GB2312" w:hAnsi="仿宋_GB2312" w:cs="仿宋_GB2312" w:hint="eastAsia"/>
          <w:bCs/>
          <w:spacing w:val="-2"/>
          <w:sz w:val="32"/>
          <w:szCs w:val="32"/>
        </w:rPr>
        <w:t>人员经费54.27万元</w:t>
      </w:r>
      <w:r w:rsidRPr="00011CB9">
        <w:rPr>
          <w:rFonts w:ascii="仿宋_GB2312" w:eastAsia="仿宋_GB2312" w:hAnsi="仿宋_GB2312" w:cs="Courier New" w:hint="eastAsia"/>
          <w:bCs/>
          <w:sz w:val="32"/>
          <w:szCs w:val="32"/>
        </w:rPr>
        <w:t>，</w:t>
      </w:r>
      <w:r w:rsidRPr="00011CB9">
        <w:rPr>
          <w:rFonts w:ascii="仿宋_GB2312" w:eastAsia="仿宋_GB2312" w:hAnsi="仿宋_GB2312" w:cs="Courier New" w:hint="eastAsia"/>
          <w:sz w:val="32"/>
          <w:szCs w:val="32"/>
        </w:rPr>
        <w:t>主要包括：基本工资、离退休费、抚恤金等；</w:t>
      </w:r>
      <w:r w:rsidRPr="00011CB9">
        <w:rPr>
          <w:rFonts w:ascii="仿宋_GB2312" w:eastAsia="仿宋_GB2312" w:hAnsi="仿宋_GB2312" w:cs="仿宋_GB2312" w:hint="eastAsia"/>
          <w:b/>
          <w:spacing w:val="-2"/>
          <w:sz w:val="32"/>
          <w:szCs w:val="32"/>
        </w:rPr>
        <w:t>公用经费0.19</w:t>
      </w:r>
      <w:r w:rsidRPr="00011CB9">
        <w:rPr>
          <w:rFonts w:ascii="仿宋_GB2312" w:eastAsia="仿宋_GB2312" w:hAnsi="仿宋_GB2312" w:cs="仿宋_GB2312" w:hint="eastAsia"/>
          <w:spacing w:val="-2"/>
          <w:sz w:val="32"/>
          <w:szCs w:val="32"/>
        </w:rPr>
        <w:t>万元</w:t>
      </w:r>
      <w:r w:rsidRPr="00011CB9">
        <w:rPr>
          <w:rFonts w:ascii="仿宋_GB2312" w:eastAsia="仿宋_GB2312" w:hAnsi="仿宋_GB2312" w:cs="Courier New" w:hint="eastAsia"/>
          <w:sz w:val="32"/>
          <w:szCs w:val="32"/>
        </w:rPr>
        <w:t>，主要包括：办公费、印刷费；其他资本性支出1.04万元，包括办公设备购置等。</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关于一般公共预算财政拨款“三公”经费支出决算情况说明</w:t>
      </w:r>
    </w:p>
    <w:p w:rsidR="00B4221D" w:rsidRPr="00011CB9" w:rsidRDefault="00154DB2">
      <w:pPr>
        <w:numPr>
          <w:ilvl w:val="0"/>
          <w:numId w:val="4"/>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t>“三公”经费财政拨款支出决算总体情况说明。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2016年度“三公”经费财政拨款支出预算为0万元，支出决算为0万元。</w:t>
      </w:r>
    </w:p>
    <w:p w:rsidR="00B4221D" w:rsidRPr="00011CB9" w:rsidRDefault="00154DB2">
      <w:pPr>
        <w:numPr>
          <w:ilvl w:val="0"/>
          <w:numId w:val="4"/>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t>“三公”经费财政拨款支出决算具体情况说明。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2016年度“三公”经费财政拨款支出决算中，公务用车购置及运行费支出决算0万元；公务接待费支出决算0万元。具体情况如下：</w:t>
      </w:r>
    </w:p>
    <w:p w:rsidR="00B4221D" w:rsidRPr="00011CB9" w:rsidRDefault="00154DB2">
      <w:pPr>
        <w:spacing w:line="360" w:lineRule="auto"/>
        <w:ind w:firstLine="643"/>
        <w:rPr>
          <w:rFonts w:ascii="仿宋_GB2312" w:eastAsia="仿宋_GB2312" w:hAnsi="仿宋_GB2312" w:cs="Courier New"/>
          <w:b/>
          <w:bCs/>
          <w:sz w:val="32"/>
          <w:szCs w:val="32"/>
        </w:rPr>
      </w:pPr>
      <w:r w:rsidRPr="00011CB9">
        <w:rPr>
          <w:rFonts w:ascii="仿宋_GB2312" w:eastAsia="仿宋_GB2312" w:hAnsi="仿宋_GB2312" w:cs="Courier New" w:hint="eastAsia"/>
          <w:b/>
          <w:bCs/>
          <w:sz w:val="32"/>
          <w:szCs w:val="32"/>
        </w:rPr>
        <w:lastRenderedPageBreak/>
        <w:t>1、公务用车购置及运行费</w:t>
      </w:r>
      <w:r w:rsidRPr="00011CB9">
        <w:rPr>
          <w:rFonts w:ascii="仿宋_GB2312" w:eastAsia="仿宋_GB2312" w:hAnsi="仿宋_GB2312" w:cs="Courier New" w:hint="eastAsia"/>
          <w:sz w:val="32"/>
          <w:szCs w:val="32"/>
        </w:rPr>
        <w:t>支出0万元。其中：</w:t>
      </w:r>
    </w:p>
    <w:p w:rsidR="00B4221D" w:rsidRPr="00011CB9" w:rsidRDefault="00154DB2">
      <w:pPr>
        <w:spacing w:line="360" w:lineRule="auto"/>
        <w:ind w:firstLine="643"/>
        <w:rPr>
          <w:rFonts w:ascii="仿宋_GB2312" w:eastAsia="仿宋_GB2312" w:hAnsi="仿宋_GB2312" w:cs="Courier New"/>
          <w:sz w:val="32"/>
          <w:szCs w:val="32"/>
        </w:rPr>
      </w:pPr>
      <w:r w:rsidRPr="00011CB9">
        <w:rPr>
          <w:rFonts w:ascii="仿宋_GB2312" w:eastAsia="仿宋_GB2312" w:hAnsi="仿宋_GB2312" w:cs="Courier New" w:hint="eastAsia"/>
          <w:b/>
          <w:bCs/>
          <w:sz w:val="32"/>
          <w:szCs w:val="32"/>
        </w:rPr>
        <w:t>公务用车购置</w:t>
      </w:r>
      <w:r w:rsidRPr="00011CB9">
        <w:rPr>
          <w:rFonts w:ascii="仿宋_GB2312" w:eastAsia="仿宋_GB2312" w:hAnsi="仿宋_GB2312" w:cs="Courier New" w:hint="eastAsia"/>
          <w:sz w:val="32"/>
          <w:szCs w:val="32"/>
        </w:rPr>
        <w:t>支出为0万元。</w:t>
      </w:r>
      <w:r w:rsidRPr="00011CB9">
        <w:rPr>
          <w:rFonts w:ascii="仿宋_GB2312" w:eastAsia="仿宋_GB2312" w:hAnsi="仿宋_GB2312" w:cs="Courier New" w:hint="eastAsia"/>
          <w:b/>
          <w:bCs/>
          <w:sz w:val="32"/>
          <w:szCs w:val="32"/>
        </w:rPr>
        <w:t>公务用车运行</w:t>
      </w:r>
      <w:r w:rsidRPr="00011CB9">
        <w:rPr>
          <w:rFonts w:ascii="仿宋_GB2312" w:eastAsia="仿宋_GB2312" w:hAnsi="仿宋_GB2312" w:cs="Courier New" w:hint="eastAsia"/>
          <w:sz w:val="32"/>
          <w:szCs w:val="32"/>
        </w:rPr>
        <w:t>支出0万元。</w:t>
      </w:r>
    </w:p>
    <w:p w:rsidR="00B4221D" w:rsidRPr="00011CB9" w:rsidRDefault="00154DB2">
      <w:pPr>
        <w:numPr>
          <w:ilvl w:val="0"/>
          <w:numId w:val="5"/>
        </w:numPr>
        <w:spacing w:line="360" w:lineRule="auto"/>
        <w:ind w:left="0" w:firstLine="643"/>
        <w:rPr>
          <w:rFonts w:ascii="仿宋_GB2312" w:eastAsia="仿宋_GB2312" w:hAnsi="仿宋_GB2312" w:cs="Courier New"/>
          <w:b/>
          <w:bCs/>
          <w:sz w:val="32"/>
          <w:szCs w:val="32"/>
        </w:rPr>
      </w:pPr>
      <w:r w:rsidRPr="00011CB9">
        <w:rPr>
          <w:rFonts w:ascii="仿宋_GB2312" w:eastAsia="仿宋_GB2312" w:hAnsi="仿宋_GB2312" w:cs="Courier New" w:hint="eastAsia"/>
          <w:b/>
          <w:bCs/>
          <w:sz w:val="32"/>
          <w:szCs w:val="32"/>
        </w:rPr>
        <w:t>公务接待费支出0万元。</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关于预算绩效情况说明</w:t>
      </w:r>
    </w:p>
    <w:p w:rsidR="00B4221D" w:rsidRPr="00011CB9" w:rsidRDefault="00154DB2">
      <w:pPr>
        <w:numPr>
          <w:ilvl w:val="0"/>
          <w:numId w:val="6"/>
        </w:numPr>
        <w:spacing w:line="360" w:lineRule="auto"/>
        <w:ind w:left="0" w:firstLine="640"/>
        <w:rPr>
          <w:rFonts w:ascii="仿宋_GB2312" w:eastAsia="仿宋_GB2312" w:hAnsi="楷体_GB2312" w:cs="楷体_GB2312"/>
          <w:sz w:val="32"/>
          <w:szCs w:val="32"/>
        </w:rPr>
      </w:pPr>
      <w:r w:rsidRPr="00011CB9">
        <w:rPr>
          <w:rFonts w:ascii="仿宋_GB2312" w:eastAsia="仿宋_GB2312" w:hAnsi="楷体_GB2312" w:cs="楷体_GB2312" w:hint="eastAsia"/>
          <w:sz w:val="32"/>
          <w:szCs w:val="32"/>
        </w:rPr>
        <w:t>绩效管理工作开展情况。</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根据财政预算管理要求，对2016年度一般公共预算项目支出全面开展绩效自评。其中，</w:t>
      </w:r>
      <w:proofErr w:type="gramStart"/>
      <w:r w:rsidRPr="00011CB9">
        <w:rPr>
          <w:rFonts w:ascii="仿宋_GB2312" w:eastAsia="仿宋_GB2312" w:hAnsi="仿宋_GB2312" w:cs="Courier New" w:hint="eastAsia"/>
          <w:sz w:val="32"/>
          <w:szCs w:val="32"/>
        </w:rPr>
        <w:t>一级项目</w:t>
      </w:r>
      <w:proofErr w:type="gramEnd"/>
      <w:r w:rsidRPr="00011CB9">
        <w:rPr>
          <w:rFonts w:ascii="仿宋_GB2312" w:eastAsia="仿宋_GB2312" w:hAnsi="仿宋_GB2312" w:cs="Courier New" w:hint="eastAsia"/>
          <w:sz w:val="32"/>
          <w:szCs w:val="32"/>
        </w:rPr>
        <w:t>1个，共涉及预算资金55.5万元，自评覆盖率达到100%。</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关于政府性基金预算财政拨款支出决算情况说明</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2016年度政府性基金预算财政拨款支出年初预算为0万元，支出决算为0万元。</w:t>
      </w:r>
    </w:p>
    <w:p w:rsidR="00B4221D" w:rsidRPr="00011CB9" w:rsidRDefault="00154DB2">
      <w:pPr>
        <w:numPr>
          <w:ilvl w:val="0"/>
          <w:numId w:val="2"/>
        </w:numPr>
        <w:spacing w:line="360" w:lineRule="auto"/>
        <w:ind w:firstLine="640"/>
        <w:outlineLvl w:val="1"/>
        <w:rPr>
          <w:rFonts w:ascii="仿宋_GB2312" w:eastAsia="仿宋_GB2312" w:hAnsi="黑体"/>
          <w:sz w:val="32"/>
          <w:szCs w:val="32"/>
        </w:rPr>
      </w:pPr>
      <w:r w:rsidRPr="00011CB9">
        <w:rPr>
          <w:rFonts w:ascii="仿宋_GB2312" w:eastAsia="仿宋_GB2312" w:hAnsi="黑体" w:hint="eastAsia"/>
          <w:sz w:val="32"/>
          <w:szCs w:val="32"/>
        </w:rPr>
        <w:t>其他重要事项的情况说明</w:t>
      </w:r>
    </w:p>
    <w:p w:rsidR="00B4221D" w:rsidRPr="00011CB9" w:rsidRDefault="00154DB2">
      <w:pPr>
        <w:numPr>
          <w:ilvl w:val="0"/>
          <w:numId w:val="7"/>
        </w:numPr>
        <w:spacing w:line="360" w:lineRule="auto"/>
        <w:ind w:left="0" w:firstLine="640"/>
        <w:rPr>
          <w:rFonts w:ascii="仿宋_GB2312" w:eastAsia="仿宋_GB2312" w:hAnsi="楷体_GB2312" w:cs="黑体"/>
          <w:bCs/>
          <w:sz w:val="32"/>
          <w:szCs w:val="32"/>
        </w:rPr>
      </w:pPr>
      <w:r w:rsidRPr="00011CB9">
        <w:rPr>
          <w:rFonts w:ascii="仿宋_GB2312" w:eastAsia="仿宋_GB2312" w:hAnsi="楷体_GB2312" w:cs="仿宋_GB2312" w:hint="eastAsia"/>
          <w:bCs/>
          <w:sz w:val="32"/>
          <w:szCs w:val="32"/>
        </w:rPr>
        <w:t>机关运行经费支出情况。</w:t>
      </w:r>
    </w:p>
    <w:p w:rsidR="00B4221D" w:rsidRPr="00011CB9" w:rsidRDefault="00154DB2">
      <w:pPr>
        <w:spacing w:line="360" w:lineRule="auto"/>
        <w:ind w:firstLine="640"/>
        <w:rPr>
          <w:rFonts w:ascii="仿宋_GB2312" w:eastAsia="仿宋_GB2312" w:hAnsi="仿宋_GB2312" w:cs="Courier New"/>
          <w:sz w:val="32"/>
          <w:szCs w:val="32"/>
        </w:rPr>
      </w:pPr>
      <w:r w:rsidRPr="00011CB9">
        <w:rPr>
          <w:rFonts w:ascii="仿宋_GB2312" w:eastAsia="仿宋_GB2312" w:hAnsi="仿宋_GB2312" w:cs="Courier New" w:hint="eastAsia"/>
          <w:sz w:val="32"/>
          <w:szCs w:val="32"/>
        </w:rPr>
        <w:t>2016年度收入总计55.5万元，支出总计55.5万元，2015年相比，收入增加3.34万元，增长6.4%，主要是人员经费增加3.34万元，增长6.4%。</w:t>
      </w: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left"/>
        <w:rPr>
          <w:rFonts w:ascii="仿宋_GB2312" w:eastAsia="仿宋_GB2312" w:hAnsi="黑体" w:cs="黑体"/>
          <w:sz w:val="32"/>
          <w:szCs w:val="32"/>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011CB9" w:rsidRDefault="00B4221D">
      <w:pPr>
        <w:jc w:val="center"/>
        <w:outlineLvl w:val="0"/>
        <w:rPr>
          <w:rFonts w:ascii="仿宋_GB2312" w:eastAsia="仿宋_GB2312" w:hAnsi="隶书" w:cs="隶书"/>
          <w:sz w:val="48"/>
          <w:szCs w:val="48"/>
        </w:rPr>
      </w:pPr>
    </w:p>
    <w:p w:rsidR="00B4221D" w:rsidRPr="00154DB2" w:rsidRDefault="00154DB2">
      <w:pPr>
        <w:jc w:val="center"/>
        <w:outlineLvl w:val="0"/>
        <w:rPr>
          <w:rFonts w:ascii="隶书" w:eastAsia="隶书" w:hAnsi="隶书" w:cs="隶书"/>
          <w:sz w:val="48"/>
          <w:szCs w:val="48"/>
        </w:rPr>
      </w:pPr>
      <w:bookmarkStart w:id="0" w:name="_GoBack"/>
      <w:bookmarkEnd w:id="0"/>
      <w:r w:rsidRPr="00154DB2">
        <w:rPr>
          <w:rFonts w:ascii="隶书" w:eastAsia="隶书" w:hAnsi="隶书" w:cs="隶书" w:hint="eastAsia"/>
          <w:sz w:val="48"/>
          <w:szCs w:val="48"/>
        </w:rPr>
        <w:lastRenderedPageBreak/>
        <w:t>第四部分　　名词解释</w:t>
      </w:r>
    </w:p>
    <w:p w:rsidR="00B4221D" w:rsidRPr="00011CB9" w:rsidRDefault="00B4221D">
      <w:pPr>
        <w:outlineLvl w:val="0"/>
        <w:rPr>
          <w:rFonts w:ascii="仿宋_GB2312" w:eastAsia="仿宋_GB2312" w:hAnsi="隶书" w:cs="隶书"/>
          <w:sz w:val="48"/>
          <w:szCs w:val="48"/>
        </w:rPr>
      </w:pPr>
    </w:p>
    <w:p w:rsidR="00B4221D" w:rsidRPr="00011CB9" w:rsidRDefault="00B4221D">
      <w:pPr>
        <w:rPr>
          <w:rFonts w:ascii="仿宋_GB2312" w:eastAsia="仿宋_GB2312"/>
        </w:rPr>
        <w:sectPr w:rsidR="00B4221D" w:rsidRPr="00011CB9">
          <w:headerReference w:type="default" r:id="rId29"/>
          <w:footerReference w:type="default" r:id="rId30"/>
          <w:endnotePr>
            <w:numFmt w:val="decimal"/>
          </w:endnotePr>
          <w:pgSz w:w="11906" w:h="16838"/>
          <w:pgMar w:top="1440" w:right="1531" w:bottom="1440" w:left="1587" w:header="720" w:footer="992" w:gutter="0"/>
          <w:cols w:space="720"/>
        </w:sectPr>
      </w:pPr>
    </w:p>
    <w:p w:rsidR="00B4221D" w:rsidRPr="00011CB9" w:rsidRDefault="00154DB2">
      <w:pPr>
        <w:spacing w:line="360" w:lineRule="auto"/>
        <w:ind w:firstLine="643"/>
        <w:rPr>
          <w:rFonts w:ascii="仿宋_GB2312" w:eastAsia="仿宋_GB2312" w:hAnsi="仿宋_GB2312" w:cs="Courier New"/>
          <w:sz w:val="32"/>
          <w:szCs w:val="32"/>
        </w:rPr>
      </w:pPr>
      <w:r w:rsidRPr="00011CB9">
        <w:rPr>
          <w:rFonts w:ascii="仿宋_GB2312" w:eastAsia="仿宋_GB2312" w:hAnsi="仿宋_GB2312" w:cs="Courier New" w:hint="eastAsia"/>
          <w:b/>
          <w:bCs/>
          <w:sz w:val="32"/>
          <w:szCs w:val="32"/>
        </w:rPr>
        <w:lastRenderedPageBreak/>
        <w:t>一、财政拨款收入：</w:t>
      </w:r>
      <w:r w:rsidRPr="00011CB9">
        <w:rPr>
          <w:rFonts w:ascii="仿宋_GB2312" w:eastAsia="仿宋_GB2312" w:hAnsi="仿宋_GB2312" w:cs="Courier New" w:hint="eastAsia"/>
          <w:bCs/>
          <w:sz w:val="32"/>
          <w:szCs w:val="32"/>
        </w:rPr>
        <w:t>指行政单位向同级财政部门取得的各</w:t>
      </w:r>
      <w:proofErr w:type="gramStart"/>
      <w:r w:rsidRPr="00011CB9">
        <w:rPr>
          <w:rFonts w:ascii="仿宋_GB2312" w:eastAsia="仿宋_GB2312" w:hAnsi="仿宋_GB2312" w:cs="Courier New" w:hint="eastAsia"/>
          <w:bCs/>
          <w:sz w:val="32"/>
          <w:szCs w:val="32"/>
        </w:rPr>
        <w:t>类财政</w:t>
      </w:r>
      <w:proofErr w:type="gramEnd"/>
      <w:r w:rsidRPr="00011CB9">
        <w:rPr>
          <w:rFonts w:ascii="仿宋_GB2312" w:eastAsia="仿宋_GB2312" w:hAnsi="仿宋_GB2312" w:cs="Courier New" w:hint="eastAsia"/>
          <w:bCs/>
          <w:sz w:val="32"/>
          <w:szCs w:val="32"/>
        </w:rPr>
        <w:t>预算资金，包括为其基本支出和项目支出向同级财政部门申请取得的财政拨款</w:t>
      </w:r>
      <w:r w:rsidRPr="00011CB9">
        <w:rPr>
          <w:rFonts w:ascii="仿宋_GB2312" w:eastAsia="仿宋_GB2312" w:hAnsi="仿宋_GB2312" w:cs="Courier New" w:hint="eastAsia"/>
          <w:sz w:val="32"/>
          <w:szCs w:val="32"/>
        </w:rPr>
        <w:t>。</w:t>
      </w:r>
    </w:p>
    <w:p w:rsidR="00B4221D" w:rsidRPr="00011CB9" w:rsidRDefault="00154DB2">
      <w:pPr>
        <w:spacing w:line="360" w:lineRule="auto"/>
        <w:ind w:firstLine="643"/>
        <w:rPr>
          <w:rFonts w:ascii="仿宋_GB2312" w:eastAsia="仿宋_GB2312" w:hAnsi="仿宋_GB2312" w:cs="Courier New"/>
          <w:sz w:val="32"/>
          <w:szCs w:val="32"/>
        </w:rPr>
      </w:pPr>
      <w:r w:rsidRPr="00011CB9">
        <w:rPr>
          <w:rFonts w:ascii="仿宋_GB2312" w:eastAsia="仿宋_GB2312" w:hAnsi="仿宋_GB2312" w:cs="Courier New" w:hint="eastAsia"/>
          <w:b/>
          <w:bCs/>
          <w:sz w:val="32"/>
          <w:szCs w:val="32"/>
        </w:rPr>
        <w:t>二、基本支出：</w:t>
      </w:r>
      <w:r w:rsidRPr="00011CB9">
        <w:rPr>
          <w:rFonts w:ascii="仿宋_GB2312" w:eastAsia="仿宋_GB2312" w:hAnsi="仿宋_GB2312" w:cs="Courier New" w:hint="eastAsia"/>
          <w:sz w:val="32"/>
          <w:szCs w:val="32"/>
        </w:rPr>
        <w:t>指为保障机构正常运转、完成日常工作任务而发生的人员支出和公用支出。</w:t>
      </w:r>
    </w:p>
    <w:p w:rsidR="00B4221D" w:rsidRPr="00011CB9" w:rsidRDefault="00154DB2">
      <w:pPr>
        <w:spacing w:line="360" w:lineRule="auto"/>
        <w:ind w:firstLine="643"/>
        <w:rPr>
          <w:rFonts w:ascii="仿宋_GB2312" w:eastAsia="仿宋_GB2312" w:hAnsi="仿宋_GB2312" w:cs="Courier New"/>
          <w:bCs/>
          <w:sz w:val="32"/>
          <w:szCs w:val="32"/>
        </w:rPr>
      </w:pPr>
      <w:r w:rsidRPr="00011CB9">
        <w:rPr>
          <w:rFonts w:ascii="仿宋_GB2312" w:eastAsia="仿宋_GB2312" w:hAnsi="仿宋_GB2312" w:cs="Courier New" w:hint="eastAsia"/>
          <w:b/>
          <w:bCs/>
          <w:sz w:val="32"/>
          <w:szCs w:val="32"/>
        </w:rPr>
        <w:t>三、事业运行：</w:t>
      </w:r>
      <w:r w:rsidRPr="00011CB9">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B4221D" w:rsidRPr="00011CB9" w:rsidRDefault="00154DB2">
      <w:pPr>
        <w:spacing w:line="360" w:lineRule="auto"/>
        <w:ind w:firstLine="643"/>
        <w:jc w:val="left"/>
        <w:rPr>
          <w:rFonts w:ascii="仿宋_GB2312" w:eastAsia="仿宋_GB2312" w:hAnsi="仿宋_GB2312" w:cs="Courier New"/>
          <w:sz w:val="32"/>
          <w:szCs w:val="32"/>
        </w:rPr>
      </w:pPr>
      <w:r w:rsidRPr="00011CB9">
        <w:rPr>
          <w:rFonts w:ascii="仿宋_GB2312" w:eastAsia="仿宋_GB2312" w:hAnsi="仿宋_GB2312" w:cs="Courier New" w:hint="eastAsia"/>
          <w:b/>
          <w:bCs/>
          <w:sz w:val="32"/>
          <w:szCs w:val="32"/>
        </w:rPr>
        <w:t>四、“三公”经费：</w:t>
      </w:r>
      <w:r w:rsidRPr="00011CB9">
        <w:rPr>
          <w:rFonts w:ascii="仿宋_GB2312" w:eastAsia="仿宋_GB2312" w:hAnsi="仿宋_GB2312" w:cs="Courier New" w:hint="eastAsia"/>
          <w:sz w:val="32"/>
          <w:szCs w:val="32"/>
        </w:rPr>
        <w:t>纳入县级财政预决算管理“三公”经费，指部门使用财政拨款安排的因公出国（境）费、公务用车购置及运行费和公务接待费。其中，因公出国（境）</w:t>
      </w:r>
      <w:proofErr w:type="gramStart"/>
      <w:r w:rsidRPr="00011CB9">
        <w:rPr>
          <w:rFonts w:ascii="仿宋_GB2312" w:eastAsia="仿宋_GB2312" w:hAnsi="仿宋_GB2312" w:cs="Courier New" w:hint="eastAsia"/>
          <w:sz w:val="32"/>
          <w:szCs w:val="32"/>
        </w:rPr>
        <w:t>费反映</w:t>
      </w:r>
      <w:proofErr w:type="gramEnd"/>
      <w:r w:rsidRPr="00011CB9">
        <w:rPr>
          <w:rFonts w:ascii="仿宋_GB2312" w:eastAsia="仿宋_GB2312" w:hAnsi="仿宋_GB2312"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Pr="00011CB9">
        <w:rPr>
          <w:rFonts w:ascii="仿宋_GB2312" w:eastAsia="仿宋_GB2312" w:hAnsi="仿宋_GB2312" w:cs="Courier New" w:hint="eastAsia"/>
          <w:sz w:val="32"/>
          <w:szCs w:val="32"/>
        </w:rPr>
        <w:t>含车辆</w:t>
      </w:r>
      <w:proofErr w:type="gramEnd"/>
      <w:r w:rsidRPr="00011CB9">
        <w:rPr>
          <w:rFonts w:ascii="仿宋_GB2312" w:eastAsia="仿宋_GB2312" w:hAnsi="仿宋_GB2312" w:cs="Courier New" w:hint="eastAsia"/>
          <w:sz w:val="32"/>
          <w:szCs w:val="32"/>
        </w:rPr>
        <w:t>购置税）及租用费、燃料费、维修费、过路过桥费、保险费、安全奖励费用等支出；公务接待</w:t>
      </w:r>
      <w:proofErr w:type="gramStart"/>
      <w:r w:rsidRPr="00011CB9">
        <w:rPr>
          <w:rFonts w:ascii="仿宋_GB2312" w:eastAsia="仿宋_GB2312" w:hAnsi="仿宋_GB2312" w:cs="Courier New" w:hint="eastAsia"/>
          <w:sz w:val="32"/>
          <w:szCs w:val="32"/>
        </w:rPr>
        <w:t>费反映</w:t>
      </w:r>
      <w:proofErr w:type="gramEnd"/>
      <w:r w:rsidRPr="00011CB9">
        <w:rPr>
          <w:rFonts w:ascii="仿宋_GB2312" w:eastAsia="仿宋_GB2312" w:hAnsi="仿宋_GB2312" w:cs="Courier New" w:hint="eastAsia"/>
          <w:sz w:val="32"/>
          <w:szCs w:val="32"/>
        </w:rPr>
        <w:t>单位按规定开支的各类公务接待（含外宾接待）支出。</w:t>
      </w:r>
    </w:p>
    <w:p w:rsidR="00B4221D" w:rsidRDefault="00B4221D">
      <w:pPr>
        <w:jc w:val="right"/>
        <w:rPr>
          <w:rFonts w:ascii="仿宋" w:eastAsia="仿宋" w:hAnsi="仿宋" w:cs="仿宋"/>
          <w:sz w:val="32"/>
          <w:szCs w:val="32"/>
        </w:rPr>
      </w:pPr>
    </w:p>
    <w:p w:rsidR="00B4221D" w:rsidRPr="00011CB9" w:rsidRDefault="00154DB2">
      <w:pPr>
        <w:jc w:val="right"/>
        <w:rPr>
          <w:rFonts w:ascii="仿宋_GB2312" w:eastAsia="仿宋_GB2312" w:hAnsi="仿宋" w:cs="仿宋"/>
          <w:sz w:val="32"/>
          <w:szCs w:val="32"/>
        </w:rPr>
      </w:pPr>
      <w:r w:rsidRPr="00011CB9">
        <w:rPr>
          <w:rFonts w:ascii="仿宋_GB2312" w:eastAsia="仿宋_GB2312" w:hAnsi="仿宋" w:cs="仿宋" w:hint="eastAsia"/>
          <w:sz w:val="32"/>
          <w:szCs w:val="32"/>
        </w:rPr>
        <w:t>2017年9月22日</w:t>
      </w:r>
    </w:p>
    <w:p w:rsidR="00B4221D" w:rsidRPr="00011CB9" w:rsidRDefault="00B4221D">
      <w:pPr>
        <w:jc w:val="right"/>
        <w:rPr>
          <w:rFonts w:ascii="仿宋_GB2312" w:eastAsia="仿宋_GB2312" w:hAnsi="仿宋" w:cs="仿宋"/>
          <w:sz w:val="32"/>
          <w:szCs w:val="32"/>
        </w:rPr>
      </w:pPr>
    </w:p>
    <w:p w:rsidR="00B4221D" w:rsidRPr="00011CB9" w:rsidRDefault="00154DB2">
      <w:pPr>
        <w:jc w:val="right"/>
        <w:rPr>
          <w:rFonts w:ascii="仿宋_GB2312" w:eastAsia="仿宋_GB2312" w:hAnsi="仿宋" w:cs="仿宋"/>
          <w:sz w:val="32"/>
          <w:szCs w:val="32"/>
        </w:rPr>
      </w:pPr>
      <w:r w:rsidRPr="00011CB9">
        <w:rPr>
          <w:rFonts w:ascii="仿宋_GB2312" w:eastAsia="仿宋_GB2312" w:hAnsi="仿宋" w:cs="仿宋" w:hint="eastAsia"/>
          <w:sz w:val="32"/>
          <w:szCs w:val="32"/>
        </w:rPr>
        <w:t>填报人：崔玲玲</w:t>
      </w:r>
    </w:p>
    <w:p w:rsidR="00B4221D" w:rsidRPr="00011CB9" w:rsidRDefault="00B4221D">
      <w:pPr>
        <w:jc w:val="right"/>
        <w:rPr>
          <w:rFonts w:ascii="仿宋_GB2312" w:eastAsia="仿宋_GB2312" w:hAnsi="仿宋" w:cs="仿宋"/>
          <w:sz w:val="32"/>
          <w:szCs w:val="32"/>
        </w:rPr>
      </w:pPr>
    </w:p>
    <w:p w:rsidR="00B4221D" w:rsidRPr="00011CB9" w:rsidRDefault="00154DB2">
      <w:pPr>
        <w:jc w:val="right"/>
        <w:rPr>
          <w:rFonts w:ascii="仿宋_GB2312" w:eastAsia="仿宋_GB2312" w:hAnsi="仿宋" w:cs="仿宋"/>
          <w:sz w:val="32"/>
          <w:szCs w:val="32"/>
        </w:rPr>
      </w:pPr>
      <w:r w:rsidRPr="00011CB9">
        <w:rPr>
          <w:rFonts w:ascii="仿宋_GB2312" w:eastAsia="仿宋_GB2312" w:hAnsi="仿宋" w:cs="仿宋" w:hint="eastAsia"/>
          <w:sz w:val="32"/>
          <w:szCs w:val="32"/>
        </w:rPr>
        <w:t>手机号：15836050764</w:t>
      </w:r>
    </w:p>
    <w:p w:rsidR="00B4221D" w:rsidRDefault="00B4221D">
      <w:pPr>
        <w:spacing w:line="360" w:lineRule="auto"/>
        <w:ind w:firstLine="643"/>
        <w:jc w:val="left"/>
        <w:rPr>
          <w:rFonts w:ascii="仿宋_GB2312" w:eastAsia="仿宋_GB2312" w:hAnsi="仿宋_GB2312" w:cs="Courier New"/>
          <w:sz w:val="32"/>
          <w:szCs w:val="32"/>
        </w:rPr>
      </w:pPr>
    </w:p>
    <w:sectPr w:rsidR="00B4221D" w:rsidSect="00B4221D">
      <w:headerReference w:type="default" r:id="rId31"/>
      <w:footerReference w:type="default" r:id="rId32"/>
      <w:endnotePr>
        <w:numFmt w:val="decimal"/>
      </w:endnotePr>
      <w:pgSz w:w="11906" w:h="16838"/>
      <w:pgMar w:top="1440" w:right="1531" w:bottom="1440" w:left="1587" w:header="720"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21D" w:rsidRDefault="00B4221D" w:rsidP="00B4221D">
      <w:r>
        <w:separator/>
      </w:r>
    </w:p>
  </w:endnote>
  <w:endnote w:type="continuationSeparator" w:id="1">
    <w:p w:rsidR="00B4221D" w:rsidRDefault="00B4221D" w:rsidP="00B422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60288" behindDoc="0" locked="0" layoutInCell="0" allowOverlap="1">
          <wp:simplePos x="0" y="0"/>
          <wp:positionH relativeFrom="margin">
            <wp:align>center</wp:align>
          </wp:positionH>
          <wp:positionV relativeFrom="paragraph">
            <wp:posOffset>0</wp:posOffset>
          </wp:positionV>
          <wp:extent cx="115570" cy="139700"/>
          <wp:effectExtent l="0" t="0" r="0" b="0"/>
          <wp:wrapNone/>
          <wp:docPr id="9" name="图片模式5"/>
          <wp:cNvGraphicFramePr/>
          <a:graphic xmlns:a="http://schemas.openxmlformats.org/drawingml/2006/main">
            <a:graphicData uri="http://schemas.openxmlformats.org/drawingml/2006/picture">
              <pic:pic xmlns:pic="http://schemas.openxmlformats.org/drawingml/2006/picture">
                <pic:nvPicPr>
                  <pic:cNvPr id="9" name="图片模式5"/>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61312" behindDoc="0" locked="0" layoutInCell="0" allowOverlap="1">
          <wp:simplePos x="0" y="0"/>
          <wp:positionH relativeFrom="margin">
            <wp:align>center</wp:align>
          </wp:positionH>
          <wp:positionV relativeFrom="paragraph">
            <wp:posOffset>0</wp:posOffset>
          </wp:positionV>
          <wp:extent cx="115570" cy="139700"/>
          <wp:effectExtent l="0" t="0" r="0" b="0"/>
          <wp:wrapNone/>
          <wp:docPr id="10" name="图片模式4"/>
          <wp:cNvGraphicFramePr/>
          <a:graphic xmlns:a="http://schemas.openxmlformats.org/drawingml/2006/main">
            <a:graphicData uri="http://schemas.openxmlformats.org/drawingml/2006/picture">
              <pic:pic xmlns:pic="http://schemas.openxmlformats.org/drawingml/2006/picture">
                <pic:nvPicPr>
                  <pic:cNvPr id="10" name="图片模式4"/>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62336" behindDoc="0" locked="0" layoutInCell="0" allowOverlap="1">
          <wp:simplePos x="0" y="0"/>
          <wp:positionH relativeFrom="margin">
            <wp:align>center</wp:align>
          </wp:positionH>
          <wp:positionV relativeFrom="paragraph">
            <wp:posOffset>0</wp:posOffset>
          </wp:positionV>
          <wp:extent cx="115570" cy="139700"/>
          <wp:effectExtent l="0" t="0" r="0" b="0"/>
          <wp:wrapNone/>
          <wp:docPr id="12" name="图片模式2"/>
          <wp:cNvGraphicFramePr/>
          <a:graphic xmlns:a="http://schemas.openxmlformats.org/drawingml/2006/main">
            <a:graphicData uri="http://schemas.openxmlformats.org/drawingml/2006/picture">
              <pic:pic xmlns:pic="http://schemas.openxmlformats.org/drawingml/2006/picture">
                <pic:nvPicPr>
                  <pic:cNvPr id="12" name="图片模式2"/>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63360" behindDoc="0" locked="0" layoutInCell="0" allowOverlap="1">
          <wp:simplePos x="0" y="0"/>
          <wp:positionH relativeFrom="margin">
            <wp:align>center</wp:align>
          </wp:positionH>
          <wp:positionV relativeFrom="paragraph">
            <wp:posOffset>0</wp:posOffset>
          </wp:positionV>
          <wp:extent cx="115570" cy="139700"/>
          <wp:effectExtent l="0" t="0" r="0" b="0"/>
          <wp:wrapNone/>
          <wp:docPr id="13" name="图片模式1"/>
          <wp:cNvGraphicFramePr/>
          <a:graphic xmlns:a="http://schemas.openxmlformats.org/drawingml/2006/main">
            <a:graphicData uri="http://schemas.openxmlformats.org/drawingml/2006/picture">
              <pic:pic xmlns:pic="http://schemas.openxmlformats.org/drawingml/2006/picture">
                <pic:nvPicPr>
                  <pic:cNvPr id="13" name="图片模式1"/>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2096" behindDoc="0" locked="0" layoutInCell="0" allowOverlap="1">
          <wp:simplePos x="0" y="0"/>
          <wp:positionH relativeFrom="margin">
            <wp:align>center</wp:align>
          </wp:positionH>
          <wp:positionV relativeFrom="paragraph">
            <wp:posOffset>0</wp:posOffset>
          </wp:positionV>
          <wp:extent cx="114300" cy="139700"/>
          <wp:effectExtent l="0" t="0" r="0" b="0"/>
          <wp:wrapNone/>
          <wp:docPr id="1" name="图片模式13"/>
          <wp:cNvGraphicFramePr/>
          <a:graphic xmlns:a="http://schemas.openxmlformats.org/drawingml/2006/main">
            <a:graphicData uri="http://schemas.openxmlformats.org/drawingml/2006/picture">
              <pic:pic xmlns:pic="http://schemas.openxmlformats.org/drawingml/2006/picture">
                <pic:nvPicPr>
                  <pic:cNvPr id="1" name="图片模式13"/>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3120" behindDoc="0" locked="0" layoutInCell="0" allowOverlap="1">
          <wp:simplePos x="0" y="0"/>
          <wp:positionH relativeFrom="margin">
            <wp:align>center</wp:align>
          </wp:positionH>
          <wp:positionV relativeFrom="paragraph">
            <wp:posOffset>0</wp:posOffset>
          </wp:positionV>
          <wp:extent cx="114300" cy="139700"/>
          <wp:effectExtent l="0" t="0" r="0" b="0"/>
          <wp:wrapNone/>
          <wp:docPr id="2" name="图片模式12"/>
          <wp:cNvGraphicFramePr/>
          <a:graphic xmlns:a="http://schemas.openxmlformats.org/drawingml/2006/main">
            <a:graphicData uri="http://schemas.openxmlformats.org/drawingml/2006/picture">
              <pic:pic xmlns:pic="http://schemas.openxmlformats.org/drawingml/2006/picture">
                <pic:nvPicPr>
                  <pic:cNvPr id="2" name="图片模式12"/>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4144" behindDoc="0" locked="0" layoutInCell="0" allowOverlap="1">
          <wp:simplePos x="0" y="0"/>
          <wp:positionH relativeFrom="margin">
            <wp:align>center</wp:align>
          </wp:positionH>
          <wp:positionV relativeFrom="paragraph">
            <wp:posOffset>0</wp:posOffset>
          </wp:positionV>
          <wp:extent cx="114300" cy="139700"/>
          <wp:effectExtent l="0" t="0" r="0" b="0"/>
          <wp:wrapNone/>
          <wp:docPr id="3" name="图片模式11"/>
          <wp:cNvGraphicFramePr/>
          <a:graphic xmlns:a="http://schemas.openxmlformats.org/drawingml/2006/main">
            <a:graphicData uri="http://schemas.openxmlformats.org/drawingml/2006/picture">
              <pic:pic xmlns:pic="http://schemas.openxmlformats.org/drawingml/2006/picture">
                <pic:nvPicPr>
                  <pic:cNvPr id="3" name="图片模式11"/>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5168" behindDoc="0" locked="0" layoutInCell="0" allowOverlap="1">
          <wp:simplePos x="0" y="0"/>
          <wp:positionH relativeFrom="margin">
            <wp:align>center</wp:align>
          </wp:positionH>
          <wp:positionV relativeFrom="paragraph">
            <wp:posOffset>0</wp:posOffset>
          </wp:positionV>
          <wp:extent cx="114300" cy="139700"/>
          <wp:effectExtent l="0" t="0" r="0" b="0"/>
          <wp:wrapNone/>
          <wp:docPr id="4" name="图片模式10"/>
          <wp:cNvGraphicFramePr/>
          <a:graphic xmlns:a="http://schemas.openxmlformats.org/drawingml/2006/main">
            <a:graphicData uri="http://schemas.openxmlformats.org/drawingml/2006/picture">
              <pic:pic xmlns:pic="http://schemas.openxmlformats.org/drawingml/2006/picture">
                <pic:nvPicPr>
                  <pic:cNvPr id="4" name="图片模式10"/>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6192" behindDoc="0" locked="0" layoutInCell="0" allowOverlap="1">
          <wp:simplePos x="0" y="0"/>
          <wp:positionH relativeFrom="margin">
            <wp:align>center</wp:align>
          </wp:positionH>
          <wp:positionV relativeFrom="paragraph">
            <wp:posOffset>0</wp:posOffset>
          </wp:positionV>
          <wp:extent cx="114300" cy="139700"/>
          <wp:effectExtent l="0" t="0" r="0" b="0"/>
          <wp:wrapNone/>
          <wp:docPr id="5" name="图片模式9"/>
          <wp:cNvGraphicFramePr/>
          <a:graphic xmlns:a="http://schemas.openxmlformats.org/drawingml/2006/main">
            <a:graphicData uri="http://schemas.openxmlformats.org/drawingml/2006/picture">
              <pic:pic xmlns:pic="http://schemas.openxmlformats.org/drawingml/2006/picture">
                <pic:nvPicPr>
                  <pic:cNvPr id="5" name="图片模式9"/>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7216" behindDoc="0" locked="0" layoutInCell="0" allowOverlap="1">
          <wp:simplePos x="0" y="0"/>
          <wp:positionH relativeFrom="margin">
            <wp:align>center</wp:align>
          </wp:positionH>
          <wp:positionV relativeFrom="paragraph">
            <wp:posOffset>0</wp:posOffset>
          </wp:positionV>
          <wp:extent cx="114300" cy="139700"/>
          <wp:effectExtent l="0" t="0" r="0" b="0"/>
          <wp:wrapNone/>
          <wp:docPr id="6" name="图片模式8"/>
          <wp:cNvGraphicFramePr/>
          <a:graphic xmlns:a="http://schemas.openxmlformats.org/drawingml/2006/main">
            <a:graphicData uri="http://schemas.openxmlformats.org/drawingml/2006/picture">
              <pic:pic xmlns:pic="http://schemas.openxmlformats.org/drawingml/2006/picture">
                <pic:nvPicPr>
                  <pic:cNvPr id="6" name="图片模式8"/>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8240" behindDoc="0" locked="0" layoutInCell="0" allowOverlap="1">
          <wp:simplePos x="0" y="0"/>
          <wp:positionH relativeFrom="margin">
            <wp:align>center</wp:align>
          </wp:positionH>
          <wp:positionV relativeFrom="paragraph">
            <wp:posOffset>0</wp:posOffset>
          </wp:positionV>
          <wp:extent cx="114300" cy="139700"/>
          <wp:effectExtent l="0" t="0" r="0" b="0"/>
          <wp:wrapNone/>
          <wp:docPr id="7" name="图片模式7"/>
          <wp:cNvGraphicFramePr/>
          <a:graphic xmlns:a="http://schemas.openxmlformats.org/drawingml/2006/main">
            <a:graphicData uri="http://schemas.openxmlformats.org/drawingml/2006/picture">
              <pic:pic xmlns:pic="http://schemas.openxmlformats.org/drawingml/2006/picture">
                <pic:nvPicPr>
                  <pic:cNvPr id="7" name="图片模式7"/>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154DB2">
    <w:r>
      <w:rPr>
        <w:noProof/>
      </w:rPr>
      <w:drawing>
        <wp:anchor distT="0" distB="0" distL="114300" distR="114300" simplePos="0" relativeHeight="251659264" behindDoc="0" locked="0" layoutInCell="0" allowOverlap="1">
          <wp:simplePos x="0" y="0"/>
          <wp:positionH relativeFrom="margin">
            <wp:align>center</wp:align>
          </wp:positionH>
          <wp:positionV relativeFrom="paragraph">
            <wp:posOffset>0</wp:posOffset>
          </wp:positionV>
          <wp:extent cx="115570" cy="139700"/>
          <wp:effectExtent l="0" t="0" r="0" b="0"/>
          <wp:wrapNone/>
          <wp:docPr id="8" name="图片模式6"/>
          <wp:cNvGraphicFramePr/>
          <a:graphic xmlns:a="http://schemas.openxmlformats.org/drawingml/2006/main">
            <a:graphicData uri="http://schemas.openxmlformats.org/drawingml/2006/picture">
              <pic:pic xmlns:pic="http://schemas.openxmlformats.org/drawingml/2006/picture">
                <pic:nvPicPr>
                  <pic:cNvPr id="8" name="图片模式6"/>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21D" w:rsidRDefault="00B4221D" w:rsidP="00B4221D">
      <w:r>
        <w:separator/>
      </w:r>
    </w:p>
  </w:footnote>
  <w:footnote w:type="continuationSeparator" w:id="1">
    <w:p w:rsidR="00B4221D" w:rsidRDefault="00B4221D" w:rsidP="00B422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D" w:rsidRDefault="00B422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B7779"/>
    <w:multiLevelType w:val="singleLevel"/>
    <w:tmpl w:val="59CB7779"/>
    <w:lvl w:ilvl="0">
      <w:start w:val="1"/>
      <w:numFmt w:val="chineseCounting"/>
      <w:suff w:val="nothing"/>
      <w:lvlText w:val="%1、"/>
      <w:lvlJc w:val="left"/>
      <w:pPr>
        <w:ind w:left="420" w:firstLine="0"/>
      </w:pPr>
    </w:lvl>
  </w:abstractNum>
  <w:abstractNum w:abstractNumId="1">
    <w:nsid w:val="59CB7784"/>
    <w:multiLevelType w:val="singleLevel"/>
    <w:tmpl w:val="59CB7784"/>
    <w:lvl w:ilvl="0">
      <w:start w:val="1"/>
      <w:numFmt w:val="chineseCounting"/>
      <w:suff w:val="nothing"/>
      <w:lvlText w:val="%1、"/>
      <w:lvlJc w:val="left"/>
      <w:pPr>
        <w:ind w:left="0" w:firstLine="0"/>
      </w:pPr>
    </w:lvl>
  </w:abstractNum>
  <w:abstractNum w:abstractNumId="2">
    <w:nsid w:val="59CB778F"/>
    <w:multiLevelType w:val="singleLevel"/>
    <w:tmpl w:val="59CB778F"/>
    <w:lvl w:ilvl="0">
      <w:start w:val="1"/>
      <w:numFmt w:val="chineseCounting"/>
      <w:suff w:val="nothing"/>
      <w:lvlText w:val="（%1）"/>
      <w:lvlJc w:val="left"/>
      <w:pPr>
        <w:ind w:left="420" w:firstLine="0"/>
      </w:pPr>
    </w:lvl>
  </w:abstractNum>
  <w:abstractNum w:abstractNumId="3">
    <w:nsid w:val="59CB77A5"/>
    <w:multiLevelType w:val="singleLevel"/>
    <w:tmpl w:val="59CB77A5"/>
    <w:lvl w:ilvl="0">
      <w:start w:val="1"/>
      <w:numFmt w:val="chineseCounting"/>
      <w:suff w:val="nothing"/>
      <w:lvlText w:val="（%1）"/>
      <w:lvlJc w:val="left"/>
      <w:pPr>
        <w:ind w:left="420" w:firstLine="0"/>
      </w:pPr>
    </w:lvl>
  </w:abstractNum>
  <w:abstractNum w:abstractNumId="4">
    <w:nsid w:val="59CB77B0"/>
    <w:multiLevelType w:val="singleLevel"/>
    <w:tmpl w:val="59CB77B0"/>
    <w:lvl w:ilvl="0">
      <w:start w:val="1"/>
      <w:numFmt w:val="decimal"/>
      <w:suff w:val="nothing"/>
      <w:lvlText w:val="%1．"/>
      <w:lvlJc w:val="left"/>
      <w:pPr>
        <w:ind w:left="400" w:firstLine="0"/>
      </w:pPr>
    </w:lvl>
  </w:abstractNum>
  <w:abstractNum w:abstractNumId="5">
    <w:nsid w:val="59CB77BB"/>
    <w:multiLevelType w:val="singleLevel"/>
    <w:tmpl w:val="59CB77BB"/>
    <w:lvl w:ilvl="0">
      <w:start w:val="1"/>
      <w:numFmt w:val="chineseCounting"/>
      <w:suff w:val="nothing"/>
      <w:lvlText w:val="（%1）"/>
      <w:lvlJc w:val="left"/>
      <w:pPr>
        <w:ind w:left="420" w:firstLine="0"/>
      </w:pPr>
    </w:lvl>
  </w:abstractNum>
  <w:abstractNum w:abstractNumId="6">
    <w:nsid w:val="59CB77C6"/>
    <w:multiLevelType w:val="singleLevel"/>
    <w:tmpl w:val="59CB77C6"/>
    <w:lvl w:ilvl="0">
      <w:start w:val="1"/>
      <w:numFmt w:val="chineseCounting"/>
      <w:suff w:val="nothing"/>
      <w:lvlText w:val="（%1）"/>
      <w:lvlJc w:val="left"/>
      <w:pPr>
        <w:ind w:left="42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w:hdrShapeDefaults>
  <w:footnotePr>
    <w:footnote w:id="0"/>
    <w:footnote w:id="1"/>
  </w:footnotePr>
  <w:endnotePr>
    <w:numFmt w:val="decimal"/>
    <w:endnote w:id="0"/>
    <w:endnote w:id="1"/>
  </w:endnotePr>
  <w:compat>
    <w:doNotExpandShiftReturn/>
    <w:useFELayout/>
  </w:compat>
  <w:rsids>
    <w:rsidRoot w:val="00B4221D"/>
    <w:rsid w:val="00011CB9"/>
    <w:rsid w:val="00134DE2"/>
    <w:rsid w:val="00154DB2"/>
    <w:rsid w:val="00514257"/>
    <w:rsid w:val="00573F67"/>
    <w:rsid w:val="00B4221D"/>
    <w:rsid w:val="077026E7"/>
    <w:rsid w:val="3F643E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Normal (Web)" w:semiHidden="0" w:uiPriority="0" w:unhideWhenUsed="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font41"/>
    <w:qFormat/>
    <w:rsid w:val="00B4221D"/>
    <w:pPr>
      <w:widowControl w:val="0"/>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B4221D"/>
    <w:pPr>
      <w:widowControl w:val="0"/>
    </w:pPr>
    <w:rPr>
      <w:rFonts w:eastAsia="Calibri"/>
      <w:kern w:val="1"/>
      <w:sz w:val="18"/>
      <w:szCs w:val="24"/>
    </w:rPr>
  </w:style>
  <w:style w:type="paragraph" w:styleId="a4">
    <w:name w:val="header"/>
    <w:qFormat/>
    <w:rsid w:val="00B4221D"/>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styleId="a5">
    <w:name w:val="Normal (Web)"/>
    <w:qFormat/>
    <w:rsid w:val="00B4221D"/>
    <w:pPr>
      <w:pBdr>
        <w:top w:val="none" w:sz="0" w:space="0" w:color="000000"/>
        <w:left w:val="none" w:sz="0" w:space="0" w:color="000000"/>
        <w:bottom w:val="none" w:sz="0" w:space="0" w:color="000000"/>
        <w:right w:val="none" w:sz="0" w:space="0" w:color="000000"/>
        <w:between w:val="none" w:sz="0" w:space="0" w:color="000000"/>
      </w:pBdr>
      <w:shd w:val="solid" w:color="auto" w:fill="auto"/>
      <w:spacing w:before="100" w:beforeAutospacing="1" w:after="100" w:afterAutospacing="1"/>
    </w:pPr>
    <w:rPr>
      <w:rFonts w:ascii="宋体" w:eastAsia="宋体" w:hAnsi="宋体" w:cs="宋体"/>
      <w:sz w:val="24"/>
      <w:szCs w:val="24"/>
    </w:rPr>
  </w:style>
  <w:style w:type="character" w:customStyle="1" w:styleId="font31">
    <w:name w:val="font31"/>
    <w:rsid w:val="00B4221D"/>
    <w:rPr>
      <w:rFonts w:ascii="Arial" w:hAnsi="Arial" w:cs="Arial"/>
      <w:color w:val="000000"/>
      <w:sz w:val="16"/>
      <w:szCs w:val="16"/>
      <w:u w:val="none"/>
    </w:rPr>
  </w:style>
  <w:style w:type="character" w:customStyle="1" w:styleId="font01">
    <w:name w:val="font01"/>
    <w:rsid w:val="00B4221D"/>
    <w:rPr>
      <w:rFonts w:ascii="Arial" w:hAnsi="Arial" w:cs="Arial"/>
      <w:color w:val="000000"/>
      <w:sz w:val="16"/>
      <w:szCs w:val="16"/>
      <w:u w:val="none"/>
    </w:rPr>
  </w:style>
  <w:style w:type="character" w:customStyle="1" w:styleId="font41">
    <w:name w:val="font41"/>
    <w:rsid w:val="00B4221D"/>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1033</Words>
  <Characters>5891</Characters>
  <Application>Microsoft Office Word</Application>
  <DocSecurity>0</DocSecurity>
  <Lines>49</Lines>
  <Paragraphs>13</Paragraphs>
  <ScaleCrop>false</ScaleCrop>
  <Company>SG</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9</cp:revision>
  <cp:lastPrinted>2017-09-07T01:21:00Z</cp:lastPrinted>
  <dcterms:created xsi:type="dcterms:W3CDTF">2017-09-07T02:51:00Z</dcterms:created>
  <dcterms:modified xsi:type="dcterms:W3CDTF">2017-09-23T03:12:00Z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