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  <w:t>2</w:t>
      </w:r>
    </w:p>
    <w:p>
      <w:pPr>
        <w:spacing w:line="360" w:lineRule="auto"/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新乡市公立医疗机构医疗服务价格调整方案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《新乡市公立医疗机构医疗服务价格调整方案》 (以下简称 《调整方案》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, 价格适用于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公立医疗机构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《 调整方案》 设财务分类代码、 项目编码、 项目名称、项目内涵、 除外内容、 计价单位、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医疗机构收费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价格、 说明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、医保支付类别、备注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个栏目。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财务分类代码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财务分类代码采用大写英文字母, A 为挂号收入、 B为床位收入、 C为诊察收入、 D 为检查收入、 E 为治疗收入、 F为护理收入、 G 为手术收入、 H 为化验收入、 I为卫生材料收入、 J为其他收入。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项目编码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项目编码采用顺序码, 一般设为9位。 第1位为一级分类码, 第2位为二级分类码, 第3-4位为三级分类码, 第5-6位为四级分类码, 第7-9位为项目顺序码, 第10位及以后为加收项目或派生项目识别码。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以国内现行医学教科书中规范的名称或我国临床习惯通用名称命名。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项目内涵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用于规范项目的服务范围、 内容、 方式和手段。 项目内涵使用 “含”、 “不含”、 “包括” 三个专用名词进行界定: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含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“含” 表示在服务中应当提供的服务内容, 这些服务内容不得单独收费。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不含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“不含” 后面所列的服务内容应单独计价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“包括” 后面所列的不同服务内容和不同技术方法, 均按本项目同一价格标准计价。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除外内容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在规范项目时未列入的服务或药械、 一次性医用耗材内容,如果提供这些服务或药械、 一次性医用耗材, 可在该项目价格基础上另行计价。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计价单位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指提供该项目服务时用于计价的基础单位。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指对该项目计价时需要特殊说明的相关事宜。</w:t>
      </w:r>
    </w:p>
    <w:p>
      <w:r>
        <w:br w:type="page"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方正大标宋_GBK" w:hAnsi="方正大标宋_GBK" w:eastAsia="方正大标宋_GBK" w:cs="方正大标宋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信息公开选项：</w:t>
      </w:r>
      <w:r>
        <w:rPr>
          <w:rFonts w:hint="eastAsia" w:ascii="方正大标宋_GBK" w:hAnsi="方正大标宋_GBK" w:eastAsia="方正大标宋_GBK" w:cs="方正大标宋_GBK"/>
          <w:sz w:val="28"/>
          <w:szCs w:val="28"/>
          <w:lang w:eastAsia="zh-CN"/>
        </w:rPr>
        <w:t>主动公开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抄送：各县（市）、区医保局、卫生健康委。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新乡市医疗保障局办公室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2019年12月27日印发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F5BD2"/>
    <w:multiLevelType w:val="singleLevel"/>
    <w:tmpl w:val="82EF5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AA621A"/>
    <w:multiLevelType w:val="singleLevel"/>
    <w:tmpl w:val="CCAA621A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2">
    <w:nsid w:val="773721F5"/>
    <w:multiLevelType w:val="singleLevel"/>
    <w:tmpl w:val="773721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婴幼儿纸尿裤批发零售</cp:lastModifiedBy>
  <dcterms:modified xsi:type="dcterms:W3CDTF">2021-03-28T07:06:10Z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