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rPr>
          <w:rFonts w:hint="default" w:ascii="黑体" w:hAnsi="黑体" w:eastAsia="黑体"/>
          <w:sz w:val="52"/>
          <w:szCs w:val="24"/>
        </w:rPr>
      </w:pPr>
      <w:r>
        <w:rPr>
          <w:rFonts w:hint="eastAsia" w:ascii="黑体" w:hAnsi="黑体" w:eastAsia="黑体"/>
          <w:sz w:val="52"/>
          <w:szCs w:val="24"/>
        </w:rPr>
        <w:t>河南省新乡延津县安全生产监督管理局</w:t>
      </w:r>
    </w:p>
    <w:p>
      <w:pPr>
        <w:spacing w:beforeLines="0" w:afterLines="0"/>
        <w:jc w:val="center"/>
        <w:rPr>
          <w:rFonts w:hint="default" w:ascii="黑体" w:hAnsi="黑体" w:eastAsia="黑体"/>
          <w:sz w:val="52"/>
          <w:szCs w:val="24"/>
        </w:rPr>
      </w:pPr>
    </w:p>
    <w:p>
      <w:pPr>
        <w:spacing w:beforeLines="0" w:afterLines="0"/>
        <w:jc w:val="center"/>
        <w:rPr>
          <w:rFonts w:hint="default" w:ascii="黑体" w:hAnsi="黑体" w:eastAsia="黑体"/>
          <w:sz w:val="52"/>
          <w:szCs w:val="24"/>
        </w:rPr>
      </w:pPr>
      <w:r>
        <w:rPr>
          <w:rFonts w:hint="eastAsia" w:ascii="黑体" w:hAnsi="黑体" w:eastAsia="黑体"/>
          <w:sz w:val="52"/>
          <w:szCs w:val="24"/>
        </w:rPr>
        <w:t>2018年度部门决算</w:t>
      </w:r>
    </w:p>
    <w:p>
      <w:pPr>
        <w:spacing w:beforeLines="0" w:afterLines="0"/>
        <w:jc w:val="center"/>
        <w:rPr>
          <w:rFonts w:hint="default" w:ascii="黑体" w:hAnsi="黑体" w:eastAsia="黑体"/>
          <w:sz w:val="52"/>
          <w:szCs w:val="24"/>
        </w:rPr>
      </w:pPr>
    </w:p>
    <w:p>
      <w:pPr>
        <w:spacing w:beforeLines="0" w:afterLines="0"/>
        <w:jc w:val="center"/>
        <w:rPr>
          <w:rFonts w:hint="default" w:ascii="黑体" w:hAnsi="黑体" w:eastAsia="黑体"/>
          <w:sz w:val="52"/>
          <w:szCs w:val="24"/>
        </w:rPr>
      </w:pPr>
    </w:p>
    <w:p>
      <w:pPr>
        <w:spacing w:beforeLines="0" w:afterLines="0"/>
        <w:jc w:val="center"/>
        <w:rPr>
          <w:rFonts w:hint="default" w:ascii="黑体" w:hAnsi="黑体" w:eastAsia="黑体"/>
          <w:sz w:val="52"/>
          <w:szCs w:val="24"/>
        </w:rPr>
      </w:pPr>
    </w:p>
    <w:p>
      <w:pPr>
        <w:spacing w:beforeLines="0" w:afterLines="0"/>
        <w:jc w:val="center"/>
        <w:rPr>
          <w:rFonts w:hint="default" w:ascii="黑体" w:hAnsi="黑体" w:eastAsia="黑体"/>
          <w:sz w:val="52"/>
          <w:szCs w:val="24"/>
        </w:rPr>
      </w:pPr>
    </w:p>
    <w:p>
      <w:pPr>
        <w:spacing w:beforeLines="0" w:afterLines="0"/>
        <w:jc w:val="center"/>
        <w:rPr>
          <w:rFonts w:hint="default" w:ascii="黑体" w:hAnsi="黑体" w:eastAsia="黑体"/>
          <w:sz w:val="52"/>
          <w:szCs w:val="24"/>
        </w:rPr>
      </w:pPr>
    </w:p>
    <w:p>
      <w:pPr>
        <w:spacing w:beforeLines="0" w:afterLines="0"/>
        <w:ind w:firstLine="3200" w:firstLineChars="1000"/>
        <w:rPr>
          <w:rFonts w:hint="default" w:ascii="黑体" w:hAnsi="黑体" w:eastAsia="黑体"/>
          <w:sz w:val="32"/>
          <w:szCs w:val="24"/>
        </w:rPr>
        <w:sectPr>
          <w:pgSz w:w="11906" w:h="16838"/>
          <w:pgMar w:top="1440" w:right="1134" w:bottom="1440" w:left="1134" w:header="851" w:footer="992" w:gutter="0"/>
          <w:pgNumType w:fmt="numberInDash"/>
          <w:cols w:space="720" w:num="1"/>
          <w:docGrid w:type="lines" w:linePitch="317" w:charSpace="0"/>
        </w:sectPr>
      </w:pPr>
      <w:r>
        <w:rPr>
          <w:rFonts w:hint="eastAsia" w:ascii="黑体" w:hAnsi="黑体" w:eastAsia="黑体"/>
          <w:sz w:val="32"/>
          <w:szCs w:val="24"/>
        </w:rPr>
        <w:t>二〇一九年九月</w:t>
      </w:r>
    </w:p>
    <w:p>
      <w:pPr>
        <w:spacing w:beforeLines="0" w:afterLines="0"/>
        <w:jc w:val="center"/>
        <w:rPr>
          <w:rFonts w:hint="default" w:ascii="黑体" w:hAnsi="黑体" w:eastAsia="黑体"/>
          <w:sz w:val="36"/>
          <w:szCs w:val="24"/>
        </w:rPr>
      </w:pPr>
      <w:r>
        <w:rPr>
          <w:rFonts w:hint="eastAsia" w:ascii="黑体" w:hAnsi="黑体" w:eastAsia="黑体"/>
          <w:sz w:val="36"/>
          <w:szCs w:val="24"/>
        </w:rPr>
        <w:t>目　　录</w:t>
      </w:r>
    </w:p>
    <w:p>
      <w:pPr>
        <w:spacing w:beforeLines="0" w:afterLines="0"/>
        <w:jc w:val="left"/>
        <w:rPr>
          <w:rFonts w:hint="default" w:ascii="黑体" w:hAnsi="黑体" w:eastAsia="黑体"/>
          <w:sz w:val="32"/>
          <w:szCs w:val="24"/>
        </w:rPr>
      </w:pPr>
      <w:r>
        <w:rPr>
          <w:rFonts w:hint="eastAsia" w:ascii="黑体" w:hAnsi="黑体" w:eastAsia="黑体"/>
          <w:sz w:val="32"/>
          <w:szCs w:val="24"/>
        </w:rPr>
        <w:t>第一部分　延津县安全生产监督管理局概况</w:t>
      </w:r>
    </w:p>
    <w:p>
      <w:pPr>
        <w:numPr>
          <w:ilvl w:val="0"/>
          <w:numId w:val="1"/>
        </w:numPr>
        <w:spacing w:beforeLines="0" w:afterLines="0"/>
        <w:ind w:firstLine="640" w:firstLineChars="200"/>
        <w:jc w:val="left"/>
        <w:rPr>
          <w:rFonts w:hint="default" w:ascii="宋体"/>
          <w:sz w:val="32"/>
          <w:szCs w:val="24"/>
        </w:rPr>
      </w:pPr>
      <w:r>
        <w:rPr>
          <w:rFonts w:hint="eastAsia" w:ascii="宋体" w:hAnsi="宋体" w:cs="宋体"/>
          <w:sz w:val="32"/>
          <w:szCs w:val="24"/>
        </w:rPr>
        <w:t>部门职责</w:t>
      </w:r>
    </w:p>
    <w:p>
      <w:pPr>
        <w:numPr>
          <w:ilvl w:val="0"/>
          <w:numId w:val="1"/>
        </w:numPr>
        <w:spacing w:beforeLines="0" w:afterLines="0"/>
        <w:ind w:firstLine="640" w:firstLineChars="200"/>
        <w:jc w:val="left"/>
        <w:rPr>
          <w:rFonts w:hint="default" w:ascii="宋体"/>
          <w:sz w:val="32"/>
          <w:szCs w:val="24"/>
        </w:rPr>
      </w:pPr>
      <w:r>
        <w:rPr>
          <w:rFonts w:hint="eastAsia" w:ascii="宋体" w:hAnsi="宋体" w:cs="宋体"/>
          <w:sz w:val="32"/>
          <w:szCs w:val="24"/>
        </w:rPr>
        <w:t>机构设置</w:t>
      </w:r>
    </w:p>
    <w:p>
      <w:pPr>
        <w:spacing w:beforeLines="0" w:afterLines="0"/>
        <w:jc w:val="left"/>
        <w:rPr>
          <w:rFonts w:hint="default" w:ascii="黑体" w:hAnsi="黑体" w:eastAsia="黑体"/>
          <w:sz w:val="32"/>
          <w:szCs w:val="24"/>
        </w:rPr>
      </w:pPr>
      <w:r>
        <w:rPr>
          <w:rFonts w:hint="eastAsia" w:ascii="黑体" w:hAnsi="黑体" w:eastAsia="黑体"/>
          <w:sz w:val="32"/>
          <w:szCs w:val="24"/>
        </w:rPr>
        <w:t>第二部分　延津县安全生产监督管理局2018年度部门决算表</w:t>
      </w:r>
    </w:p>
    <w:p>
      <w:pPr>
        <w:spacing w:beforeLines="0" w:afterLines="0"/>
        <w:ind w:firstLine="640" w:firstLineChars="200"/>
        <w:jc w:val="left"/>
        <w:rPr>
          <w:rFonts w:hint="default" w:ascii="宋体"/>
          <w:sz w:val="32"/>
          <w:szCs w:val="24"/>
        </w:rPr>
      </w:pPr>
      <w:r>
        <w:rPr>
          <w:rFonts w:hint="eastAsia" w:ascii="宋体" w:hAnsi="宋体" w:cs="宋体"/>
          <w:sz w:val="32"/>
          <w:szCs w:val="24"/>
        </w:rPr>
        <w:t>一、收入支出决算总表</w:t>
      </w:r>
    </w:p>
    <w:p>
      <w:pPr>
        <w:spacing w:beforeLines="0" w:afterLines="0"/>
        <w:ind w:firstLine="640" w:firstLineChars="200"/>
        <w:jc w:val="left"/>
        <w:rPr>
          <w:rFonts w:hint="default" w:ascii="宋体"/>
          <w:sz w:val="32"/>
          <w:szCs w:val="24"/>
        </w:rPr>
      </w:pPr>
      <w:r>
        <w:rPr>
          <w:rFonts w:hint="eastAsia" w:ascii="宋体" w:hAnsi="宋体" w:cs="宋体"/>
          <w:sz w:val="32"/>
          <w:szCs w:val="24"/>
        </w:rPr>
        <w:t>二、收入决算表</w:t>
      </w:r>
    </w:p>
    <w:p>
      <w:pPr>
        <w:spacing w:beforeLines="0" w:afterLines="0"/>
        <w:ind w:firstLine="640" w:firstLineChars="200"/>
        <w:jc w:val="left"/>
        <w:rPr>
          <w:rFonts w:hint="default" w:ascii="宋体"/>
          <w:sz w:val="32"/>
          <w:szCs w:val="24"/>
        </w:rPr>
      </w:pPr>
      <w:r>
        <w:rPr>
          <w:rFonts w:hint="eastAsia" w:ascii="宋体" w:hAnsi="宋体" w:cs="宋体"/>
          <w:sz w:val="32"/>
          <w:szCs w:val="24"/>
        </w:rPr>
        <w:t>三、支出决算表</w:t>
      </w:r>
    </w:p>
    <w:p>
      <w:pPr>
        <w:spacing w:beforeLines="0" w:afterLines="0"/>
        <w:ind w:firstLine="640" w:firstLineChars="200"/>
        <w:jc w:val="left"/>
        <w:rPr>
          <w:rFonts w:hint="default" w:ascii="宋体"/>
          <w:sz w:val="32"/>
          <w:szCs w:val="24"/>
        </w:rPr>
      </w:pPr>
      <w:r>
        <w:rPr>
          <w:rFonts w:hint="eastAsia" w:ascii="宋体" w:hAnsi="宋体" w:cs="宋体"/>
          <w:sz w:val="32"/>
          <w:szCs w:val="24"/>
        </w:rPr>
        <w:t>四、财政拨款收入支出决算总表</w:t>
      </w:r>
    </w:p>
    <w:p>
      <w:pPr>
        <w:spacing w:beforeLines="0" w:afterLines="0"/>
        <w:ind w:firstLine="640" w:firstLineChars="200"/>
        <w:jc w:val="left"/>
        <w:rPr>
          <w:rFonts w:hint="default" w:ascii="宋体"/>
          <w:sz w:val="32"/>
          <w:szCs w:val="24"/>
        </w:rPr>
      </w:pPr>
      <w:r>
        <w:rPr>
          <w:rFonts w:hint="eastAsia" w:ascii="宋体" w:hAnsi="宋体" w:cs="宋体"/>
          <w:sz w:val="32"/>
          <w:szCs w:val="24"/>
        </w:rPr>
        <w:t>五、一般公共预算财政拨款支出决算表</w:t>
      </w:r>
    </w:p>
    <w:p>
      <w:pPr>
        <w:spacing w:beforeLines="0" w:afterLines="0"/>
        <w:ind w:firstLine="640" w:firstLineChars="200"/>
        <w:jc w:val="left"/>
        <w:rPr>
          <w:rFonts w:hint="default" w:ascii="宋体"/>
          <w:sz w:val="32"/>
          <w:szCs w:val="24"/>
        </w:rPr>
      </w:pPr>
      <w:r>
        <w:rPr>
          <w:rFonts w:hint="eastAsia" w:ascii="宋体" w:hAnsi="宋体" w:cs="宋体"/>
          <w:sz w:val="32"/>
          <w:szCs w:val="24"/>
        </w:rPr>
        <w:t>六、一般公共预算财政拨款基本支出决算表</w:t>
      </w:r>
    </w:p>
    <w:p>
      <w:pPr>
        <w:spacing w:beforeLines="0" w:afterLines="0"/>
        <w:ind w:firstLine="640" w:firstLineChars="200"/>
        <w:jc w:val="left"/>
        <w:rPr>
          <w:rFonts w:hint="default" w:ascii="宋体"/>
          <w:sz w:val="32"/>
          <w:szCs w:val="24"/>
        </w:rPr>
      </w:pPr>
      <w:r>
        <w:rPr>
          <w:rFonts w:hint="eastAsia" w:ascii="宋体" w:hAnsi="宋体" w:cs="宋体"/>
          <w:sz w:val="32"/>
          <w:szCs w:val="24"/>
        </w:rPr>
        <w:t>七、一般公共预算财政拨款“三公”经费支出决算表</w:t>
      </w:r>
    </w:p>
    <w:p>
      <w:pPr>
        <w:spacing w:beforeLines="0" w:afterLines="0"/>
        <w:ind w:firstLine="640" w:firstLineChars="200"/>
        <w:jc w:val="left"/>
        <w:rPr>
          <w:rFonts w:hint="default" w:ascii="宋体"/>
          <w:sz w:val="32"/>
          <w:szCs w:val="24"/>
        </w:rPr>
      </w:pPr>
      <w:r>
        <w:rPr>
          <w:rFonts w:hint="eastAsia" w:ascii="宋体" w:hAnsi="宋体" w:cs="宋体"/>
          <w:sz w:val="32"/>
          <w:szCs w:val="24"/>
        </w:rPr>
        <w:t>八、政府性基金预算财政拨款收入支出决算表</w:t>
      </w:r>
    </w:p>
    <w:p>
      <w:pPr>
        <w:spacing w:beforeLines="0" w:afterLines="0"/>
        <w:jc w:val="left"/>
        <w:rPr>
          <w:rFonts w:hint="default" w:ascii="黑体" w:hAnsi="黑体" w:eastAsia="黑体"/>
          <w:sz w:val="32"/>
          <w:szCs w:val="24"/>
        </w:rPr>
      </w:pPr>
      <w:r>
        <w:rPr>
          <w:rFonts w:hint="eastAsia" w:ascii="黑体" w:hAnsi="黑体" w:eastAsia="黑体"/>
          <w:sz w:val="32"/>
          <w:szCs w:val="24"/>
        </w:rPr>
        <w:t>第三部分　延津县安全生产监督管理局2018年度部门决算情况说明</w:t>
      </w:r>
    </w:p>
    <w:p>
      <w:pPr>
        <w:spacing w:beforeLines="0" w:afterLines="0"/>
        <w:ind w:firstLine="640" w:firstLineChars="200"/>
        <w:jc w:val="left"/>
        <w:rPr>
          <w:rFonts w:hint="default" w:ascii="宋体"/>
          <w:sz w:val="32"/>
          <w:szCs w:val="24"/>
        </w:rPr>
      </w:pPr>
      <w:r>
        <w:rPr>
          <w:rFonts w:hint="eastAsia" w:ascii="宋体" w:hAnsi="宋体" w:cs="宋体"/>
          <w:sz w:val="32"/>
          <w:szCs w:val="24"/>
        </w:rPr>
        <w:t>一、收入支出决算总体情况说明</w:t>
      </w:r>
    </w:p>
    <w:p>
      <w:pPr>
        <w:spacing w:beforeLines="0" w:afterLines="0"/>
        <w:ind w:firstLine="640" w:firstLineChars="200"/>
        <w:jc w:val="left"/>
        <w:rPr>
          <w:rFonts w:hint="default" w:ascii="宋体"/>
          <w:sz w:val="32"/>
          <w:szCs w:val="24"/>
        </w:rPr>
      </w:pPr>
      <w:r>
        <w:rPr>
          <w:rFonts w:hint="eastAsia" w:ascii="宋体" w:hAnsi="宋体" w:cs="宋体"/>
          <w:sz w:val="32"/>
          <w:szCs w:val="24"/>
        </w:rPr>
        <w:t>二、收入决算情况说明</w:t>
      </w:r>
    </w:p>
    <w:p>
      <w:pPr>
        <w:spacing w:beforeLines="0" w:afterLines="0"/>
        <w:ind w:firstLine="640" w:firstLineChars="200"/>
        <w:jc w:val="left"/>
        <w:rPr>
          <w:rFonts w:hint="default" w:ascii="宋体"/>
          <w:sz w:val="32"/>
          <w:szCs w:val="24"/>
        </w:rPr>
      </w:pPr>
      <w:r>
        <w:rPr>
          <w:rFonts w:hint="eastAsia" w:ascii="宋体" w:hAnsi="宋体" w:cs="宋体"/>
          <w:sz w:val="32"/>
          <w:szCs w:val="24"/>
        </w:rPr>
        <w:t>三、支出决算情况说明</w:t>
      </w:r>
    </w:p>
    <w:p>
      <w:pPr>
        <w:spacing w:beforeLines="0" w:afterLines="0"/>
        <w:ind w:firstLine="640" w:firstLineChars="200"/>
        <w:jc w:val="left"/>
        <w:rPr>
          <w:rFonts w:hint="default" w:ascii="宋体"/>
          <w:sz w:val="32"/>
          <w:szCs w:val="24"/>
        </w:rPr>
      </w:pPr>
      <w:r>
        <w:rPr>
          <w:rFonts w:hint="eastAsia" w:ascii="宋体" w:hAnsi="宋体" w:cs="宋体"/>
          <w:sz w:val="32"/>
          <w:szCs w:val="24"/>
        </w:rPr>
        <w:t>四、财政拨款收入支出决算总体情况说明</w:t>
      </w:r>
    </w:p>
    <w:p>
      <w:pPr>
        <w:spacing w:beforeLines="0" w:afterLines="0"/>
        <w:ind w:firstLine="640" w:firstLineChars="200"/>
        <w:jc w:val="left"/>
        <w:rPr>
          <w:rFonts w:hint="default" w:ascii="宋体"/>
          <w:sz w:val="32"/>
          <w:szCs w:val="24"/>
        </w:rPr>
      </w:pPr>
      <w:r>
        <w:rPr>
          <w:rFonts w:hint="eastAsia" w:ascii="宋体" w:hAnsi="宋体" w:cs="宋体"/>
          <w:sz w:val="32"/>
          <w:szCs w:val="24"/>
        </w:rPr>
        <w:t>五、一般公共预算财政拨款支出决算情况说明</w:t>
      </w:r>
    </w:p>
    <w:p>
      <w:pPr>
        <w:spacing w:beforeLines="0" w:afterLines="0"/>
        <w:ind w:firstLine="640" w:firstLineChars="200"/>
        <w:jc w:val="left"/>
        <w:rPr>
          <w:rFonts w:hint="default" w:ascii="宋体"/>
          <w:sz w:val="32"/>
          <w:szCs w:val="24"/>
        </w:rPr>
      </w:pPr>
      <w:r>
        <w:rPr>
          <w:rFonts w:hint="eastAsia" w:ascii="宋体" w:hAnsi="宋体" w:cs="宋体"/>
          <w:sz w:val="32"/>
          <w:szCs w:val="24"/>
        </w:rPr>
        <w:t>六、一般公共预算财政拨款基本支出决算情况说明</w:t>
      </w:r>
    </w:p>
    <w:p>
      <w:pPr>
        <w:spacing w:beforeLines="0" w:afterLines="0"/>
        <w:ind w:firstLine="640" w:firstLineChars="200"/>
        <w:jc w:val="left"/>
        <w:rPr>
          <w:rFonts w:hint="default" w:ascii="宋体"/>
          <w:sz w:val="32"/>
          <w:szCs w:val="24"/>
        </w:rPr>
      </w:pPr>
      <w:r>
        <w:rPr>
          <w:rFonts w:hint="eastAsia" w:ascii="宋体" w:hAnsi="宋体" w:cs="宋体"/>
          <w:sz w:val="32"/>
          <w:szCs w:val="24"/>
        </w:rPr>
        <w:t>七、一般公共预算财政拨款“三公”经费支出决算情况说明</w:t>
      </w:r>
    </w:p>
    <w:p>
      <w:pPr>
        <w:spacing w:beforeLines="0" w:afterLines="0"/>
        <w:ind w:firstLine="640" w:firstLineChars="200"/>
        <w:jc w:val="left"/>
        <w:rPr>
          <w:rFonts w:hint="default" w:ascii="宋体"/>
          <w:sz w:val="32"/>
          <w:szCs w:val="24"/>
        </w:rPr>
      </w:pPr>
      <w:r>
        <w:rPr>
          <w:rFonts w:hint="eastAsia" w:ascii="宋体" w:hAnsi="宋体" w:cs="宋体"/>
          <w:sz w:val="32"/>
          <w:szCs w:val="24"/>
        </w:rPr>
        <w:t>八、预算绩效情况说明</w:t>
      </w:r>
    </w:p>
    <w:p>
      <w:pPr>
        <w:spacing w:beforeLines="0" w:afterLines="0"/>
        <w:ind w:firstLine="640" w:firstLineChars="200"/>
        <w:jc w:val="left"/>
        <w:rPr>
          <w:rFonts w:hint="default" w:ascii="宋体"/>
          <w:sz w:val="32"/>
          <w:szCs w:val="24"/>
        </w:rPr>
      </w:pPr>
      <w:r>
        <w:rPr>
          <w:rFonts w:hint="eastAsia" w:ascii="宋体" w:hAnsi="宋体" w:cs="宋体"/>
          <w:sz w:val="32"/>
          <w:szCs w:val="24"/>
        </w:rPr>
        <w:t>九、政府性基金预算财政拨款支出决算情况说明</w:t>
      </w:r>
    </w:p>
    <w:p>
      <w:pPr>
        <w:spacing w:beforeLines="0" w:afterLines="0"/>
        <w:ind w:firstLine="640" w:firstLineChars="200"/>
        <w:jc w:val="left"/>
        <w:rPr>
          <w:rFonts w:hint="default" w:ascii="宋体"/>
          <w:sz w:val="32"/>
          <w:szCs w:val="24"/>
        </w:rPr>
      </w:pPr>
      <w:r>
        <w:rPr>
          <w:rFonts w:hint="eastAsia" w:ascii="宋体" w:hAnsi="宋体" w:cs="宋体"/>
          <w:sz w:val="32"/>
          <w:szCs w:val="24"/>
        </w:rPr>
        <w:t>十、机关运行经费支出情况说明</w:t>
      </w:r>
    </w:p>
    <w:p>
      <w:pPr>
        <w:spacing w:beforeLines="0" w:afterLines="0"/>
        <w:ind w:firstLine="640" w:firstLineChars="200"/>
        <w:jc w:val="left"/>
        <w:rPr>
          <w:rFonts w:hint="default" w:ascii="宋体"/>
          <w:sz w:val="32"/>
          <w:szCs w:val="24"/>
        </w:rPr>
      </w:pPr>
      <w:r>
        <w:rPr>
          <w:rFonts w:hint="eastAsia" w:ascii="宋体" w:hAnsi="宋体" w:cs="宋体"/>
          <w:sz w:val="32"/>
          <w:szCs w:val="24"/>
        </w:rPr>
        <w:t>十一、政府采购支出情况说明</w:t>
      </w:r>
    </w:p>
    <w:p>
      <w:pPr>
        <w:spacing w:beforeLines="0" w:afterLines="0"/>
        <w:ind w:firstLine="640" w:firstLineChars="200"/>
        <w:jc w:val="left"/>
        <w:rPr>
          <w:rFonts w:hint="default" w:ascii="宋体"/>
          <w:sz w:val="32"/>
          <w:szCs w:val="24"/>
        </w:rPr>
      </w:pPr>
      <w:r>
        <w:rPr>
          <w:rFonts w:hint="eastAsia" w:ascii="宋体" w:hAnsi="宋体" w:cs="宋体"/>
          <w:sz w:val="32"/>
          <w:szCs w:val="24"/>
        </w:rPr>
        <w:t>十二、国有资产占用情况说明</w:t>
      </w:r>
    </w:p>
    <w:p>
      <w:pPr>
        <w:spacing w:beforeLines="0" w:afterLines="0"/>
        <w:jc w:val="left"/>
        <w:rPr>
          <w:rFonts w:hint="default" w:ascii="黑体" w:hAnsi="黑体" w:eastAsia="黑体"/>
          <w:sz w:val="32"/>
          <w:szCs w:val="24"/>
        </w:rPr>
        <w:sectPr>
          <w:footerReference r:id="rId4" w:type="default"/>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sz w:val="32"/>
          <w:szCs w:val="24"/>
        </w:rPr>
        <w:t>第四部分　　名词解释</w:t>
      </w:r>
    </w:p>
    <w:p>
      <w:pPr>
        <w:widowControl/>
        <w:spacing w:beforeLines="0" w:afterLines="0"/>
        <w:jc w:val="left"/>
        <w:rPr>
          <w:rFonts w:hint="default" w:ascii="黑体" w:hAnsi="宋体" w:eastAsia="黑体"/>
          <w:kern w:val="0"/>
          <w:sz w:val="28"/>
          <w:szCs w:val="24"/>
        </w:rPr>
      </w:pPr>
    </w:p>
    <w:p>
      <w:pPr>
        <w:widowControl/>
        <w:spacing w:beforeLines="0" w:afterLines="0"/>
        <w:jc w:val="left"/>
        <w:rPr>
          <w:rFonts w:hint="default" w:ascii="黑体" w:hAnsi="宋体" w:eastAsia="黑体"/>
          <w:kern w:val="0"/>
          <w:sz w:val="28"/>
          <w:szCs w:val="24"/>
        </w:rPr>
      </w:pPr>
    </w:p>
    <w:p>
      <w:pPr>
        <w:widowControl/>
        <w:spacing w:beforeLines="0" w:afterLines="0"/>
        <w:jc w:val="left"/>
        <w:rPr>
          <w:rFonts w:hint="default" w:ascii="黑体" w:hAnsi="宋体" w:eastAsia="黑体"/>
          <w:kern w:val="0"/>
          <w:sz w:val="28"/>
          <w:szCs w:val="24"/>
        </w:rPr>
      </w:pPr>
    </w:p>
    <w:p>
      <w:pPr>
        <w:widowControl/>
        <w:spacing w:beforeLines="0" w:afterLines="0"/>
        <w:jc w:val="left"/>
        <w:rPr>
          <w:rFonts w:hint="default" w:ascii="黑体" w:hAnsi="宋体" w:eastAsia="黑体"/>
          <w:kern w:val="0"/>
          <w:sz w:val="28"/>
          <w:szCs w:val="24"/>
        </w:rPr>
      </w:pPr>
    </w:p>
    <w:p>
      <w:pPr>
        <w:widowControl/>
        <w:spacing w:beforeLines="0" w:afterLines="0"/>
        <w:jc w:val="left"/>
        <w:rPr>
          <w:rFonts w:hint="default" w:ascii="黑体" w:hAnsi="宋体" w:eastAsia="黑体"/>
          <w:kern w:val="0"/>
          <w:sz w:val="28"/>
          <w:szCs w:val="24"/>
        </w:rPr>
      </w:pPr>
    </w:p>
    <w:p>
      <w:pPr>
        <w:widowControl/>
        <w:spacing w:beforeLines="0" w:afterLines="0"/>
        <w:rPr>
          <w:rFonts w:hint="default" w:ascii="黑体" w:hAnsi="宋体" w:eastAsia="黑体"/>
          <w:kern w:val="0"/>
          <w:sz w:val="44"/>
          <w:szCs w:val="24"/>
        </w:rPr>
      </w:pPr>
    </w:p>
    <w:p>
      <w:pPr>
        <w:widowControl/>
        <w:spacing w:beforeLines="0" w:afterLines="0"/>
        <w:ind w:left="3200" w:hanging="3200" w:hangingChars="800"/>
        <w:rPr>
          <w:rFonts w:hint="default" w:ascii="黑体" w:hAnsi="宋体" w:eastAsia="黑体"/>
          <w:kern w:val="0"/>
          <w:sz w:val="40"/>
          <w:szCs w:val="24"/>
        </w:rPr>
      </w:pPr>
      <w:r>
        <w:rPr>
          <w:rFonts w:hint="eastAsia" w:ascii="黑体" w:hAnsi="黑体" w:eastAsia="黑体"/>
          <w:sz w:val="40"/>
          <w:szCs w:val="24"/>
        </w:rPr>
        <w:t>第一部分   延津县安全生产监督管理局概况</w:t>
      </w:r>
    </w:p>
    <w:p>
      <w:pPr>
        <w:widowControl/>
        <w:spacing w:beforeLines="0" w:afterLines="0"/>
        <w:jc w:val="left"/>
        <w:rPr>
          <w:rFonts w:hint="default" w:ascii="黑体" w:hAnsi="宋体" w:eastAsia="黑体"/>
          <w:kern w:val="0"/>
          <w:sz w:val="44"/>
          <w:szCs w:val="24"/>
        </w:rPr>
      </w:pPr>
    </w:p>
    <w:p>
      <w:pPr>
        <w:widowControl/>
        <w:spacing w:beforeLines="0" w:afterLines="0"/>
        <w:jc w:val="left"/>
        <w:rPr>
          <w:rFonts w:hint="default" w:ascii="黑体" w:hAnsi="宋体" w:eastAsia="黑体"/>
          <w:kern w:val="0"/>
          <w:sz w:val="40"/>
          <w:szCs w:val="24"/>
        </w:rPr>
        <w:sectPr>
          <w:pgSz w:w="11906" w:h="16838"/>
          <w:pgMar w:top="1440" w:right="1800" w:bottom="1440" w:left="1800" w:header="720" w:footer="720" w:gutter="0"/>
          <w:pgNumType w:fmt="numberInDash"/>
          <w:cols w:space="720" w:num="1"/>
          <w:docGrid w:type="lines" w:linePitch="312" w:charSpace="0"/>
        </w:sectPr>
      </w:pPr>
    </w:p>
    <w:p>
      <w:pPr>
        <w:widowControl/>
        <w:spacing w:beforeLines="0" w:afterLines="0"/>
        <w:ind w:firstLine="640" w:firstLineChars="200"/>
        <w:jc w:val="left"/>
        <w:rPr>
          <w:rFonts w:hint="default" w:ascii="黑体" w:hAnsi="黑体" w:eastAsia="黑体"/>
          <w:kern w:val="0"/>
          <w:sz w:val="32"/>
          <w:szCs w:val="24"/>
        </w:rPr>
      </w:pPr>
      <w:r>
        <w:rPr>
          <w:rFonts w:hint="eastAsia" w:ascii="黑体" w:hAnsi="黑体" w:eastAsia="黑体"/>
          <w:kern w:val="0"/>
          <w:sz w:val="32"/>
          <w:szCs w:val="24"/>
        </w:rPr>
        <w:t>一、部门职责</w:t>
      </w:r>
    </w:p>
    <w:p>
      <w:pPr>
        <w:pStyle w:val="3"/>
        <w:spacing w:before="0" w:beforeLines="0" w:after="0" w:afterLines="0" w:line="600" w:lineRule="exact"/>
        <w:ind w:right="75" w:firstLine="480" w:firstLineChars="150"/>
        <w:rPr>
          <w:rFonts w:hint="default"/>
          <w:color w:val="333333"/>
          <w:sz w:val="32"/>
          <w:szCs w:val="24"/>
        </w:rPr>
      </w:pPr>
      <w:r>
        <w:rPr>
          <w:rFonts w:hint="eastAsia"/>
          <w:color w:val="333333"/>
          <w:sz w:val="32"/>
          <w:szCs w:val="24"/>
        </w:rPr>
        <w:t>（一）主要职能</w:t>
      </w:r>
    </w:p>
    <w:p>
      <w:pPr>
        <w:spacing w:beforeLines="0" w:afterLines="0" w:line="560" w:lineRule="exact"/>
        <w:ind w:firstLine="640" w:firstLineChars="200"/>
        <w:rPr>
          <w:rFonts w:hint="default" w:ascii="宋体" w:eastAsia="Times New Roman"/>
          <w:sz w:val="32"/>
          <w:szCs w:val="24"/>
        </w:rPr>
      </w:pPr>
      <w:r>
        <w:rPr>
          <w:rFonts w:hint="eastAsia" w:ascii="宋体" w:hAnsi="宋体" w:cs="宋体"/>
          <w:sz w:val="32"/>
          <w:szCs w:val="24"/>
        </w:rPr>
        <w:t>1、贯彻执行国家安全生产法律、法规，组织起草全县综合性安全生产规划、标准，拟订全县安全生产工作政策及工矿商贸行业安全生产规章草案和规程并组织实施。</w:t>
      </w:r>
    </w:p>
    <w:p>
      <w:pPr>
        <w:spacing w:beforeLines="0" w:afterLines="0" w:line="560" w:lineRule="exact"/>
        <w:ind w:firstLine="640" w:firstLineChars="200"/>
        <w:rPr>
          <w:rFonts w:hint="default" w:ascii="宋体" w:eastAsia="Times New Roman"/>
          <w:sz w:val="32"/>
          <w:szCs w:val="24"/>
        </w:rPr>
      </w:pPr>
      <w:r>
        <w:rPr>
          <w:rFonts w:hint="eastAsia" w:ascii="宋体" w:hAnsi="宋体" w:cs="宋体"/>
          <w:sz w:val="32"/>
          <w:szCs w:val="24"/>
        </w:rPr>
        <w:t>2、承担全县安全生产综合监督管理责任，依法行使综合监督管理职权，指导协调和监督检查有关部门和乡（镇）)政府的安全生产工作，定期分析和预测全县安全生产形势，研究、协调和解决安全生产中的重大问题，督促、指导落实安全生产责任制和安全生产责任追究制。</w:t>
      </w:r>
    </w:p>
    <w:p>
      <w:pPr>
        <w:spacing w:beforeLines="0" w:afterLines="0" w:line="560" w:lineRule="exact"/>
        <w:ind w:firstLine="640" w:firstLineChars="200"/>
        <w:rPr>
          <w:rFonts w:hint="default" w:ascii="宋体" w:eastAsia="Times New Roman"/>
          <w:sz w:val="32"/>
          <w:szCs w:val="24"/>
        </w:rPr>
      </w:pPr>
      <w:r>
        <w:rPr>
          <w:rFonts w:hint="eastAsia" w:ascii="宋体" w:hAnsi="宋体" w:cs="宋体"/>
          <w:sz w:val="32"/>
          <w:szCs w:val="24"/>
        </w:rPr>
        <w:t>3、承担工矿商贸行业安全生产监督管理责任，按照分级、属地原则，依法监督检查工矿商贸生产经营单位贯彻执行安全生产法律法规情况、安全生产条件和有关设备(特种设备除外)、材料、劳动防护用品的安全管理工作、重大危险源监控及重大事故隐患的整改工作；依法查处不具备安全生产条件的工矿商贸生产经营单位。负责监督管理工矿商贸生产经营单位安全生产工作。</w:t>
      </w:r>
    </w:p>
    <w:p>
      <w:pPr>
        <w:spacing w:beforeLines="0" w:afterLines="0" w:line="560" w:lineRule="exact"/>
        <w:ind w:firstLine="640" w:firstLineChars="200"/>
        <w:rPr>
          <w:rFonts w:hint="default" w:ascii="宋体" w:eastAsia="Times New Roman"/>
          <w:sz w:val="32"/>
          <w:szCs w:val="24"/>
        </w:rPr>
      </w:pPr>
      <w:r>
        <w:rPr>
          <w:rFonts w:hint="eastAsia" w:ascii="宋体" w:hAnsi="宋体" w:cs="宋体"/>
          <w:sz w:val="32"/>
          <w:szCs w:val="24"/>
        </w:rPr>
        <w:t>4、承担非煤矿山和危险化学品、烟花爆竹生产经营单位安全生产准入管理责任；依法组织实施安全生产准入制度并负责监督管理工作。负责危险化学品安全监督管理综合工作。</w:t>
      </w:r>
    </w:p>
    <w:p>
      <w:pPr>
        <w:spacing w:beforeLines="0" w:afterLines="0" w:line="560" w:lineRule="exact"/>
        <w:ind w:firstLine="640" w:firstLineChars="200"/>
        <w:rPr>
          <w:rFonts w:hint="default" w:ascii="宋体" w:eastAsia="Times New Roman"/>
          <w:sz w:val="32"/>
          <w:szCs w:val="24"/>
        </w:rPr>
      </w:pPr>
      <w:r>
        <w:rPr>
          <w:rFonts w:hint="eastAsia" w:ascii="宋体" w:hAnsi="宋体" w:cs="宋体"/>
          <w:sz w:val="32"/>
          <w:szCs w:val="24"/>
        </w:rPr>
        <w:t>5、承担生产经营单位作业场所职业健康监督管理责任，负责职业卫生安全许可证的颁发管理工作；组织查处职业危害事故和违法违规行为。</w:t>
      </w:r>
    </w:p>
    <w:p>
      <w:pPr>
        <w:spacing w:beforeLines="0" w:afterLines="0" w:line="560" w:lineRule="exact"/>
        <w:ind w:firstLine="640" w:firstLineChars="200"/>
        <w:rPr>
          <w:rFonts w:hint="default" w:ascii="宋体" w:eastAsia="Times New Roman"/>
          <w:sz w:val="32"/>
          <w:szCs w:val="24"/>
        </w:rPr>
      </w:pPr>
      <w:r>
        <w:rPr>
          <w:rFonts w:hint="eastAsia" w:ascii="宋体" w:hAnsi="宋体" w:cs="宋体"/>
          <w:sz w:val="32"/>
          <w:szCs w:val="24"/>
        </w:rPr>
        <w:t>6、负责组织指挥和协调安全生产应急救援工作；综合管理全县生产安全伤亡事故、安全生产和职业危害信息统计分析工作；依法组织、协调生产安全事故的调查处理工作并监督事故查处的落实情况，协助</w:t>
      </w:r>
      <w:r>
        <w:rPr>
          <w:rFonts w:hint="eastAsia" w:ascii="宋体" w:hAnsi="宋体" w:cs="宋体"/>
          <w:kern w:val="0"/>
          <w:sz w:val="32"/>
          <w:szCs w:val="24"/>
        </w:rPr>
        <w:t>一、部门职责</w:t>
      </w:r>
      <w:r>
        <w:rPr>
          <w:rFonts w:hint="eastAsia" w:ascii="宋体" w:hAnsi="宋体" w:cs="宋体"/>
          <w:sz w:val="32"/>
          <w:szCs w:val="24"/>
        </w:rPr>
        <w:t>国家、省、市调查生产安全事故。</w:t>
      </w:r>
    </w:p>
    <w:p>
      <w:pPr>
        <w:spacing w:beforeLines="0" w:afterLines="0" w:line="560" w:lineRule="exact"/>
        <w:ind w:firstLine="640" w:firstLineChars="200"/>
        <w:rPr>
          <w:rFonts w:hint="default" w:ascii="宋体" w:eastAsia="Times New Roman"/>
          <w:sz w:val="32"/>
          <w:szCs w:val="24"/>
        </w:rPr>
      </w:pPr>
      <w:r>
        <w:rPr>
          <w:rFonts w:hint="eastAsia" w:ascii="宋体" w:hAnsi="宋体" w:cs="宋体"/>
          <w:sz w:val="32"/>
          <w:szCs w:val="24"/>
        </w:rPr>
        <w:t>7、负责监督检查职责范围内新建、改建、扩建工程项目的安全设施与主体工程同时设计、同时施工、同时投产使用情况。</w:t>
      </w:r>
    </w:p>
    <w:p>
      <w:pPr>
        <w:spacing w:beforeLines="0" w:afterLines="0" w:line="560" w:lineRule="exact"/>
        <w:ind w:firstLine="640" w:firstLineChars="200"/>
        <w:rPr>
          <w:rFonts w:hint="default" w:ascii="宋体" w:eastAsia="Times New Roman"/>
          <w:sz w:val="32"/>
          <w:szCs w:val="24"/>
        </w:rPr>
      </w:pPr>
      <w:r>
        <w:rPr>
          <w:rFonts w:hint="eastAsia" w:ascii="宋体" w:hAnsi="宋体" w:cs="宋体"/>
          <w:sz w:val="32"/>
          <w:szCs w:val="24"/>
        </w:rPr>
        <w:t>8、指导协调全县安全生产检测检验工作，监督管理安全生产社会中介机构和安全评价工作。</w:t>
      </w:r>
    </w:p>
    <w:p>
      <w:pPr>
        <w:spacing w:beforeLines="0" w:afterLines="0" w:line="560" w:lineRule="exact"/>
        <w:ind w:firstLine="640" w:firstLineChars="200"/>
        <w:rPr>
          <w:rFonts w:hint="default" w:ascii="宋体" w:eastAsia="Times New Roman"/>
          <w:sz w:val="32"/>
          <w:szCs w:val="24"/>
        </w:rPr>
      </w:pPr>
      <w:r>
        <w:rPr>
          <w:rFonts w:hint="eastAsia" w:ascii="宋体" w:hAnsi="宋体" w:cs="宋体"/>
          <w:sz w:val="32"/>
          <w:szCs w:val="24"/>
        </w:rPr>
        <w:t>9、组织、指导全县安全生产宣传教育和安全文化建设工作；负责安全生产监督管理人员安全培训、考核工作，依法组织、指导并监督特种作业人员(特种设备作业人员除外)的考核工作和工矿商贸生产经营单位主要负责人、安全生产管理人员的安全资格考核工作；监督检查工矿商贸生产经营单位安全培训工作。</w:t>
      </w:r>
    </w:p>
    <w:p>
      <w:pPr>
        <w:spacing w:beforeLines="0" w:afterLines="0" w:line="560" w:lineRule="exact"/>
        <w:ind w:firstLine="640" w:firstLineChars="200"/>
        <w:rPr>
          <w:rFonts w:hint="default" w:ascii="宋体" w:eastAsia="Times New Roman"/>
          <w:sz w:val="32"/>
          <w:szCs w:val="24"/>
        </w:rPr>
      </w:pPr>
      <w:r>
        <w:rPr>
          <w:rFonts w:hint="eastAsia" w:ascii="宋体" w:hAnsi="宋体" w:cs="宋体"/>
          <w:sz w:val="32"/>
          <w:szCs w:val="24"/>
        </w:rPr>
        <w:t>10、组织拟订全县安全科技规划；指导协调安全生产重大科学技术研究、科研成果申报、推广和技术示范工作。</w:t>
      </w:r>
    </w:p>
    <w:p>
      <w:pPr>
        <w:spacing w:beforeLines="0" w:afterLines="0" w:line="560" w:lineRule="exact"/>
        <w:ind w:firstLine="640" w:firstLineChars="200"/>
        <w:rPr>
          <w:rFonts w:hint="default" w:ascii="宋体" w:eastAsia="Times New Roman"/>
          <w:sz w:val="32"/>
          <w:szCs w:val="24"/>
        </w:rPr>
      </w:pPr>
      <w:r>
        <w:rPr>
          <w:rFonts w:hint="eastAsia" w:ascii="宋体" w:hAnsi="宋体" w:cs="宋体"/>
          <w:sz w:val="32"/>
          <w:szCs w:val="24"/>
        </w:rPr>
        <w:t>11、指导协调和监督监察全县安全生产行政执法工作。</w:t>
      </w:r>
    </w:p>
    <w:p>
      <w:pPr>
        <w:spacing w:beforeLines="0" w:afterLines="0" w:line="560" w:lineRule="exact"/>
        <w:ind w:firstLine="640" w:firstLineChars="200"/>
        <w:rPr>
          <w:rFonts w:hint="default" w:ascii="宋体" w:eastAsia="Times New Roman"/>
          <w:sz w:val="32"/>
          <w:szCs w:val="24"/>
        </w:rPr>
      </w:pPr>
      <w:r>
        <w:rPr>
          <w:rFonts w:hint="eastAsia" w:ascii="宋体" w:hAnsi="宋体" w:cs="宋体"/>
          <w:sz w:val="32"/>
          <w:szCs w:val="24"/>
        </w:rPr>
        <w:t>12、监督、指导注册安全工程师、注册助理安全工程师执业资格考试和注册管理工作。</w:t>
      </w:r>
    </w:p>
    <w:p>
      <w:pPr>
        <w:spacing w:beforeLines="0" w:afterLines="0" w:line="560" w:lineRule="exact"/>
        <w:ind w:firstLine="640" w:firstLineChars="200"/>
        <w:rPr>
          <w:rFonts w:hint="default" w:ascii="宋体" w:eastAsia="Times New Roman"/>
          <w:sz w:val="32"/>
          <w:szCs w:val="24"/>
        </w:rPr>
      </w:pPr>
      <w:r>
        <w:rPr>
          <w:rFonts w:hint="eastAsia" w:ascii="宋体" w:hAnsi="宋体" w:cs="宋体"/>
          <w:sz w:val="32"/>
          <w:szCs w:val="24"/>
        </w:rPr>
        <w:t>13、组织开展全县安全生产方面的对外交流与合作。</w:t>
      </w:r>
    </w:p>
    <w:p>
      <w:pPr>
        <w:pStyle w:val="3"/>
        <w:spacing w:before="0" w:beforeLines="0" w:after="0" w:afterLines="0" w:line="600" w:lineRule="exact"/>
        <w:ind w:left="74" w:right="74" w:firstLine="482"/>
        <w:rPr>
          <w:rFonts w:hint="default"/>
          <w:color w:val="333333"/>
          <w:sz w:val="32"/>
          <w:szCs w:val="24"/>
        </w:rPr>
      </w:pPr>
      <w:r>
        <w:rPr>
          <w:rFonts w:hint="eastAsia"/>
          <w:sz w:val="32"/>
          <w:szCs w:val="24"/>
        </w:rPr>
        <w:t xml:space="preserve"> 14、承办县政府交办的其他事项</w:t>
      </w:r>
    </w:p>
    <w:p>
      <w:pPr>
        <w:pStyle w:val="3"/>
        <w:spacing w:before="0" w:beforeLines="0" w:after="0" w:afterLines="0" w:line="600" w:lineRule="exact"/>
        <w:ind w:left="75" w:right="75" w:firstLine="480"/>
        <w:rPr>
          <w:rFonts w:hint="default" w:ascii="仿宋_GB2312" w:eastAsia="仿宋_GB2312"/>
          <w:b/>
          <w:color w:val="333333"/>
          <w:sz w:val="32"/>
          <w:szCs w:val="24"/>
        </w:rPr>
      </w:pPr>
    </w:p>
    <w:p>
      <w:pPr>
        <w:spacing w:beforeLines="0" w:afterLines="0" w:line="560" w:lineRule="exact"/>
        <w:ind w:firstLine="640" w:firstLineChars="200"/>
        <w:rPr>
          <w:rFonts w:hint="default" w:ascii="黑体" w:hAnsi="黑体" w:eastAsia="黑体"/>
          <w:kern w:val="0"/>
          <w:sz w:val="32"/>
          <w:szCs w:val="24"/>
        </w:rPr>
      </w:pPr>
      <w:r>
        <w:rPr>
          <w:rFonts w:hint="eastAsia" w:ascii="黑体" w:hAnsi="黑体" w:eastAsia="黑体"/>
          <w:kern w:val="0"/>
          <w:sz w:val="32"/>
          <w:szCs w:val="24"/>
        </w:rPr>
        <w:t>二、机构设置</w:t>
      </w:r>
    </w:p>
    <w:p>
      <w:pPr>
        <w:adjustRightInd w:val="0"/>
        <w:snapToGrid w:val="0"/>
        <w:spacing w:beforeLines="0" w:afterLines="0" w:line="360" w:lineRule="auto"/>
        <w:ind w:firstLine="640" w:firstLineChars="200"/>
        <w:rPr>
          <w:rFonts w:hint="eastAsia" w:cs="宋体"/>
          <w:color w:val="333333"/>
          <w:sz w:val="32"/>
          <w:szCs w:val="24"/>
        </w:rPr>
      </w:pPr>
      <w:r>
        <w:rPr>
          <w:rFonts w:hint="eastAsia" w:ascii="宋体" w:hAnsi="宋体" w:cs="宋体"/>
          <w:sz w:val="32"/>
          <w:szCs w:val="24"/>
        </w:rPr>
        <w:t>根据上述职责，县安全生产监督管理局设4个内设机构和</w:t>
      </w:r>
      <w:r>
        <w:rPr>
          <w:rFonts w:hint="eastAsia" w:ascii="宋体" w:hAnsi="宋体" w:cs="宋体"/>
          <w:color w:val="333333"/>
          <w:sz w:val="32"/>
          <w:szCs w:val="24"/>
        </w:rPr>
        <w:t>1个二级机构，包括：办公室、协调股、危化股、综合股及安全生产监察大队。</w:t>
      </w:r>
    </w:p>
    <w:p>
      <w:pPr>
        <w:adjustRightInd w:val="0"/>
        <w:snapToGrid w:val="0"/>
        <w:spacing w:beforeLines="0" w:afterLines="0" w:line="360" w:lineRule="auto"/>
        <w:ind w:firstLine="640" w:firstLineChars="200"/>
        <w:rPr>
          <w:rFonts w:hint="eastAsia" w:cs="宋体"/>
          <w:sz w:val="32"/>
          <w:szCs w:val="24"/>
        </w:rPr>
      </w:pPr>
      <w:r>
        <w:rPr>
          <w:rFonts w:hint="eastAsia" w:ascii="宋体" w:hAnsi="宋体" w:cs="宋体"/>
          <w:sz w:val="32"/>
          <w:szCs w:val="24"/>
        </w:rPr>
        <w:t>纳入本部门2018年度部门决算编制范围的为本级单位。</w:t>
      </w:r>
    </w:p>
    <w:p>
      <w:pPr>
        <w:spacing w:beforeLines="0" w:afterLines="0" w:line="560" w:lineRule="exact"/>
        <w:ind w:firstLine="640" w:firstLineChars="200"/>
        <w:rPr>
          <w:rFonts w:hint="eastAsia" w:cs="宋体"/>
          <w:sz w:val="32"/>
          <w:szCs w:val="24"/>
        </w:rPr>
      </w:pPr>
    </w:p>
    <w:p>
      <w:pPr>
        <w:widowControl/>
        <w:spacing w:beforeLines="0" w:afterLines="0"/>
        <w:jc w:val="left"/>
        <w:rPr>
          <w:rFonts w:hint="default" w:ascii="宋体"/>
          <w:kern w:val="0"/>
          <w:sz w:val="28"/>
          <w:szCs w:val="24"/>
        </w:rPr>
      </w:pPr>
    </w:p>
    <w:p>
      <w:pPr>
        <w:widowControl/>
        <w:spacing w:beforeLines="0" w:afterLines="0"/>
        <w:jc w:val="left"/>
        <w:rPr>
          <w:rFonts w:hint="default" w:ascii="宋体"/>
          <w:kern w:val="0"/>
          <w:sz w:val="28"/>
          <w:szCs w:val="24"/>
        </w:rPr>
        <w:sectPr>
          <w:pgSz w:w="11906" w:h="16838"/>
          <w:pgMar w:top="1440" w:right="1800" w:bottom="1440" w:left="1800" w:header="720" w:footer="720" w:gutter="0"/>
          <w:pgNumType w:fmt="numberInDash"/>
          <w:cols w:space="720" w:num="1"/>
          <w:docGrid w:type="lines" w:linePitch="312" w:charSpace="0"/>
        </w:sectPr>
      </w:pPr>
    </w:p>
    <w:p>
      <w:pPr>
        <w:spacing w:beforeLines="0" w:afterLines="0"/>
        <w:jc w:val="left"/>
        <w:rPr>
          <w:rFonts w:hint="default" w:ascii="黑体" w:hAnsi="黑体" w:eastAsia="黑体"/>
          <w:sz w:val="32"/>
          <w:szCs w:val="24"/>
        </w:rPr>
      </w:pPr>
    </w:p>
    <w:p>
      <w:pPr>
        <w:spacing w:beforeLines="0" w:afterLines="0"/>
        <w:jc w:val="left"/>
        <w:rPr>
          <w:rFonts w:hint="default" w:ascii="黑体" w:hAnsi="黑体" w:eastAsia="黑体"/>
          <w:sz w:val="32"/>
          <w:szCs w:val="24"/>
        </w:rPr>
      </w:pPr>
    </w:p>
    <w:p>
      <w:pPr>
        <w:spacing w:beforeLines="0" w:afterLines="0"/>
        <w:jc w:val="left"/>
        <w:rPr>
          <w:rFonts w:hint="default" w:ascii="黑体" w:hAnsi="黑体" w:eastAsia="黑体"/>
          <w:sz w:val="32"/>
          <w:szCs w:val="24"/>
        </w:rPr>
      </w:pPr>
    </w:p>
    <w:p>
      <w:pPr>
        <w:spacing w:beforeLines="0" w:afterLines="0"/>
        <w:jc w:val="left"/>
        <w:rPr>
          <w:rFonts w:hint="default" w:ascii="黑体" w:hAnsi="黑体" w:eastAsia="黑体"/>
          <w:sz w:val="32"/>
          <w:szCs w:val="24"/>
        </w:rPr>
      </w:pPr>
    </w:p>
    <w:p>
      <w:pPr>
        <w:spacing w:beforeLines="0" w:afterLines="0"/>
        <w:jc w:val="left"/>
        <w:rPr>
          <w:rFonts w:hint="default" w:ascii="黑体" w:hAnsi="黑体" w:eastAsia="黑体"/>
          <w:sz w:val="32"/>
          <w:szCs w:val="24"/>
        </w:rPr>
      </w:pPr>
    </w:p>
    <w:p>
      <w:pPr>
        <w:spacing w:beforeLines="0" w:afterLines="0"/>
        <w:jc w:val="left"/>
        <w:rPr>
          <w:rFonts w:hint="default" w:ascii="黑体" w:hAnsi="黑体" w:eastAsia="黑体"/>
          <w:sz w:val="32"/>
          <w:szCs w:val="24"/>
        </w:rPr>
      </w:pPr>
    </w:p>
    <w:p>
      <w:pPr>
        <w:spacing w:beforeLines="0" w:afterLines="0"/>
        <w:jc w:val="left"/>
        <w:rPr>
          <w:rFonts w:hint="default" w:ascii="黑体" w:hAnsi="黑体" w:eastAsia="黑体"/>
          <w:sz w:val="32"/>
          <w:szCs w:val="24"/>
        </w:rPr>
      </w:pPr>
    </w:p>
    <w:p>
      <w:pPr>
        <w:spacing w:beforeLines="0" w:afterLines="0"/>
        <w:jc w:val="center"/>
        <w:rPr>
          <w:rFonts w:hint="default" w:ascii="黑体" w:hAnsi="黑体" w:eastAsia="黑体"/>
          <w:sz w:val="48"/>
          <w:szCs w:val="24"/>
        </w:rPr>
      </w:pPr>
      <w:r>
        <w:rPr>
          <w:rFonts w:hint="eastAsia" w:ascii="黑体" w:hAnsi="黑体" w:eastAsia="黑体"/>
          <w:sz w:val="48"/>
          <w:szCs w:val="24"/>
        </w:rPr>
        <w:t>第二部分</w:t>
      </w:r>
    </w:p>
    <w:p>
      <w:pPr>
        <w:spacing w:beforeLines="0" w:afterLines="0"/>
        <w:jc w:val="center"/>
        <w:rPr>
          <w:rFonts w:hint="default" w:ascii="黑体" w:hAnsi="黑体" w:eastAsia="黑体"/>
          <w:sz w:val="48"/>
          <w:szCs w:val="24"/>
        </w:rPr>
      </w:pPr>
      <w:r>
        <w:rPr>
          <w:rFonts w:hint="eastAsia" w:ascii="黑体" w:hAnsi="黑体" w:eastAsia="黑体"/>
          <w:sz w:val="48"/>
          <w:szCs w:val="24"/>
        </w:rPr>
        <w:t>2018年度部门决算表</w:t>
      </w:r>
    </w:p>
    <w:p>
      <w:pPr>
        <w:widowControl/>
        <w:spacing w:beforeLines="0" w:afterLines="0"/>
        <w:jc w:val="left"/>
        <w:rPr>
          <w:rFonts w:hint="default" w:ascii="黑体" w:hAnsi="宋体" w:eastAsia="黑体"/>
          <w:kern w:val="0"/>
          <w:sz w:val="28"/>
          <w:szCs w:val="24"/>
        </w:rPr>
      </w:pPr>
    </w:p>
    <w:p>
      <w:pPr>
        <w:widowControl/>
        <w:spacing w:beforeLines="0" w:afterLines="0"/>
        <w:jc w:val="left"/>
        <w:rPr>
          <w:rFonts w:hint="default" w:ascii="黑体" w:hAnsi="宋体" w:eastAsia="黑体"/>
          <w:kern w:val="0"/>
          <w:sz w:val="28"/>
          <w:szCs w:val="24"/>
        </w:rPr>
      </w:pPr>
    </w:p>
    <w:p>
      <w:pPr>
        <w:widowControl/>
        <w:spacing w:beforeLines="0" w:afterLines="0"/>
        <w:jc w:val="left"/>
        <w:rPr>
          <w:rFonts w:hint="default" w:ascii="黑体" w:hAnsi="宋体" w:eastAsia="黑体"/>
          <w:kern w:val="0"/>
          <w:sz w:val="28"/>
          <w:szCs w:val="24"/>
        </w:rPr>
      </w:pPr>
    </w:p>
    <w:p>
      <w:pPr>
        <w:widowControl/>
        <w:spacing w:beforeLines="0" w:afterLines="0"/>
        <w:jc w:val="left"/>
        <w:rPr>
          <w:rFonts w:hint="default" w:ascii="黑体" w:hAnsi="宋体" w:eastAsia="黑体"/>
          <w:kern w:val="0"/>
          <w:sz w:val="28"/>
          <w:szCs w:val="24"/>
        </w:rPr>
      </w:pPr>
    </w:p>
    <w:p>
      <w:pPr>
        <w:widowControl/>
        <w:spacing w:beforeLines="0" w:afterLines="0"/>
        <w:jc w:val="left"/>
        <w:rPr>
          <w:rFonts w:hint="default" w:ascii="黑体" w:hAnsi="宋体" w:eastAsia="黑体"/>
          <w:kern w:val="0"/>
          <w:sz w:val="28"/>
          <w:szCs w:val="24"/>
        </w:rPr>
      </w:pPr>
    </w:p>
    <w:p>
      <w:pPr>
        <w:widowControl/>
        <w:spacing w:beforeLines="0" w:afterLines="0"/>
        <w:jc w:val="left"/>
        <w:rPr>
          <w:rFonts w:hint="default" w:ascii="黑体" w:hAnsi="宋体" w:eastAsia="黑体"/>
          <w:kern w:val="0"/>
          <w:sz w:val="28"/>
          <w:szCs w:val="24"/>
        </w:rPr>
      </w:pPr>
    </w:p>
    <w:p>
      <w:pPr>
        <w:widowControl/>
        <w:spacing w:beforeLines="0" w:afterLines="0"/>
        <w:jc w:val="left"/>
        <w:rPr>
          <w:rFonts w:hint="default" w:ascii="黑体" w:hAnsi="宋体" w:eastAsia="黑体"/>
          <w:kern w:val="0"/>
          <w:sz w:val="28"/>
          <w:szCs w:val="24"/>
        </w:rPr>
      </w:pPr>
    </w:p>
    <w:p>
      <w:pPr>
        <w:widowControl/>
        <w:spacing w:beforeLines="0" w:afterLines="0"/>
        <w:jc w:val="left"/>
        <w:rPr>
          <w:rFonts w:hint="default" w:ascii="黑体" w:hAnsi="宋体" w:eastAsia="黑体"/>
          <w:kern w:val="0"/>
          <w:sz w:val="28"/>
          <w:szCs w:val="24"/>
        </w:rPr>
      </w:pPr>
    </w:p>
    <w:p>
      <w:pPr>
        <w:widowControl/>
        <w:spacing w:beforeLines="0" w:afterLines="0"/>
        <w:jc w:val="left"/>
        <w:rPr>
          <w:rFonts w:hint="default" w:ascii="黑体" w:hAnsi="宋体" w:eastAsia="黑体"/>
          <w:kern w:val="0"/>
          <w:sz w:val="28"/>
          <w:szCs w:val="24"/>
        </w:rPr>
      </w:pPr>
    </w:p>
    <w:p>
      <w:pPr>
        <w:widowControl/>
        <w:spacing w:beforeLines="0" w:afterLines="0"/>
        <w:jc w:val="left"/>
        <w:rPr>
          <w:rFonts w:hint="default" w:ascii="黑体" w:hAnsi="宋体" w:eastAsia="黑体"/>
          <w:kern w:val="0"/>
          <w:sz w:val="28"/>
          <w:szCs w:val="24"/>
        </w:rPr>
      </w:pPr>
    </w:p>
    <w:p>
      <w:pPr>
        <w:widowControl/>
        <w:spacing w:beforeLines="0" w:afterLines="0"/>
        <w:jc w:val="left"/>
        <w:rPr>
          <w:rFonts w:hint="default" w:ascii="黑体" w:hAnsi="宋体" w:eastAsia="黑体"/>
          <w:kern w:val="0"/>
          <w:sz w:val="28"/>
          <w:szCs w:val="24"/>
        </w:rPr>
        <w:sectPr>
          <w:pgSz w:w="11906" w:h="16838"/>
          <w:pgMar w:top="1440" w:right="1800" w:bottom="1440" w:left="1800" w:header="720" w:footer="720" w:gutter="0"/>
          <w:pgNumType w:fmt="numberInDash"/>
          <w:cols w:space="720" w:num="1"/>
          <w:docGrid w:type="lines" w:linePitch="312" w:charSpace="0"/>
        </w:sectPr>
      </w:pPr>
    </w:p>
    <w:tbl>
      <w:tblPr>
        <w:tblStyle w:val="4"/>
        <w:tblpPr w:leftFromText="180" w:rightFromText="180" w:horzAnchor="margin" w:tblpXSpec="center" w:tblpY="-901"/>
        <w:tblW w:w="141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20"/>
        <w:gridCol w:w="580"/>
        <w:gridCol w:w="2821"/>
        <w:gridCol w:w="3659"/>
        <w:gridCol w:w="580"/>
        <w:gridCol w:w="2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422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58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2821" w:type="dxa"/>
            <w:tcBorders>
              <w:top w:val="nil"/>
              <w:left w:val="nil"/>
              <w:bottom w:val="nil"/>
              <w:right w:val="nil"/>
              <w:tl2br w:val="nil"/>
              <w:tr2bl w:val="nil"/>
            </w:tcBorders>
            <w:noWrap/>
            <w:vAlign w:val="bottom"/>
          </w:tcPr>
          <w:p>
            <w:pPr>
              <w:widowControl/>
              <w:spacing w:beforeLines="0" w:afterLines="0"/>
              <w:jc w:val="center"/>
              <w:rPr>
                <w:rFonts w:hint="eastAsia" w:cs="宋体"/>
                <w:color w:val="000000"/>
                <w:kern w:val="0"/>
                <w:sz w:val="30"/>
                <w:szCs w:val="24"/>
              </w:rPr>
            </w:pPr>
            <w:r>
              <w:rPr>
                <w:rFonts w:hint="eastAsia" w:ascii="宋体" w:hAnsi="宋体" w:cs="宋体"/>
                <w:color w:val="000000"/>
                <w:kern w:val="0"/>
                <w:sz w:val="30"/>
                <w:szCs w:val="24"/>
              </w:rPr>
              <w:t>收入支出决算总表</w:t>
            </w:r>
          </w:p>
        </w:tc>
        <w:tc>
          <w:tcPr>
            <w:tcW w:w="3659"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58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226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22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58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2821"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3659"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58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2260" w:type="dxa"/>
            <w:tcBorders>
              <w:top w:val="nil"/>
              <w:left w:val="nil"/>
              <w:bottom w:val="nil"/>
              <w:right w:val="nil"/>
              <w:tl2br w:val="nil"/>
              <w:tr2bl w:val="nil"/>
            </w:tcBorders>
            <w:noWrap/>
            <w:vAlign w:val="bottom"/>
          </w:tcPr>
          <w:p>
            <w:pPr>
              <w:widowControl/>
              <w:spacing w:beforeLines="0" w:afterLines="0"/>
              <w:jc w:val="right"/>
              <w:rPr>
                <w:rFonts w:hint="eastAsia" w:cs="宋体"/>
                <w:color w:val="000000"/>
                <w:kern w:val="0"/>
                <w:sz w:val="20"/>
                <w:szCs w:val="24"/>
              </w:rPr>
            </w:pPr>
            <w:r>
              <w:rPr>
                <w:rFonts w:hint="eastAsia" w:ascii="宋体" w:hAnsi="宋体" w:cs="宋体"/>
                <w:color w:val="000000"/>
                <w:kern w:val="0"/>
                <w:sz w:val="20"/>
                <w:szCs w:val="24"/>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220" w:type="dxa"/>
            <w:tcBorders>
              <w:top w:val="nil"/>
              <w:left w:val="nil"/>
              <w:bottom w:val="nil"/>
              <w:right w:val="nil"/>
              <w:tl2br w:val="nil"/>
              <w:tr2bl w:val="nil"/>
            </w:tcBorders>
            <w:noWrap/>
            <w:vAlign w:val="bottom"/>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部门：延津县安全生产监督管理局</w:t>
            </w:r>
          </w:p>
        </w:tc>
        <w:tc>
          <w:tcPr>
            <w:tcW w:w="58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2821"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3659"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58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2260" w:type="dxa"/>
            <w:tcBorders>
              <w:top w:val="nil"/>
              <w:left w:val="nil"/>
              <w:bottom w:val="nil"/>
              <w:right w:val="nil"/>
              <w:tl2br w:val="nil"/>
              <w:tr2bl w:val="nil"/>
            </w:tcBorders>
            <w:noWrap/>
            <w:vAlign w:val="bottom"/>
          </w:tcPr>
          <w:p>
            <w:pPr>
              <w:widowControl/>
              <w:spacing w:beforeLines="0" w:afterLines="0"/>
              <w:jc w:val="right"/>
              <w:rPr>
                <w:rFonts w:hint="eastAsia" w:cs="宋体"/>
                <w:color w:val="000000"/>
                <w:kern w:val="0"/>
                <w:sz w:val="20"/>
                <w:szCs w:val="24"/>
              </w:rPr>
            </w:pPr>
            <w:r>
              <w:rPr>
                <w:rFonts w:hint="eastAsia" w:ascii="宋体" w:hAnsi="宋体" w:cs="宋体"/>
                <w:color w:val="000000"/>
                <w:kern w:val="0"/>
                <w:sz w:val="20"/>
                <w:szCs w:val="24"/>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21" w:type="dxa"/>
            <w:gridSpan w:val="3"/>
            <w:tcBorders>
              <w:top w:val="single" w:color="000000" w:sz="4" w:space="0"/>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收入</w:t>
            </w:r>
          </w:p>
        </w:tc>
        <w:tc>
          <w:tcPr>
            <w:tcW w:w="6499" w:type="dxa"/>
            <w:gridSpan w:val="3"/>
            <w:tcBorders>
              <w:top w:val="single" w:color="000000" w:sz="4" w:space="0"/>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项目</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行次</w:t>
            </w:r>
          </w:p>
        </w:tc>
        <w:tc>
          <w:tcPr>
            <w:tcW w:w="2821"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金额</w:t>
            </w:r>
          </w:p>
        </w:tc>
        <w:tc>
          <w:tcPr>
            <w:tcW w:w="3659"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项目</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行次</w:t>
            </w:r>
          </w:p>
        </w:tc>
        <w:tc>
          <w:tcPr>
            <w:tcW w:w="226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栏次</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　</w:t>
            </w:r>
          </w:p>
        </w:tc>
        <w:tc>
          <w:tcPr>
            <w:tcW w:w="2821"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1</w:t>
            </w:r>
          </w:p>
        </w:tc>
        <w:tc>
          <w:tcPr>
            <w:tcW w:w="3659"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栏次</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　</w:t>
            </w:r>
          </w:p>
        </w:tc>
        <w:tc>
          <w:tcPr>
            <w:tcW w:w="226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一、财政拨款收入</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1</w:t>
            </w:r>
          </w:p>
        </w:tc>
        <w:tc>
          <w:tcPr>
            <w:tcW w:w="2821"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241.00</w:t>
            </w:r>
          </w:p>
        </w:tc>
        <w:tc>
          <w:tcPr>
            <w:tcW w:w="3659"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一、一般公共服务支出</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28</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二、上级补助收入</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2</w:t>
            </w:r>
          </w:p>
        </w:tc>
        <w:tc>
          <w:tcPr>
            <w:tcW w:w="2821"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2"/>
                <w:szCs w:val="24"/>
              </w:rPr>
            </w:pPr>
            <w:r>
              <w:rPr>
                <w:rFonts w:hint="eastAsia" w:cs="宋体"/>
                <w:color w:val="000000"/>
                <w:kern w:val="0"/>
                <w:sz w:val="22"/>
                <w:szCs w:val="24"/>
              </w:rPr>
              <w:t>0.00</w:t>
            </w:r>
          </w:p>
        </w:tc>
        <w:tc>
          <w:tcPr>
            <w:tcW w:w="3659"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二、外交支出</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29</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三、事业收入</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3</w:t>
            </w:r>
          </w:p>
        </w:tc>
        <w:tc>
          <w:tcPr>
            <w:tcW w:w="2821"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2"/>
                <w:szCs w:val="24"/>
              </w:rPr>
            </w:pPr>
            <w:r>
              <w:rPr>
                <w:rFonts w:hint="eastAsia" w:cs="宋体"/>
                <w:color w:val="000000"/>
                <w:kern w:val="0"/>
                <w:sz w:val="22"/>
                <w:szCs w:val="24"/>
              </w:rPr>
              <w:t>0.00</w:t>
            </w:r>
          </w:p>
        </w:tc>
        <w:tc>
          <w:tcPr>
            <w:tcW w:w="3659"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三、国防支出</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30</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四、经营收入</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4</w:t>
            </w:r>
          </w:p>
        </w:tc>
        <w:tc>
          <w:tcPr>
            <w:tcW w:w="2821"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2"/>
                <w:szCs w:val="24"/>
              </w:rPr>
            </w:pPr>
            <w:r>
              <w:rPr>
                <w:rFonts w:hint="eastAsia" w:cs="宋体"/>
                <w:color w:val="000000"/>
                <w:kern w:val="0"/>
                <w:sz w:val="22"/>
                <w:szCs w:val="24"/>
              </w:rPr>
              <w:t>0.00</w:t>
            </w:r>
          </w:p>
        </w:tc>
        <w:tc>
          <w:tcPr>
            <w:tcW w:w="3659"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四、公共安全支出</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31</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五、附属单位上缴收入</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5</w:t>
            </w:r>
          </w:p>
        </w:tc>
        <w:tc>
          <w:tcPr>
            <w:tcW w:w="2821"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2"/>
                <w:szCs w:val="24"/>
              </w:rPr>
            </w:pPr>
            <w:r>
              <w:rPr>
                <w:rFonts w:hint="eastAsia" w:cs="宋体"/>
                <w:color w:val="000000"/>
                <w:kern w:val="0"/>
                <w:sz w:val="22"/>
                <w:szCs w:val="24"/>
              </w:rPr>
              <w:t>0.00</w:t>
            </w:r>
          </w:p>
        </w:tc>
        <w:tc>
          <w:tcPr>
            <w:tcW w:w="3659"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五、教育支出</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32</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六、其他收入</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6</w:t>
            </w:r>
          </w:p>
        </w:tc>
        <w:tc>
          <w:tcPr>
            <w:tcW w:w="2821"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2"/>
                <w:szCs w:val="24"/>
              </w:rPr>
            </w:pPr>
            <w:r>
              <w:rPr>
                <w:rFonts w:hint="eastAsia" w:cs="宋体"/>
                <w:color w:val="000000"/>
                <w:kern w:val="0"/>
                <w:sz w:val="22"/>
                <w:szCs w:val="24"/>
              </w:rPr>
              <w:t>0.00</w:t>
            </w:r>
          </w:p>
        </w:tc>
        <w:tc>
          <w:tcPr>
            <w:tcW w:w="3659"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六、科学技术支出</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33</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7</w:t>
            </w:r>
          </w:p>
        </w:tc>
        <w:tc>
          <w:tcPr>
            <w:tcW w:w="2821"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3659"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七、文化体育与传媒支出</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34</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8</w:t>
            </w:r>
          </w:p>
        </w:tc>
        <w:tc>
          <w:tcPr>
            <w:tcW w:w="2821"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3659"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八、社会保障和就业支出</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35</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23.15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9</w:t>
            </w:r>
          </w:p>
        </w:tc>
        <w:tc>
          <w:tcPr>
            <w:tcW w:w="2821"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3659"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九、医疗卫生与计划生育支出</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36</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6.82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10</w:t>
            </w:r>
          </w:p>
        </w:tc>
        <w:tc>
          <w:tcPr>
            <w:tcW w:w="2821"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3659"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十、节能环保支出</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37</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11</w:t>
            </w:r>
          </w:p>
        </w:tc>
        <w:tc>
          <w:tcPr>
            <w:tcW w:w="2821"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3659"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十一、城乡社区支出</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38</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12</w:t>
            </w:r>
          </w:p>
        </w:tc>
        <w:tc>
          <w:tcPr>
            <w:tcW w:w="2821"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3659"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十二、农林水支出</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39</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13</w:t>
            </w:r>
          </w:p>
        </w:tc>
        <w:tc>
          <w:tcPr>
            <w:tcW w:w="2821"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3659"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十三、交通运输支出</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40</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14</w:t>
            </w:r>
          </w:p>
        </w:tc>
        <w:tc>
          <w:tcPr>
            <w:tcW w:w="2821"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3659"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十四、资源勘探信息等支出</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41</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214.68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15</w:t>
            </w:r>
          </w:p>
        </w:tc>
        <w:tc>
          <w:tcPr>
            <w:tcW w:w="2821"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3659"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十五、商业服务业等支出</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42</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16</w:t>
            </w:r>
          </w:p>
        </w:tc>
        <w:tc>
          <w:tcPr>
            <w:tcW w:w="2821"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3659"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十六、金融支出</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43</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17</w:t>
            </w:r>
          </w:p>
        </w:tc>
        <w:tc>
          <w:tcPr>
            <w:tcW w:w="2821"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3659"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十七、援助其他地区支出</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44</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18</w:t>
            </w:r>
          </w:p>
        </w:tc>
        <w:tc>
          <w:tcPr>
            <w:tcW w:w="2821"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3659"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十八、国土海洋气象等支出</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45</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19</w:t>
            </w:r>
          </w:p>
        </w:tc>
        <w:tc>
          <w:tcPr>
            <w:tcW w:w="2821"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3659"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十九、住房保障支出</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46</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20</w:t>
            </w:r>
          </w:p>
        </w:tc>
        <w:tc>
          <w:tcPr>
            <w:tcW w:w="2821"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3659"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二十、粮油物资储备支出</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47</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21</w:t>
            </w:r>
          </w:p>
        </w:tc>
        <w:tc>
          <w:tcPr>
            <w:tcW w:w="2821"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3659"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二十一、其他支出</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48</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22</w:t>
            </w:r>
          </w:p>
        </w:tc>
        <w:tc>
          <w:tcPr>
            <w:tcW w:w="2821"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3659"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49</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本年收入合计</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23</w:t>
            </w:r>
          </w:p>
        </w:tc>
        <w:tc>
          <w:tcPr>
            <w:tcW w:w="2821"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241.00</w:t>
            </w:r>
          </w:p>
        </w:tc>
        <w:tc>
          <w:tcPr>
            <w:tcW w:w="3659"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本年支出合计</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50</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244.65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用事业基金弥补收支差额</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24</w:t>
            </w:r>
          </w:p>
        </w:tc>
        <w:tc>
          <w:tcPr>
            <w:tcW w:w="2821"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2"/>
                <w:szCs w:val="24"/>
              </w:rPr>
            </w:pPr>
            <w:r>
              <w:rPr>
                <w:rFonts w:hint="eastAsia" w:cs="宋体"/>
                <w:color w:val="000000"/>
                <w:kern w:val="0"/>
                <w:sz w:val="22"/>
                <w:szCs w:val="24"/>
              </w:rPr>
              <w:t>0.00</w:t>
            </w:r>
          </w:p>
        </w:tc>
        <w:tc>
          <w:tcPr>
            <w:tcW w:w="3659"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结余分配</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51</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年初结转和结余</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25</w:t>
            </w:r>
          </w:p>
        </w:tc>
        <w:tc>
          <w:tcPr>
            <w:tcW w:w="2821"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31.92</w:t>
            </w:r>
          </w:p>
        </w:tc>
        <w:tc>
          <w:tcPr>
            <w:tcW w:w="3659"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年末结转和结余</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52</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28.27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26</w:t>
            </w:r>
          </w:p>
        </w:tc>
        <w:tc>
          <w:tcPr>
            <w:tcW w:w="2821"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3659"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53</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2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总计</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27</w:t>
            </w:r>
          </w:p>
        </w:tc>
        <w:tc>
          <w:tcPr>
            <w:tcW w:w="2821"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272.92</w:t>
            </w:r>
          </w:p>
        </w:tc>
        <w:tc>
          <w:tcPr>
            <w:tcW w:w="3659"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总计</w:t>
            </w:r>
          </w:p>
        </w:tc>
        <w:tc>
          <w:tcPr>
            <w:tcW w:w="5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54</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272.92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20" w:type="dxa"/>
            <w:gridSpan w:val="6"/>
            <w:tcBorders>
              <w:top w:val="nil"/>
              <w:left w:val="nil"/>
              <w:bottom w:val="nil"/>
              <w:right w:val="nil"/>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注：本表反映部门本年度的总收支和年末结转结余情况。本表金额转换为万元时，因四舍五入可能存在尾差。</w:t>
            </w:r>
          </w:p>
        </w:tc>
      </w:tr>
    </w:tbl>
    <w:tbl>
      <w:tblPr>
        <w:tblStyle w:val="4"/>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0"/>
        <w:gridCol w:w="340"/>
        <w:gridCol w:w="340"/>
        <w:gridCol w:w="3940"/>
        <w:gridCol w:w="1280"/>
        <w:gridCol w:w="1280"/>
        <w:gridCol w:w="1280"/>
        <w:gridCol w:w="1280"/>
        <w:gridCol w:w="1280"/>
        <w:gridCol w:w="1280"/>
        <w:gridCol w:w="1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11"/>
            <w:tcBorders>
              <w:top w:val="nil"/>
              <w:left w:val="nil"/>
              <w:bottom w:val="nil"/>
              <w:right w:val="nil"/>
              <w:tl2br w:val="nil"/>
              <w:tr2bl w:val="nil"/>
            </w:tcBorders>
            <w:noWrap/>
            <w:vAlign w:val="bottom"/>
          </w:tcPr>
          <w:p>
            <w:pPr>
              <w:widowControl/>
              <w:spacing w:beforeLines="0" w:afterLines="0"/>
              <w:jc w:val="center"/>
              <w:rPr>
                <w:rFonts w:hint="default" w:ascii="Arial" w:cs="Arial"/>
                <w:color w:val="000000"/>
                <w:kern w:val="0"/>
                <w:sz w:val="20"/>
                <w:szCs w:val="24"/>
              </w:rPr>
            </w:pPr>
            <w:r>
              <w:rPr>
                <w:rFonts w:hint="eastAsia" w:ascii="宋体" w:hAnsi="宋体" w:cs="宋体"/>
                <w:color w:val="000000"/>
                <w:kern w:val="0"/>
                <w:sz w:val="30"/>
                <w:szCs w:val="24"/>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34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34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394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28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28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28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28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28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28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430" w:type="dxa"/>
            <w:tcBorders>
              <w:top w:val="nil"/>
              <w:left w:val="nil"/>
              <w:bottom w:val="nil"/>
              <w:right w:val="nil"/>
              <w:tl2br w:val="nil"/>
              <w:tr2bl w:val="nil"/>
            </w:tcBorders>
            <w:noWrap/>
            <w:vAlign w:val="bottom"/>
          </w:tcPr>
          <w:p>
            <w:pPr>
              <w:widowControl/>
              <w:spacing w:beforeLines="0" w:afterLines="0"/>
              <w:jc w:val="right"/>
              <w:rPr>
                <w:rFonts w:hint="eastAsia" w:cs="宋体"/>
                <w:color w:val="000000"/>
                <w:kern w:val="0"/>
                <w:sz w:val="20"/>
                <w:szCs w:val="24"/>
              </w:rPr>
            </w:pPr>
            <w:r>
              <w:rPr>
                <w:rFonts w:hint="eastAsia" w:ascii="宋体" w:hAnsi="宋体" w:cs="宋体"/>
                <w:color w:val="000000"/>
                <w:kern w:val="0"/>
                <w:sz w:val="20"/>
                <w:szCs w:val="24"/>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960" w:type="dxa"/>
            <w:gridSpan w:val="4"/>
            <w:tcBorders>
              <w:top w:val="nil"/>
              <w:left w:val="nil"/>
              <w:bottom w:val="nil"/>
              <w:right w:val="nil"/>
              <w:tl2br w:val="nil"/>
              <w:tr2bl w:val="nil"/>
            </w:tcBorders>
            <w:noWrap/>
            <w:vAlign w:val="bottom"/>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部门：延津县安全生产监督管理局</w:t>
            </w:r>
          </w:p>
        </w:tc>
        <w:tc>
          <w:tcPr>
            <w:tcW w:w="128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28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28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28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28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28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430" w:type="dxa"/>
            <w:tcBorders>
              <w:top w:val="nil"/>
              <w:left w:val="nil"/>
              <w:bottom w:val="nil"/>
              <w:right w:val="nil"/>
              <w:tl2br w:val="nil"/>
              <w:tr2bl w:val="nil"/>
            </w:tcBorders>
            <w:noWrap/>
            <w:vAlign w:val="bottom"/>
          </w:tcPr>
          <w:p>
            <w:pPr>
              <w:widowControl/>
              <w:spacing w:beforeLines="0" w:afterLines="0"/>
              <w:jc w:val="right"/>
              <w:rPr>
                <w:rFonts w:hint="eastAsia" w:cs="宋体"/>
                <w:color w:val="000000"/>
                <w:kern w:val="0"/>
                <w:sz w:val="20"/>
                <w:szCs w:val="24"/>
              </w:rPr>
            </w:pPr>
            <w:r>
              <w:rPr>
                <w:rFonts w:hint="eastAsia" w:ascii="宋体" w:hAnsi="宋体" w:cs="宋体"/>
                <w:color w:val="000000"/>
                <w:kern w:val="0"/>
                <w:sz w:val="20"/>
                <w:szCs w:val="24"/>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0" w:type="dxa"/>
            <w:gridSpan w:val="4"/>
            <w:tcBorders>
              <w:top w:val="single" w:color="000000" w:sz="4" w:space="0"/>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项目</w:t>
            </w:r>
          </w:p>
        </w:tc>
        <w:tc>
          <w:tcPr>
            <w:tcW w:w="1280" w:type="dxa"/>
            <w:vMerge w:val="restart"/>
            <w:tcBorders>
              <w:top w:val="single" w:color="000000" w:sz="4" w:space="0"/>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本年收入合计</w:t>
            </w:r>
          </w:p>
        </w:tc>
        <w:tc>
          <w:tcPr>
            <w:tcW w:w="1280" w:type="dxa"/>
            <w:vMerge w:val="restart"/>
            <w:tcBorders>
              <w:top w:val="single" w:color="000000" w:sz="4" w:space="0"/>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财政拨款收入</w:t>
            </w:r>
          </w:p>
        </w:tc>
        <w:tc>
          <w:tcPr>
            <w:tcW w:w="1280" w:type="dxa"/>
            <w:vMerge w:val="restart"/>
            <w:tcBorders>
              <w:top w:val="single" w:color="000000" w:sz="4" w:space="0"/>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上级补助收入</w:t>
            </w:r>
          </w:p>
        </w:tc>
        <w:tc>
          <w:tcPr>
            <w:tcW w:w="1280" w:type="dxa"/>
            <w:vMerge w:val="restart"/>
            <w:tcBorders>
              <w:top w:val="single" w:color="000000" w:sz="4" w:space="0"/>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事业收入</w:t>
            </w:r>
          </w:p>
        </w:tc>
        <w:tc>
          <w:tcPr>
            <w:tcW w:w="1280" w:type="dxa"/>
            <w:vMerge w:val="restart"/>
            <w:tcBorders>
              <w:top w:val="single" w:color="000000" w:sz="4" w:space="0"/>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经营收入</w:t>
            </w:r>
          </w:p>
        </w:tc>
        <w:tc>
          <w:tcPr>
            <w:tcW w:w="1280" w:type="dxa"/>
            <w:vMerge w:val="restart"/>
            <w:tcBorders>
              <w:top w:val="single" w:color="000000" w:sz="4" w:space="0"/>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附属单位上缴收入</w:t>
            </w:r>
          </w:p>
        </w:tc>
        <w:tc>
          <w:tcPr>
            <w:tcW w:w="1430" w:type="dxa"/>
            <w:vMerge w:val="restart"/>
            <w:tcBorders>
              <w:top w:val="single" w:color="000000" w:sz="4" w:space="0"/>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gridSpan w:val="3"/>
            <w:vMerge w:val="restart"/>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功能分类科目编码</w:t>
            </w:r>
          </w:p>
        </w:tc>
        <w:tc>
          <w:tcPr>
            <w:tcW w:w="3940" w:type="dxa"/>
            <w:vMerge w:val="restart"/>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科目名称</w:t>
            </w:r>
          </w:p>
        </w:tc>
        <w:tc>
          <w:tcPr>
            <w:tcW w:w="1280" w:type="dxa"/>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280" w:type="dxa"/>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280" w:type="dxa"/>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280" w:type="dxa"/>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280" w:type="dxa"/>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280" w:type="dxa"/>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430" w:type="dxa"/>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gridSpan w:val="3"/>
            <w:vMerge w:val="continue"/>
            <w:tcBorders>
              <w:top w:val="nil"/>
              <w:left w:val="single" w:color="000000" w:sz="4" w:space="0"/>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3940" w:type="dxa"/>
            <w:vMerge w:val="continue"/>
            <w:tcBorders>
              <w:top w:val="nil"/>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280" w:type="dxa"/>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280" w:type="dxa"/>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280" w:type="dxa"/>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280" w:type="dxa"/>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280" w:type="dxa"/>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280" w:type="dxa"/>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430" w:type="dxa"/>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gridSpan w:val="3"/>
            <w:vMerge w:val="continue"/>
            <w:tcBorders>
              <w:top w:val="nil"/>
              <w:left w:val="single" w:color="000000" w:sz="4" w:space="0"/>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3940" w:type="dxa"/>
            <w:vMerge w:val="continue"/>
            <w:tcBorders>
              <w:top w:val="nil"/>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280" w:type="dxa"/>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280" w:type="dxa"/>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280" w:type="dxa"/>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280" w:type="dxa"/>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280" w:type="dxa"/>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280" w:type="dxa"/>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430" w:type="dxa"/>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0" w:type="dxa"/>
            <w:gridSpan w:val="4"/>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栏次</w:t>
            </w:r>
          </w:p>
        </w:tc>
        <w:tc>
          <w:tcPr>
            <w:tcW w:w="1280" w:type="dxa"/>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1</w:t>
            </w:r>
          </w:p>
        </w:tc>
        <w:tc>
          <w:tcPr>
            <w:tcW w:w="1280" w:type="dxa"/>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2</w:t>
            </w:r>
          </w:p>
        </w:tc>
        <w:tc>
          <w:tcPr>
            <w:tcW w:w="1280" w:type="dxa"/>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3</w:t>
            </w:r>
          </w:p>
        </w:tc>
        <w:tc>
          <w:tcPr>
            <w:tcW w:w="1280" w:type="dxa"/>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4</w:t>
            </w:r>
          </w:p>
        </w:tc>
        <w:tc>
          <w:tcPr>
            <w:tcW w:w="1280" w:type="dxa"/>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5</w:t>
            </w:r>
          </w:p>
        </w:tc>
        <w:tc>
          <w:tcPr>
            <w:tcW w:w="1280" w:type="dxa"/>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6</w:t>
            </w:r>
          </w:p>
        </w:tc>
        <w:tc>
          <w:tcPr>
            <w:tcW w:w="1430" w:type="dxa"/>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0" w:type="dxa"/>
            <w:gridSpan w:val="4"/>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合计</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b/>
                <w:color w:val="000000"/>
                <w:kern w:val="0"/>
                <w:sz w:val="22"/>
                <w:szCs w:val="24"/>
              </w:rPr>
            </w:pPr>
            <w:r>
              <w:rPr>
                <w:rFonts w:hint="eastAsia" w:ascii="宋体" w:hAnsi="宋体" w:cs="宋体"/>
                <w:b/>
                <w:color w:val="000000"/>
                <w:kern w:val="0"/>
                <w:sz w:val="22"/>
                <w:szCs w:val="24"/>
              </w:rPr>
              <w:t>241.00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b/>
                <w:color w:val="000000"/>
                <w:kern w:val="0"/>
                <w:sz w:val="22"/>
                <w:szCs w:val="24"/>
              </w:rPr>
            </w:pPr>
            <w:r>
              <w:rPr>
                <w:rFonts w:hint="eastAsia" w:ascii="宋体" w:hAnsi="宋体" w:cs="宋体"/>
                <w:b/>
                <w:color w:val="000000"/>
                <w:kern w:val="0"/>
                <w:sz w:val="22"/>
                <w:szCs w:val="24"/>
              </w:rPr>
              <w:t>241.00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b/>
                <w:color w:val="000000"/>
                <w:kern w:val="0"/>
                <w:sz w:val="22"/>
                <w:szCs w:val="24"/>
              </w:rPr>
            </w:pPr>
            <w:r>
              <w:rPr>
                <w:rFonts w:hint="eastAsia" w:ascii="宋体" w:hAnsi="宋体" w:cs="宋体"/>
                <w:b/>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b/>
                <w:color w:val="000000"/>
                <w:kern w:val="0"/>
                <w:sz w:val="22"/>
                <w:szCs w:val="24"/>
              </w:rPr>
            </w:pPr>
            <w:r>
              <w:rPr>
                <w:rFonts w:hint="eastAsia" w:ascii="宋体" w:hAnsi="宋体" w:cs="宋体"/>
                <w:b/>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b/>
                <w:color w:val="000000"/>
                <w:kern w:val="0"/>
                <w:sz w:val="22"/>
                <w:szCs w:val="24"/>
              </w:rPr>
            </w:pPr>
            <w:r>
              <w:rPr>
                <w:rFonts w:hint="eastAsia" w:ascii="宋体" w:hAnsi="宋体" w:cs="宋体"/>
                <w:b/>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b/>
                <w:color w:val="000000"/>
                <w:kern w:val="0"/>
                <w:sz w:val="22"/>
                <w:szCs w:val="24"/>
              </w:rPr>
            </w:pPr>
            <w:r>
              <w:rPr>
                <w:rFonts w:hint="eastAsia" w:ascii="宋体" w:hAnsi="宋体" w:cs="宋体"/>
                <w:b/>
                <w:color w:val="000000"/>
                <w:kern w:val="0"/>
                <w:sz w:val="22"/>
                <w:szCs w:val="24"/>
              </w:rPr>
              <w:t>0.00</w:t>
            </w:r>
          </w:p>
        </w:tc>
        <w:tc>
          <w:tcPr>
            <w:tcW w:w="143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b/>
                <w:color w:val="000000"/>
                <w:kern w:val="0"/>
                <w:sz w:val="22"/>
                <w:szCs w:val="24"/>
              </w:rPr>
            </w:pPr>
            <w:r>
              <w:rPr>
                <w:rFonts w:hint="eastAsia" w:ascii="宋体" w:hAnsi="宋体" w:cs="宋体"/>
                <w:b/>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208</w:t>
            </w:r>
          </w:p>
        </w:tc>
        <w:tc>
          <w:tcPr>
            <w:tcW w:w="3940" w:type="dxa"/>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社会保障和就业支出</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23.15</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23.15</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43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20805</w:t>
            </w:r>
          </w:p>
        </w:tc>
        <w:tc>
          <w:tcPr>
            <w:tcW w:w="3940" w:type="dxa"/>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行政事业单位离退休</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22.70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22.70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43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2080505</w:t>
            </w:r>
          </w:p>
        </w:tc>
        <w:tc>
          <w:tcPr>
            <w:tcW w:w="3940" w:type="dxa"/>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xml:space="preserve">  机关事业单位基本养老保险缴费支出</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22.70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22.70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43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20899</w:t>
            </w:r>
          </w:p>
        </w:tc>
        <w:tc>
          <w:tcPr>
            <w:tcW w:w="3940" w:type="dxa"/>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其他社会保障和就业支出</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0.45</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0.45</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43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2089901</w:t>
            </w:r>
          </w:p>
        </w:tc>
        <w:tc>
          <w:tcPr>
            <w:tcW w:w="3940" w:type="dxa"/>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xml:space="preserve">  其他社会保障和就业支出</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0.45</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0.45</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43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210</w:t>
            </w:r>
          </w:p>
        </w:tc>
        <w:tc>
          <w:tcPr>
            <w:tcW w:w="3940" w:type="dxa"/>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医疗卫生与计划生育支出</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6.82</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6.82</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43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21011</w:t>
            </w:r>
          </w:p>
        </w:tc>
        <w:tc>
          <w:tcPr>
            <w:tcW w:w="3940" w:type="dxa"/>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行政事业单位医疗</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6.82</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6.82</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43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2101101</w:t>
            </w:r>
          </w:p>
        </w:tc>
        <w:tc>
          <w:tcPr>
            <w:tcW w:w="3940" w:type="dxa"/>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xml:space="preserve">  行政单位医疗</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6.82</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6.82</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43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215</w:t>
            </w:r>
          </w:p>
        </w:tc>
        <w:tc>
          <w:tcPr>
            <w:tcW w:w="3940" w:type="dxa"/>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资源勘探信息等支出</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211.03</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211.03</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43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21506</w:t>
            </w:r>
          </w:p>
        </w:tc>
        <w:tc>
          <w:tcPr>
            <w:tcW w:w="3940" w:type="dxa"/>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安全生产监管</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211.03</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211.03</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43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2150601</w:t>
            </w:r>
          </w:p>
        </w:tc>
        <w:tc>
          <w:tcPr>
            <w:tcW w:w="3940" w:type="dxa"/>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xml:space="preserve">  行政运行</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139.10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139.10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43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2150603</w:t>
            </w:r>
          </w:p>
        </w:tc>
        <w:tc>
          <w:tcPr>
            <w:tcW w:w="3940" w:type="dxa"/>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xml:space="preserve">  机关服务</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63.75</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63.75</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43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2150699</w:t>
            </w:r>
          </w:p>
        </w:tc>
        <w:tc>
          <w:tcPr>
            <w:tcW w:w="3940" w:type="dxa"/>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xml:space="preserve">  其他安全生产监管支出</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8.18</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8.18</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2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43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70" w:type="dxa"/>
            <w:gridSpan w:val="11"/>
            <w:tcBorders>
              <w:top w:val="nil"/>
              <w:left w:val="nil"/>
              <w:bottom w:val="nil"/>
              <w:right w:val="nil"/>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注：本表反映部门本年度取得的各项收入情况。本表金额转换为万元时，因四舍五入可能存在尾差。</w:t>
            </w:r>
          </w:p>
        </w:tc>
      </w:tr>
    </w:tbl>
    <w:p>
      <w:pPr>
        <w:autoSpaceDE w:val="0"/>
        <w:autoSpaceDN w:val="0"/>
        <w:adjustRightInd w:val="0"/>
        <w:spacing w:beforeLines="0" w:afterLines="0"/>
        <w:jc w:val="left"/>
        <w:rPr>
          <w:rFonts w:hint="default" w:ascii="宋体"/>
          <w:kern w:val="0"/>
          <w:sz w:val="38"/>
          <w:szCs w:val="24"/>
          <w:lang w:val="zh-CN"/>
        </w:rPr>
      </w:pPr>
      <w:r>
        <w:rPr>
          <w:rFonts w:hint="default" w:ascii="宋体"/>
          <w:kern w:val="0"/>
          <w:sz w:val="38"/>
          <w:szCs w:val="24"/>
          <w:lang w:val="zh-CN"/>
        </w:rPr>
        <w:br w:type="page"/>
      </w:r>
    </w:p>
    <w:tbl>
      <w:tblPr>
        <w:tblStyle w:val="4"/>
        <w:tblW w:w="135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9"/>
        <w:gridCol w:w="349"/>
        <w:gridCol w:w="350"/>
        <w:gridCol w:w="2012"/>
        <w:gridCol w:w="596"/>
        <w:gridCol w:w="1192"/>
        <w:gridCol w:w="247"/>
        <w:gridCol w:w="1397"/>
        <w:gridCol w:w="1397"/>
        <w:gridCol w:w="143"/>
        <w:gridCol w:w="596"/>
        <w:gridCol w:w="658"/>
        <w:gridCol w:w="452"/>
        <w:gridCol w:w="945"/>
        <w:gridCol w:w="390"/>
        <w:gridCol w:w="1007"/>
        <w:gridCol w:w="461"/>
        <w:gridCol w:w="1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13547" w:type="dxa"/>
            <w:gridSpan w:val="18"/>
            <w:tcBorders>
              <w:top w:val="nil"/>
              <w:left w:val="nil"/>
              <w:bottom w:val="nil"/>
              <w:right w:val="nil"/>
              <w:tl2br w:val="nil"/>
              <w:tr2bl w:val="nil"/>
            </w:tcBorders>
            <w:noWrap/>
            <w:vAlign w:val="bottom"/>
          </w:tcPr>
          <w:p>
            <w:pPr>
              <w:widowControl/>
              <w:spacing w:beforeLines="0" w:afterLines="0"/>
              <w:jc w:val="center"/>
              <w:rPr>
                <w:rFonts w:hint="default" w:ascii="Arial" w:cs="Arial"/>
                <w:color w:val="000000"/>
                <w:kern w:val="0"/>
                <w:sz w:val="20"/>
                <w:szCs w:val="24"/>
              </w:rPr>
            </w:pPr>
            <w:r>
              <w:rPr>
                <w:rFonts w:hint="eastAsia" w:ascii="宋体" w:hAnsi="宋体" w:cs="宋体"/>
                <w:color w:val="000000"/>
                <w:kern w:val="0"/>
                <w:sz w:val="30"/>
                <w:szCs w:val="24"/>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 w:hRule="atLeast"/>
        </w:trPr>
        <w:tc>
          <w:tcPr>
            <w:tcW w:w="349"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349"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349"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4047" w:type="dxa"/>
            <w:gridSpan w:val="4"/>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397"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397"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397" w:type="dxa"/>
            <w:gridSpan w:val="3"/>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397" w:type="dxa"/>
            <w:gridSpan w:val="2"/>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397" w:type="dxa"/>
            <w:gridSpan w:val="2"/>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469" w:type="dxa"/>
            <w:gridSpan w:val="2"/>
            <w:tcBorders>
              <w:top w:val="nil"/>
              <w:left w:val="nil"/>
              <w:bottom w:val="nil"/>
              <w:right w:val="nil"/>
              <w:tl2br w:val="nil"/>
              <w:tr2bl w:val="nil"/>
            </w:tcBorders>
            <w:noWrap/>
            <w:vAlign w:val="bottom"/>
          </w:tcPr>
          <w:p>
            <w:pPr>
              <w:widowControl/>
              <w:spacing w:beforeLines="0" w:afterLines="0"/>
              <w:jc w:val="right"/>
              <w:rPr>
                <w:rFonts w:hint="eastAsia" w:cs="宋体"/>
                <w:color w:val="000000"/>
                <w:kern w:val="0"/>
                <w:sz w:val="20"/>
                <w:szCs w:val="24"/>
              </w:rPr>
            </w:pPr>
            <w:r>
              <w:rPr>
                <w:rFonts w:hint="eastAsia" w:ascii="宋体" w:hAnsi="宋体" w:cs="宋体"/>
                <w:color w:val="000000"/>
                <w:kern w:val="0"/>
                <w:sz w:val="20"/>
                <w:szCs w:val="24"/>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 w:hRule="atLeast"/>
        </w:trPr>
        <w:tc>
          <w:tcPr>
            <w:tcW w:w="5095" w:type="dxa"/>
            <w:gridSpan w:val="7"/>
            <w:tcBorders>
              <w:top w:val="nil"/>
              <w:left w:val="nil"/>
              <w:bottom w:val="nil"/>
              <w:right w:val="nil"/>
              <w:tl2br w:val="nil"/>
              <w:tr2bl w:val="nil"/>
            </w:tcBorders>
            <w:noWrap/>
            <w:vAlign w:val="bottom"/>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部门：延津县安全生产监督管理局</w:t>
            </w:r>
          </w:p>
        </w:tc>
        <w:tc>
          <w:tcPr>
            <w:tcW w:w="1397"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397"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397" w:type="dxa"/>
            <w:gridSpan w:val="3"/>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397" w:type="dxa"/>
            <w:gridSpan w:val="2"/>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397" w:type="dxa"/>
            <w:gridSpan w:val="2"/>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469" w:type="dxa"/>
            <w:gridSpan w:val="2"/>
            <w:tcBorders>
              <w:top w:val="nil"/>
              <w:left w:val="nil"/>
              <w:bottom w:val="nil"/>
              <w:right w:val="nil"/>
              <w:tl2br w:val="nil"/>
              <w:tr2bl w:val="nil"/>
            </w:tcBorders>
            <w:noWrap/>
            <w:vAlign w:val="bottom"/>
          </w:tcPr>
          <w:p>
            <w:pPr>
              <w:widowControl/>
              <w:spacing w:beforeLines="0" w:afterLines="0"/>
              <w:jc w:val="right"/>
              <w:rPr>
                <w:rFonts w:hint="eastAsia" w:cs="宋体"/>
                <w:color w:val="000000"/>
                <w:kern w:val="0"/>
                <w:sz w:val="20"/>
                <w:szCs w:val="24"/>
              </w:rPr>
            </w:pPr>
            <w:r>
              <w:rPr>
                <w:rFonts w:hint="eastAsia" w:ascii="宋体" w:hAnsi="宋体" w:cs="宋体"/>
                <w:color w:val="000000"/>
                <w:kern w:val="0"/>
                <w:sz w:val="20"/>
                <w:szCs w:val="24"/>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5095" w:type="dxa"/>
            <w:gridSpan w:val="7"/>
            <w:tcBorders>
              <w:top w:val="single" w:color="000000" w:sz="4" w:space="0"/>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项目</w:t>
            </w:r>
          </w:p>
        </w:tc>
        <w:tc>
          <w:tcPr>
            <w:tcW w:w="1397" w:type="dxa"/>
            <w:vMerge w:val="restart"/>
            <w:tcBorders>
              <w:top w:val="single" w:color="000000" w:sz="4" w:space="0"/>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本年支出合计</w:t>
            </w:r>
          </w:p>
        </w:tc>
        <w:tc>
          <w:tcPr>
            <w:tcW w:w="1397" w:type="dxa"/>
            <w:vMerge w:val="restart"/>
            <w:tcBorders>
              <w:top w:val="single" w:color="000000" w:sz="4" w:space="0"/>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基本支出</w:t>
            </w:r>
          </w:p>
        </w:tc>
        <w:tc>
          <w:tcPr>
            <w:tcW w:w="1397" w:type="dxa"/>
            <w:gridSpan w:val="3"/>
            <w:vMerge w:val="restart"/>
            <w:tcBorders>
              <w:top w:val="single" w:color="000000" w:sz="4" w:space="0"/>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项目支出</w:t>
            </w:r>
          </w:p>
        </w:tc>
        <w:tc>
          <w:tcPr>
            <w:tcW w:w="1397" w:type="dxa"/>
            <w:gridSpan w:val="2"/>
            <w:vMerge w:val="restart"/>
            <w:tcBorders>
              <w:top w:val="single" w:color="000000" w:sz="4" w:space="0"/>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上缴上级支出</w:t>
            </w:r>
          </w:p>
        </w:tc>
        <w:tc>
          <w:tcPr>
            <w:tcW w:w="1397" w:type="dxa"/>
            <w:gridSpan w:val="2"/>
            <w:vMerge w:val="restart"/>
            <w:tcBorders>
              <w:top w:val="single" w:color="000000" w:sz="4" w:space="0"/>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经营支出</w:t>
            </w:r>
          </w:p>
        </w:tc>
        <w:tc>
          <w:tcPr>
            <w:tcW w:w="1469" w:type="dxa"/>
            <w:gridSpan w:val="2"/>
            <w:vMerge w:val="restart"/>
            <w:tcBorders>
              <w:top w:val="single" w:color="000000" w:sz="4" w:space="0"/>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048" w:type="dxa"/>
            <w:gridSpan w:val="3"/>
            <w:vMerge w:val="restart"/>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功能分类科目编码</w:t>
            </w:r>
          </w:p>
        </w:tc>
        <w:tc>
          <w:tcPr>
            <w:tcW w:w="4047" w:type="dxa"/>
            <w:gridSpan w:val="4"/>
            <w:vMerge w:val="restart"/>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科目名称</w:t>
            </w:r>
          </w:p>
        </w:tc>
        <w:tc>
          <w:tcPr>
            <w:tcW w:w="1397" w:type="dxa"/>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397" w:type="dxa"/>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397" w:type="dxa"/>
            <w:gridSpan w:val="3"/>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397" w:type="dxa"/>
            <w:gridSpan w:val="2"/>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397" w:type="dxa"/>
            <w:gridSpan w:val="2"/>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469" w:type="dxa"/>
            <w:gridSpan w:val="2"/>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048" w:type="dxa"/>
            <w:gridSpan w:val="3"/>
            <w:vMerge w:val="continue"/>
            <w:tcBorders>
              <w:top w:val="nil"/>
              <w:left w:val="single" w:color="000000" w:sz="4" w:space="0"/>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4047" w:type="dxa"/>
            <w:gridSpan w:val="4"/>
            <w:vMerge w:val="continue"/>
            <w:tcBorders>
              <w:top w:val="nil"/>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397" w:type="dxa"/>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397" w:type="dxa"/>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397" w:type="dxa"/>
            <w:gridSpan w:val="3"/>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397" w:type="dxa"/>
            <w:gridSpan w:val="2"/>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397" w:type="dxa"/>
            <w:gridSpan w:val="2"/>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469" w:type="dxa"/>
            <w:gridSpan w:val="2"/>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048" w:type="dxa"/>
            <w:gridSpan w:val="3"/>
            <w:vMerge w:val="continue"/>
            <w:tcBorders>
              <w:top w:val="nil"/>
              <w:left w:val="single" w:color="000000" w:sz="4" w:space="0"/>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4047" w:type="dxa"/>
            <w:gridSpan w:val="4"/>
            <w:vMerge w:val="continue"/>
            <w:tcBorders>
              <w:top w:val="nil"/>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397" w:type="dxa"/>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397" w:type="dxa"/>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397" w:type="dxa"/>
            <w:gridSpan w:val="3"/>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397" w:type="dxa"/>
            <w:gridSpan w:val="2"/>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397" w:type="dxa"/>
            <w:gridSpan w:val="2"/>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469" w:type="dxa"/>
            <w:gridSpan w:val="2"/>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5095" w:type="dxa"/>
            <w:gridSpan w:val="7"/>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栏次</w:t>
            </w:r>
          </w:p>
        </w:tc>
        <w:tc>
          <w:tcPr>
            <w:tcW w:w="1397" w:type="dxa"/>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1</w:t>
            </w:r>
          </w:p>
        </w:tc>
        <w:tc>
          <w:tcPr>
            <w:tcW w:w="1397" w:type="dxa"/>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2</w:t>
            </w:r>
          </w:p>
        </w:tc>
        <w:tc>
          <w:tcPr>
            <w:tcW w:w="1397" w:type="dxa"/>
            <w:gridSpan w:val="3"/>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3</w:t>
            </w:r>
          </w:p>
        </w:tc>
        <w:tc>
          <w:tcPr>
            <w:tcW w:w="1397" w:type="dxa"/>
            <w:gridSpan w:val="2"/>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4</w:t>
            </w:r>
          </w:p>
        </w:tc>
        <w:tc>
          <w:tcPr>
            <w:tcW w:w="1397" w:type="dxa"/>
            <w:gridSpan w:val="2"/>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5</w:t>
            </w:r>
          </w:p>
        </w:tc>
        <w:tc>
          <w:tcPr>
            <w:tcW w:w="1469" w:type="dxa"/>
            <w:gridSpan w:val="2"/>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5095" w:type="dxa"/>
            <w:gridSpan w:val="7"/>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合计</w:t>
            </w:r>
          </w:p>
        </w:tc>
        <w:tc>
          <w:tcPr>
            <w:tcW w:w="1397"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b/>
                <w:color w:val="000000"/>
                <w:kern w:val="0"/>
                <w:sz w:val="22"/>
                <w:szCs w:val="24"/>
              </w:rPr>
            </w:pPr>
            <w:r>
              <w:rPr>
                <w:rFonts w:hint="eastAsia" w:ascii="宋体" w:hAnsi="宋体" w:cs="宋体"/>
                <w:b/>
                <w:color w:val="000000"/>
                <w:kern w:val="0"/>
                <w:sz w:val="22"/>
                <w:szCs w:val="24"/>
              </w:rPr>
              <w:t>244.65</w:t>
            </w:r>
          </w:p>
        </w:tc>
        <w:tc>
          <w:tcPr>
            <w:tcW w:w="1397"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b/>
                <w:color w:val="000000"/>
                <w:kern w:val="0"/>
                <w:sz w:val="22"/>
                <w:szCs w:val="24"/>
              </w:rPr>
            </w:pPr>
            <w:r>
              <w:rPr>
                <w:rFonts w:hint="eastAsia" w:ascii="宋体" w:hAnsi="宋体" w:cs="宋体"/>
                <w:b/>
                <w:color w:val="000000"/>
                <w:kern w:val="0"/>
                <w:sz w:val="22"/>
                <w:szCs w:val="24"/>
              </w:rPr>
              <w:t>244.65</w:t>
            </w:r>
          </w:p>
        </w:tc>
        <w:tc>
          <w:tcPr>
            <w:tcW w:w="1397" w:type="dxa"/>
            <w:gridSpan w:val="3"/>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b/>
                <w:color w:val="000000"/>
                <w:kern w:val="0"/>
                <w:sz w:val="22"/>
                <w:szCs w:val="24"/>
              </w:rPr>
            </w:pPr>
            <w:r>
              <w:rPr>
                <w:rFonts w:hint="eastAsia" w:ascii="宋体" w:hAnsi="宋体" w:cs="宋体"/>
                <w:b/>
                <w:color w:val="000000"/>
                <w:kern w:val="0"/>
                <w:sz w:val="22"/>
                <w:szCs w:val="24"/>
              </w:rPr>
              <w:t>0.00</w:t>
            </w:r>
          </w:p>
        </w:tc>
        <w:tc>
          <w:tcPr>
            <w:tcW w:w="1397"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b/>
                <w:color w:val="000000"/>
                <w:kern w:val="0"/>
                <w:sz w:val="22"/>
                <w:szCs w:val="24"/>
              </w:rPr>
            </w:pPr>
            <w:r>
              <w:rPr>
                <w:rFonts w:hint="eastAsia" w:ascii="宋体" w:hAnsi="宋体" w:cs="宋体"/>
                <w:b/>
                <w:color w:val="000000"/>
                <w:kern w:val="0"/>
                <w:sz w:val="22"/>
                <w:szCs w:val="24"/>
              </w:rPr>
              <w:t>0.00</w:t>
            </w:r>
          </w:p>
        </w:tc>
        <w:tc>
          <w:tcPr>
            <w:tcW w:w="1397"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b/>
                <w:color w:val="000000"/>
                <w:kern w:val="0"/>
                <w:sz w:val="22"/>
                <w:szCs w:val="24"/>
              </w:rPr>
            </w:pPr>
            <w:r>
              <w:rPr>
                <w:rFonts w:hint="eastAsia" w:ascii="宋体" w:hAnsi="宋体" w:cs="宋体"/>
                <w:b/>
                <w:color w:val="000000"/>
                <w:kern w:val="0"/>
                <w:sz w:val="22"/>
                <w:szCs w:val="24"/>
              </w:rPr>
              <w:t>0.00</w:t>
            </w:r>
          </w:p>
        </w:tc>
        <w:tc>
          <w:tcPr>
            <w:tcW w:w="1469"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b/>
                <w:color w:val="000000"/>
                <w:kern w:val="0"/>
                <w:sz w:val="22"/>
                <w:szCs w:val="24"/>
              </w:rPr>
            </w:pPr>
            <w:r>
              <w:rPr>
                <w:rFonts w:hint="eastAsia" w:ascii="宋体" w:hAnsi="宋体" w:cs="宋体"/>
                <w:b/>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1048"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208</w:t>
            </w:r>
          </w:p>
        </w:tc>
        <w:tc>
          <w:tcPr>
            <w:tcW w:w="4047" w:type="dxa"/>
            <w:gridSpan w:val="4"/>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社会保障和就业支出</w:t>
            </w:r>
          </w:p>
        </w:tc>
        <w:tc>
          <w:tcPr>
            <w:tcW w:w="1397"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23.15</w:t>
            </w:r>
          </w:p>
        </w:tc>
        <w:tc>
          <w:tcPr>
            <w:tcW w:w="1397"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23.15</w:t>
            </w:r>
          </w:p>
        </w:tc>
        <w:tc>
          <w:tcPr>
            <w:tcW w:w="1397" w:type="dxa"/>
            <w:gridSpan w:val="3"/>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397"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397"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469"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1048"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20805</w:t>
            </w:r>
          </w:p>
        </w:tc>
        <w:tc>
          <w:tcPr>
            <w:tcW w:w="4047" w:type="dxa"/>
            <w:gridSpan w:val="4"/>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行政事业单位离退休</w:t>
            </w:r>
          </w:p>
        </w:tc>
        <w:tc>
          <w:tcPr>
            <w:tcW w:w="1397"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22.70</w:t>
            </w:r>
          </w:p>
        </w:tc>
        <w:tc>
          <w:tcPr>
            <w:tcW w:w="1397"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22.70</w:t>
            </w:r>
          </w:p>
        </w:tc>
        <w:tc>
          <w:tcPr>
            <w:tcW w:w="1397" w:type="dxa"/>
            <w:gridSpan w:val="3"/>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397"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397"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469"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1048"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2080505</w:t>
            </w:r>
          </w:p>
        </w:tc>
        <w:tc>
          <w:tcPr>
            <w:tcW w:w="4047" w:type="dxa"/>
            <w:gridSpan w:val="4"/>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xml:space="preserve">  机关事业单位基本养老保险缴费支出</w:t>
            </w:r>
          </w:p>
        </w:tc>
        <w:tc>
          <w:tcPr>
            <w:tcW w:w="1397"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22.70</w:t>
            </w:r>
          </w:p>
        </w:tc>
        <w:tc>
          <w:tcPr>
            <w:tcW w:w="1397"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22.70</w:t>
            </w:r>
          </w:p>
        </w:tc>
        <w:tc>
          <w:tcPr>
            <w:tcW w:w="1397" w:type="dxa"/>
            <w:gridSpan w:val="3"/>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397"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397"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469"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1048"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20899</w:t>
            </w:r>
          </w:p>
        </w:tc>
        <w:tc>
          <w:tcPr>
            <w:tcW w:w="4047" w:type="dxa"/>
            <w:gridSpan w:val="4"/>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其他社会保障和就业支出</w:t>
            </w:r>
          </w:p>
        </w:tc>
        <w:tc>
          <w:tcPr>
            <w:tcW w:w="1397"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0.45</w:t>
            </w:r>
          </w:p>
        </w:tc>
        <w:tc>
          <w:tcPr>
            <w:tcW w:w="1397"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0.45</w:t>
            </w:r>
          </w:p>
        </w:tc>
        <w:tc>
          <w:tcPr>
            <w:tcW w:w="1397" w:type="dxa"/>
            <w:gridSpan w:val="3"/>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397"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397"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469"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1048"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2089901</w:t>
            </w:r>
          </w:p>
        </w:tc>
        <w:tc>
          <w:tcPr>
            <w:tcW w:w="4047" w:type="dxa"/>
            <w:gridSpan w:val="4"/>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xml:space="preserve">  其他社会保障和就业支出</w:t>
            </w:r>
          </w:p>
        </w:tc>
        <w:tc>
          <w:tcPr>
            <w:tcW w:w="1397"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0.45</w:t>
            </w:r>
          </w:p>
        </w:tc>
        <w:tc>
          <w:tcPr>
            <w:tcW w:w="1397"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0.45</w:t>
            </w:r>
          </w:p>
        </w:tc>
        <w:tc>
          <w:tcPr>
            <w:tcW w:w="1397" w:type="dxa"/>
            <w:gridSpan w:val="3"/>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397"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397"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469"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1048"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210</w:t>
            </w:r>
          </w:p>
        </w:tc>
        <w:tc>
          <w:tcPr>
            <w:tcW w:w="4047" w:type="dxa"/>
            <w:gridSpan w:val="4"/>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医疗卫生与计划生育支出</w:t>
            </w:r>
          </w:p>
        </w:tc>
        <w:tc>
          <w:tcPr>
            <w:tcW w:w="1397"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6.82</w:t>
            </w:r>
          </w:p>
        </w:tc>
        <w:tc>
          <w:tcPr>
            <w:tcW w:w="1397"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6.82</w:t>
            </w:r>
          </w:p>
        </w:tc>
        <w:tc>
          <w:tcPr>
            <w:tcW w:w="1397" w:type="dxa"/>
            <w:gridSpan w:val="3"/>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397"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397"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469"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1048"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21011</w:t>
            </w:r>
          </w:p>
        </w:tc>
        <w:tc>
          <w:tcPr>
            <w:tcW w:w="4047" w:type="dxa"/>
            <w:gridSpan w:val="4"/>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行政事业单位医疗</w:t>
            </w:r>
          </w:p>
        </w:tc>
        <w:tc>
          <w:tcPr>
            <w:tcW w:w="1397"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6.82</w:t>
            </w:r>
          </w:p>
        </w:tc>
        <w:tc>
          <w:tcPr>
            <w:tcW w:w="1397"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6.82</w:t>
            </w:r>
          </w:p>
        </w:tc>
        <w:tc>
          <w:tcPr>
            <w:tcW w:w="1397" w:type="dxa"/>
            <w:gridSpan w:val="3"/>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397"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397"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469"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1048"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2101101</w:t>
            </w:r>
          </w:p>
        </w:tc>
        <w:tc>
          <w:tcPr>
            <w:tcW w:w="4047" w:type="dxa"/>
            <w:gridSpan w:val="4"/>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xml:space="preserve">  行政单位医疗</w:t>
            </w:r>
          </w:p>
        </w:tc>
        <w:tc>
          <w:tcPr>
            <w:tcW w:w="1397"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6.82</w:t>
            </w:r>
          </w:p>
        </w:tc>
        <w:tc>
          <w:tcPr>
            <w:tcW w:w="1397"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6.82</w:t>
            </w:r>
          </w:p>
        </w:tc>
        <w:tc>
          <w:tcPr>
            <w:tcW w:w="1397" w:type="dxa"/>
            <w:gridSpan w:val="3"/>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397"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397"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469"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1048"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215</w:t>
            </w:r>
          </w:p>
        </w:tc>
        <w:tc>
          <w:tcPr>
            <w:tcW w:w="4047" w:type="dxa"/>
            <w:gridSpan w:val="4"/>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资源勘探信息等支出</w:t>
            </w:r>
          </w:p>
        </w:tc>
        <w:tc>
          <w:tcPr>
            <w:tcW w:w="1397"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214.68</w:t>
            </w:r>
          </w:p>
        </w:tc>
        <w:tc>
          <w:tcPr>
            <w:tcW w:w="1397"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214.68</w:t>
            </w:r>
          </w:p>
        </w:tc>
        <w:tc>
          <w:tcPr>
            <w:tcW w:w="1397" w:type="dxa"/>
            <w:gridSpan w:val="3"/>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397"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397"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469"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1048"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21506</w:t>
            </w:r>
          </w:p>
        </w:tc>
        <w:tc>
          <w:tcPr>
            <w:tcW w:w="4047" w:type="dxa"/>
            <w:gridSpan w:val="4"/>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安全生产监管</w:t>
            </w:r>
          </w:p>
        </w:tc>
        <w:tc>
          <w:tcPr>
            <w:tcW w:w="1397"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214.68</w:t>
            </w:r>
          </w:p>
        </w:tc>
        <w:tc>
          <w:tcPr>
            <w:tcW w:w="1397"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214.68</w:t>
            </w:r>
          </w:p>
        </w:tc>
        <w:tc>
          <w:tcPr>
            <w:tcW w:w="1397" w:type="dxa"/>
            <w:gridSpan w:val="3"/>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397"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397"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469"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1048"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2150601</w:t>
            </w:r>
          </w:p>
        </w:tc>
        <w:tc>
          <w:tcPr>
            <w:tcW w:w="4047" w:type="dxa"/>
            <w:gridSpan w:val="4"/>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xml:space="preserve">  行政运行</w:t>
            </w:r>
          </w:p>
        </w:tc>
        <w:tc>
          <w:tcPr>
            <w:tcW w:w="1397"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139.10</w:t>
            </w:r>
          </w:p>
        </w:tc>
        <w:tc>
          <w:tcPr>
            <w:tcW w:w="1397"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139.10</w:t>
            </w:r>
          </w:p>
        </w:tc>
        <w:tc>
          <w:tcPr>
            <w:tcW w:w="1397" w:type="dxa"/>
            <w:gridSpan w:val="3"/>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397"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397"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469"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1048"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2150603</w:t>
            </w:r>
          </w:p>
        </w:tc>
        <w:tc>
          <w:tcPr>
            <w:tcW w:w="4047" w:type="dxa"/>
            <w:gridSpan w:val="4"/>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xml:space="preserve">  机关服务</w:t>
            </w:r>
          </w:p>
        </w:tc>
        <w:tc>
          <w:tcPr>
            <w:tcW w:w="1397"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63.75</w:t>
            </w:r>
          </w:p>
        </w:tc>
        <w:tc>
          <w:tcPr>
            <w:tcW w:w="1397"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63.75</w:t>
            </w:r>
          </w:p>
        </w:tc>
        <w:tc>
          <w:tcPr>
            <w:tcW w:w="1397" w:type="dxa"/>
            <w:gridSpan w:val="3"/>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397"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397"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469"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1048"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2150699</w:t>
            </w:r>
          </w:p>
        </w:tc>
        <w:tc>
          <w:tcPr>
            <w:tcW w:w="4047" w:type="dxa"/>
            <w:gridSpan w:val="4"/>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xml:space="preserve">  其他安全生产监管支出</w:t>
            </w:r>
          </w:p>
        </w:tc>
        <w:tc>
          <w:tcPr>
            <w:tcW w:w="1397"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11.82</w:t>
            </w:r>
          </w:p>
        </w:tc>
        <w:tc>
          <w:tcPr>
            <w:tcW w:w="1397"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11.82</w:t>
            </w:r>
          </w:p>
        </w:tc>
        <w:tc>
          <w:tcPr>
            <w:tcW w:w="1397" w:type="dxa"/>
            <w:gridSpan w:val="3"/>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397"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397"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c>
          <w:tcPr>
            <w:tcW w:w="1469"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13547" w:type="dxa"/>
            <w:gridSpan w:val="18"/>
            <w:tcBorders>
              <w:top w:val="nil"/>
              <w:left w:val="nil"/>
              <w:bottom w:val="nil"/>
              <w:right w:val="nil"/>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注：本表反映部门本年度各项支出情况。本表金额转换为万元时，因四舍五入可能存在尾差。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8" w:type="dxa"/>
          <w:trHeight w:val="246" w:hRule="atLeast"/>
        </w:trPr>
        <w:tc>
          <w:tcPr>
            <w:tcW w:w="12541" w:type="dxa"/>
            <w:gridSpan w:val="17"/>
            <w:tcBorders>
              <w:top w:val="nil"/>
              <w:left w:val="nil"/>
              <w:bottom w:val="nil"/>
              <w:right w:val="nil"/>
              <w:tl2br w:val="nil"/>
              <w:tr2bl w:val="nil"/>
            </w:tcBorders>
            <w:noWrap/>
            <w:vAlign w:val="bottom"/>
          </w:tcPr>
          <w:p>
            <w:pPr>
              <w:widowControl/>
              <w:spacing w:beforeLines="0" w:afterLines="0"/>
              <w:jc w:val="center"/>
              <w:rPr>
                <w:rFonts w:hint="eastAsia" w:cs="宋体"/>
                <w:color w:val="000000"/>
                <w:kern w:val="0"/>
                <w:sz w:val="30"/>
                <w:szCs w:val="24"/>
              </w:rPr>
            </w:pPr>
          </w:p>
          <w:p>
            <w:pPr>
              <w:widowControl/>
              <w:spacing w:beforeLines="0" w:afterLines="0"/>
              <w:jc w:val="center"/>
              <w:rPr>
                <w:rFonts w:hint="eastAsia" w:cs="宋体"/>
                <w:color w:val="000000"/>
                <w:kern w:val="0"/>
                <w:sz w:val="30"/>
                <w:szCs w:val="24"/>
              </w:rPr>
            </w:pPr>
          </w:p>
          <w:p>
            <w:pPr>
              <w:widowControl/>
              <w:spacing w:beforeLines="0" w:afterLines="0"/>
              <w:jc w:val="center"/>
              <w:rPr>
                <w:rFonts w:hint="eastAsia" w:cs="宋体"/>
                <w:color w:val="000000"/>
                <w:kern w:val="0"/>
                <w:sz w:val="30"/>
                <w:szCs w:val="24"/>
              </w:rPr>
            </w:pPr>
          </w:p>
          <w:p>
            <w:pPr>
              <w:widowControl/>
              <w:spacing w:beforeLines="0" w:afterLines="0"/>
              <w:jc w:val="center"/>
              <w:rPr>
                <w:rFonts w:hint="eastAsia" w:cs="宋体"/>
                <w:color w:val="000000"/>
                <w:kern w:val="0"/>
                <w:sz w:val="30"/>
                <w:szCs w:val="24"/>
              </w:rPr>
            </w:pPr>
          </w:p>
          <w:p>
            <w:pPr>
              <w:widowControl/>
              <w:spacing w:beforeLines="0" w:afterLines="0"/>
              <w:jc w:val="center"/>
              <w:rPr>
                <w:rFonts w:hint="eastAsia" w:cs="宋体"/>
                <w:color w:val="000000"/>
                <w:kern w:val="0"/>
                <w:sz w:val="30"/>
                <w:szCs w:val="24"/>
              </w:rPr>
            </w:pPr>
          </w:p>
          <w:p>
            <w:pPr>
              <w:widowControl/>
              <w:spacing w:beforeLines="0" w:afterLines="0"/>
              <w:jc w:val="center"/>
              <w:rPr>
                <w:rFonts w:hint="eastAsia" w:cs="宋体"/>
                <w:color w:val="000000"/>
                <w:kern w:val="0"/>
                <w:sz w:val="30"/>
                <w:szCs w:val="24"/>
              </w:rPr>
            </w:pPr>
          </w:p>
          <w:p>
            <w:pPr>
              <w:widowControl/>
              <w:spacing w:beforeLines="0" w:afterLines="0"/>
              <w:jc w:val="center"/>
              <w:rPr>
                <w:rFonts w:hint="eastAsia" w:cs="宋体"/>
                <w:color w:val="000000"/>
                <w:kern w:val="0"/>
                <w:sz w:val="30"/>
                <w:szCs w:val="24"/>
              </w:rPr>
            </w:pPr>
          </w:p>
          <w:p>
            <w:pPr>
              <w:widowControl/>
              <w:spacing w:beforeLines="0" w:afterLines="0"/>
              <w:jc w:val="center"/>
              <w:rPr>
                <w:rFonts w:hint="default" w:ascii="Arial" w:cs="Arial"/>
                <w:color w:val="000000"/>
                <w:kern w:val="0"/>
                <w:sz w:val="20"/>
                <w:szCs w:val="24"/>
              </w:rPr>
            </w:pPr>
            <w:r>
              <w:rPr>
                <w:rFonts w:hint="eastAsia" w:ascii="宋体" w:hAnsi="宋体" w:cs="宋体"/>
                <w:color w:val="000000"/>
                <w:kern w:val="0"/>
                <w:sz w:val="30"/>
                <w:szCs w:val="24"/>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8" w:type="dxa"/>
          <w:trHeight w:val="161" w:hRule="atLeast"/>
        </w:trPr>
        <w:tc>
          <w:tcPr>
            <w:tcW w:w="3060" w:type="dxa"/>
            <w:gridSpan w:val="4"/>
            <w:tcBorders>
              <w:top w:val="nil"/>
              <w:left w:val="nil"/>
              <w:bottom w:val="nil"/>
              <w:right w:val="nil"/>
              <w:tl2br w:val="nil"/>
              <w:tr2bl w:val="nil"/>
            </w:tcBorders>
            <w:noWrap/>
            <w:vAlign w:val="bottom"/>
          </w:tcPr>
          <w:p>
            <w:pPr>
              <w:widowControl/>
              <w:spacing w:beforeLines="0" w:afterLines="0"/>
              <w:jc w:val="center"/>
              <w:rPr>
                <w:rFonts w:hint="default" w:ascii="Arial" w:cs="Arial"/>
                <w:color w:val="000000"/>
                <w:kern w:val="0"/>
                <w:sz w:val="20"/>
                <w:szCs w:val="24"/>
              </w:rPr>
            </w:pPr>
          </w:p>
        </w:tc>
        <w:tc>
          <w:tcPr>
            <w:tcW w:w="596" w:type="dxa"/>
            <w:tcBorders>
              <w:top w:val="nil"/>
              <w:left w:val="nil"/>
              <w:bottom w:val="nil"/>
              <w:right w:val="nil"/>
              <w:tl2br w:val="nil"/>
              <w:tr2bl w:val="nil"/>
            </w:tcBorders>
            <w:noWrap/>
            <w:vAlign w:val="bottom"/>
          </w:tcPr>
          <w:p>
            <w:pPr>
              <w:widowControl/>
              <w:spacing w:beforeLines="0" w:afterLines="0"/>
              <w:jc w:val="center"/>
              <w:rPr>
                <w:rFonts w:hint="default" w:ascii="Arial" w:cs="Arial"/>
                <w:color w:val="000000"/>
                <w:kern w:val="0"/>
                <w:sz w:val="20"/>
                <w:szCs w:val="24"/>
              </w:rPr>
            </w:pPr>
          </w:p>
        </w:tc>
        <w:tc>
          <w:tcPr>
            <w:tcW w:w="1192" w:type="dxa"/>
            <w:tcBorders>
              <w:top w:val="nil"/>
              <w:left w:val="nil"/>
              <w:bottom w:val="nil"/>
              <w:right w:val="nil"/>
              <w:tl2br w:val="nil"/>
              <w:tr2bl w:val="nil"/>
            </w:tcBorders>
            <w:noWrap/>
            <w:vAlign w:val="bottom"/>
          </w:tcPr>
          <w:p>
            <w:pPr>
              <w:widowControl/>
              <w:spacing w:beforeLines="0" w:afterLines="0"/>
              <w:jc w:val="center"/>
              <w:rPr>
                <w:rFonts w:hint="default" w:ascii="Arial" w:cs="Arial"/>
                <w:color w:val="000000"/>
                <w:kern w:val="0"/>
                <w:sz w:val="20"/>
                <w:szCs w:val="24"/>
              </w:rPr>
            </w:pPr>
          </w:p>
        </w:tc>
        <w:tc>
          <w:tcPr>
            <w:tcW w:w="3184" w:type="dxa"/>
            <w:gridSpan w:val="4"/>
            <w:tcBorders>
              <w:top w:val="nil"/>
              <w:left w:val="nil"/>
              <w:bottom w:val="nil"/>
              <w:right w:val="nil"/>
              <w:tl2br w:val="nil"/>
              <w:tr2bl w:val="nil"/>
            </w:tcBorders>
            <w:noWrap/>
            <w:vAlign w:val="bottom"/>
          </w:tcPr>
          <w:p>
            <w:pPr>
              <w:widowControl/>
              <w:spacing w:beforeLines="0" w:afterLines="0"/>
              <w:jc w:val="center"/>
              <w:rPr>
                <w:rFonts w:hint="default" w:ascii="Arial" w:cs="Arial"/>
                <w:color w:val="000000"/>
                <w:kern w:val="0"/>
                <w:sz w:val="20"/>
                <w:szCs w:val="24"/>
              </w:rPr>
            </w:pPr>
          </w:p>
        </w:tc>
        <w:tc>
          <w:tcPr>
            <w:tcW w:w="596" w:type="dxa"/>
            <w:tcBorders>
              <w:top w:val="nil"/>
              <w:left w:val="nil"/>
              <w:bottom w:val="nil"/>
              <w:right w:val="nil"/>
              <w:tl2br w:val="nil"/>
              <w:tr2bl w:val="nil"/>
            </w:tcBorders>
            <w:noWrap/>
            <w:vAlign w:val="bottom"/>
          </w:tcPr>
          <w:p>
            <w:pPr>
              <w:widowControl/>
              <w:spacing w:beforeLines="0" w:afterLines="0"/>
              <w:jc w:val="center"/>
              <w:rPr>
                <w:rFonts w:hint="default" w:ascii="Arial" w:cs="Arial"/>
                <w:color w:val="000000"/>
                <w:kern w:val="0"/>
                <w:sz w:val="20"/>
                <w:szCs w:val="24"/>
              </w:rPr>
            </w:pPr>
          </w:p>
        </w:tc>
        <w:tc>
          <w:tcPr>
            <w:tcW w:w="1110" w:type="dxa"/>
            <w:gridSpan w:val="2"/>
            <w:tcBorders>
              <w:top w:val="nil"/>
              <w:left w:val="nil"/>
              <w:bottom w:val="nil"/>
              <w:right w:val="nil"/>
              <w:tl2br w:val="nil"/>
              <w:tr2bl w:val="nil"/>
            </w:tcBorders>
            <w:noWrap/>
            <w:vAlign w:val="bottom"/>
          </w:tcPr>
          <w:p>
            <w:pPr>
              <w:widowControl/>
              <w:spacing w:beforeLines="0" w:afterLines="0"/>
              <w:jc w:val="center"/>
              <w:rPr>
                <w:rFonts w:hint="default" w:ascii="Arial" w:cs="Arial"/>
                <w:color w:val="000000"/>
                <w:kern w:val="0"/>
                <w:sz w:val="20"/>
                <w:szCs w:val="24"/>
              </w:rPr>
            </w:pPr>
          </w:p>
        </w:tc>
        <w:tc>
          <w:tcPr>
            <w:tcW w:w="1335" w:type="dxa"/>
            <w:gridSpan w:val="2"/>
            <w:tcBorders>
              <w:top w:val="nil"/>
              <w:left w:val="nil"/>
              <w:bottom w:val="nil"/>
              <w:right w:val="nil"/>
              <w:tl2br w:val="nil"/>
              <w:tr2bl w:val="nil"/>
            </w:tcBorders>
            <w:noWrap/>
            <w:vAlign w:val="bottom"/>
          </w:tcPr>
          <w:p>
            <w:pPr>
              <w:widowControl/>
              <w:spacing w:beforeLines="0" w:afterLines="0"/>
              <w:jc w:val="center"/>
              <w:rPr>
                <w:rFonts w:hint="default" w:ascii="Arial" w:cs="Arial"/>
                <w:color w:val="000000"/>
                <w:kern w:val="0"/>
                <w:sz w:val="20"/>
                <w:szCs w:val="24"/>
              </w:rPr>
            </w:pPr>
          </w:p>
        </w:tc>
        <w:tc>
          <w:tcPr>
            <w:tcW w:w="1468" w:type="dxa"/>
            <w:gridSpan w:val="2"/>
            <w:tcBorders>
              <w:top w:val="nil"/>
              <w:left w:val="nil"/>
              <w:bottom w:val="nil"/>
              <w:right w:val="nil"/>
              <w:tl2br w:val="nil"/>
              <w:tr2bl w:val="nil"/>
            </w:tcBorders>
            <w:noWrap/>
            <w:vAlign w:val="bottom"/>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8" w:type="dxa"/>
          <w:trHeight w:val="161" w:hRule="atLeast"/>
        </w:trPr>
        <w:tc>
          <w:tcPr>
            <w:tcW w:w="3656" w:type="dxa"/>
            <w:gridSpan w:val="5"/>
            <w:tcBorders>
              <w:top w:val="nil"/>
              <w:left w:val="nil"/>
              <w:bottom w:val="nil"/>
              <w:right w:val="nil"/>
              <w:tl2br w:val="nil"/>
              <w:tr2bl w:val="nil"/>
            </w:tcBorders>
            <w:noWrap/>
            <w:vAlign w:val="bottom"/>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部门：延津县安全生产监督管理局</w:t>
            </w:r>
          </w:p>
        </w:tc>
        <w:tc>
          <w:tcPr>
            <w:tcW w:w="1192" w:type="dxa"/>
            <w:tcBorders>
              <w:top w:val="nil"/>
              <w:left w:val="nil"/>
              <w:bottom w:val="nil"/>
              <w:right w:val="nil"/>
              <w:tl2br w:val="nil"/>
              <w:tr2bl w:val="nil"/>
            </w:tcBorders>
            <w:noWrap/>
            <w:vAlign w:val="bottom"/>
          </w:tcPr>
          <w:p>
            <w:pPr>
              <w:widowControl/>
              <w:spacing w:beforeLines="0" w:afterLines="0"/>
              <w:jc w:val="center"/>
              <w:rPr>
                <w:rFonts w:hint="default" w:ascii="Arial" w:cs="Arial"/>
                <w:color w:val="000000"/>
                <w:kern w:val="0"/>
                <w:sz w:val="20"/>
                <w:szCs w:val="24"/>
              </w:rPr>
            </w:pPr>
          </w:p>
        </w:tc>
        <w:tc>
          <w:tcPr>
            <w:tcW w:w="3184" w:type="dxa"/>
            <w:gridSpan w:val="4"/>
            <w:tcBorders>
              <w:top w:val="nil"/>
              <w:left w:val="nil"/>
              <w:bottom w:val="nil"/>
              <w:right w:val="nil"/>
              <w:tl2br w:val="nil"/>
              <w:tr2bl w:val="nil"/>
            </w:tcBorders>
            <w:noWrap/>
            <w:vAlign w:val="bottom"/>
          </w:tcPr>
          <w:p>
            <w:pPr>
              <w:widowControl/>
              <w:spacing w:beforeLines="0" w:afterLines="0"/>
              <w:jc w:val="center"/>
              <w:rPr>
                <w:rFonts w:hint="default" w:ascii="Arial" w:cs="Arial"/>
                <w:color w:val="000000"/>
                <w:kern w:val="0"/>
                <w:sz w:val="20"/>
                <w:szCs w:val="24"/>
              </w:rPr>
            </w:pPr>
          </w:p>
        </w:tc>
        <w:tc>
          <w:tcPr>
            <w:tcW w:w="596" w:type="dxa"/>
            <w:tcBorders>
              <w:top w:val="nil"/>
              <w:left w:val="nil"/>
              <w:bottom w:val="nil"/>
              <w:right w:val="nil"/>
              <w:tl2br w:val="nil"/>
              <w:tr2bl w:val="nil"/>
            </w:tcBorders>
            <w:noWrap/>
            <w:vAlign w:val="bottom"/>
          </w:tcPr>
          <w:p>
            <w:pPr>
              <w:widowControl/>
              <w:spacing w:beforeLines="0" w:afterLines="0"/>
              <w:jc w:val="center"/>
              <w:rPr>
                <w:rFonts w:hint="default" w:ascii="Arial" w:cs="Arial"/>
                <w:color w:val="000000"/>
                <w:kern w:val="0"/>
                <w:sz w:val="20"/>
                <w:szCs w:val="24"/>
              </w:rPr>
            </w:pPr>
          </w:p>
        </w:tc>
        <w:tc>
          <w:tcPr>
            <w:tcW w:w="1110" w:type="dxa"/>
            <w:gridSpan w:val="2"/>
            <w:tcBorders>
              <w:top w:val="nil"/>
              <w:left w:val="nil"/>
              <w:bottom w:val="nil"/>
              <w:right w:val="nil"/>
              <w:tl2br w:val="nil"/>
              <w:tr2bl w:val="nil"/>
            </w:tcBorders>
            <w:noWrap/>
            <w:vAlign w:val="bottom"/>
          </w:tcPr>
          <w:p>
            <w:pPr>
              <w:widowControl/>
              <w:spacing w:beforeLines="0" w:afterLines="0"/>
              <w:jc w:val="center"/>
              <w:rPr>
                <w:rFonts w:hint="default" w:ascii="Arial" w:cs="Arial"/>
                <w:color w:val="000000"/>
                <w:kern w:val="0"/>
                <w:sz w:val="20"/>
                <w:szCs w:val="24"/>
              </w:rPr>
            </w:pPr>
          </w:p>
        </w:tc>
        <w:tc>
          <w:tcPr>
            <w:tcW w:w="1335" w:type="dxa"/>
            <w:gridSpan w:val="2"/>
            <w:tcBorders>
              <w:top w:val="nil"/>
              <w:left w:val="nil"/>
              <w:bottom w:val="nil"/>
              <w:right w:val="nil"/>
              <w:tl2br w:val="nil"/>
              <w:tr2bl w:val="nil"/>
            </w:tcBorders>
            <w:noWrap/>
            <w:vAlign w:val="bottom"/>
          </w:tcPr>
          <w:p>
            <w:pPr>
              <w:widowControl/>
              <w:spacing w:beforeLines="0" w:afterLines="0"/>
              <w:jc w:val="center"/>
              <w:rPr>
                <w:rFonts w:hint="default" w:ascii="Arial" w:cs="Arial"/>
                <w:color w:val="000000"/>
                <w:kern w:val="0"/>
                <w:sz w:val="20"/>
                <w:szCs w:val="24"/>
              </w:rPr>
            </w:pPr>
          </w:p>
        </w:tc>
        <w:tc>
          <w:tcPr>
            <w:tcW w:w="1468" w:type="dxa"/>
            <w:gridSpan w:val="2"/>
            <w:tcBorders>
              <w:top w:val="nil"/>
              <w:left w:val="nil"/>
              <w:bottom w:val="nil"/>
              <w:right w:val="nil"/>
              <w:tl2br w:val="nil"/>
              <w:tr2bl w:val="nil"/>
            </w:tcBorders>
            <w:noWrap/>
            <w:vAlign w:val="bottom"/>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8" w:type="dxa"/>
          <w:trHeight w:val="194" w:hRule="atLeast"/>
        </w:trPr>
        <w:tc>
          <w:tcPr>
            <w:tcW w:w="4848" w:type="dxa"/>
            <w:gridSpan w:val="6"/>
            <w:tcBorders>
              <w:top w:val="single" w:color="000000" w:sz="4" w:space="0"/>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收     入</w:t>
            </w:r>
          </w:p>
        </w:tc>
        <w:tc>
          <w:tcPr>
            <w:tcW w:w="7693" w:type="dxa"/>
            <w:gridSpan w:val="11"/>
            <w:tcBorders>
              <w:top w:val="single" w:color="000000" w:sz="4" w:space="0"/>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8" w:type="dxa"/>
          <w:trHeight w:val="292" w:hRule="atLeast"/>
        </w:trPr>
        <w:tc>
          <w:tcPr>
            <w:tcW w:w="3060" w:type="dxa"/>
            <w:gridSpan w:val="4"/>
            <w:vMerge w:val="restart"/>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项目</w:t>
            </w:r>
          </w:p>
        </w:tc>
        <w:tc>
          <w:tcPr>
            <w:tcW w:w="596" w:type="dxa"/>
            <w:vMerge w:val="restart"/>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行次</w:t>
            </w:r>
          </w:p>
        </w:tc>
        <w:tc>
          <w:tcPr>
            <w:tcW w:w="1192" w:type="dxa"/>
            <w:vMerge w:val="restart"/>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金额</w:t>
            </w:r>
          </w:p>
        </w:tc>
        <w:tc>
          <w:tcPr>
            <w:tcW w:w="3184" w:type="dxa"/>
            <w:gridSpan w:val="4"/>
            <w:vMerge w:val="restart"/>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项目</w:t>
            </w:r>
          </w:p>
        </w:tc>
        <w:tc>
          <w:tcPr>
            <w:tcW w:w="596" w:type="dxa"/>
            <w:vMerge w:val="restart"/>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行次</w:t>
            </w:r>
          </w:p>
        </w:tc>
        <w:tc>
          <w:tcPr>
            <w:tcW w:w="1110" w:type="dxa"/>
            <w:gridSpan w:val="2"/>
            <w:vMerge w:val="restart"/>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合计</w:t>
            </w:r>
          </w:p>
        </w:tc>
        <w:tc>
          <w:tcPr>
            <w:tcW w:w="1335" w:type="dxa"/>
            <w:gridSpan w:val="2"/>
            <w:vMerge w:val="restart"/>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一般公共预算财政拨款</w:t>
            </w:r>
          </w:p>
        </w:tc>
        <w:tc>
          <w:tcPr>
            <w:tcW w:w="1468" w:type="dxa"/>
            <w:gridSpan w:val="2"/>
            <w:vMerge w:val="restart"/>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8" w:type="dxa"/>
          <w:trHeight w:val="292" w:hRule="atLeast"/>
        </w:trPr>
        <w:tc>
          <w:tcPr>
            <w:tcW w:w="3060" w:type="dxa"/>
            <w:gridSpan w:val="4"/>
            <w:vMerge w:val="continue"/>
            <w:tcBorders>
              <w:top w:val="nil"/>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rPr>
                <w:rFonts w:hint="eastAsia" w:cs="宋体"/>
                <w:color w:val="000000"/>
                <w:kern w:val="0"/>
                <w:sz w:val="20"/>
                <w:szCs w:val="24"/>
              </w:rPr>
            </w:pPr>
          </w:p>
        </w:tc>
        <w:tc>
          <w:tcPr>
            <w:tcW w:w="596" w:type="dxa"/>
            <w:vMerge w:val="continue"/>
            <w:tcBorders>
              <w:top w:val="nil"/>
              <w:left w:val="nil"/>
              <w:bottom w:val="single" w:color="000000" w:sz="4" w:space="0"/>
              <w:right w:val="single" w:color="000000" w:sz="4" w:space="0"/>
              <w:tl2br w:val="nil"/>
              <w:tr2bl w:val="nil"/>
            </w:tcBorders>
            <w:noWrap w:val="0"/>
            <w:vAlign w:val="center"/>
          </w:tcPr>
          <w:p>
            <w:pPr>
              <w:widowControl/>
              <w:spacing w:beforeLines="0" w:afterLines="0"/>
              <w:jc w:val="center"/>
              <w:rPr>
                <w:rFonts w:hint="eastAsia" w:cs="宋体"/>
                <w:color w:val="000000"/>
                <w:kern w:val="0"/>
                <w:sz w:val="20"/>
                <w:szCs w:val="24"/>
              </w:rPr>
            </w:pPr>
          </w:p>
        </w:tc>
        <w:tc>
          <w:tcPr>
            <w:tcW w:w="1192" w:type="dxa"/>
            <w:vMerge w:val="continue"/>
            <w:tcBorders>
              <w:top w:val="nil"/>
              <w:left w:val="nil"/>
              <w:bottom w:val="single" w:color="000000" w:sz="4" w:space="0"/>
              <w:right w:val="single" w:color="000000" w:sz="4" w:space="0"/>
              <w:tl2br w:val="nil"/>
              <w:tr2bl w:val="nil"/>
            </w:tcBorders>
            <w:noWrap w:val="0"/>
            <w:vAlign w:val="center"/>
          </w:tcPr>
          <w:p>
            <w:pPr>
              <w:widowControl/>
              <w:spacing w:beforeLines="0" w:afterLines="0"/>
              <w:jc w:val="center"/>
              <w:rPr>
                <w:rFonts w:hint="eastAsia" w:cs="宋体"/>
                <w:color w:val="000000"/>
                <w:kern w:val="0"/>
                <w:sz w:val="20"/>
                <w:szCs w:val="24"/>
              </w:rPr>
            </w:pPr>
          </w:p>
        </w:tc>
        <w:tc>
          <w:tcPr>
            <w:tcW w:w="3184" w:type="dxa"/>
            <w:gridSpan w:val="4"/>
            <w:vMerge w:val="continue"/>
            <w:tcBorders>
              <w:top w:val="nil"/>
              <w:left w:val="nil"/>
              <w:bottom w:val="single" w:color="000000" w:sz="4" w:space="0"/>
              <w:right w:val="single" w:color="000000" w:sz="4" w:space="0"/>
              <w:tl2br w:val="nil"/>
              <w:tr2bl w:val="nil"/>
            </w:tcBorders>
            <w:noWrap w:val="0"/>
            <w:vAlign w:val="center"/>
          </w:tcPr>
          <w:p>
            <w:pPr>
              <w:widowControl/>
              <w:spacing w:beforeLines="0" w:afterLines="0"/>
              <w:jc w:val="center"/>
              <w:rPr>
                <w:rFonts w:hint="eastAsia" w:cs="宋体"/>
                <w:color w:val="000000"/>
                <w:kern w:val="0"/>
                <w:sz w:val="20"/>
                <w:szCs w:val="24"/>
              </w:rPr>
            </w:pPr>
          </w:p>
        </w:tc>
        <w:tc>
          <w:tcPr>
            <w:tcW w:w="596" w:type="dxa"/>
            <w:vMerge w:val="continue"/>
            <w:tcBorders>
              <w:top w:val="nil"/>
              <w:left w:val="nil"/>
              <w:bottom w:val="single" w:color="000000" w:sz="4" w:space="0"/>
              <w:right w:val="single" w:color="000000" w:sz="4" w:space="0"/>
              <w:tl2br w:val="nil"/>
              <w:tr2bl w:val="nil"/>
            </w:tcBorders>
            <w:noWrap w:val="0"/>
            <w:vAlign w:val="center"/>
          </w:tcPr>
          <w:p>
            <w:pPr>
              <w:widowControl/>
              <w:spacing w:beforeLines="0" w:afterLines="0"/>
              <w:jc w:val="center"/>
              <w:rPr>
                <w:rFonts w:hint="eastAsia" w:cs="宋体"/>
                <w:color w:val="000000"/>
                <w:kern w:val="0"/>
                <w:sz w:val="20"/>
                <w:szCs w:val="24"/>
              </w:rPr>
            </w:pPr>
          </w:p>
        </w:tc>
        <w:tc>
          <w:tcPr>
            <w:tcW w:w="1110" w:type="dxa"/>
            <w:gridSpan w:val="2"/>
            <w:vMerge w:val="continue"/>
            <w:tcBorders>
              <w:top w:val="nil"/>
              <w:left w:val="nil"/>
              <w:bottom w:val="single" w:color="000000" w:sz="4" w:space="0"/>
              <w:right w:val="single" w:color="000000" w:sz="4" w:space="0"/>
              <w:tl2br w:val="nil"/>
              <w:tr2bl w:val="nil"/>
            </w:tcBorders>
            <w:noWrap w:val="0"/>
            <w:vAlign w:val="center"/>
          </w:tcPr>
          <w:p>
            <w:pPr>
              <w:widowControl/>
              <w:spacing w:beforeLines="0" w:afterLines="0"/>
              <w:jc w:val="center"/>
              <w:rPr>
                <w:rFonts w:hint="eastAsia" w:cs="宋体"/>
                <w:color w:val="000000"/>
                <w:kern w:val="0"/>
                <w:sz w:val="20"/>
                <w:szCs w:val="24"/>
              </w:rPr>
            </w:pPr>
          </w:p>
        </w:tc>
        <w:tc>
          <w:tcPr>
            <w:tcW w:w="1335" w:type="dxa"/>
            <w:gridSpan w:val="2"/>
            <w:vMerge w:val="continue"/>
            <w:tcBorders>
              <w:top w:val="nil"/>
              <w:left w:val="nil"/>
              <w:bottom w:val="single" w:color="000000" w:sz="4" w:space="0"/>
              <w:right w:val="single" w:color="000000" w:sz="4" w:space="0"/>
              <w:tl2br w:val="nil"/>
              <w:tr2bl w:val="nil"/>
            </w:tcBorders>
            <w:noWrap w:val="0"/>
            <w:vAlign w:val="center"/>
          </w:tcPr>
          <w:p>
            <w:pPr>
              <w:widowControl/>
              <w:spacing w:beforeLines="0" w:afterLines="0"/>
              <w:jc w:val="center"/>
              <w:rPr>
                <w:rFonts w:hint="eastAsia" w:cs="宋体"/>
                <w:color w:val="000000"/>
                <w:kern w:val="0"/>
                <w:sz w:val="20"/>
                <w:szCs w:val="24"/>
              </w:rPr>
            </w:pPr>
          </w:p>
        </w:tc>
        <w:tc>
          <w:tcPr>
            <w:tcW w:w="1468" w:type="dxa"/>
            <w:gridSpan w:val="2"/>
            <w:vMerge w:val="continue"/>
            <w:tcBorders>
              <w:top w:val="nil"/>
              <w:left w:val="nil"/>
              <w:bottom w:val="single" w:color="000000" w:sz="4" w:space="0"/>
              <w:right w:val="single" w:color="000000" w:sz="4" w:space="0"/>
              <w:tl2br w:val="nil"/>
              <w:tr2bl w:val="nil"/>
            </w:tcBorders>
            <w:noWrap w:val="0"/>
            <w:vAlign w:val="center"/>
          </w:tcPr>
          <w:p>
            <w:pPr>
              <w:widowControl/>
              <w:spacing w:beforeLines="0" w:afterLines="0"/>
              <w:jc w:val="center"/>
              <w:rPr>
                <w:rFonts w:hint="eastAsia" w:cs="宋体"/>
                <w:color w:val="000000"/>
                <w:kern w:val="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8" w:type="dxa"/>
          <w:trHeight w:val="151" w:hRule="atLeast"/>
        </w:trPr>
        <w:tc>
          <w:tcPr>
            <w:tcW w:w="3060" w:type="dxa"/>
            <w:gridSpan w:val="4"/>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栏次</w:t>
            </w: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p>
        </w:tc>
        <w:tc>
          <w:tcPr>
            <w:tcW w:w="1192"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1</w:t>
            </w:r>
          </w:p>
        </w:tc>
        <w:tc>
          <w:tcPr>
            <w:tcW w:w="3184" w:type="dxa"/>
            <w:gridSpan w:val="4"/>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栏次</w:t>
            </w: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p>
        </w:tc>
        <w:tc>
          <w:tcPr>
            <w:tcW w:w="1110" w:type="dxa"/>
            <w:gridSpan w:val="2"/>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2</w:t>
            </w:r>
          </w:p>
        </w:tc>
        <w:tc>
          <w:tcPr>
            <w:tcW w:w="1335" w:type="dxa"/>
            <w:gridSpan w:val="2"/>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3</w:t>
            </w:r>
          </w:p>
        </w:tc>
        <w:tc>
          <w:tcPr>
            <w:tcW w:w="1468" w:type="dxa"/>
            <w:gridSpan w:val="2"/>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8" w:type="dxa"/>
          <w:trHeight w:val="151" w:hRule="atLeast"/>
        </w:trPr>
        <w:tc>
          <w:tcPr>
            <w:tcW w:w="3060" w:type="dxa"/>
            <w:gridSpan w:val="4"/>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一、一般公共预算财政拨款</w:t>
            </w: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1</w:t>
            </w:r>
          </w:p>
        </w:tc>
        <w:tc>
          <w:tcPr>
            <w:tcW w:w="1192"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241.00</w:t>
            </w:r>
          </w:p>
        </w:tc>
        <w:tc>
          <w:tcPr>
            <w:tcW w:w="3184" w:type="dxa"/>
            <w:gridSpan w:val="4"/>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一、一般公共服务支出</w:t>
            </w: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28</w:t>
            </w:r>
          </w:p>
        </w:tc>
        <w:tc>
          <w:tcPr>
            <w:tcW w:w="111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c>
          <w:tcPr>
            <w:tcW w:w="1335"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c>
          <w:tcPr>
            <w:tcW w:w="1468"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8" w:type="dxa"/>
          <w:trHeight w:val="151" w:hRule="atLeast"/>
        </w:trPr>
        <w:tc>
          <w:tcPr>
            <w:tcW w:w="3060" w:type="dxa"/>
            <w:gridSpan w:val="4"/>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二、政府性基金预算财政拨款</w:t>
            </w: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2</w:t>
            </w:r>
          </w:p>
        </w:tc>
        <w:tc>
          <w:tcPr>
            <w:tcW w:w="1192"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c>
          <w:tcPr>
            <w:tcW w:w="3184" w:type="dxa"/>
            <w:gridSpan w:val="4"/>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二、外交支出</w:t>
            </w: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29</w:t>
            </w:r>
          </w:p>
        </w:tc>
        <w:tc>
          <w:tcPr>
            <w:tcW w:w="111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c>
          <w:tcPr>
            <w:tcW w:w="1335"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c>
          <w:tcPr>
            <w:tcW w:w="1468"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8" w:type="dxa"/>
          <w:trHeight w:val="151" w:hRule="atLeast"/>
        </w:trPr>
        <w:tc>
          <w:tcPr>
            <w:tcW w:w="3060" w:type="dxa"/>
            <w:gridSpan w:val="4"/>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3</w:t>
            </w:r>
          </w:p>
        </w:tc>
        <w:tc>
          <w:tcPr>
            <w:tcW w:w="1192"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center"/>
              <w:rPr>
                <w:rFonts w:hint="eastAsia" w:ascii="宋体" w:hAnsi="宋体" w:cs="宋体"/>
                <w:color w:val="000000"/>
                <w:kern w:val="0"/>
                <w:sz w:val="20"/>
                <w:szCs w:val="24"/>
              </w:rPr>
            </w:pPr>
          </w:p>
        </w:tc>
        <w:tc>
          <w:tcPr>
            <w:tcW w:w="3184" w:type="dxa"/>
            <w:gridSpan w:val="4"/>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三、国防支出</w:t>
            </w: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30</w:t>
            </w:r>
          </w:p>
        </w:tc>
        <w:tc>
          <w:tcPr>
            <w:tcW w:w="111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c>
          <w:tcPr>
            <w:tcW w:w="1335"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c>
          <w:tcPr>
            <w:tcW w:w="1468"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8" w:type="dxa"/>
          <w:trHeight w:val="151" w:hRule="atLeast"/>
        </w:trPr>
        <w:tc>
          <w:tcPr>
            <w:tcW w:w="3060" w:type="dxa"/>
            <w:gridSpan w:val="4"/>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4</w:t>
            </w:r>
          </w:p>
        </w:tc>
        <w:tc>
          <w:tcPr>
            <w:tcW w:w="1192"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center"/>
              <w:rPr>
                <w:rFonts w:hint="eastAsia" w:ascii="宋体" w:hAnsi="宋体" w:cs="宋体"/>
                <w:color w:val="000000"/>
                <w:kern w:val="0"/>
                <w:sz w:val="20"/>
                <w:szCs w:val="24"/>
              </w:rPr>
            </w:pPr>
          </w:p>
        </w:tc>
        <w:tc>
          <w:tcPr>
            <w:tcW w:w="3184" w:type="dxa"/>
            <w:gridSpan w:val="4"/>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四、公共安全支出</w:t>
            </w: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31</w:t>
            </w:r>
          </w:p>
        </w:tc>
        <w:tc>
          <w:tcPr>
            <w:tcW w:w="111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c>
          <w:tcPr>
            <w:tcW w:w="1335"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c>
          <w:tcPr>
            <w:tcW w:w="1468"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8" w:type="dxa"/>
          <w:trHeight w:val="151" w:hRule="atLeast"/>
        </w:trPr>
        <w:tc>
          <w:tcPr>
            <w:tcW w:w="3060" w:type="dxa"/>
            <w:gridSpan w:val="4"/>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5</w:t>
            </w:r>
          </w:p>
        </w:tc>
        <w:tc>
          <w:tcPr>
            <w:tcW w:w="1192"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center"/>
              <w:rPr>
                <w:rFonts w:hint="eastAsia" w:ascii="宋体" w:hAnsi="宋体" w:cs="宋体"/>
                <w:color w:val="000000"/>
                <w:kern w:val="0"/>
                <w:sz w:val="20"/>
                <w:szCs w:val="24"/>
              </w:rPr>
            </w:pPr>
          </w:p>
        </w:tc>
        <w:tc>
          <w:tcPr>
            <w:tcW w:w="3184" w:type="dxa"/>
            <w:gridSpan w:val="4"/>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五、教育支出</w:t>
            </w: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32</w:t>
            </w:r>
          </w:p>
        </w:tc>
        <w:tc>
          <w:tcPr>
            <w:tcW w:w="111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c>
          <w:tcPr>
            <w:tcW w:w="1335"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c>
          <w:tcPr>
            <w:tcW w:w="1468"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8" w:type="dxa"/>
          <w:trHeight w:val="151" w:hRule="atLeast"/>
        </w:trPr>
        <w:tc>
          <w:tcPr>
            <w:tcW w:w="3060" w:type="dxa"/>
            <w:gridSpan w:val="4"/>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6</w:t>
            </w:r>
          </w:p>
        </w:tc>
        <w:tc>
          <w:tcPr>
            <w:tcW w:w="1192"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center"/>
              <w:rPr>
                <w:rFonts w:hint="eastAsia" w:ascii="宋体" w:hAnsi="宋体" w:cs="宋体"/>
                <w:color w:val="000000"/>
                <w:kern w:val="0"/>
                <w:sz w:val="20"/>
                <w:szCs w:val="24"/>
              </w:rPr>
            </w:pPr>
          </w:p>
        </w:tc>
        <w:tc>
          <w:tcPr>
            <w:tcW w:w="3184" w:type="dxa"/>
            <w:gridSpan w:val="4"/>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六、科学技术支出</w:t>
            </w: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33</w:t>
            </w:r>
          </w:p>
        </w:tc>
        <w:tc>
          <w:tcPr>
            <w:tcW w:w="111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c>
          <w:tcPr>
            <w:tcW w:w="1335"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c>
          <w:tcPr>
            <w:tcW w:w="1468"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8" w:type="dxa"/>
          <w:trHeight w:val="151" w:hRule="atLeast"/>
        </w:trPr>
        <w:tc>
          <w:tcPr>
            <w:tcW w:w="3060" w:type="dxa"/>
            <w:gridSpan w:val="4"/>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7</w:t>
            </w:r>
          </w:p>
        </w:tc>
        <w:tc>
          <w:tcPr>
            <w:tcW w:w="1192"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center"/>
              <w:rPr>
                <w:rFonts w:hint="eastAsia" w:ascii="宋体" w:hAnsi="宋体" w:cs="宋体"/>
                <w:color w:val="000000"/>
                <w:kern w:val="0"/>
                <w:sz w:val="20"/>
                <w:szCs w:val="24"/>
              </w:rPr>
            </w:pPr>
          </w:p>
        </w:tc>
        <w:tc>
          <w:tcPr>
            <w:tcW w:w="3184" w:type="dxa"/>
            <w:gridSpan w:val="4"/>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七、文化体育与传媒支出</w:t>
            </w: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34</w:t>
            </w:r>
          </w:p>
        </w:tc>
        <w:tc>
          <w:tcPr>
            <w:tcW w:w="111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c>
          <w:tcPr>
            <w:tcW w:w="1335"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c>
          <w:tcPr>
            <w:tcW w:w="1468"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8" w:type="dxa"/>
          <w:trHeight w:val="151" w:hRule="atLeast"/>
        </w:trPr>
        <w:tc>
          <w:tcPr>
            <w:tcW w:w="3060" w:type="dxa"/>
            <w:gridSpan w:val="4"/>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8</w:t>
            </w:r>
          </w:p>
        </w:tc>
        <w:tc>
          <w:tcPr>
            <w:tcW w:w="1192"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center"/>
              <w:rPr>
                <w:rFonts w:hint="eastAsia" w:ascii="宋体" w:hAnsi="宋体" w:cs="宋体"/>
                <w:color w:val="000000"/>
                <w:kern w:val="0"/>
                <w:sz w:val="20"/>
                <w:szCs w:val="24"/>
              </w:rPr>
            </w:pPr>
          </w:p>
        </w:tc>
        <w:tc>
          <w:tcPr>
            <w:tcW w:w="3184" w:type="dxa"/>
            <w:gridSpan w:val="4"/>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八、社会保障和就业支出</w:t>
            </w: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35</w:t>
            </w:r>
          </w:p>
        </w:tc>
        <w:tc>
          <w:tcPr>
            <w:tcW w:w="111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23.15</w:t>
            </w:r>
          </w:p>
        </w:tc>
        <w:tc>
          <w:tcPr>
            <w:tcW w:w="1335"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23.15</w:t>
            </w:r>
          </w:p>
        </w:tc>
        <w:tc>
          <w:tcPr>
            <w:tcW w:w="1468"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8" w:type="dxa"/>
          <w:trHeight w:val="151" w:hRule="atLeast"/>
        </w:trPr>
        <w:tc>
          <w:tcPr>
            <w:tcW w:w="3060" w:type="dxa"/>
            <w:gridSpan w:val="4"/>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9</w:t>
            </w:r>
          </w:p>
        </w:tc>
        <w:tc>
          <w:tcPr>
            <w:tcW w:w="1192"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center"/>
              <w:rPr>
                <w:rFonts w:hint="eastAsia" w:ascii="宋体" w:hAnsi="宋体" w:cs="宋体"/>
                <w:color w:val="000000"/>
                <w:kern w:val="0"/>
                <w:sz w:val="20"/>
                <w:szCs w:val="24"/>
              </w:rPr>
            </w:pPr>
          </w:p>
        </w:tc>
        <w:tc>
          <w:tcPr>
            <w:tcW w:w="3184" w:type="dxa"/>
            <w:gridSpan w:val="4"/>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九、医疗卫生与计划生育支出</w:t>
            </w: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36</w:t>
            </w:r>
          </w:p>
        </w:tc>
        <w:tc>
          <w:tcPr>
            <w:tcW w:w="111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6.82</w:t>
            </w:r>
          </w:p>
        </w:tc>
        <w:tc>
          <w:tcPr>
            <w:tcW w:w="1335"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6.82</w:t>
            </w:r>
          </w:p>
        </w:tc>
        <w:tc>
          <w:tcPr>
            <w:tcW w:w="1468"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8" w:type="dxa"/>
          <w:trHeight w:val="151" w:hRule="atLeast"/>
        </w:trPr>
        <w:tc>
          <w:tcPr>
            <w:tcW w:w="3060" w:type="dxa"/>
            <w:gridSpan w:val="4"/>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10</w:t>
            </w:r>
          </w:p>
        </w:tc>
        <w:tc>
          <w:tcPr>
            <w:tcW w:w="1192"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center"/>
              <w:rPr>
                <w:rFonts w:hint="eastAsia" w:ascii="宋体" w:hAnsi="宋体" w:cs="宋体"/>
                <w:color w:val="000000"/>
                <w:kern w:val="0"/>
                <w:sz w:val="20"/>
                <w:szCs w:val="24"/>
              </w:rPr>
            </w:pPr>
          </w:p>
        </w:tc>
        <w:tc>
          <w:tcPr>
            <w:tcW w:w="3184" w:type="dxa"/>
            <w:gridSpan w:val="4"/>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十、节能环保支出</w:t>
            </w: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37</w:t>
            </w:r>
          </w:p>
        </w:tc>
        <w:tc>
          <w:tcPr>
            <w:tcW w:w="111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c>
          <w:tcPr>
            <w:tcW w:w="1335"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c>
          <w:tcPr>
            <w:tcW w:w="1468"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8" w:type="dxa"/>
          <w:trHeight w:val="151" w:hRule="atLeast"/>
        </w:trPr>
        <w:tc>
          <w:tcPr>
            <w:tcW w:w="3060" w:type="dxa"/>
            <w:gridSpan w:val="4"/>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11</w:t>
            </w:r>
          </w:p>
        </w:tc>
        <w:tc>
          <w:tcPr>
            <w:tcW w:w="1192"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center"/>
              <w:rPr>
                <w:rFonts w:hint="eastAsia" w:ascii="宋体" w:hAnsi="宋体" w:cs="宋体"/>
                <w:color w:val="000000"/>
                <w:kern w:val="0"/>
                <w:sz w:val="20"/>
                <w:szCs w:val="24"/>
              </w:rPr>
            </w:pPr>
          </w:p>
        </w:tc>
        <w:tc>
          <w:tcPr>
            <w:tcW w:w="3184" w:type="dxa"/>
            <w:gridSpan w:val="4"/>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十一、城乡社区支出</w:t>
            </w: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38</w:t>
            </w:r>
          </w:p>
        </w:tc>
        <w:tc>
          <w:tcPr>
            <w:tcW w:w="111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c>
          <w:tcPr>
            <w:tcW w:w="1335"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c>
          <w:tcPr>
            <w:tcW w:w="1468"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8" w:type="dxa"/>
          <w:trHeight w:val="151" w:hRule="atLeast"/>
        </w:trPr>
        <w:tc>
          <w:tcPr>
            <w:tcW w:w="3060" w:type="dxa"/>
            <w:gridSpan w:val="4"/>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12</w:t>
            </w:r>
          </w:p>
        </w:tc>
        <w:tc>
          <w:tcPr>
            <w:tcW w:w="1192"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center"/>
              <w:rPr>
                <w:rFonts w:hint="eastAsia" w:ascii="宋体" w:hAnsi="宋体" w:cs="宋体"/>
                <w:color w:val="000000"/>
                <w:kern w:val="0"/>
                <w:sz w:val="20"/>
                <w:szCs w:val="24"/>
              </w:rPr>
            </w:pPr>
          </w:p>
        </w:tc>
        <w:tc>
          <w:tcPr>
            <w:tcW w:w="3184" w:type="dxa"/>
            <w:gridSpan w:val="4"/>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十二、农林水支出</w:t>
            </w: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39</w:t>
            </w:r>
          </w:p>
        </w:tc>
        <w:tc>
          <w:tcPr>
            <w:tcW w:w="111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c>
          <w:tcPr>
            <w:tcW w:w="1335"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c>
          <w:tcPr>
            <w:tcW w:w="1468"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8" w:type="dxa"/>
          <w:trHeight w:val="151" w:hRule="atLeast"/>
        </w:trPr>
        <w:tc>
          <w:tcPr>
            <w:tcW w:w="3060" w:type="dxa"/>
            <w:gridSpan w:val="4"/>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13</w:t>
            </w:r>
          </w:p>
        </w:tc>
        <w:tc>
          <w:tcPr>
            <w:tcW w:w="1192"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center"/>
              <w:rPr>
                <w:rFonts w:hint="eastAsia" w:ascii="宋体" w:hAnsi="宋体" w:cs="宋体"/>
                <w:color w:val="000000"/>
                <w:kern w:val="0"/>
                <w:sz w:val="20"/>
                <w:szCs w:val="24"/>
              </w:rPr>
            </w:pPr>
          </w:p>
        </w:tc>
        <w:tc>
          <w:tcPr>
            <w:tcW w:w="3184" w:type="dxa"/>
            <w:gridSpan w:val="4"/>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十三、交通运输支出</w:t>
            </w: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40</w:t>
            </w:r>
          </w:p>
        </w:tc>
        <w:tc>
          <w:tcPr>
            <w:tcW w:w="111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c>
          <w:tcPr>
            <w:tcW w:w="1335"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c>
          <w:tcPr>
            <w:tcW w:w="1468"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8" w:type="dxa"/>
          <w:trHeight w:val="151" w:hRule="atLeast"/>
        </w:trPr>
        <w:tc>
          <w:tcPr>
            <w:tcW w:w="3060" w:type="dxa"/>
            <w:gridSpan w:val="4"/>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14</w:t>
            </w:r>
          </w:p>
        </w:tc>
        <w:tc>
          <w:tcPr>
            <w:tcW w:w="1192"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center"/>
              <w:rPr>
                <w:rFonts w:hint="eastAsia" w:ascii="宋体" w:hAnsi="宋体" w:cs="宋体"/>
                <w:color w:val="000000"/>
                <w:kern w:val="0"/>
                <w:sz w:val="20"/>
                <w:szCs w:val="24"/>
              </w:rPr>
            </w:pPr>
          </w:p>
        </w:tc>
        <w:tc>
          <w:tcPr>
            <w:tcW w:w="3184" w:type="dxa"/>
            <w:gridSpan w:val="4"/>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十四、资源勘探信息等支出</w:t>
            </w: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41</w:t>
            </w:r>
          </w:p>
        </w:tc>
        <w:tc>
          <w:tcPr>
            <w:tcW w:w="111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214.68</w:t>
            </w:r>
          </w:p>
        </w:tc>
        <w:tc>
          <w:tcPr>
            <w:tcW w:w="1335"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214.68</w:t>
            </w:r>
          </w:p>
        </w:tc>
        <w:tc>
          <w:tcPr>
            <w:tcW w:w="1468"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8" w:type="dxa"/>
          <w:trHeight w:val="151" w:hRule="atLeast"/>
        </w:trPr>
        <w:tc>
          <w:tcPr>
            <w:tcW w:w="3060" w:type="dxa"/>
            <w:gridSpan w:val="4"/>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15</w:t>
            </w:r>
          </w:p>
        </w:tc>
        <w:tc>
          <w:tcPr>
            <w:tcW w:w="1192"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center"/>
              <w:rPr>
                <w:rFonts w:hint="eastAsia" w:ascii="宋体" w:hAnsi="宋体" w:cs="宋体"/>
                <w:color w:val="000000"/>
                <w:kern w:val="0"/>
                <w:sz w:val="20"/>
                <w:szCs w:val="24"/>
              </w:rPr>
            </w:pPr>
          </w:p>
        </w:tc>
        <w:tc>
          <w:tcPr>
            <w:tcW w:w="3184" w:type="dxa"/>
            <w:gridSpan w:val="4"/>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十五、商业服务业等支出</w:t>
            </w: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42</w:t>
            </w:r>
          </w:p>
        </w:tc>
        <w:tc>
          <w:tcPr>
            <w:tcW w:w="111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c>
          <w:tcPr>
            <w:tcW w:w="1335"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c>
          <w:tcPr>
            <w:tcW w:w="1468"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8" w:type="dxa"/>
          <w:trHeight w:val="151" w:hRule="atLeast"/>
        </w:trPr>
        <w:tc>
          <w:tcPr>
            <w:tcW w:w="3060" w:type="dxa"/>
            <w:gridSpan w:val="4"/>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16</w:t>
            </w:r>
          </w:p>
        </w:tc>
        <w:tc>
          <w:tcPr>
            <w:tcW w:w="1192"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center"/>
              <w:rPr>
                <w:rFonts w:hint="eastAsia" w:ascii="宋体" w:hAnsi="宋体" w:cs="宋体"/>
                <w:color w:val="000000"/>
                <w:kern w:val="0"/>
                <w:sz w:val="20"/>
                <w:szCs w:val="24"/>
              </w:rPr>
            </w:pPr>
          </w:p>
        </w:tc>
        <w:tc>
          <w:tcPr>
            <w:tcW w:w="3184" w:type="dxa"/>
            <w:gridSpan w:val="4"/>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十六、金融支出</w:t>
            </w: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43</w:t>
            </w:r>
          </w:p>
        </w:tc>
        <w:tc>
          <w:tcPr>
            <w:tcW w:w="111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c>
          <w:tcPr>
            <w:tcW w:w="1335"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c>
          <w:tcPr>
            <w:tcW w:w="1468"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8" w:type="dxa"/>
          <w:trHeight w:val="151" w:hRule="atLeast"/>
        </w:trPr>
        <w:tc>
          <w:tcPr>
            <w:tcW w:w="3060" w:type="dxa"/>
            <w:gridSpan w:val="4"/>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17</w:t>
            </w:r>
          </w:p>
        </w:tc>
        <w:tc>
          <w:tcPr>
            <w:tcW w:w="1192"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center"/>
              <w:rPr>
                <w:rFonts w:hint="eastAsia" w:ascii="宋体" w:hAnsi="宋体" w:cs="宋体"/>
                <w:color w:val="000000"/>
                <w:kern w:val="0"/>
                <w:sz w:val="20"/>
                <w:szCs w:val="24"/>
              </w:rPr>
            </w:pPr>
          </w:p>
        </w:tc>
        <w:tc>
          <w:tcPr>
            <w:tcW w:w="3184" w:type="dxa"/>
            <w:gridSpan w:val="4"/>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十七、援助其他地区支出</w:t>
            </w: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44</w:t>
            </w:r>
          </w:p>
        </w:tc>
        <w:tc>
          <w:tcPr>
            <w:tcW w:w="111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c>
          <w:tcPr>
            <w:tcW w:w="1335"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c>
          <w:tcPr>
            <w:tcW w:w="1468"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8" w:type="dxa"/>
          <w:trHeight w:val="151" w:hRule="atLeast"/>
        </w:trPr>
        <w:tc>
          <w:tcPr>
            <w:tcW w:w="3060" w:type="dxa"/>
            <w:gridSpan w:val="4"/>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18</w:t>
            </w:r>
          </w:p>
        </w:tc>
        <w:tc>
          <w:tcPr>
            <w:tcW w:w="1192"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center"/>
              <w:rPr>
                <w:rFonts w:hint="eastAsia" w:ascii="宋体" w:hAnsi="宋体" w:cs="宋体"/>
                <w:color w:val="000000"/>
                <w:kern w:val="0"/>
                <w:sz w:val="20"/>
                <w:szCs w:val="24"/>
              </w:rPr>
            </w:pPr>
          </w:p>
        </w:tc>
        <w:tc>
          <w:tcPr>
            <w:tcW w:w="3184" w:type="dxa"/>
            <w:gridSpan w:val="4"/>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十八、国土海洋气象等支出</w:t>
            </w: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45</w:t>
            </w:r>
          </w:p>
        </w:tc>
        <w:tc>
          <w:tcPr>
            <w:tcW w:w="111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c>
          <w:tcPr>
            <w:tcW w:w="1335"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c>
          <w:tcPr>
            <w:tcW w:w="1468"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8" w:type="dxa"/>
          <w:trHeight w:val="151" w:hRule="atLeast"/>
        </w:trPr>
        <w:tc>
          <w:tcPr>
            <w:tcW w:w="3060" w:type="dxa"/>
            <w:gridSpan w:val="4"/>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19</w:t>
            </w:r>
          </w:p>
        </w:tc>
        <w:tc>
          <w:tcPr>
            <w:tcW w:w="1192"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center"/>
              <w:rPr>
                <w:rFonts w:hint="eastAsia" w:ascii="宋体" w:hAnsi="宋体" w:cs="宋体"/>
                <w:color w:val="000000"/>
                <w:kern w:val="0"/>
                <w:sz w:val="20"/>
                <w:szCs w:val="24"/>
              </w:rPr>
            </w:pPr>
          </w:p>
        </w:tc>
        <w:tc>
          <w:tcPr>
            <w:tcW w:w="3184" w:type="dxa"/>
            <w:gridSpan w:val="4"/>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十九、住房保障支出</w:t>
            </w: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46</w:t>
            </w:r>
          </w:p>
        </w:tc>
        <w:tc>
          <w:tcPr>
            <w:tcW w:w="111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c>
          <w:tcPr>
            <w:tcW w:w="1335"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c>
          <w:tcPr>
            <w:tcW w:w="1468"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8" w:type="dxa"/>
          <w:trHeight w:val="151" w:hRule="atLeast"/>
        </w:trPr>
        <w:tc>
          <w:tcPr>
            <w:tcW w:w="3060" w:type="dxa"/>
            <w:gridSpan w:val="4"/>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20</w:t>
            </w:r>
          </w:p>
        </w:tc>
        <w:tc>
          <w:tcPr>
            <w:tcW w:w="1192"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center"/>
              <w:rPr>
                <w:rFonts w:hint="eastAsia" w:ascii="宋体" w:hAnsi="宋体" w:cs="宋体"/>
                <w:color w:val="000000"/>
                <w:kern w:val="0"/>
                <w:sz w:val="20"/>
                <w:szCs w:val="24"/>
              </w:rPr>
            </w:pPr>
          </w:p>
        </w:tc>
        <w:tc>
          <w:tcPr>
            <w:tcW w:w="3184" w:type="dxa"/>
            <w:gridSpan w:val="4"/>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二十、粮油物资储备支出</w:t>
            </w: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47</w:t>
            </w:r>
          </w:p>
        </w:tc>
        <w:tc>
          <w:tcPr>
            <w:tcW w:w="111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c>
          <w:tcPr>
            <w:tcW w:w="1335"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c>
          <w:tcPr>
            <w:tcW w:w="1468"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8" w:type="dxa"/>
          <w:trHeight w:val="151" w:hRule="atLeast"/>
        </w:trPr>
        <w:tc>
          <w:tcPr>
            <w:tcW w:w="3060" w:type="dxa"/>
            <w:gridSpan w:val="4"/>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21</w:t>
            </w:r>
          </w:p>
        </w:tc>
        <w:tc>
          <w:tcPr>
            <w:tcW w:w="1192"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center"/>
              <w:rPr>
                <w:rFonts w:hint="eastAsia" w:ascii="宋体" w:hAnsi="宋体" w:cs="宋体"/>
                <w:color w:val="000000"/>
                <w:kern w:val="0"/>
                <w:sz w:val="20"/>
                <w:szCs w:val="24"/>
              </w:rPr>
            </w:pPr>
          </w:p>
        </w:tc>
        <w:tc>
          <w:tcPr>
            <w:tcW w:w="3184" w:type="dxa"/>
            <w:gridSpan w:val="4"/>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二十一、其他支出</w:t>
            </w: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48</w:t>
            </w:r>
          </w:p>
        </w:tc>
        <w:tc>
          <w:tcPr>
            <w:tcW w:w="111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c>
          <w:tcPr>
            <w:tcW w:w="1335"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c>
          <w:tcPr>
            <w:tcW w:w="1468"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8" w:type="dxa"/>
          <w:trHeight w:val="151" w:hRule="atLeast"/>
        </w:trPr>
        <w:tc>
          <w:tcPr>
            <w:tcW w:w="3060" w:type="dxa"/>
            <w:gridSpan w:val="4"/>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b/>
                <w:color w:val="000000"/>
                <w:kern w:val="0"/>
                <w:sz w:val="20"/>
                <w:szCs w:val="24"/>
              </w:rPr>
            </w:pPr>
            <w:r>
              <w:rPr>
                <w:rFonts w:hint="eastAsia" w:ascii="宋体" w:hAnsi="宋体" w:cs="宋体"/>
                <w:b/>
                <w:color w:val="000000"/>
                <w:kern w:val="0"/>
                <w:sz w:val="20"/>
                <w:szCs w:val="24"/>
              </w:rPr>
              <w:t>本年收入合计</w:t>
            </w: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22</w:t>
            </w:r>
          </w:p>
        </w:tc>
        <w:tc>
          <w:tcPr>
            <w:tcW w:w="1192"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241.00</w:t>
            </w:r>
          </w:p>
        </w:tc>
        <w:tc>
          <w:tcPr>
            <w:tcW w:w="3184" w:type="dxa"/>
            <w:gridSpan w:val="4"/>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b/>
                <w:color w:val="000000"/>
                <w:kern w:val="0"/>
                <w:sz w:val="20"/>
                <w:szCs w:val="24"/>
              </w:rPr>
            </w:pPr>
            <w:r>
              <w:rPr>
                <w:rFonts w:hint="eastAsia" w:ascii="宋体" w:hAnsi="宋体" w:cs="宋体"/>
                <w:b/>
                <w:color w:val="000000"/>
                <w:kern w:val="0"/>
                <w:sz w:val="20"/>
                <w:szCs w:val="24"/>
              </w:rPr>
              <w:t>本年支出合计</w:t>
            </w: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49</w:t>
            </w:r>
          </w:p>
        </w:tc>
        <w:tc>
          <w:tcPr>
            <w:tcW w:w="111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244.65</w:t>
            </w:r>
          </w:p>
        </w:tc>
        <w:tc>
          <w:tcPr>
            <w:tcW w:w="1335"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244.65</w:t>
            </w:r>
          </w:p>
        </w:tc>
        <w:tc>
          <w:tcPr>
            <w:tcW w:w="1468"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8" w:type="dxa"/>
          <w:trHeight w:val="151" w:hRule="atLeast"/>
        </w:trPr>
        <w:tc>
          <w:tcPr>
            <w:tcW w:w="3060" w:type="dxa"/>
            <w:gridSpan w:val="4"/>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年初财政拨款结转和结余</w:t>
            </w: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23</w:t>
            </w:r>
          </w:p>
        </w:tc>
        <w:tc>
          <w:tcPr>
            <w:tcW w:w="1192"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31.92</w:t>
            </w:r>
          </w:p>
        </w:tc>
        <w:tc>
          <w:tcPr>
            <w:tcW w:w="3184" w:type="dxa"/>
            <w:gridSpan w:val="4"/>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年末财政拨款结转和结余</w:t>
            </w: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50</w:t>
            </w:r>
          </w:p>
        </w:tc>
        <w:tc>
          <w:tcPr>
            <w:tcW w:w="111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28.27</w:t>
            </w:r>
          </w:p>
        </w:tc>
        <w:tc>
          <w:tcPr>
            <w:tcW w:w="1335"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28.27</w:t>
            </w:r>
          </w:p>
        </w:tc>
        <w:tc>
          <w:tcPr>
            <w:tcW w:w="1468"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8" w:type="dxa"/>
          <w:trHeight w:val="151" w:hRule="atLeast"/>
        </w:trPr>
        <w:tc>
          <w:tcPr>
            <w:tcW w:w="3060" w:type="dxa"/>
            <w:gridSpan w:val="4"/>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一般公共预算财政拨款</w:t>
            </w: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24</w:t>
            </w:r>
          </w:p>
        </w:tc>
        <w:tc>
          <w:tcPr>
            <w:tcW w:w="1192"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31.92</w:t>
            </w:r>
          </w:p>
        </w:tc>
        <w:tc>
          <w:tcPr>
            <w:tcW w:w="3184" w:type="dxa"/>
            <w:gridSpan w:val="4"/>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51</w:t>
            </w:r>
          </w:p>
        </w:tc>
        <w:tc>
          <w:tcPr>
            <w:tcW w:w="111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p>
        </w:tc>
        <w:tc>
          <w:tcPr>
            <w:tcW w:w="1335"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p>
        </w:tc>
        <w:tc>
          <w:tcPr>
            <w:tcW w:w="1468"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8" w:type="dxa"/>
          <w:trHeight w:val="151" w:hRule="atLeast"/>
        </w:trPr>
        <w:tc>
          <w:tcPr>
            <w:tcW w:w="3060" w:type="dxa"/>
            <w:gridSpan w:val="4"/>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政府性基金预算财政拨款</w:t>
            </w: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25</w:t>
            </w:r>
          </w:p>
        </w:tc>
        <w:tc>
          <w:tcPr>
            <w:tcW w:w="1192"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c>
          <w:tcPr>
            <w:tcW w:w="3184" w:type="dxa"/>
            <w:gridSpan w:val="4"/>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52</w:t>
            </w:r>
          </w:p>
        </w:tc>
        <w:tc>
          <w:tcPr>
            <w:tcW w:w="111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p>
        </w:tc>
        <w:tc>
          <w:tcPr>
            <w:tcW w:w="1335"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p>
        </w:tc>
        <w:tc>
          <w:tcPr>
            <w:tcW w:w="1468"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8" w:type="dxa"/>
          <w:trHeight w:val="151" w:hRule="atLeast"/>
        </w:trPr>
        <w:tc>
          <w:tcPr>
            <w:tcW w:w="3060" w:type="dxa"/>
            <w:gridSpan w:val="4"/>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26</w:t>
            </w:r>
          </w:p>
        </w:tc>
        <w:tc>
          <w:tcPr>
            <w:tcW w:w="1192"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center"/>
              <w:rPr>
                <w:rFonts w:hint="eastAsia" w:ascii="宋体" w:hAnsi="宋体" w:cs="宋体"/>
                <w:color w:val="000000"/>
                <w:kern w:val="0"/>
                <w:sz w:val="20"/>
                <w:szCs w:val="24"/>
              </w:rPr>
            </w:pPr>
          </w:p>
        </w:tc>
        <w:tc>
          <w:tcPr>
            <w:tcW w:w="3184" w:type="dxa"/>
            <w:gridSpan w:val="4"/>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53</w:t>
            </w:r>
          </w:p>
        </w:tc>
        <w:tc>
          <w:tcPr>
            <w:tcW w:w="111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p>
        </w:tc>
        <w:tc>
          <w:tcPr>
            <w:tcW w:w="1335"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p>
        </w:tc>
        <w:tc>
          <w:tcPr>
            <w:tcW w:w="1468"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8" w:type="dxa"/>
          <w:trHeight w:val="151" w:hRule="atLeast"/>
        </w:trPr>
        <w:tc>
          <w:tcPr>
            <w:tcW w:w="3060" w:type="dxa"/>
            <w:gridSpan w:val="4"/>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b/>
                <w:color w:val="000000"/>
                <w:kern w:val="0"/>
                <w:sz w:val="20"/>
                <w:szCs w:val="24"/>
              </w:rPr>
            </w:pPr>
            <w:r>
              <w:rPr>
                <w:rFonts w:hint="eastAsia" w:ascii="宋体" w:hAnsi="宋体" w:cs="宋体"/>
                <w:b/>
                <w:color w:val="000000"/>
                <w:kern w:val="0"/>
                <w:sz w:val="20"/>
                <w:szCs w:val="24"/>
              </w:rPr>
              <w:t>总计</w:t>
            </w: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27</w:t>
            </w:r>
          </w:p>
        </w:tc>
        <w:tc>
          <w:tcPr>
            <w:tcW w:w="1192"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272.92</w:t>
            </w:r>
          </w:p>
        </w:tc>
        <w:tc>
          <w:tcPr>
            <w:tcW w:w="3184" w:type="dxa"/>
            <w:gridSpan w:val="4"/>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b/>
                <w:color w:val="000000"/>
                <w:kern w:val="0"/>
                <w:sz w:val="20"/>
                <w:szCs w:val="24"/>
              </w:rPr>
            </w:pPr>
            <w:r>
              <w:rPr>
                <w:rFonts w:hint="eastAsia" w:ascii="宋体" w:hAnsi="宋体" w:cs="宋体"/>
                <w:b/>
                <w:color w:val="000000"/>
                <w:kern w:val="0"/>
                <w:sz w:val="20"/>
                <w:szCs w:val="24"/>
              </w:rPr>
              <w:t>总计</w:t>
            </w:r>
          </w:p>
        </w:tc>
        <w:tc>
          <w:tcPr>
            <w:tcW w:w="596"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54</w:t>
            </w:r>
          </w:p>
        </w:tc>
        <w:tc>
          <w:tcPr>
            <w:tcW w:w="111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272.92</w:t>
            </w:r>
          </w:p>
        </w:tc>
        <w:tc>
          <w:tcPr>
            <w:tcW w:w="1335"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272.92</w:t>
            </w:r>
          </w:p>
        </w:tc>
        <w:tc>
          <w:tcPr>
            <w:tcW w:w="1468" w:type="dxa"/>
            <w:gridSpan w:val="2"/>
            <w:tcBorders>
              <w:top w:val="nil"/>
              <w:left w:val="nil"/>
              <w:bottom w:val="single" w:color="000000" w:sz="4" w:space="0"/>
              <w:right w:val="single" w:color="000000" w:sz="4" w:space="0"/>
              <w:tl2br w:val="nil"/>
              <w:tr2bl w:val="nil"/>
            </w:tcBorders>
            <w:noWrap w:val="0"/>
            <w:vAlign w:val="center"/>
          </w:tcPr>
          <w:p>
            <w:pPr>
              <w:widowControl/>
              <w:spacing w:beforeLines="0" w:afterLines="0"/>
              <w:jc w:val="center"/>
              <w:rPr>
                <w:rFonts w:hint="eastAsia" w:ascii="宋体" w:hAnsi="宋体" w:cs="宋体"/>
                <w:color w:val="000000"/>
                <w:kern w:val="0"/>
                <w:sz w:val="20"/>
                <w:szCs w:val="24"/>
              </w:rPr>
            </w:pPr>
            <w:r>
              <w:rPr>
                <w:rFonts w:hint="eastAsia" w:ascii="宋体" w:hAnsi="宋体"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08" w:type="dxa"/>
          <w:trHeight w:val="151" w:hRule="atLeast"/>
        </w:trPr>
        <w:tc>
          <w:tcPr>
            <w:tcW w:w="12541" w:type="dxa"/>
            <w:gridSpan w:val="17"/>
            <w:tcBorders>
              <w:top w:val="nil"/>
              <w:left w:val="nil"/>
              <w:bottom w:val="nil"/>
              <w:right w:val="nil"/>
              <w:tl2br w:val="nil"/>
              <w:tr2bl w:val="nil"/>
            </w:tcBorders>
            <w:noWrap w:val="0"/>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注：本表反映部门本年度一般公共预算财政拨款和政府性基金预算财政拨款的总收支和年末结转结余情况。本表金额转换为万元时，因四舍五入可能存在尾差。</w:t>
            </w:r>
          </w:p>
        </w:tc>
      </w:tr>
    </w:tbl>
    <w:p>
      <w:pPr>
        <w:autoSpaceDE w:val="0"/>
        <w:autoSpaceDN w:val="0"/>
        <w:adjustRightInd w:val="0"/>
        <w:spacing w:beforeLines="0" w:afterLines="0"/>
        <w:jc w:val="left"/>
        <w:rPr>
          <w:rFonts w:hint="default" w:ascii="宋体"/>
          <w:kern w:val="0"/>
          <w:sz w:val="38"/>
          <w:szCs w:val="24"/>
          <w:lang w:val="zh-CN"/>
        </w:rPr>
      </w:pPr>
    </w:p>
    <w:p>
      <w:pPr>
        <w:autoSpaceDE w:val="0"/>
        <w:autoSpaceDN w:val="0"/>
        <w:adjustRightInd w:val="0"/>
        <w:spacing w:beforeLines="0" w:afterLines="0"/>
        <w:jc w:val="left"/>
        <w:rPr>
          <w:rFonts w:hint="default" w:ascii="宋体"/>
          <w:kern w:val="0"/>
          <w:sz w:val="38"/>
          <w:szCs w:val="24"/>
          <w:lang w:val="zh-CN"/>
        </w:rPr>
      </w:pPr>
      <w:r>
        <w:rPr>
          <w:rFonts w:hint="default" w:ascii="宋体"/>
          <w:kern w:val="0"/>
          <w:sz w:val="38"/>
          <w:szCs w:val="24"/>
          <w:lang w:val="zh-CN"/>
        </w:rPr>
        <w:br w:type="page"/>
      </w:r>
    </w:p>
    <w:tbl>
      <w:tblPr>
        <w:tblStyle w:val="4"/>
        <w:tblW w:w="11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0"/>
        <w:gridCol w:w="340"/>
        <w:gridCol w:w="340"/>
        <w:gridCol w:w="3940"/>
        <w:gridCol w:w="2260"/>
        <w:gridCol w:w="2260"/>
        <w:gridCol w:w="2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6" w:hRule="atLeast"/>
          <w:jc w:val="center"/>
        </w:trPr>
        <w:tc>
          <w:tcPr>
            <w:tcW w:w="34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34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34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0720" w:type="dxa"/>
            <w:gridSpan w:val="4"/>
            <w:tcBorders>
              <w:top w:val="nil"/>
              <w:left w:val="nil"/>
              <w:bottom w:val="nil"/>
              <w:right w:val="nil"/>
              <w:tl2br w:val="nil"/>
              <w:tr2bl w:val="nil"/>
            </w:tcBorders>
            <w:noWrap/>
            <w:vAlign w:val="bottom"/>
          </w:tcPr>
          <w:p>
            <w:pPr>
              <w:widowControl/>
              <w:spacing w:beforeLines="0" w:afterLines="0"/>
              <w:jc w:val="center"/>
              <w:rPr>
                <w:rFonts w:hint="default" w:ascii="Arial" w:cs="Arial"/>
                <w:color w:val="000000"/>
                <w:kern w:val="0"/>
                <w:sz w:val="20"/>
                <w:szCs w:val="24"/>
              </w:rPr>
            </w:pPr>
            <w:r>
              <w:rPr>
                <w:rFonts w:hint="eastAsia" w:ascii="宋体" w:hAnsi="宋体" w:cs="宋体"/>
                <w:color w:val="000000"/>
                <w:kern w:val="0"/>
                <w:sz w:val="30"/>
                <w:szCs w:val="24"/>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34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34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34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394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226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226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2260" w:type="dxa"/>
            <w:tcBorders>
              <w:top w:val="nil"/>
              <w:left w:val="nil"/>
              <w:bottom w:val="nil"/>
              <w:right w:val="nil"/>
              <w:tl2br w:val="nil"/>
              <w:tr2bl w:val="nil"/>
            </w:tcBorders>
            <w:noWrap/>
            <w:vAlign w:val="bottom"/>
          </w:tcPr>
          <w:p>
            <w:pPr>
              <w:widowControl/>
              <w:spacing w:beforeLines="0" w:afterLines="0"/>
              <w:jc w:val="right"/>
              <w:rPr>
                <w:rFonts w:hint="eastAsia" w:cs="宋体"/>
                <w:color w:val="000000"/>
                <w:kern w:val="0"/>
                <w:sz w:val="20"/>
                <w:szCs w:val="24"/>
              </w:rPr>
            </w:pPr>
            <w:r>
              <w:rPr>
                <w:rFonts w:hint="eastAsia" w:ascii="宋体" w:hAnsi="宋体" w:cs="宋体"/>
                <w:color w:val="000000"/>
                <w:kern w:val="0"/>
                <w:sz w:val="20"/>
                <w:szCs w:val="24"/>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960" w:type="dxa"/>
            <w:gridSpan w:val="4"/>
            <w:tcBorders>
              <w:top w:val="nil"/>
              <w:left w:val="nil"/>
              <w:bottom w:val="nil"/>
              <w:right w:val="nil"/>
              <w:tl2br w:val="nil"/>
              <w:tr2bl w:val="nil"/>
            </w:tcBorders>
            <w:noWrap/>
            <w:vAlign w:val="bottom"/>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部门：延津县安全生产监督管理局</w:t>
            </w:r>
          </w:p>
        </w:tc>
        <w:tc>
          <w:tcPr>
            <w:tcW w:w="226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226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2260" w:type="dxa"/>
            <w:tcBorders>
              <w:top w:val="nil"/>
              <w:left w:val="nil"/>
              <w:bottom w:val="nil"/>
              <w:right w:val="nil"/>
              <w:tl2br w:val="nil"/>
              <w:tr2bl w:val="nil"/>
            </w:tcBorders>
            <w:noWrap/>
            <w:vAlign w:val="bottom"/>
          </w:tcPr>
          <w:p>
            <w:pPr>
              <w:widowControl/>
              <w:spacing w:beforeLines="0" w:afterLines="0"/>
              <w:jc w:val="right"/>
              <w:rPr>
                <w:rFonts w:hint="eastAsia" w:cs="宋体"/>
                <w:color w:val="000000"/>
                <w:kern w:val="0"/>
                <w:sz w:val="20"/>
                <w:szCs w:val="24"/>
              </w:rPr>
            </w:pPr>
            <w:r>
              <w:rPr>
                <w:rFonts w:hint="eastAsia" w:ascii="宋体" w:hAnsi="宋体" w:cs="宋体"/>
                <w:color w:val="000000"/>
                <w:kern w:val="0"/>
                <w:sz w:val="20"/>
                <w:szCs w:val="24"/>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960" w:type="dxa"/>
            <w:gridSpan w:val="4"/>
            <w:tcBorders>
              <w:top w:val="single" w:color="000000" w:sz="4" w:space="0"/>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项目</w:t>
            </w:r>
          </w:p>
        </w:tc>
        <w:tc>
          <w:tcPr>
            <w:tcW w:w="6780" w:type="dxa"/>
            <w:gridSpan w:val="3"/>
            <w:tcBorders>
              <w:top w:val="single" w:color="000000" w:sz="4" w:space="0"/>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20" w:type="dxa"/>
            <w:gridSpan w:val="3"/>
            <w:vMerge w:val="restart"/>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功能分类科目编码</w:t>
            </w:r>
          </w:p>
        </w:tc>
        <w:tc>
          <w:tcPr>
            <w:tcW w:w="3940" w:type="dxa"/>
            <w:vMerge w:val="restart"/>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科目名称</w:t>
            </w:r>
          </w:p>
        </w:tc>
        <w:tc>
          <w:tcPr>
            <w:tcW w:w="2260" w:type="dxa"/>
            <w:vMerge w:val="restart"/>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小计</w:t>
            </w:r>
          </w:p>
        </w:tc>
        <w:tc>
          <w:tcPr>
            <w:tcW w:w="2260" w:type="dxa"/>
            <w:vMerge w:val="restart"/>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基本支出</w:t>
            </w:r>
          </w:p>
        </w:tc>
        <w:tc>
          <w:tcPr>
            <w:tcW w:w="2260" w:type="dxa"/>
            <w:vMerge w:val="restart"/>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20" w:type="dxa"/>
            <w:gridSpan w:val="3"/>
            <w:vMerge w:val="continue"/>
            <w:tcBorders>
              <w:top w:val="nil"/>
              <w:left w:val="single" w:color="000000" w:sz="4" w:space="0"/>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3940" w:type="dxa"/>
            <w:vMerge w:val="continue"/>
            <w:tcBorders>
              <w:top w:val="nil"/>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2260" w:type="dxa"/>
            <w:vMerge w:val="continue"/>
            <w:tcBorders>
              <w:top w:val="nil"/>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2260" w:type="dxa"/>
            <w:vMerge w:val="continue"/>
            <w:tcBorders>
              <w:top w:val="nil"/>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2260" w:type="dxa"/>
            <w:vMerge w:val="continue"/>
            <w:tcBorders>
              <w:top w:val="nil"/>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20" w:type="dxa"/>
            <w:gridSpan w:val="3"/>
            <w:vMerge w:val="continue"/>
            <w:tcBorders>
              <w:top w:val="nil"/>
              <w:left w:val="single" w:color="000000" w:sz="4" w:space="0"/>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3940" w:type="dxa"/>
            <w:vMerge w:val="continue"/>
            <w:tcBorders>
              <w:top w:val="nil"/>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2260" w:type="dxa"/>
            <w:vMerge w:val="continue"/>
            <w:tcBorders>
              <w:top w:val="nil"/>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2260" w:type="dxa"/>
            <w:vMerge w:val="continue"/>
            <w:tcBorders>
              <w:top w:val="nil"/>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2260" w:type="dxa"/>
            <w:vMerge w:val="continue"/>
            <w:tcBorders>
              <w:top w:val="nil"/>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960" w:type="dxa"/>
            <w:gridSpan w:val="4"/>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栏次</w:t>
            </w:r>
          </w:p>
        </w:tc>
        <w:tc>
          <w:tcPr>
            <w:tcW w:w="226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1</w:t>
            </w:r>
          </w:p>
        </w:tc>
        <w:tc>
          <w:tcPr>
            <w:tcW w:w="226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2</w:t>
            </w:r>
          </w:p>
        </w:tc>
        <w:tc>
          <w:tcPr>
            <w:tcW w:w="226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960" w:type="dxa"/>
            <w:gridSpan w:val="4"/>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合计</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b/>
                <w:color w:val="000000"/>
                <w:kern w:val="0"/>
                <w:sz w:val="22"/>
                <w:szCs w:val="24"/>
              </w:rPr>
            </w:pPr>
            <w:r>
              <w:rPr>
                <w:rFonts w:hint="eastAsia" w:ascii="宋体" w:hAnsi="宋体" w:cs="宋体"/>
                <w:b/>
                <w:color w:val="000000"/>
                <w:kern w:val="0"/>
                <w:sz w:val="22"/>
                <w:szCs w:val="24"/>
              </w:rPr>
              <w:t>244.65</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b/>
                <w:color w:val="000000"/>
                <w:kern w:val="0"/>
                <w:sz w:val="22"/>
                <w:szCs w:val="24"/>
              </w:rPr>
            </w:pPr>
            <w:r>
              <w:rPr>
                <w:rFonts w:hint="eastAsia" w:ascii="宋体" w:hAnsi="宋体" w:cs="宋体"/>
                <w:b/>
                <w:color w:val="000000"/>
                <w:kern w:val="0"/>
                <w:sz w:val="22"/>
                <w:szCs w:val="24"/>
              </w:rPr>
              <w:t>244.65</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b/>
                <w:color w:val="000000"/>
                <w:kern w:val="0"/>
                <w:sz w:val="22"/>
                <w:szCs w:val="24"/>
              </w:rPr>
            </w:pPr>
            <w:r>
              <w:rPr>
                <w:rFonts w:hint="eastAsia" w:ascii="宋体" w:hAnsi="宋体" w:cs="宋体"/>
                <w:b/>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208</w:t>
            </w:r>
          </w:p>
        </w:tc>
        <w:tc>
          <w:tcPr>
            <w:tcW w:w="3940" w:type="dxa"/>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社会保障和就业支出</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23.15</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23.15</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20805</w:t>
            </w:r>
          </w:p>
        </w:tc>
        <w:tc>
          <w:tcPr>
            <w:tcW w:w="3940" w:type="dxa"/>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行政事业单位离退休</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22.70</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22.70</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2080505</w:t>
            </w:r>
          </w:p>
        </w:tc>
        <w:tc>
          <w:tcPr>
            <w:tcW w:w="3940" w:type="dxa"/>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xml:space="preserve">  机关事业单位基本养老保险缴费支出</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22.70</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22.70</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20899</w:t>
            </w:r>
          </w:p>
        </w:tc>
        <w:tc>
          <w:tcPr>
            <w:tcW w:w="3940" w:type="dxa"/>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其他社会保障和就业支出</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0.45</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0.45</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2089901</w:t>
            </w:r>
          </w:p>
        </w:tc>
        <w:tc>
          <w:tcPr>
            <w:tcW w:w="3940" w:type="dxa"/>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xml:space="preserve">  其他社会保障和就业支出</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0.45</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0.45</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210</w:t>
            </w:r>
          </w:p>
        </w:tc>
        <w:tc>
          <w:tcPr>
            <w:tcW w:w="3940" w:type="dxa"/>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医疗卫生与计划生育支出</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6.82</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6.82</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21011</w:t>
            </w:r>
          </w:p>
        </w:tc>
        <w:tc>
          <w:tcPr>
            <w:tcW w:w="3940" w:type="dxa"/>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行政事业单位医疗</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6.82</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6.82</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2101101</w:t>
            </w:r>
          </w:p>
        </w:tc>
        <w:tc>
          <w:tcPr>
            <w:tcW w:w="3940" w:type="dxa"/>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xml:space="preserve">  行政单位医疗</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6.82</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6.82</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215</w:t>
            </w:r>
          </w:p>
        </w:tc>
        <w:tc>
          <w:tcPr>
            <w:tcW w:w="3940" w:type="dxa"/>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资源勘探信息等支出</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214.68</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214.68</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21506</w:t>
            </w:r>
          </w:p>
        </w:tc>
        <w:tc>
          <w:tcPr>
            <w:tcW w:w="3940" w:type="dxa"/>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安全生产监管</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214.68</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214.68</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2150601</w:t>
            </w:r>
          </w:p>
        </w:tc>
        <w:tc>
          <w:tcPr>
            <w:tcW w:w="3940" w:type="dxa"/>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xml:space="preserve">  行政运行</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139.10</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139.10</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2150603</w:t>
            </w:r>
          </w:p>
        </w:tc>
        <w:tc>
          <w:tcPr>
            <w:tcW w:w="3940" w:type="dxa"/>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xml:space="preserve">  机关服务</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63.75</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63.75</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ascii="宋体" w:hAnsi="宋体" w:cs="宋体"/>
                <w:color w:val="000000"/>
                <w:kern w:val="0"/>
                <w:sz w:val="22"/>
                <w:szCs w:val="24"/>
              </w:rPr>
            </w:pPr>
            <w:r>
              <w:rPr>
                <w:rFonts w:hint="eastAsia" w:ascii="宋体" w:hAnsi="宋体" w:cs="宋体"/>
                <w:color w:val="000000"/>
                <w:kern w:val="0"/>
                <w:sz w:val="22"/>
                <w:szCs w:val="24"/>
              </w:rPr>
              <w:t>2150699</w:t>
            </w:r>
          </w:p>
        </w:tc>
        <w:tc>
          <w:tcPr>
            <w:tcW w:w="3940" w:type="dxa"/>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xml:space="preserve">  其他安全生产监管支出</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11.82</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11.82</w:t>
            </w:r>
          </w:p>
        </w:tc>
        <w:tc>
          <w:tcPr>
            <w:tcW w:w="226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2"/>
                <w:szCs w:val="24"/>
              </w:rPr>
            </w:pPr>
            <w:r>
              <w:rPr>
                <w:rFonts w:hint="eastAsia" w:ascii="宋体" w:hAnsi="宋体" w:cs="宋体"/>
                <w:color w:val="000000"/>
                <w:kern w:val="0"/>
                <w:sz w:val="22"/>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740" w:type="dxa"/>
            <w:gridSpan w:val="7"/>
            <w:tcBorders>
              <w:top w:val="nil"/>
              <w:left w:val="nil"/>
              <w:bottom w:val="nil"/>
              <w:right w:val="nil"/>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注：本表反映部门本年度一般公共预算财政拨款支出情况。本表金额转换为万元时，因四舍五入可能存在尾差。</w:t>
            </w:r>
          </w:p>
        </w:tc>
      </w:tr>
    </w:tbl>
    <w:p>
      <w:pPr>
        <w:autoSpaceDE w:val="0"/>
        <w:autoSpaceDN w:val="0"/>
        <w:adjustRightInd w:val="0"/>
        <w:spacing w:beforeLines="0" w:afterLines="0"/>
        <w:jc w:val="left"/>
        <w:rPr>
          <w:rFonts w:hint="default" w:ascii="宋体"/>
          <w:kern w:val="0"/>
          <w:sz w:val="38"/>
          <w:szCs w:val="24"/>
          <w:lang w:val="zh-CN"/>
        </w:rPr>
      </w:pPr>
    </w:p>
    <w:tbl>
      <w:tblPr>
        <w:tblStyle w:val="4"/>
        <w:tblpPr w:leftFromText="180" w:rightFromText="180" w:horzAnchor="margin" w:tblpXSpec="center" w:tblpY="-541"/>
        <w:tblW w:w="146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0"/>
        <w:gridCol w:w="3030"/>
        <w:gridCol w:w="1060"/>
        <w:gridCol w:w="740"/>
        <w:gridCol w:w="2040"/>
        <w:gridCol w:w="1000"/>
        <w:gridCol w:w="740"/>
        <w:gridCol w:w="2431"/>
        <w:gridCol w:w="139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4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3861" w:type="dxa"/>
            <w:gridSpan w:val="9"/>
            <w:tcBorders>
              <w:top w:val="nil"/>
              <w:left w:val="nil"/>
              <w:bottom w:val="nil"/>
              <w:right w:val="nil"/>
              <w:tl2br w:val="nil"/>
              <w:tr2bl w:val="nil"/>
            </w:tcBorders>
            <w:noWrap/>
            <w:vAlign w:val="bottom"/>
          </w:tcPr>
          <w:p>
            <w:pPr>
              <w:widowControl/>
              <w:spacing w:beforeLines="0" w:afterLines="0"/>
              <w:jc w:val="center"/>
              <w:rPr>
                <w:rFonts w:hint="default" w:ascii="Arial" w:cs="Arial"/>
                <w:color w:val="000000"/>
                <w:kern w:val="0"/>
                <w:sz w:val="20"/>
                <w:szCs w:val="24"/>
              </w:rPr>
            </w:pPr>
            <w:r>
              <w:rPr>
                <w:rFonts w:hint="eastAsia" w:ascii="宋体" w:hAnsi="宋体" w:cs="宋体"/>
                <w:color w:val="000000"/>
                <w:kern w:val="0"/>
                <w:sz w:val="30"/>
                <w:szCs w:val="24"/>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303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06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74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204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00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74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3830" w:type="dxa"/>
            <w:gridSpan w:val="2"/>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421" w:type="dxa"/>
            <w:tcBorders>
              <w:top w:val="nil"/>
              <w:left w:val="nil"/>
              <w:bottom w:val="nil"/>
              <w:right w:val="nil"/>
              <w:tl2br w:val="nil"/>
              <w:tr2bl w:val="nil"/>
            </w:tcBorders>
            <w:noWrap/>
            <w:vAlign w:val="bottom"/>
          </w:tcPr>
          <w:p>
            <w:pPr>
              <w:widowControl/>
              <w:spacing w:beforeLines="0" w:afterLines="0"/>
              <w:jc w:val="right"/>
              <w:rPr>
                <w:rFonts w:hint="eastAsia" w:cs="宋体"/>
                <w:color w:val="000000"/>
                <w:kern w:val="0"/>
                <w:sz w:val="24"/>
                <w:szCs w:val="24"/>
              </w:rPr>
            </w:pPr>
            <w:r>
              <w:rPr>
                <w:rFonts w:hint="eastAsia" w:ascii="宋体" w:hAnsi="宋体" w:cs="宋体"/>
                <w:color w:val="000000"/>
                <w:kern w:val="0"/>
                <w:sz w:val="24"/>
                <w:szCs w:val="24"/>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70" w:type="dxa"/>
            <w:gridSpan w:val="2"/>
            <w:tcBorders>
              <w:top w:val="nil"/>
              <w:left w:val="nil"/>
              <w:bottom w:val="nil"/>
              <w:right w:val="nil"/>
              <w:tl2br w:val="nil"/>
              <w:tr2bl w:val="nil"/>
            </w:tcBorders>
            <w:noWrap/>
            <w:vAlign w:val="bottom"/>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部门：延津县安全生产监督管理局</w:t>
            </w:r>
          </w:p>
        </w:tc>
        <w:tc>
          <w:tcPr>
            <w:tcW w:w="106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74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204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00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74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3830" w:type="dxa"/>
            <w:gridSpan w:val="2"/>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421" w:type="dxa"/>
            <w:tcBorders>
              <w:top w:val="nil"/>
              <w:left w:val="nil"/>
              <w:bottom w:val="nil"/>
              <w:right w:val="nil"/>
              <w:tl2br w:val="nil"/>
              <w:tr2bl w:val="nil"/>
            </w:tcBorders>
            <w:noWrap/>
            <w:vAlign w:val="bottom"/>
          </w:tcPr>
          <w:p>
            <w:pPr>
              <w:widowControl/>
              <w:spacing w:beforeLines="0" w:afterLines="0"/>
              <w:jc w:val="right"/>
              <w:rPr>
                <w:rFonts w:hint="eastAsia" w:cs="宋体"/>
                <w:color w:val="000000"/>
                <w:kern w:val="0"/>
                <w:sz w:val="18"/>
                <w:szCs w:val="24"/>
              </w:rPr>
            </w:pPr>
            <w:r>
              <w:rPr>
                <w:rFonts w:hint="eastAsia" w:ascii="宋体" w:hAnsi="宋体" w:cs="宋体"/>
                <w:color w:val="000000"/>
                <w:kern w:val="0"/>
                <w:sz w:val="18"/>
                <w:szCs w:val="24"/>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30" w:type="dxa"/>
            <w:gridSpan w:val="3"/>
            <w:tcBorders>
              <w:top w:val="single" w:color="000000" w:sz="4" w:space="0"/>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人员经费</w:t>
            </w:r>
          </w:p>
        </w:tc>
        <w:tc>
          <w:tcPr>
            <w:tcW w:w="9771" w:type="dxa"/>
            <w:gridSpan w:val="7"/>
            <w:tcBorders>
              <w:top w:val="single" w:color="000000" w:sz="4" w:space="0"/>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40" w:type="dxa"/>
            <w:vMerge w:val="restart"/>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科目编码</w:t>
            </w:r>
          </w:p>
        </w:tc>
        <w:tc>
          <w:tcPr>
            <w:tcW w:w="3030" w:type="dxa"/>
            <w:vMerge w:val="restart"/>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科目名称</w:t>
            </w:r>
          </w:p>
        </w:tc>
        <w:tc>
          <w:tcPr>
            <w:tcW w:w="1060" w:type="dxa"/>
            <w:vMerge w:val="restart"/>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决算数</w:t>
            </w:r>
          </w:p>
        </w:tc>
        <w:tc>
          <w:tcPr>
            <w:tcW w:w="740" w:type="dxa"/>
            <w:vMerge w:val="restart"/>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科目编码</w:t>
            </w:r>
          </w:p>
        </w:tc>
        <w:tc>
          <w:tcPr>
            <w:tcW w:w="2040" w:type="dxa"/>
            <w:vMerge w:val="restart"/>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科目名称</w:t>
            </w:r>
          </w:p>
        </w:tc>
        <w:tc>
          <w:tcPr>
            <w:tcW w:w="1000" w:type="dxa"/>
            <w:vMerge w:val="restart"/>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决算数</w:t>
            </w:r>
          </w:p>
        </w:tc>
        <w:tc>
          <w:tcPr>
            <w:tcW w:w="740" w:type="dxa"/>
            <w:vMerge w:val="restart"/>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科目编码</w:t>
            </w:r>
          </w:p>
        </w:tc>
        <w:tc>
          <w:tcPr>
            <w:tcW w:w="2431" w:type="dxa"/>
            <w:vMerge w:val="restart"/>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科目名称</w:t>
            </w:r>
          </w:p>
        </w:tc>
        <w:tc>
          <w:tcPr>
            <w:tcW w:w="2820" w:type="dxa"/>
            <w:gridSpan w:val="2"/>
            <w:vMerge w:val="restart"/>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40" w:type="dxa"/>
            <w:vMerge w:val="continue"/>
            <w:tcBorders>
              <w:top w:val="nil"/>
              <w:left w:val="single" w:color="000000" w:sz="4" w:space="0"/>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0"/>
                <w:szCs w:val="24"/>
              </w:rPr>
            </w:pPr>
          </w:p>
        </w:tc>
        <w:tc>
          <w:tcPr>
            <w:tcW w:w="3030" w:type="dxa"/>
            <w:vMerge w:val="continue"/>
            <w:tcBorders>
              <w:top w:val="nil"/>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0"/>
                <w:szCs w:val="24"/>
              </w:rPr>
            </w:pPr>
          </w:p>
        </w:tc>
        <w:tc>
          <w:tcPr>
            <w:tcW w:w="1060" w:type="dxa"/>
            <w:vMerge w:val="continue"/>
            <w:tcBorders>
              <w:top w:val="nil"/>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0"/>
                <w:szCs w:val="24"/>
              </w:rPr>
            </w:pPr>
          </w:p>
        </w:tc>
        <w:tc>
          <w:tcPr>
            <w:tcW w:w="740" w:type="dxa"/>
            <w:vMerge w:val="continue"/>
            <w:tcBorders>
              <w:top w:val="nil"/>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0"/>
                <w:szCs w:val="24"/>
              </w:rPr>
            </w:pPr>
          </w:p>
        </w:tc>
        <w:tc>
          <w:tcPr>
            <w:tcW w:w="2040" w:type="dxa"/>
            <w:vMerge w:val="continue"/>
            <w:tcBorders>
              <w:top w:val="nil"/>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0"/>
                <w:szCs w:val="24"/>
              </w:rPr>
            </w:pPr>
          </w:p>
        </w:tc>
        <w:tc>
          <w:tcPr>
            <w:tcW w:w="1000" w:type="dxa"/>
            <w:vMerge w:val="continue"/>
            <w:tcBorders>
              <w:top w:val="nil"/>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0"/>
                <w:szCs w:val="24"/>
              </w:rPr>
            </w:pPr>
          </w:p>
        </w:tc>
        <w:tc>
          <w:tcPr>
            <w:tcW w:w="740" w:type="dxa"/>
            <w:vMerge w:val="continue"/>
            <w:tcBorders>
              <w:top w:val="nil"/>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0"/>
                <w:szCs w:val="24"/>
              </w:rPr>
            </w:pPr>
          </w:p>
        </w:tc>
        <w:tc>
          <w:tcPr>
            <w:tcW w:w="2431" w:type="dxa"/>
            <w:vMerge w:val="continue"/>
            <w:tcBorders>
              <w:top w:val="nil"/>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0"/>
                <w:szCs w:val="24"/>
              </w:rPr>
            </w:pPr>
          </w:p>
        </w:tc>
        <w:tc>
          <w:tcPr>
            <w:tcW w:w="2820" w:type="dxa"/>
            <w:gridSpan w:val="2"/>
            <w:vMerge w:val="continue"/>
            <w:tcBorders>
              <w:top w:val="nil"/>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301</w:t>
            </w:r>
          </w:p>
        </w:tc>
        <w:tc>
          <w:tcPr>
            <w:tcW w:w="303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工资福利支出</w:t>
            </w:r>
          </w:p>
        </w:tc>
        <w:tc>
          <w:tcPr>
            <w:tcW w:w="106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ascii="宋体" w:hAnsi="宋体" w:cs="宋体"/>
                <w:color w:val="000000"/>
                <w:kern w:val="0"/>
                <w:sz w:val="20"/>
                <w:szCs w:val="24"/>
              </w:rPr>
            </w:pPr>
            <w:r>
              <w:rPr>
                <w:rFonts w:hint="eastAsia" w:ascii="宋体" w:hAnsi="宋体" w:cs="宋体"/>
                <w:color w:val="000000"/>
                <w:kern w:val="0"/>
                <w:sz w:val="20"/>
                <w:szCs w:val="24"/>
              </w:rPr>
              <w:t>180.29</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302</w:t>
            </w:r>
          </w:p>
        </w:tc>
        <w:tc>
          <w:tcPr>
            <w:tcW w:w="20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商品和服务支出</w:t>
            </w:r>
          </w:p>
        </w:tc>
        <w:tc>
          <w:tcPr>
            <w:tcW w:w="100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ascii="宋体" w:hAnsi="宋体" w:cs="宋体"/>
                <w:color w:val="000000"/>
                <w:kern w:val="0"/>
                <w:sz w:val="20"/>
                <w:szCs w:val="24"/>
              </w:rPr>
            </w:pPr>
            <w:r>
              <w:rPr>
                <w:rFonts w:hint="eastAsia" w:ascii="宋体" w:hAnsi="宋体" w:cs="宋体"/>
                <w:color w:val="000000"/>
                <w:kern w:val="0"/>
                <w:sz w:val="20"/>
                <w:szCs w:val="24"/>
              </w:rPr>
              <w:t>37.34</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307</w:t>
            </w:r>
          </w:p>
        </w:tc>
        <w:tc>
          <w:tcPr>
            <w:tcW w:w="2431"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债务利息及费用支出</w:t>
            </w:r>
          </w:p>
        </w:tc>
        <w:tc>
          <w:tcPr>
            <w:tcW w:w="282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30101</w:t>
            </w:r>
          </w:p>
        </w:tc>
        <w:tc>
          <w:tcPr>
            <w:tcW w:w="303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基本工资</w:t>
            </w:r>
          </w:p>
        </w:tc>
        <w:tc>
          <w:tcPr>
            <w:tcW w:w="106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ascii="宋体" w:hAnsi="宋体" w:cs="宋体"/>
                <w:color w:val="000000"/>
                <w:kern w:val="0"/>
                <w:sz w:val="20"/>
                <w:szCs w:val="24"/>
              </w:rPr>
            </w:pPr>
            <w:r>
              <w:rPr>
                <w:rFonts w:hint="eastAsia" w:ascii="宋体" w:hAnsi="宋体" w:cs="宋体"/>
                <w:color w:val="000000"/>
                <w:kern w:val="0"/>
                <w:sz w:val="20"/>
                <w:szCs w:val="24"/>
              </w:rPr>
              <w:t>70.09</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30201</w:t>
            </w:r>
          </w:p>
        </w:tc>
        <w:tc>
          <w:tcPr>
            <w:tcW w:w="20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办公费</w:t>
            </w:r>
          </w:p>
        </w:tc>
        <w:tc>
          <w:tcPr>
            <w:tcW w:w="100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ascii="宋体" w:hAnsi="宋体" w:cs="宋体"/>
                <w:color w:val="000000"/>
                <w:kern w:val="0"/>
                <w:sz w:val="20"/>
                <w:szCs w:val="24"/>
              </w:rPr>
            </w:pPr>
            <w:r>
              <w:rPr>
                <w:rFonts w:hint="eastAsia" w:ascii="宋体" w:hAnsi="宋体" w:cs="宋体"/>
                <w:color w:val="000000"/>
                <w:kern w:val="0"/>
                <w:sz w:val="20"/>
                <w:szCs w:val="24"/>
              </w:rPr>
              <w:t>4.62</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30701</w:t>
            </w:r>
          </w:p>
        </w:tc>
        <w:tc>
          <w:tcPr>
            <w:tcW w:w="2431"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国内债务付息</w:t>
            </w:r>
          </w:p>
        </w:tc>
        <w:tc>
          <w:tcPr>
            <w:tcW w:w="282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30102</w:t>
            </w:r>
          </w:p>
        </w:tc>
        <w:tc>
          <w:tcPr>
            <w:tcW w:w="303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津贴补贴</w:t>
            </w:r>
          </w:p>
        </w:tc>
        <w:tc>
          <w:tcPr>
            <w:tcW w:w="106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ascii="宋体" w:hAnsi="宋体" w:cs="宋体"/>
                <w:color w:val="000000"/>
                <w:kern w:val="0"/>
                <w:sz w:val="20"/>
                <w:szCs w:val="24"/>
              </w:rPr>
            </w:pPr>
            <w:r>
              <w:rPr>
                <w:rFonts w:hint="eastAsia" w:ascii="宋体" w:hAnsi="宋体" w:cs="宋体"/>
                <w:color w:val="000000"/>
                <w:kern w:val="0"/>
                <w:sz w:val="20"/>
                <w:szCs w:val="24"/>
              </w:rPr>
              <w:t>43.26</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30202</w:t>
            </w:r>
          </w:p>
        </w:tc>
        <w:tc>
          <w:tcPr>
            <w:tcW w:w="20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印刷费</w:t>
            </w:r>
          </w:p>
        </w:tc>
        <w:tc>
          <w:tcPr>
            <w:tcW w:w="100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ascii="宋体" w:hAnsi="宋体" w:cs="宋体"/>
                <w:color w:val="000000"/>
                <w:kern w:val="0"/>
                <w:sz w:val="20"/>
                <w:szCs w:val="24"/>
              </w:rPr>
            </w:pPr>
            <w:r>
              <w:rPr>
                <w:rFonts w:hint="eastAsia" w:ascii="宋体" w:hAnsi="宋体" w:cs="宋体"/>
                <w:color w:val="000000"/>
                <w:kern w:val="0"/>
                <w:sz w:val="20"/>
                <w:szCs w:val="24"/>
              </w:rPr>
              <w:t>10.06</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30702</w:t>
            </w:r>
          </w:p>
        </w:tc>
        <w:tc>
          <w:tcPr>
            <w:tcW w:w="2431"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国外债务付息</w:t>
            </w:r>
          </w:p>
        </w:tc>
        <w:tc>
          <w:tcPr>
            <w:tcW w:w="282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30103</w:t>
            </w:r>
          </w:p>
        </w:tc>
        <w:tc>
          <w:tcPr>
            <w:tcW w:w="303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奖金</w:t>
            </w:r>
          </w:p>
        </w:tc>
        <w:tc>
          <w:tcPr>
            <w:tcW w:w="106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ascii="宋体" w:hAnsi="宋体" w:cs="宋体"/>
                <w:color w:val="000000"/>
                <w:kern w:val="0"/>
                <w:sz w:val="20"/>
                <w:szCs w:val="24"/>
              </w:rPr>
            </w:pPr>
            <w:r>
              <w:rPr>
                <w:rFonts w:hint="eastAsia" w:ascii="宋体" w:hAnsi="宋体" w:cs="宋体"/>
                <w:color w:val="000000"/>
                <w:kern w:val="0"/>
                <w:sz w:val="20"/>
                <w:szCs w:val="24"/>
              </w:rPr>
              <w:t>15.34</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30203</w:t>
            </w:r>
          </w:p>
        </w:tc>
        <w:tc>
          <w:tcPr>
            <w:tcW w:w="20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咨询费</w:t>
            </w:r>
          </w:p>
        </w:tc>
        <w:tc>
          <w:tcPr>
            <w:tcW w:w="100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310</w:t>
            </w:r>
          </w:p>
        </w:tc>
        <w:tc>
          <w:tcPr>
            <w:tcW w:w="2431"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资本性支出</w:t>
            </w:r>
          </w:p>
        </w:tc>
        <w:tc>
          <w:tcPr>
            <w:tcW w:w="282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0"/>
                <w:szCs w:val="24"/>
              </w:rPr>
            </w:pPr>
            <w:r>
              <w:rPr>
                <w:rFonts w:hint="eastAsia" w:ascii="宋体" w:hAnsi="宋体" w:cs="宋体"/>
                <w:color w:val="000000"/>
                <w:kern w:val="0"/>
                <w:sz w:val="20"/>
                <w:szCs w:val="24"/>
              </w:rPr>
              <w:t>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30106</w:t>
            </w:r>
          </w:p>
        </w:tc>
        <w:tc>
          <w:tcPr>
            <w:tcW w:w="303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伙食补助费</w:t>
            </w:r>
          </w:p>
        </w:tc>
        <w:tc>
          <w:tcPr>
            <w:tcW w:w="106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30204</w:t>
            </w:r>
          </w:p>
        </w:tc>
        <w:tc>
          <w:tcPr>
            <w:tcW w:w="20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手续费</w:t>
            </w:r>
          </w:p>
        </w:tc>
        <w:tc>
          <w:tcPr>
            <w:tcW w:w="100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31001</w:t>
            </w:r>
          </w:p>
        </w:tc>
        <w:tc>
          <w:tcPr>
            <w:tcW w:w="2431"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房屋建筑物购建</w:t>
            </w:r>
          </w:p>
        </w:tc>
        <w:tc>
          <w:tcPr>
            <w:tcW w:w="282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30107</w:t>
            </w:r>
          </w:p>
        </w:tc>
        <w:tc>
          <w:tcPr>
            <w:tcW w:w="303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绩效工资</w:t>
            </w:r>
          </w:p>
        </w:tc>
        <w:tc>
          <w:tcPr>
            <w:tcW w:w="106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ascii="宋体" w:hAnsi="宋体" w:cs="宋体"/>
                <w:color w:val="000000"/>
                <w:kern w:val="0"/>
                <w:sz w:val="20"/>
                <w:szCs w:val="24"/>
              </w:rPr>
            </w:pPr>
            <w:r>
              <w:rPr>
                <w:rFonts w:hint="eastAsia" w:ascii="宋体" w:hAnsi="宋体" w:cs="宋体"/>
                <w:color w:val="000000"/>
                <w:kern w:val="0"/>
                <w:sz w:val="20"/>
                <w:szCs w:val="24"/>
              </w:rPr>
              <w:t>13.82</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30205</w:t>
            </w:r>
          </w:p>
        </w:tc>
        <w:tc>
          <w:tcPr>
            <w:tcW w:w="20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水费</w:t>
            </w:r>
          </w:p>
        </w:tc>
        <w:tc>
          <w:tcPr>
            <w:tcW w:w="100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ascii="宋体" w:hAnsi="宋体" w:cs="宋体"/>
                <w:color w:val="000000"/>
                <w:kern w:val="0"/>
                <w:sz w:val="20"/>
                <w:szCs w:val="24"/>
              </w:rPr>
            </w:pPr>
            <w:r>
              <w:rPr>
                <w:rFonts w:hint="eastAsia" w:ascii="宋体" w:hAnsi="宋体" w:cs="宋体"/>
                <w:color w:val="000000"/>
                <w:kern w:val="0"/>
                <w:sz w:val="20"/>
                <w:szCs w:val="24"/>
              </w:rPr>
              <w:t>0.15</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31002</w:t>
            </w:r>
          </w:p>
        </w:tc>
        <w:tc>
          <w:tcPr>
            <w:tcW w:w="2431"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办公设备购置</w:t>
            </w:r>
          </w:p>
        </w:tc>
        <w:tc>
          <w:tcPr>
            <w:tcW w:w="282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0"/>
                <w:szCs w:val="24"/>
              </w:rPr>
            </w:pPr>
            <w:r>
              <w:rPr>
                <w:rFonts w:hint="eastAsia" w:ascii="宋体" w:hAnsi="宋体" w:cs="宋体"/>
                <w:color w:val="000000"/>
                <w:kern w:val="0"/>
                <w:sz w:val="20"/>
                <w:szCs w:val="24"/>
              </w:rPr>
              <w:t>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30108</w:t>
            </w:r>
          </w:p>
        </w:tc>
        <w:tc>
          <w:tcPr>
            <w:tcW w:w="303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机关事业单位基本养老保险缴费</w:t>
            </w:r>
          </w:p>
        </w:tc>
        <w:tc>
          <w:tcPr>
            <w:tcW w:w="106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ascii="宋体" w:hAnsi="宋体" w:cs="宋体"/>
                <w:color w:val="000000"/>
                <w:kern w:val="0"/>
                <w:sz w:val="20"/>
                <w:szCs w:val="24"/>
              </w:rPr>
            </w:pPr>
            <w:r>
              <w:rPr>
                <w:rFonts w:hint="eastAsia" w:ascii="宋体" w:hAnsi="宋体" w:cs="宋体"/>
                <w:color w:val="000000"/>
                <w:kern w:val="0"/>
                <w:sz w:val="20"/>
                <w:szCs w:val="24"/>
              </w:rPr>
              <w:t>22.70</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30206</w:t>
            </w:r>
          </w:p>
        </w:tc>
        <w:tc>
          <w:tcPr>
            <w:tcW w:w="20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电费</w:t>
            </w:r>
          </w:p>
        </w:tc>
        <w:tc>
          <w:tcPr>
            <w:tcW w:w="100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ascii="宋体" w:hAnsi="宋体" w:cs="宋体"/>
                <w:color w:val="000000"/>
                <w:kern w:val="0"/>
                <w:sz w:val="20"/>
                <w:szCs w:val="24"/>
              </w:rPr>
            </w:pPr>
            <w:r>
              <w:rPr>
                <w:rFonts w:hint="eastAsia" w:ascii="宋体" w:hAnsi="宋体" w:cs="宋体"/>
                <w:color w:val="000000"/>
                <w:kern w:val="0"/>
                <w:sz w:val="20"/>
                <w:szCs w:val="24"/>
              </w:rPr>
              <w:t>1.52</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31003</w:t>
            </w:r>
          </w:p>
        </w:tc>
        <w:tc>
          <w:tcPr>
            <w:tcW w:w="2431"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专用设备购置</w:t>
            </w:r>
          </w:p>
        </w:tc>
        <w:tc>
          <w:tcPr>
            <w:tcW w:w="282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30109</w:t>
            </w:r>
          </w:p>
        </w:tc>
        <w:tc>
          <w:tcPr>
            <w:tcW w:w="303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职业年金缴费</w:t>
            </w:r>
          </w:p>
        </w:tc>
        <w:tc>
          <w:tcPr>
            <w:tcW w:w="106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30207</w:t>
            </w:r>
          </w:p>
        </w:tc>
        <w:tc>
          <w:tcPr>
            <w:tcW w:w="20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邮电费</w:t>
            </w:r>
          </w:p>
        </w:tc>
        <w:tc>
          <w:tcPr>
            <w:tcW w:w="100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ascii="宋体" w:hAnsi="宋体" w:cs="宋体"/>
                <w:color w:val="000000"/>
                <w:kern w:val="0"/>
                <w:sz w:val="20"/>
                <w:szCs w:val="24"/>
              </w:rPr>
            </w:pPr>
            <w:r>
              <w:rPr>
                <w:rFonts w:hint="eastAsia" w:ascii="宋体" w:hAnsi="宋体" w:cs="宋体"/>
                <w:color w:val="000000"/>
                <w:kern w:val="0"/>
                <w:sz w:val="20"/>
                <w:szCs w:val="24"/>
              </w:rPr>
              <w:t>0.82</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31005</w:t>
            </w:r>
          </w:p>
        </w:tc>
        <w:tc>
          <w:tcPr>
            <w:tcW w:w="2431"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基础设施建设</w:t>
            </w:r>
          </w:p>
        </w:tc>
        <w:tc>
          <w:tcPr>
            <w:tcW w:w="282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30110</w:t>
            </w:r>
          </w:p>
        </w:tc>
        <w:tc>
          <w:tcPr>
            <w:tcW w:w="303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职工基本医疗保险缴费</w:t>
            </w:r>
          </w:p>
        </w:tc>
        <w:tc>
          <w:tcPr>
            <w:tcW w:w="106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ascii="宋体" w:hAnsi="宋体" w:cs="宋体"/>
                <w:color w:val="000000"/>
                <w:kern w:val="0"/>
                <w:sz w:val="20"/>
                <w:szCs w:val="24"/>
              </w:rPr>
            </w:pPr>
            <w:r>
              <w:rPr>
                <w:rFonts w:hint="eastAsia" w:ascii="宋体" w:hAnsi="宋体" w:cs="宋体"/>
                <w:color w:val="000000"/>
                <w:kern w:val="0"/>
                <w:sz w:val="20"/>
                <w:szCs w:val="24"/>
              </w:rPr>
              <w:t>6.82</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30208</w:t>
            </w:r>
          </w:p>
        </w:tc>
        <w:tc>
          <w:tcPr>
            <w:tcW w:w="20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取暖费</w:t>
            </w:r>
          </w:p>
        </w:tc>
        <w:tc>
          <w:tcPr>
            <w:tcW w:w="100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31006</w:t>
            </w:r>
          </w:p>
        </w:tc>
        <w:tc>
          <w:tcPr>
            <w:tcW w:w="2431"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大型修缮</w:t>
            </w:r>
          </w:p>
        </w:tc>
        <w:tc>
          <w:tcPr>
            <w:tcW w:w="282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30111</w:t>
            </w:r>
          </w:p>
        </w:tc>
        <w:tc>
          <w:tcPr>
            <w:tcW w:w="303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公务员医疗补助缴费</w:t>
            </w:r>
          </w:p>
        </w:tc>
        <w:tc>
          <w:tcPr>
            <w:tcW w:w="106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30209</w:t>
            </w:r>
          </w:p>
        </w:tc>
        <w:tc>
          <w:tcPr>
            <w:tcW w:w="20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物业管理费</w:t>
            </w:r>
          </w:p>
        </w:tc>
        <w:tc>
          <w:tcPr>
            <w:tcW w:w="100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ascii="宋体" w:hAnsi="宋体" w:cs="宋体"/>
                <w:color w:val="000000"/>
                <w:kern w:val="0"/>
                <w:sz w:val="20"/>
                <w:szCs w:val="24"/>
              </w:rPr>
            </w:pPr>
            <w:r>
              <w:rPr>
                <w:rFonts w:hint="eastAsia" w:ascii="宋体" w:hAnsi="宋体" w:cs="宋体"/>
                <w:color w:val="000000"/>
                <w:kern w:val="0"/>
                <w:sz w:val="20"/>
                <w:szCs w:val="24"/>
              </w:rPr>
              <w:t>0.91</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31007</w:t>
            </w:r>
          </w:p>
        </w:tc>
        <w:tc>
          <w:tcPr>
            <w:tcW w:w="2431"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信息网络及软件购置更新</w:t>
            </w:r>
          </w:p>
        </w:tc>
        <w:tc>
          <w:tcPr>
            <w:tcW w:w="282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30112</w:t>
            </w:r>
          </w:p>
        </w:tc>
        <w:tc>
          <w:tcPr>
            <w:tcW w:w="303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其他社会保障缴费</w:t>
            </w:r>
          </w:p>
        </w:tc>
        <w:tc>
          <w:tcPr>
            <w:tcW w:w="106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ascii="宋体" w:hAnsi="宋体" w:cs="宋体"/>
                <w:color w:val="000000"/>
                <w:kern w:val="0"/>
                <w:sz w:val="20"/>
                <w:szCs w:val="24"/>
              </w:rPr>
            </w:pPr>
            <w:r>
              <w:rPr>
                <w:rFonts w:hint="eastAsia" w:ascii="宋体" w:hAnsi="宋体" w:cs="宋体"/>
                <w:color w:val="000000"/>
                <w:kern w:val="0"/>
                <w:sz w:val="20"/>
                <w:szCs w:val="24"/>
              </w:rPr>
              <w:t>0.45</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30211</w:t>
            </w:r>
          </w:p>
        </w:tc>
        <w:tc>
          <w:tcPr>
            <w:tcW w:w="20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差旅费</w:t>
            </w:r>
          </w:p>
        </w:tc>
        <w:tc>
          <w:tcPr>
            <w:tcW w:w="100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ascii="宋体" w:hAnsi="宋体" w:cs="宋体"/>
                <w:color w:val="000000"/>
                <w:kern w:val="0"/>
                <w:sz w:val="20"/>
                <w:szCs w:val="24"/>
              </w:rPr>
            </w:pPr>
            <w:r>
              <w:rPr>
                <w:rFonts w:hint="eastAsia" w:ascii="宋体" w:hAnsi="宋体" w:cs="宋体"/>
                <w:color w:val="000000"/>
                <w:kern w:val="0"/>
                <w:sz w:val="20"/>
                <w:szCs w:val="24"/>
              </w:rPr>
              <w:t>2.43</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31008</w:t>
            </w:r>
          </w:p>
        </w:tc>
        <w:tc>
          <w:tcPr>
            <w:tcW w:w="2431"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物资储备</w:t>
            </w:r>
          </w:p>
        </w:tc>
        <w:tc>
          <w:tcPr>
            <w:tcW w:w="282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30113</w:t>
            </w:r>
          </w:p>
        </w:tc>
        <w:tc>
          <w:tcPr>
            <w:tcW w:w="303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住房公积金</w:t>
            </w:r>
          </w:p>
        </w:tc>
        <w:tc>
          <w:tcPr>
            <w:tcW w:w="106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ascii="宋体" w:hAnsi="宋体" w:cs="宋体"/>
                <w:color w:val="000000"/>
                <w:kern w:val="0"/>
                <w:sz w:val="20"/>
                <w:szCs w:val="24"/>
              </w:rPr>
            </w:pPr>
            <w:r>
              <w:rPr>
                <w:rFonts w:hint="eastAsia" w:ascii="宋体" w:hAnsi="宋体" w:cs="宋体"/>
                <w:color w:val="000000"/>
                <w:kern w:val="0"/>
                <w:sz w:val="20"/>
                <w:szCs w:val="24"/>
              </w:rPr>
              <w:t>6.94</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30212</w:t>
            </w:r>
          </w:p>
        </w:tc>
        <w:tc>
          <w:tcPr>
            <w:tcW w:w="20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因公出国（境）费用</w:t>
            </w:r>
          </w:p>
        </w:tc>
        <w:tc>
          <w:tcPr>
            <w:tcW w:w="100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31009</w:t>
            </w:r>
          </w:p>
        </w:tc>
        <w:tc>
          <w:tcPr>
            <w:tcW w:w="2431"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土地补偿</w:t>
            </w:r>
          </w:p>
        </w:tc>
        <w:tc>
          <w:tcPr>
            <w:tcW w:w="282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30114</w:t>
            </w:r>
          </w:p>
        </w:tc>
        <w:tc>
          <w:tcPr>
            <w:tcW w:w="303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医疗费</w:t>
            </w:r>
          </w:p>
        </w:tc>
        <w:tc>
          <w:tcPr>
            <w:tcW w:w="106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30213</w:t>
            </w:r>
          </w:p>
        </w:tc>
        <w:tc>
          <w:tcPr>
            <w:tcW w:w="20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维修（护）费</w:t>
            </w:r>
          </w:p>
        </w:tc>
        <w:tc>
          <w:tcPr>
            <w:tcW w:w="100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ascii="宋体" w:hAnsi="宋体" w:cs="宋体"/>
                <w:color w:val="000000"/>
                <w:kern w:val="0"/>
                <w:sz w:val="20"/>
                <w:szCs w:val="24"/>
              </w:rPr>
            </w:pPr>
            <w:r>
              <w:rPr>
                <w:rFonts w:hint="eastAsia" w:ascii="宋体" w:hAnsi="宋体" w:cs="宋体"/>
                <w:color w:val="000000"/>
                <w:kern w:val="0"/>
                <w:sz w:val="20"/>
                <w:szCs w:val="24"/>
              </w:rPr>
              <w:t>1.39</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31010</w:t>
            </w:r>
          </w:p>
        </w:tc>
        <w:tc>
          <w:tcPr>
            <w:tcW w:w="2431"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安置补助</w:t>
            </w:r>
          </w:p>
        </w:tc>
        <w:tc>
          <w:tcPr>
            <w:tcW w:w="282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30199</w:t>
            </w:r>
          </w:p>
        </w:tc>
        <w:tc>
          <w:tcPr>
            <w:tcW w:w="303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其他工资福利支出</w:t>
            </w:r>
          </w:p>
        </w:tc>
        <w:tc>
          <w:tcPr>
            <w:tcW w:w="106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ascii="宋体" w:hAnsi="宋体" w:cs="宋体"/>
                <w:color w:val="000000"/>
                <w:kern w:val="0"/>
                <w:sz w:val="20"/>
                <w:szCs w:val="24"/>
              </w:rPr>
            </w:pPr>
            <w:r>
              <w:rPr>
                <w:rFonts w:hint="eastAsia" w:ascii="宋体" w:hAnsi="宋体" w:cs="宋体"/>
                <w:color w:val="000000"/>
                <w:kern w:val="0"/>
                <w:sz w:val="20"/>
                <w:szCs w:val="24"/>
              </w:rPr>
              <w:t>0.87</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30214</w:t>
            </w:r>
          </w:p>
        </w:tc>
        <w:tc>
          <w:tcPr>
            <w:tcW w:w="20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租赁费</w:t>
            </w:r>
          </w:p>
        </w:tc>
        <w:tc>
          <w:tcPr>
            <w:tcW w:w="100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ascii="宋体" w:hAnsi="宋体" w:cs="宋体"/>
                <w:color w:val="000000"/>
                <w:kern w:val="0"/>
                <w:sz w:val="20"/>
                <w:szCs w:val="24"/>
              </w:rPr>
            </w:pPr>
            <w:r>
              <w:rPr>
                <w:rFonts w:hint="eastAsia" w:ascii="宋体" w:hAnsi="宋体" w:cs="宋体"/>
                <w:color w:val="000000"/>
                <w:kern w:val="0"/>
                <w:sz w:val="20"/>
                <w:szCs w:val="24"/>
              </w:rPr>
              <w:t>1.44</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31011</w:t>
            </w:r>
          </w:p>
        </w:tc>
        <w:tc>
          <w:tcPr>
            <w:tcW w:w="2431"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地上附着物和青苗补偿</w:t>
            </w:r>
          </w:p>
        </w:tc>
        <w:tc>
          <w:tcPr>
            <w:tcW w:w="282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303</w:t>
            </w:r>
          </w:p>
        </w:tc>
        <w:tc>
          <w:tcPr>
            <w:tcW w:w="303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对个人和家庭的补助</w:t>
            </w:r>
          </w:p>
        </w:tc>
        <w:tc>
          <w:tcPr>
            <w:tcW w:w="106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ascii="宋体" w:hAnsi="宋体" w:cs="宋体"/>
                <w:color w:val="000000"/>
                <w:kern w:val="0"/>
                <w:sz w:val="20"/>
                <w:szCs w:val="24"/>
              </w:rPr>
            </w:pPr>
            <w:r>
              <w:rPr>
                <w:rFonts w:hint="eastAsia" w:ascii="宋体" w:hAnsi="宋体" w:cs="宋体"/>
                <w:color w:val="000000"/>
                <w:kern w:val="0"/>
                <w:sz w:val="20"/>
                <w:szCs w:val="24"/>
              </w:rPr>
              <w:t>24.76</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30215</w:t>
            </w:r>
          </w:p>
        </w:tc>
        <w:tc>
          <w:tcPr>
            <w:tcW w:w="20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会议费</w:t>
            </w:r>
          </w:p>
        </w:tc>
        <w:tc>
          <w:tcPr>
            <w:tcW w:w="100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31012</w:t>
            </w:r>
          </w:p>
        </w:tc>
        <w:tc>
          <w:tcPr>
            <w:tcW w:w="2431"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拆迁补偿</w:t>
            </w:r>
          </w:p>
        </w:tc>
        <w:tc>
          <w:tcPr>
            <w:tcW w:w="282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30301</w:t>
            </w:r>
          </w:p>
        </w:tc>
        <w:tc>
          <w:tcPr>
            <w:tcW w:w="303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离休费</w:t>
            </w:r>
          </w:p>
        </w:tc>
        <w:tc>
          <w:tcPr>
            <w:tcW w:w="106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ascii="宋体" w:hAnsi="宋体" w:cs="宋体"/>
                <w:color w:val="000000"/>
                <w:kern w:val="0"/>
                <w:sz w:val="20"/>
                <w:szCs w:val="24"/>
              </w:rPr>
            </w:pPr>
            <w:r>
              <w:rPr>
                <w:rFonts w:hint="eastAsia" w:ascii="宋体" w:hAnsi="宋体" w:cs="宋体"/>
                <w:color w:val="000000"/>
                <w:kern w:val="0"/>
                <w:sz w:val="20"/>
                <w:szCs w:val="24"/>
              </w:rPr>
              <w:t>17.13</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30216</w:t>
            </w:r>
          </w:p>
        </w:tc>
        <w:tc>
          <w:tcPr>
            <w:tcW w:w="20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培训费</w:t>
            </w:r>
          </w:p>
        </w:tc>
        <w:tc>
          <w:tcPr>
            <w:tcW w:w="100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31013</w:t>
            </w:r>
          </w:p>
        </w:tc>
        <w:tc>
          <w:tcPr>
            <w:tcW w:w="2431"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公务用车购置</w:t>
            </w:r>
          </w:p>
        </w:tc>
        <w:tc>
          <w:tcPr>
            <w:tcW w:w="282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30302</w:t>
            </w:r>
          </w:p>
        </w:tc>
        <w:tc>
          <w:tcPr>
            <w:tcW w:w="303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退休费</w:t>
            </w:r>
          </w:p>
        </w:tc>
        <w:tc>
          <w:tcPr>
            <w:tcW w:w="106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30217</w:t>
            </w:r>
          </w:p>
        </w:tc>
        <w:tc>
          <w:tcPr>
            <w:tcW w:w="20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公务接待费</w:t>
            </w:r>
          </w:p>
        </w:tc>
        <w:tc>
          <w:tcPr>
            <w:tcW w:w="100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31019</w:t>
            </w:r>
          </w:p>
        </w:tc>
        <w:tc>
          <w:tcPr>
            <w:tcW w:w="2431"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其他交通工具购置</w:t>
            </w:r>
          </w:p>
        </w:tc>
        <w:tc>
          <w:tcPr>
            <w:tcW w:w="282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30303</w:t>
            </w:r>
          </w:p>
        </w:tc>
        <w:tc>
          <w:tcPr>
            <w:tcW w:w="303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退职（役）费</w:t>
            </w:r>
          </w:p>
        </w:tc>
        <w:tc>
          <w:tcPr>
            <w:tcW w:w="106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30218</w:t>
            </w:r>
          </w:p>
        </w:tc>
        <w:tc>
          <w:tcPr>
            <w:tcW w:w="20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专用材料费</w:t>
            </w:r>
          </w:p>
        </w:tc>
        <w:tc>
          <w:tcPr>
            <w:tcW w:w="100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31021</w:t>
            </w:r>
          </w:p>
        </w:tc>
        <w:tc>
          <w:tcPr>
            <w:tcW w:w="2431"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文物和陈列品购置</w:t>
            </w:r>
          </w:p>
        </w:tc>
        <w:tc>
          <w:tcPr>
            <w:tcW w:w="282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30304</w:t>
            </w:r>
          </w:p>
        </w:tc>
        <w:tc>
          <w:tcPr>
            <w:tcW w:w="303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抚恤金</w:t>
            </w:r>
          </w:p>
        </w:tc>
        <w:tc>
          <w:tcPr>
            <w:tcW w:w="106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ascii="宋体" w:hAnsi="宋体" w:cs="宋体"/>
                <w:color w:val="000000"/>
                <w:kern w:val="0"/>
                <w:sz w:val="20"/>
                <w:szCs w:val="24"/>
              </w:rPr>
            </w:pPr>
            <w:r>
              <w:rPr>
                <w:rFonts w:hint="eastAsia" w:ascii="宋体" w:hAnsi="宋体" w:cs="宋体"/>
                <w:color w:val="000000"/>
                <w:kern w:val="0"/>
                <w:sz w:val="20"/>
                <w:szCs w:val="24"/>
              </w:rPr>
              <w:t>5.37</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30224</w:t>
            </w:r>
          </w:p>
        </w:tc>
        <w:tc>
          <w:tcPr>
            <w:tcW w:w="20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被装购置费</w:t>
            </w:r>
          </w:p>
        </w:tc>
        <w:tc>
          <w:tcPr>
            <w:tcW w:w="100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31022</w:t>
            </w:r>
          </w:p>
        </w:tc>
        <w:tc>
          <w:tcPr>
            <w:tcW w:w="2431"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无形资产购置</w:t>
            </w:r>
          </w:p>
        </w:tc>
        <w:tc>
          <w:tcPr>
            <w:tcW w:w="282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30305</w:t>
            </w:r>
          </w:p>
        </w:tc>
        <w:tc>
          <w:tcPr>
            <w:tcW w:w="303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生活补助</w:t>
            </w:r>
          </w:p>
        </w:tc>
        <w:tc>
          <w:tcPr>
            <w:tcW w:w="106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ascii="宋体" w:hAnsi="宋体" w:cs="宋体"/>
                <w:color w:val="000000"/>
                <w:kern w:val="0"/>
                <w:sz w:val="20"/>
                <w:szCs w:val="24"/>
              </w:rPr>
            </w:pPr>
            <w:r>
              <w:rPr>
                <w:rFonts w:hint="eastAsia" w:ascii="宋体" w:hAnsi="宋体" w:cs="宋体"/>
                <w:color w:val="000000"/>
                <w:kern w:val="0"/>
                <w:sz w:val="20"/>
                <w:szCs w:val="24"/>
              </w:rPr>
              <w:t>0.18</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30225</w:t>
            </w:r>
          </w:p>
        </w:tc>
        <w:tc>
          <w:tcPr>
            <w:tcW w:w="20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专用燃料费</w:t>
            </w:r>
          </w:p>
        </w:tc>
        <w:tc>
          <w:tcPr>
            <w:tcW w:w="100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31099</w:t>
            </w:r>
          </w:p>
        </w:tc>
        <w:tc>
          <w:tcPr>
            <w:tcW w:w="2431"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其他资本性支出</w:t>
            </w:r>
          </w:p>
        </w:tc>
        <w:tc>
          <w:tcPr>
            <w:tcW w:w="282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0"/>
                <w:szCs w:val="24"/>
              </w:rPr>
            </w:pPr>
            <w:r>
              <w:rPr>
                <w:rFonts w:hint="eastAsia" w:ascii="宋体" w:hAnsi="宋体" w:cs="宋体"/>
                <w:color w:val="000000"/>
                <w:kern w:val="0"/>
                <w:sz w:val="20"/>
                <w:szCs w:val="24"/>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30306</w:t>
            </w:r>
          </w:p>
        </w:tc>
        <w:tc>
          <w:tcPr>
            <w:tcW w:w="303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救济费</w:t>
            </w:r>
          </w:p>
        </w:tc>
        <w:tc>
          <w:tcPr>
            <w:tcW w:w="106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ascii="宋体" w:hAnsi="宋体" w:cs="宋体"/>
                <w:color w:val="000000"/>
                <w:kern w:val="0"/>
                <w:sz w:val="20"/>
                <w:szCs w:val="24"/>
              </w:rPr>
            </w:pPr>
            <w:r>
              <w:rPr>
                <w:rFonts w:hint="eastAsia" w:ascii="宋体" w:hAnsi="宋体" w:cs="宋体"/>
                <w:color w:val="000000"/>
                <w:kern w:val="0"/>
                <w:sz w:val="20"/>
                <w:szCs w:val="24"/>
              </w:rPr>
              <w:t>2.08</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30226</w:t>
            </w:r>
          </w:p>
        </w:tc>
        <w:tc>
          <w:tcPr>
            <w:tcW w:w="20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劳务费</w:t>
            </w:r>
          </w:p>
        </w:tc>
        <w:tc>
          <w:tcPr>
            <w:tcW w:w="100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ascii="宋体" w:hAnsi="宋体" w:cs="宋体"/>
                <w:color w:val="000000"/>
                <w:kern w:val="0"/>
                <w:sz w:val="20"/>
                <w:szCs w:val="24"/>
              </w:rPr>
            </w:pPr>
            <w:r>
              <w:rPr>
                <w:rFonts w:hint="eastAsia" w:ascii="宋体" w:hAnsi="宋体" w:cs="宋体"/>
                <w:color w:val="000000"/>
                <w:kern w:val="0"/>
                <w:sz w:val="20"/>
                <w:szCs w:val="24"/>
              </w:rPr>
              <w:t>5.00</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399</w:t>
            </w:r>
          </w:p>
        </w:tc>
        <w:tc>
          <w:tcPr>
            <w:tcW w:w="2431"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其他支出</w:t>
            </w:r>
          </w:p>
        </w:tc>
        <w:tc>
          <w:tcPr>
            <w:tcW w:w="282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30307</w:t>
            </w:r>
          </w:p>
        </w:tc>
        <w:tc>
          <w:tcPr>
            <w:tcW w:w="303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医疗费补助</w:t>
            </w:r>
          </w:p>
        </w:tc>
        <w:tc>
          <w:tcPr>
            <w:tcW w:w="106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30227</w:t>
            </w:r>
          </w:p>
        </w:tc>
        <w:tc>
          <w:tcPr>
            <w:tcW w:w="20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委托业务费</w:t>
            </w:r>
          </w:p>
        </w:tc>
        <w:tc>
          <w:tcPr>
            <w:tcW w:w="100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39906</w:t>
            </w:r>
          </w:p>
        </w:tc>
        <w:tc>
          <w:tcPr>
            <w:tcW w:w="2431"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赠与</w:t>
            </w:r>
          </w:p>
        </w:tc>
        <w:tc>
          <w:tcPr>
            <w:tcW w:w="282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30308</w:t>
            </w:r>
          </w:p>
        </w:tc>
        <w:tc>
          <w:tcPr>
            <w:tcW w:w="303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助学金</w:t>
            </w:r>
          </w:p>
        </w:tc>
        <w:tc>
          <w:tcPr>
            <w:tcW w:w="106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30228</w:t>
            </w:r>
          </w:p>
        </w:tc>
        <w:tc>
          <w:tcPr>
            <w:tcW w:w="20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工会经费</w:t>
            </w:r>
          </w:p>
        </w:tc>
        <w:tc>
          <w:tcPr>
            <w:tcW w:w="100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ascii="宋体" w:hAnsi="宋体" w:cs="宋体"/>
                <w:color w:val="000000"/>
                <w:kern w:val="0"/>
                <w:sz w:val="20"/>
                <w:szCs w:val="24"/>
              </w:rPr>
            </w:pPr>
            <w:r>
              <w:rPr>
                <w:rFonts w:hint="eastAsia" w:ascii="宋体" w:hAnsi="宋体" w:cs="宋体"/>
                <w:color w:val="000000"/>
                <w:kern w:val="0"/>
                <w:sz w:val="20"/>
                <w:szCs w:val="24"/>
              </w:rPr>
              <w:t>0.35</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39907</w:t>
            </w:r>
          </w:p>
        </w:tc>
        <w:tc>
          <w:tcPr>
            <w:tcW w:w="2431"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国家赔偿费用支出</w:t>
            </w:r>
          </w:p>
        </w:tc>
        <w:tc>
          <w:tcPr>
            <w:tcW w:w="282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30309</w:t>
            </w:r>
          </w:p>
        </w:tc>
        <w:tc>
          <w:tcPr>
            <w:tcW w:w="303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奖励金</w:t>
            </w:r>
          </w:p>
        </w:tc>
        <w:tc>
          <w:tcPr>
            <w:tcW w:w="106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30229</w:t>
            </w:r>
          </w:p>
        </w:tc>
        <w:tc>
          <w:tcPr>
            <w:tcW w:w="20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福利费</w:t>
            </w:r>
          </w:p>
        </w:tc>
        <w:tc>
          <w:tcPr>
            <w:tcW w:w="100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ascii="宋体" w:hAnsi="宋体" w:cs="宋体"/>
                <w:color w:val="000000"/>
                <w:kern w:val="0"/>
                <w:sz w:val="20"/>
                <w:szCs w:val="24"/>
              </w:rPr>
            </w:pPr>
            <w:r>
              <w:rPr>
                <w:rFonts w:hint="eastAsia" w:ascii="宋体" w:hAnsi="宋体" w:cs="宋体"/>
                <w:color w:val="000000"/>
                <w:kern w:val="0"/>
                <w:sz w:val="20"/>
                <w:szCs w:val="24"/>
              </w:rPr>
              <w:t>0.39</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39908</w:t>
            </w:r>
          </w:p>
        </w:tc>
        <w:tc>
          <w:tcPr>
            <w:tcW w:w="2431"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对民间非营利组织和群众性自治组织补贴</w:t>
            </w:r>
          </w:p>
        </w:tc>
        <w:tc>
          <w:tcPr>
            <w:tcW w:w="282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30310</w:t>
            </w:r>
          </w:p>
        </w:tc>
        <w:tc>
          <w:tcPr>
            <w:tcW w:w="303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个人农业生产补贴</w:t>
            </w:r>
          </w:p>
        </w:tc>
        <w:tc>
          <w:tcPr>
            <w:tcW w:w="106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30231</w:t>
            </w:r>
          </w:p>
        </w:tc>
        <w:tc>
          <w:tcPr>
            <w:tcW w:w="20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公务用车运行维护费</w:t>
            </w:r>
          </w:p>
        </w:tc>
        <w:tc>
          <w:tcPr>
            <w:tcW w:w="100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39999</w:t>
            </w:r>
          </w:p>
        </w:tc>
        <w:tc>
          <w:tcPr>
            <w:tcW w:w="2431"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其他支出</w:t>
            </w:r>
          </w:p>
        </w:tc>
        <w:tc>
          <w:tcPr>
            <w:tcW w:w="282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30399</w:t>
            </w:r>
          </w:p>
        </w:tc>
        <w:tc>
          <w:tcPr>
            <w:tcW w:w="303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其他对个人和家庭的补助支出</w:t>
            </w:r>
          </w:p>
        </w:tc>
        <w:tc>
          <w:tcPr>
            <w:tcW w:w="106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0"/>
                <w:szCs w:val="24"/>
              </w:rPr>
            </w:pPr>
            <w:r>
              <w:rPr>
                <w:rFonts w:hint="eastAsia" w:cs="宋体"/>
                <w:color w:val="000000"/>
                <w:kern w:val="0"/>
                <w:sz w:val="20"/>
                <w:szCs w:val="24"/>
              </w:rPr>
              <w:t>0.00</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30239</w:t>
            </w:r>
          </w:p>
        </w:tc>
        <w:tc>
          <w:tcPr>
            <w:tcW w:w="20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其他交通费用</w:t>
            </w:r>
          </w:p>
        </w:tc>
        <w:tc>
          <w:tcPr>
            <w:tcW w:w="100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ascii="宋体" w:hAnsi="宋体" w:cs="宋体"/>
                <w:color w:val="000000"/>
                <w:kern w:val="0"/>
                <w:sz w:val="20"/>
                <w:szCs w:val="24"/>
              </w:rPr>
            </w:pPr>
            <w:r>
              <w:rPr>
                <w:rFonts w:hint="eastAsia" w:ascii="宋体" w:hAnsi="宋体" w:cs="宋体"/>
                <w:color w:val="000000"/>
                <w:kern w:val="0"/>
                <w:sz w:val="20"/>
                <w:szCs w:val="24"/>
              </w:rPr>
              <w:t>6.71</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w:t>
            </w:r>
          </w:p>
        </w:tc>
        <w:tc>
          <w:tcPr>
            <w:tcW w:w="2431"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w:t>
            </w:r>
          </w:p>
        </w:tc>
        <w:tc>
          <w:tcPr>
            <w:tcW w:w="282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0"/>
                <w:szCs w:val="24"/>
              </w:rPr>
            </w:pPr>
            <w:r>
              <w:rPr>
                <w:rFonts w:hint="eastAsia" w:ascii="宋体" w:hAnsi="宋体" w:cs="宋体"/>
                <w:color w:val="000000"/>
                <w:kern w:val="0"/>
                <w:sz w:val="20"/>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w:t>
            </w:r>
          </w:p>
        </w:tc>
        <w:tc>
          <w:tcPr>
            <w:tcW w:w="303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w:t>
            </w:r>
          </w:p>
        </w:tc>
        <w:tc>
          <w:tcPr>
            <w:tcW w:w="106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0"/>
                <w:szCs w:val="24"/>
              </w:rPr>
            </w:pPr>
            <w:r>
              <w:rPr>
                <w:rFonts w:hint="eastAsia" w:ascii="宋体" w:hAnsi="宋体" w:cs="宋体"/>
                <w:color w:val="000000"/>
                <w:kern w:val="0"/>
                <w:sz w:val="20"/>
                <w:szCs w:val="24"/>
              </w:rPr>
              <w:t>　</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30240</w:t>
            </w:r>
          </w:p>
        </w:tc>
        <w:tc>
          <w:tcPr>
            <w:tcW w:w="20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税金及附加费用</w:t>
            </w:r>
          </w:p>
        </w:tc>
        <w:tc>
          <w:tcPr>
            <w:tcW w:w="100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ascii="宋体" w:hAnsi="宋体" w:cs="宋体"/>
                <w:color w:val="000000"/>
                <w:kern w:val="0"/>
                <w:sz w:val="20"/>
                <w:szCs w:val="24"/>
              </w:rPr>
            </w:pPr>
            <w:r>
              <w:rPr>
                <w:rFonts w:hint="eastAsia" w:ascii="宋体" w:hAnsi="宋体" w:cs="宋体"/>
                <w:color w:val="000000"/>
                <w:kern w:val="0"/>
                <w:sz w:val="20"/>
                <w:szCs w:val="24"/>
              </w:rPr>
              <w:t>0.33</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w:t>
            </w:r>
          </w:p>
        </w:tc>
        <w:tc>
          <w:tcPr>
            <w:tcW w:w="2431"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w:t>
            </w:r>
          </w:p>
        </w:tc>
        <w:tc>
          <w:tcPr>
            <w:tcW w:w="282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0"/>
                <w:szCs w:val="24"/>
              </w:rPr>
            </w:pPr>
            <w:r>
              <w:rPr>
                <w:rFonts w:hint="eastAsia" w:ascii="宋体" w:hAnsi="宋体" w:cs="宋体"/>
                <w:color w:val="000000"/>
                <w:kern w:val="0"/>
                <w:sz w:val="20"/>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0" w:type="dxa"/>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w:t>
            </w:r>
          </w:p>
        </w:tc>
        <w:tc>
          <w:tcPr>
            <w:tcW w:w="303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w:t>
            </w:r>
          </w:p>
        </w:tc>
        <w:tc>
          <w:tcPr>
            <w:tcW w:w="106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cs="宋体"/>
                <w:color w:val="000000"/>
                <w:kern w:val="0"/>
                <w:sz w:val="20"/>
                <w:szCs w:val="24"/>
              </w:rPr>
            </w:pPr>
            <w:r>
              <w:rPr>
                <w:rFonts w:hint="eastAsia" w:ascii="宋体" w:hAnsi="宋体" w:cs="宋体"/>
                <w:color w:val="000000"/>
                <w:kern w:val="0"/>
                <w:sz w:val="20"/>
                <w:szCs w:val="24"/>
              </w:rPr>
              <w:t>　</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ascii="宋体" w:hAnsi="宋体" w:cs="宋体"/>
                <w:color w:val="000000"/>
                <w:kern w:val="0"/>
                <w:sz w:val="20"/>
                <w:szCs w:val="24"/>
              </w:rPr>
            </w:pPr>
            <w:r>
              <w:rPr>
                <w:rFonts w:hint="eastAsia" w:ascii="宋体" w:hAnsi="宋体" w:cs="宋体"/>
                <w:color w:val="000000"/>
                <w:kern w:val="0"/>
                <w:sz w:val="20"/>
                <w:szCs w:val="24"/>
              </w:rPr>
              <w:t>30299</w:t>
            </w:r>
          </w:p>
        </w:tc>
        <w:tc>
          <w:tcPr>
            <w:tcW w:w="20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xml:space="preserve">  其他商品和服务支出</w:t>
            </w:r>
          </w:p>
        </w:tc>
        <w:tc>
          <w:tcPr>
            <w:tcW w:w="100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ascii="宋体" w:hAnsi="宋体" w:cs="宋体"/>
                <w:color w:val="000000"/>
                <w:kern w:val="0"/>
                <w:sz w:val="20"/>
                <w:szCs w:val="24"/>
              </w:rPr>
            </w:pPr>
            <w:r>
              <w:rPr>
                <w:rFonts w:hint="eastAsia" w:ascii="宋体" w:hAnsi="宋体" w:cs="宋体"/>
                <w:color w:val="000000"/>
                <w:kern w:val="0"/>
                <w:sz w:val="20"/>
                <w:szCs w:val="24"/>
              </w:rPr>
              <w:t>1.23</w:t>
            </w:r>
          </w:p>
        </w:tc>
        <w:tc>
          <w:tcPr>
            <w:tcW w:w="74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w:t>
            </w:r>
          </w:p>
        </w:tc>
        <w:tc>
          <w:tcPr>
            <w:tcW w:w="2431"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　</w:t>
            </w:r>
          </w:p>
        </w:tc>
        <w:tc>
          <w:tcPr>
            <w:tcW w:w="282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0"/>
                <w:szCs w:val="24"/>
              </w:rPr>
            </w:pPr>
            <w:r>
              <w:rPr>
                <w:rFonts w:hint="eastAsia" w:ascii="宋体" w:hAnsi="宋体" w:cs="宋体"/>
                <w:color w:val="000000"/>
                <w:kern w:val="0"/>
                <w:sz w:val="20"/>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70" w:type="dxa"/>
            <w:gridSpan w:val="2"/>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人员经费合计</w:t>
            </w:r>
          </w:p>
        </w:tc>
        <w:tc>
          <w:tcPr>
            <w:tcW w:w="1060" w:type="dxa"/>
            <w:tcBorders>
              <w:top w:val="nil"/>
              <w:left w:val="nil"/>
              <w:bottom w:val="single" w:color="000000" w:sz="4" w:space="0"/>
              <w:right w:val="single" w:color="000000" w:sz="4" w:space="0"/>
              <w:tl2br w:val="nil"/>
              <w:tr2bl w:val="nil"/>
            </w:tcBorders>
            <w:shd w:val="clear" w:color="auto" w:fill="auto"/>
            <w:noWrap/>
            <w:vAlign w:val="center"/>
          </w:tcPr>
          <w:p>
            <w:pPr>
              <w:widowControl/>
              <w:spacing w:beforeLines="0" w:afterLines="0"/>
              <w:jc w:val="right"/>
              <w:rPr>
                <w:rFonts w:hint="eastAsia" w:ascii="宋体" w:hAnsi="宋体" w:cs="宋体"/>
                <w:color w:val="000000"/>
                <w:kern w:val="0"/>
                <w:sz w:val="20"/>
                <w:szCs w:val="24"/>
              </w:rPr>
            </w:pPr>
            <w:r>
              <w:rPr>
                <w:rFonts w:hint="eastAsia" w:ascii="宋体" w:hAnsi="宋体" w:cs="宋体"/>
                <w:color w:val="000000"/>
                <w:kern w:val="0"/>
                <w:sz w:val="20"/>
                <w:szCs w:val="24"/>
              </w:rPr>
              <w:t>205.05</w:t>
            </w:r>
          </w:p>
        </w:tc>
        <w:tc>
          <w:tcPr>
            <w:tcW w:w="6951" w:type="dxa"/>
            <w:gridSpan w:val="5"/>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0"/>
                <w:szCs w:val="24"/>
              </w:rPr>
            </w:pPr>
            <w:r>
              <w:rPr>
                <w:rFonts w:hint="eastAsia" w:ascii="宋体" w:hAnsi="宋体" w:cs="宋体"/>
                <w:color w:val="000000"/>
                <w:kern w:val="0"/>
                <w:sz w:val="20"/>
                <w:szCs w:val="24"/>
              </w:rPr>
              <w:t>公用经费合计</w:t>
            </w:r>
          </w:p>
        </w:tc>
        <w:tc>
          <w:tcPr>
            <w:tcW w:w="2820" w:type="dxa"/>
            <w:gridSpan w:val="2"/>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ascii="宋体" w:hAnsi="宋体" w:cs="宋体"/>
                <w:color w:val="000000"/>
                <w:kern w:val="0"/>
                <w:sz w:val="20"/>
                <w:szCs w:val="24"/>
              </w:rPr>
            </w:pPr>
            <w:r>
              <w:rPr>
                <w:rFonts w:hint="eastAsia" w:ascii="宋体" w:hAnsi="宋体" w:cs="宋体"/>
                <w:color w:val="000000"/>
                <w:kern w:val="0"/>
                <w:sz w:val="20"/>
                <w:szCs w:val="24"/>
              </w:rPr>
              <w:t>39.60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601" w:type="dxa"/>
            <w:gridSpan w:val="10"/>
            <w:tcBorders>
              <w:top w:val="nil"/>
              <w:left w:val="nil"/>
              <w:bottom w:val="nil"/>
              <w:right w:val="nil"/>
              <w:tl2br w:val="nil"/>
              <w:tr2bl w:val="nil"/>
            </w:tcBorders>
            <w:noWrap/>
            <w:vAlign w:val="center"/>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注：本表反映部门本年度一般公共预算财政拨款基本支出明细情况。本表金额转换为万元时，因四舍五入可能存在尾差。</w:t>
            </w:r>
          </w:p>
        </w:tc>
      </w:tr>
    </w:tbl>
    <w:tbl>
      <w:tblPr>
        <w:tblStyle w:val="4"/>
        <w:tblW w:w="128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1"/>
        <w:gridCol w:w="1009"/>
        <w:gridCol w:w="991"/>
        <w:gridCol w:w="991"/>
        <w:gridCol w:w="991"/>
        <w:gridCol w:w="1263"/>
        <w:gridCol w:w="991"/>
        <w:gridCol w:w="1009"/>
        <w:gridCol w:w="991"/>
        <w:gridCol w:w="991"/>
        <w:gridCol w:w="991"/>
        <w:gridCol w:w="16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12856" w:type="dxa"/>
            <w:gridSpan w:val="12"/>
            <w:tcBorders>
              <w:top w:val="nil"/>
              <w:left w:val="nil"/>
              <w:bottom w:val="nil"/>
              <w:right w:val="nil"/>
              <w:tl2br w:val="nil"/>
              <w:tr2bl w:val="nil"/>
            </w:tcBorders>
            <w:noWrap/>
            <w:vAlign w:val="bottom"/>
          </w:tcPr>
          <w:p>
            <w:pPr>
              <w:widowControl/>
              <w:spacing w:beforeLines="0" w:afterLines="0"/>
              <w:jc w:val="center"/>
              <w:rPr>
                <w:rFonts w:hint="default" w:ascii="Arial" w:cs="Arial"/>
                <w:color w:val="000000"/>
                <w:kern w:val="0"/>
                <w:sz w:val="20"/>
                <w:szCs w:val="24"/>
              </w:rPr>
            </w:pPr>
            <w:r>
              <w:rPr>
                <w:rFonts w:hint="eastAsia" w:ascii="宋体" w:hAnsi="宋体" w:cs="宋体"/>
                <w:color w:val="000000"/>
                <w:kern w:val="0"/>
                <w:sz w:val="44"/>
                <w:szCs w:val="24"/>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991"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009"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991"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991"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991"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263"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991"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009"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991"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991"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991"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647" w:type="dxa"/>
            <w:tcBorders>
              <w:top w:val="nil"/>
              <w:left w:val="nil"/>
              <w:bottom w:val="nil"/>
              <w:right w:val="nil"/>
              <w:tl2br w:val="nil"/>
              <w:tr2bl w:val="nil"/>
            </w:tcBorders>
            <w:noWrap/>
            <w:vAlign w:val="bottom"/>
          </w:tcPr>
          <w:p>
            <w:pPr>
              <w:widowControl/>
              <w:spacing w:beforeLines="0" w:afterLines="0"/>
              <w:jc w:val="right"/>
              <w:rPr>
                <w:rFonts w:hint="eastAsia" w:cs="宋体"/>
                <w:color w:val="000000"/>
                <w:kern w:val="0"/>
                <w:sz w:val="20"/>
                <w:szCs w:val="24"/>
              </w:rPr>
            </w:pPr>
            <w:r>
              <w:rPr>
                <w:rFonts w:hint="eastAsia" w:ascii="宋体" w:hAnsi="宋体" w:cs="宋体"/>
                <w:color w:val="000000"/>
                <w:kern w:val="0"/>
                <w:sz w:val="20"/>
                <w:szCs w:val="24"/>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3982" w:type="dxa"/>
            <w:gridSpan w:val="4"/>
            <w:tcBorders>
              <w:top w:val="nil"/>
              <w:left w:val="nil"/>
              <w:bottom w:val="nil"/>
              <w:right w:val="nil"/>
              <w:tl2br w:val="nil"/>
              <w:tr2bl w:val="nil"/>
            </w:tcBorders>
            <w:noWrap/>
            <w:vAlign w:val="bottom"/>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部门：延津县安全生产监督管理局</w:t>
            </w:r>
          </w:p>
        </w:tc>
        <w:tc>
          <w:tcPr>
            <w:tcW w:w="991"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263"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991"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009"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991"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991"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991"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647" w:type="dxa"/>
            <w:tcBorders>
              <w:top w:val="nil"/>
              <w:left w:val="nil"/>
              <w:bottom w:val="nil"/>
              <w:right w:val="nil"/>
              <w:tl2br w:val="nil"/>
              <w:tr2bl w:val="nil"/>
            </w:tcBorders>
            <w:noWrap/>
            <w:vAlign w:val="bottom"/>
          </w:tcPr>
          <w:p>
            <w:pPr>
              <w:widowControl/>
              <w:spacing w:beforeLines="0" w:afterLines="0"/>
              <w:jc w:val="right"/>
              <w:rPr>
                <w:rFonts w:hint="eastAsia" w:cs="宋体"/>
                <w:color w:val="000000"/>
                <w:kern w:val="0"/>
                <w:sz w:val="20"/>
                <w:szCs w:val="24"/>
              </w:rPr>
            </w:pPr>
            <w:r>
              <w:rPr>
                <w:rFonts w:hint="eastAsia" w:ascii="宋体" w:hAnsi="宋体" w:cs="宋体"/>
                <w:color w:val="000000"/>
                <w:kern w:val="0"/>
                <w:sz w:val="20"/>
                <w:szCs w:val="24"/>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236" w:type="dxa"/>
            <w:gridSpan w:val="6"/>
            <w:tcBorders>
              <w:top w:val="single" w:color="000000" w:sz="4" w:space="0"/>
              <w:left w:val="single" w:color="000000" w:sz="4" w:space="0"/>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预算数</w:t>
            </w:r>
          </w:p>
        </w:tc>
        <w:tc>
          <w:tcPr>
            <w:tcW w:w="6620" w:type="dxa"/>
            <w:gridSpan w:val="6"/>
            <w:tcBorders>
              <w:top w:val="single" w:color="000000" w:sz="4" w:space="0"/>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991" w:type="dxa"/>
            <w:vMerge w:val="restart"/>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合计</w:t>
            </w:r>
          </w:p>
        </w:tc>
        <w:tc>
          <w:tcPr>
            <w:tcW w:w="1009" w:type="dxa"/>
            <w:vMerge w:val="restart"/>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因公出国（境）费</w:t>
            </w:r>
          </w:p>
        </w:tc>
        <w:tc>
          <w:tcPr>
            <w:tcW w:w="2973" w:type="dxa"/>
            <w:gridSpan w:val="3"/>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公务用车购置及运行费</w:t>
            </w:r>
          </w:p>
        </w:tc>
        <w:tc>
          <w:tcPr>
            <w:tcW w:w="1263" w:type="dxa"/>
            <w:vMerge w:val="restart"/>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公务接待费</w:t>
            </w:r>
          </w:p>
        </w:tc>
        <w:tc>
          <w:tcPr>
            <w:tcW w:w="991" w:type="dxa"/>
            <w:vMerge w:val="restart"/>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合计</w:t>
            </w:r>
          </w:p>
        </w:tc>
        <w:tc>
          <w:tcPr>
            <w:tcW w:w="1009" w:type="dxa"/>
            <w:vMerge w:val="restart"/>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因公出国（境）费</w:t>
            </w:r>
          </w:p>
        </w:tc>
        <w:tc>
          <w:tcPr>
            <w:tcW w:w="2973" w:type="dxa"/>
            <w:gridSpan w:val="3"/>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公务用车购置及运行费</w:t>
            </w:r>
          </w:p>
        </w:tc>
        <w:tc>
          <w:tcPr>
            <w:tcW w:w="1647" w:type="dxa"/>
            <w:vMerge w:val="restart"/>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991" w:type="dxa"/>
            <w:vMerge w:val="continue"/>
            <w:tcBorders>
              <w:top w:val="nil"/>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beforeLines="0" w:afterLines="0"/>
              <w:jc w:val="left"/>
              <w:rPr>
                <w:rFonts w:hint="eastAsia" w:cs="宋体"/>
                <w:color w:val="000000"/>
                <w:kern w:val="0"/>
                <w:sz w:val="22"/>
                <w:szCs w:val="24"/>
              </w:rPr>
            </w:pPr>
          </w:p>
        </w:tc>
        <w:tc>
          <w:tcPr>
            <w:tcW w:w="1009" w:type="dxa"/>
            <w:vMerge w:val="continue"/>
            <w:tcBorders>
              <w:top w:val="nil"/>
              <w:left w:val="nil"/>
              <w:bottom w:val="single" w:color="000000" w:sz="4" w:space="0"/>
              <w:right w:val="single" w:color="000000" w:sz="4" w:space="0"/>
              <w:tl2br w:val="nil"/>
              <w:tr2bl w:val="nil"/>
            </w:tcBorders>
            <w:shd w:val="clear" w:color="auto" w:fill="auto"/>
            <w:noWrap w:val="0"/>
            <w:vAlign w:val="center"/>
          </w:tcPr>
          <w:p>
            <w:pPr>
              <w:widowControl/>
              <w:spacing w:beforeLines="0" w:afterLines="0"/>
              <w:jc w:val="left"/>
              <w:rPr>
                <w:rFonts w:hint="eastAsia" w:cs="宋体"/>
                <w:color w:val="000000"/>
                <w:kern w:val="0"/>
                <w:sz w:val="22"/>
                <w:szCs w:val="24"/>
              </w:rPr>
            </w:pPr>
          </w:p>
        </w:tc>
        <w:tc>
          <w:tcPr>
            <w:tcW w:w="991" w:type="dxa"/>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小计</w:t>
            </w:r>
          </w:p>
        </w:tc>
        <w:tc>
          <w:tcPr>
            <w:tcW w:w="991" w:type="dxa"/>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公务用车购置费</w:t>
            </w:r>
          </w:p>
        </w:tc>
        <w:tc>
          <w:tcPr>
            <w:tcW w:w="991" w:type="dxa"/>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公务用车运行费</w:t>
            </w:r>
          </w:p>
        </w:tc>
        <w:tc>
          <w:tcPr>
            <w:tcW w:w="1263" w:type="dxa"/>
            <w:vMerge w:val="continue"/>
            <w:tcBorders>
              <w:top w:val="nil"/>
              <w:left w:val="nil"/>
              <w:bottom w:val="single" w:color="000000" w:sz="4" w:space="0"/>
              <w:right w:val="single" w:color="000000" w:sz="4" w:space="0"/>
              <w:tl2br w:val="nil"/>
              <w:tr2bl w:val="nil"/>
            </w:tcBorders>
            <w:shd w:val="clear" w:color="auto" w:fill="auto"/>
            <w:noWrap w:val="0"/>
            <w:vAlign w:val="center"/>
          </w:tcPr>
          <w:p>
            <w:pPr>
              <w:widowControl/>
              <w:spacing w:beforeLines="0" w:afterLines="0"/>
              <w:jc w:val="left"/>
              <w:rPr>
                <w:rFonts w:hint="eastAsia" w:cs="宋体"/>
                <w:color w:val="000000"/>
                <w:kern w:val="0"/>
                <w:sz w:val="22"/>
                <w:szCs w:val="24"/>
              </w:rPr>
            </w:pPr>
          </w:p>
        </w:tc>
        <w:tc>
          <w:tcPr>
            <w:tcW w:w="991" w:type="dxa"/>
            <w:vMerge w:val="continue"/>
            <w:tcBorders>
              <w:top w:val="nil"/>
              <w:left w:val="nil"/>
              <w:bottom w:val="single" w:color="000000" w:sz="4" w:space="0"/>
              <w:right w:val="single" w:color="000000" w:sz="4" w:space="0"/>
              <w:tl2br w:val="nil"/>
              <w:tr2bl w:val="nil"/>
            </w:tcBorders>
            <w:shd w:val="clear" w:color="auto" w:fill="auto"/>
            <w:noWrap w:val="0"/>
            <w:vAlign w:val="center"/>
          </w:tcPr>
          <w:p>
            <w:pPr>
              <w:widowControl/>
              <w:spacing w:beforeLines="0" w:afterLines="0"/>
              <w:jc w:val="left"/>
              <w:rPr>
                <w:rFonts w:hint="eastAsia" w:cs="宋体"/>
                <w:color w:val="000000"/>
                <w:kern w:val="0"/>
                <w:sz w:val="22"/>
                <w:szCs w:val="24"/>
              </w:rPr>
            </w:pPr>
          </w:p>
        </w:tc>
        <w:tc>
          <w:tcPr>
            <w:tcW w:w="1009" w:type="dxa"/>
            <w:vMerge w:val="continue"/>
            <w:tcBorders>
              <w:top w:val="nil"/>
              <w:left w:val="nil"/>
              <w:bottom w:val="single" w:color="000000" w:sz="4" w:space="0"/>
              <w:right w:val="single" w:color="000000" w:sz="4" w:space="0"/>
              <w:tl2br w:val="nil"/>
              <w:tr2bl w:val="nil"/>
            </w:tcBorders>
            <w:shd w:val="clear" w:color="auto" w:fill="auto"/>
            <w:noWrap w:val="0"/>
            <w:vAlign w:val="center"/>
          </w:tcPr>
          <w:p>
            <w:pPr>
              <w:widowControl/>
              <w:spacing w:beforeLines="0" w:afterLines="0"/>
              <w:jc w:val="left"/>
              <w:rPr>
                <w:rFonts w:hint="eastAsia" w:cs="宋体"/>
                <w:color w:val="000000"/>
                <w:kern w:val="0"/>
                <w:sz w:val="22"/>
                <w:szCs w:val="24"/>
              </w:rPr>
            </w:pPr>
          </w:p>
        </w:tc>
        <w:tc>
          <w:tcPr>
            <w:tcW w:w="991" w:type="dxa"/>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小计</w:t>
            </w:r>
          </w:p>
        </w:tc>
        <w:tc>
          <w:tcPr>
            <w:tcW w:w="991" w:type="dxa"/>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公务用车购置费</w:t>
            </w:r>
          </w:p>
        </w:tc>
        <w:tc>
          <w:tcPr>
            <w:tcW w:w="991" w:type="dxa"/>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公务用车运行费</w:t>
            </w:r>
          </w:p>
        </w:tc>
        <w:tc>
          <w:tcPr>
            <w:tcW w:w="1647" w:type="dxa"/>
            <w:vMerge w:val="continue"/>
            <w:tcBorders>
              <w:top w:val="nil"/>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991" w:type="dxa"/>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1</w:t>
            </w:r>
          </w:p>
        </w:tc>
        <w:tc>
          <w:tcPr>
            <w:tcW w:w="1009" w:type="dxa"/>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2</w:t>
            </w:r>
          </w:p>
        </w:tc>
        <w:tc>
          <w:tcPr>
            <w:tcW w:w="991" w:type="dxa"/>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3</w:t>
            </w:r>
          </w:p>
        </w:tc>
        <w:tc>
          <w:tcPr>
            <w:tcW w:w="991" w:type="dxa"/>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4</w:t>
            </w:r>
          </w:p>
        </w:tc>
        <w:tc>
          <w:tcPr>
            <w:tcW w:w="991" w:type="dxa"/>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5</w:t>
            </w:r>
          </w:p>
        </w:tc>
        <w:tc>
          <w:tcPr>
            <w:tcW w:w="1263" w:type="dxa"/>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6</w:t>
            </w:r>
          </w:p>
        </w:tc>
        <w:tc>
          <w:tcPr>
            <w:tcW w:w="991" w:type="dxa"/>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7</w:t>
            </w:r>
          </w:p>
        </w:tc>
        <w:tc>
          <w:tcPr>
            <w:tcW w:w="1009" w:type="dxa"/>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8</w:t>
            </w:r>
          </w:p>
        </w:tc>
        <w:tc>
          <w:tcPr>
            <w:tcW w:w="991" w:type="dxa"/>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9</w:t>
            </w:r>
          </w:p>
        </w:tc>
        <w:tc>
          <w:tcPr>
            <w:tcW w:w="991" w:type="dxa"/>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10</w:t>
            </w:r>
          </w:p>
        </w:tc>
        <w:tc>
          <w:tcPr>
            <w:tcW w:w="991" w:type="dxa"/>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11</w:t>
            </w:r>
          </w:p>
        </w:tc>
        <w:tc>
          <w:tcPr>
            <w:tcW w:w="1647" w:type="dxa"/>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7" w:hRule="atLeast"/>
        </w:trPr>
        <w:tc>
          <w:tcPr>
            <w:tcW w:w="991" w:type="dxa"/>
            <w:tcBorders>
              <w:top w:val="nil"/>
              <w:left w:val="single" w:color="000000" w:sz="4" w:space="0"/>
              <w:bottom w:val="single" w:color="000000" w:sz="4" w:space="0"/>
              <w:right w:val="single" w:color="000000" w:sz="4" w:space="0"/>
              <w:tl2br w:val="nil"/>
              <w:tr2bl w:val="nil"/>
            </w:tcBorders>
            <w:noWrap/>
            <w:vAlign w:val="top"/>
          </w:tcPr>
          <w:p>
            <w:pPr>
              <w:spacing w:beforeLines="0" w:afterLines="0"/>
              <w:rPr>
                <w:rFonts w:hint="default" w:eastAsia="Times New Roman"/>
                <w:sz w:val="21"/>
                <w:szCs w:val="24"/>
              </w:rPr>
            </w:pPr>
            <w:r>
              <w:rPr>
                <w:rFonts w:hint="default"/>
                <w:color w:val="000000"/>
                <w:kern w:val="0"/>
                <w:sz w:val="18"/>
                <w:szCs w:val="24"/>
              </w:rPr>
              <w:t>0.00</w:t>
            </w:r>
          </w:p>
        </w:tc>
        <w:tc>
          <w:tcPr>
            <w:tcW w:w="1009" w:type="dxa"/>
            <w:tcBorders>
              <w:top w:val="nil"/>
              <w:left w:val="nil"/>
              <w:bottom w:val="single" w:color="000000" w:sz="4" w:space="0"/>
              <w:right w:val="single" w:color="000000" w:sz="4" w:space="0"/>
              <w:tl2br w:val="nil"/>
              <w:tr2bl w:val="nil"/>
            </w:tcBorders>
            <w:noWrap/>
            <w:vAlign w:val="top"/>
          </w:tcPr>
          <w:p>
            <w:pPr>
              <w:spacing w:beforeLines="0" w:afterLines="0"/>
              <w:rPr>
                <w:rFonts w:hint="default" w:eastAsia="Times New Roman"/>
                <w:sz w:val="21"/>
                <w:szCs w:val="24"/>
              </w:rPr>
            </w:pPr>
            <w:r>
              <w:rPr>
                <w:rFonts w:hint="default"/>
                <w:color w:val="000000"/>
                <w:kern w:val="0"/>
                <w:sz w:val="18"/>
                <w:szCs w:val="24"/>
              </w:rPr>
              <w:t>0.00</w:t>
            </w:r>
          </w:p>
        </w:tc>
        <w:tc>
          <w:tcPr>
            <w:tcW w:w="991" w:type="dxa"/>
            <w:tcBorders>
              <w:top w:val="nil"/>
              <w:left w:val="nil"/>
              <w:bottom w:val="single" w:color="000000" w:sz="4" w:space="0"/>
              <w:right w:val="single" w:color="000000" w:sz="4" w:space="0"/>
              <w:tl2br w:val="nil"/>
              <w:tr2bl w:val="nil"/>
            </w:tcBorders>
            <w:noWrap/>
            <w:vAlign w:val="top"/>
          </w:tcPr>
          <w:p>
            <w:pPr>
              <w:spacing w:beforeLines="0" w:afterLines="0"/>
              <w:rPr>
                <w:rFonts w:hint="default" w:eastAsia="Times New Roman"/>
                <w:sz w:val="21"/>
                <w:szCs w:val="24"/>
              </w:rPr>
            </w:pPr>
            <w:r>
              <w:rPr>
                <w:rFonts w:hint="default"/>
                <w:color w:val="000000"/>
                <w:kern w:val="0"/>
                <w:sz w:val="18"/>
                <w:szCs w:val="24"/>
              </w:rPr>
              <w:t>0.00</w:t>
            </w:r>
          </w:p>
        </w:tc>
        <w:tc>
          <w:tcPr>
            <w:tcW w:w="991" w:type="dxa"/>
            <w:tcBorders>
              <w:top w:val="nil"/>
              <w:left w:val="nil"/>
              <w:bottom w:val="single" w:color="000000" w:sz="4" w:space="0"/>
              <w:right w:val="single" w:color="000000" w:sz="4" w:space="0"/>
              <w:tl2br w:val="nil"/>
              <w:tr2bl w:val="nil"/>
            </w:tcBorders>
            <w:noWrap/>
            <w:vAlign w:val="top"/>
          </w:tcPr>
          <w:p>
            <w:pPr>
              <w:spacing w:beforeLines="0" w:afterLines="0"/>
              <w:rPr>
                <w:rFonts w:hint="default" w:eastAsia="Times New Roman"/>
                <w:sz w:val="21"/>
                <w:szCs w:val="24"/>
              </w:rPr>
            </w:pPr>
            <w:r>
              <w:rPr>
                <w:rFonts w:hint="default"/>
                <w:color w:val="000000"/>
                <w:kern w:val="0"/>
                <w:sz w:val="18"/>
                <w:szCs w:val="24"/>
              </w:rPr>
              <w:t>0.00</w:t>
            </w:r>
          </w:p>
        </w:tc>
        <w:tc>
          <w:tcPr>
            <w:tcW w:w="991" w:type="dxa"/>
            <w:tcBorders>
              <w:top w:val="nil"/>
              <w:left w:val="nil"/>
              <w:bottom w:val="single" w:color="000000" w:sz="4" w:space="0"/>
              <w:right w:val="single" w:color="000000" w:sz="4" w:space="0"/>
              <w:tl2br w:val="nil"/>
              <w:tr2bl w:val="nil"/>
            </w:tcBorders>
            <w:noWrap/>
            <w:vAlign w:val="top"/>
          </w:tcPr>
          <w:p>
            <w:pPr>
              <w:spacing w:beforeLines="0" w:afterLines="0"/>
              <w:rPr>
                <w:rFonts w:hint="default" w:eastAsia="Times New Roman"/>
                <w:sz w:val="21"/>
                <w:szCs w:val="24"/>
              </w:rPr>
            </w:pPr>
            <w:r>
              <w:rPr>
                <w:rFonts w:hint="default"/>
                <w:color w:val="000000"/>
                <w:kern w:val="0"/>
                <w:sz w:val="18"/>
                <w:szCs w:val="24"/>
              </w:rPr>
              <w:t>0.00</w:t>
            </w:r>
          </w:p>
        </w:tc>
        <w:tc>
          <w:tcPr>
            <w:tcW w:w="1263" w:type="dxa"/>
            <w:tcBorders>
              <w:top w:val="nil"/>
              <w:left w:val="nil"/>
              <w:bottom w:val="single" w:color="000000" w:sz="4" w:space="0"/>
              <w:right w:val="single" w:color="000000" w:sz="4" w:space="0"/>
              <w:tl2br w:val="nil"/>
              <w:tr2bl w:val="nil"/>
            </w:tcBorders>
            <w:noWrap/>
            <w:vAlign w:val="top"/>
          </w:tcPr>
          <w:p>
            <w:pPr>
              <w:spacing w:beforeLines="0" w:afterLines="0"/>
              <w:rPr>
                <w:rFonts w:hint="default" w:eastAsia="Times New Roman"/>
                <w:sz w:val="21"/>
                <w:szCs w:val="24"/>
              </w:rPr>
            </w:pPr>
            <w:r>
              <w:rPr>
                <w:rFonts w:hint="default"/>
                <w:color w:val="000000"/>
                <w:kern w:val="0"/>
                <w:sz w:val="18"/>
                <w:szCs w:val="24"/>
              </w:rPr>
              <w:t>0.00</w:t>
            </w:r>
          </w:p>
        </w:tc>
        <w:tc>
          <w:tcPr>
            <w:tcW w:w="991" w:type="dxa"/>
            <w:tcBorders>
              <w:top w:val="nil"/>
              <w:left w:val="nil"/>
              <w:bottom w:val="single" w:color="000000" w:sz="4" w:space="0"/>
              <w:right w:val="single" w:color="000000" w:sz="4" w:space="0"/>
              <w:tl2br w:val="nil"/>
              <w:tr2bl w:val="nil"/>
            </w:tcBorders>
            <w:noWrap/>
            <w:vAlign w:val="top"/>
          </w:tcPr>
          <w:p>
            <w:pPr>
              <w:spacing w:beforeLines="0" w:afterLines="0"/>
              <w:rPr>
                <w:rFonts w:hint="default" w:eastAsia="Times New Roman"/>
                <w:sz w:val="21"/>
                <w:szCs w:val="24"/>
              </w:rPr>
            </w:pPr>
            <w:r>
              <w:rPr>
                <w:rFonts w:hint="default"/>
                <w:color w:val="000000"/>
                <w:kern w:val="0"/>
                <w:sz w:val="18"/>
                <w:szCs w:val="24"/>
              </w:rPr>
              <w:t>0.00</w:t>
            </w:r>
          </w:p>
        </w:tc>
        <w:tc>
          <w:tcPr>
            <w:tcW w:w="1009" w:type="dxa"/>
            <w:tcBorders>
              <w:top w:val="nil"/>
              <w:left w:val="nil"/>
              <w:bottom w:val="single" w:color="000000" w:sz="4" w:space="0"/>
              <w:right w:val="single" w:color="000000" w:sz="4" w:space="0"/>
              <w:tl2br w:val="nil"/>
              <w:tr2bl w:val="nil"/>
            </w:tcBorders>
            <w:noWrap/>
            <w:vAlign w:val="top"/>
          </w:tcPr>
          <w:p>
            <w:pPr>
              <w:spacing w:beforeLines="0" w:afterLines="0"/>
              <w:rPr>
                <w:rFonts w:hint="default" w:eastAsia="Times New Roman"/>
                <w:sz w:val="21"/>
                <w:szCs w:val="24"/>
              </w:rPr>
            </w:pPr>
            <w:r>
              <w:rPr>
                <w:rFonts w:hint="default"/>
                <w:color w:val="000000"/>
                <w:kern w:val="0"/>
                <w:sz w:val="18"/>
                <w:szCs w:val="24"/>
              </w:rPr>
              <w:t>0.00</w:t>
            </w:r>
          </w:p>
        </w:tc>
        <w:tc>
          <w:tcPr>
            <w:tcW w:w="991" w:type="dxa"/>
            <w:tcBorders>
              <w:top w:val="nil"/>
              <w:left w:val="nil"/>
              <w:bottom w:val="single" w:color="000000" w:sz="4" w:space="0"/>
              <w:right w:val="single" w:color="000000" w:sz="4" w:space="0"/>
              <w:tl2br w:val="nil"/>
              <w:tr2bl w:val="nil"/>
            </w:tcBorders>
            <w:noWrap/>
            <w:vAlign w:val="top"/>
          </w:tcPr>
          <w:p>
            <w:pPr>
              <w:spacing w:beforeLines="0" w:afterLines="0"/>
              <w:rPr>
                <w:rFonts w:hint="default" w:eastAsia="Times New Roman"/>
                <w:sz w:val="21"/>
                <w:szCs w:val="24"/>
              </w:rPr>
            </w:pPr>
            <w:r>
              <w:rPr>
                <w:rFonts w:hint="default"/>
                <w:color w:val="000000"/>
                <w:kern w:val="0"/>
                <w:sz w:val="18"/>
                <w:szCs w:val="24"/>
              </w:rPr>
              <w:t>0.00</w:t>
            </w:r>
          </w:p>
        </w:tc>
        <w:tc>
          <w:tcPr>
            <w:tcW w:w="991" w:type="dxa"/>
            <w:tcBorders>
              <w:top w:val="nil"/>
              <w:left w:val="nil"/>
              <w:bottom w:val="single" w:color="000000" w:sz="4" w:space="0"/>
              <w:right w:val="single" w:color="000000" w:sz="4" w:space="0"/>
              <w:tl2br w:val="nil"/>
              <w:tr2bl w:val="nil"/>
            </w:tcBorders>
            <w:noWrap/>
            <w:vAlign w:val="top"/>
          </w:tcPr>
          <w:p>
            <w:pPr>
              <w:spacing w:beforeLines="0" w:afterLines="0"/>
              <w:rPr>
                <w:rFonts w:hint="default" w:eastAsia="Times New Roman"/>
                <w:sz w:val="21"/>
                <w:szCs w:val="24"/>
              </w:rPr>
            </w:pPr>
            <w:r>
              <w:rPr>
                <w:rFonts w:hint="default"/>
                <w:color w:val="000000"/>
                <w:kern w:val="0"/>
                <w:sz w:val="18"/>
                <w:szCs w:val="24"/>
              </w:rPr>
              <w:t>0.00</w:t>
            </w:r>
          </w:p>
        </w:tc>
        <w:tc>
          <w:tcPr>
            <w:tcW w:w="991" w:type="dxa"/>
            <w:tcBorders>
              <w:top w:val="nil"/>
              <w:left w:val="nil"/>
              <w:bottom w:val="single" w:color="000000" w:sz="4" w:space="0"/>
              <w:right w:val="single" w:color="000000" w:sz="4" w:space="0"/>
              <w:tl2br w:val="nil"/>
              <w:tr2bl w:val="nil"/>
            </w:tcBorders>
            <w:noWrap/>
            <w:vAlign w:val="top"/>
          </w:tcPr>
          <w:p>
            <w:pPr>
              <w:spacing w:beforeLines="0" w:afterLines="0"/>
              <w:rPr>
                <w:rFonts w:hint="default" w:eastAsia="Times New Roman"/>
                <w:sz w:val="21"/>
                <w:szCs w:val="24"/>
              </w:rPr>
            </w:pPr>
            <w:r>
              <w:rPr>
                <w:rFonts w:hint="default"/>
                <w:color w:val="000000"/>
                <w:kern w:val="0"/>
                <w:sz w:val="18"/>
                <w:szCs w:val="24"/>
              </w:rPr>
              <w:t>0.00</w:t>
            </w:r>
          </w:p>
        </w:tc>
        <w:tc>
          <w:tcPr>
            <w:tcW w:w="1647" w:type="dxa"/>
            <w:tcBorders>
              <w:top w:val="nil"/>
              <w:left w:val="nil"/>
              <w:bottom w:val="single" w:color="000000" w:sz="4" w:space="0"/>
              <w:right w:val="single" w:color="000000" w:sz="4" w:space="0"/>
              <w:tl2br w:val="nil"/>
              <w:tr2bl w:val="nil"/>
            </w:tcBorders>
            <w:noWrap/>
            <w:vAlign w:val="top"/>
          </w:tcPr>
          <w:p>
            <w:pPr>
              <w:spacing w:beforeLines="0" w:afterLines="0"/>
              <w:rPr>
                <w:rFonts w:hint="default" w:eastAsia="Times New Roman"/>
                <w:sz w:val="21"/>
                <w:szCs w:val="24"/>
              </w:rPr>
            </w:pPr>
            <w:r>
              <w:rPr>
                <w:rFonts w:hint="default"/>
                <w:color w:val="000000"/>
                <w:kern w:val="0"/>
                <w:sz w:val="18"/>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trPr>
        <w:tc>
          <w:tcPr>
            <w:tcW w:w="12856" w:type="dxa"/>
            <w:gridSpan w:val="12"/>
            <w:tcBorders>
              <w:top w:val="nil"/>
              <w:left w:val="nil"/>
              <w:bottom w:val="nil"/>
              <w:right w:val="nil"/>
              <w:tl2br w:val="nil"/>
              <w:tr2bl w:val="nil"/>
            </w:tcBorders>
            <w:noWrap w:val="0"/>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注：本表反映部门本年度“三公”经费支出预决算情况。其中：预算数为“三公”经费年初预算数，决算数是包括当年一般公共预算财政拨款和以前年度结转资金安排的实际支出。本表金额转换为万元时，因四舍五入可能存在尾差。</w:t>
            </w:r>
          </w:p>
        </w:tc>
      </w:tr>
    </w:tbl>
    <w:p>
      <w:pPr>
        <w:autoSpaceDE w:val="0"/>
        <w:autoSpaceDN w:val="0"/>
        <w:adjustRightInd w:val="0"/>
        <w:spacing w:beforeLines="0" w:afterLines="0"/>
        <w:jc w:val="left"/>
        <w:rPr>
          <w:rFonts w:hint="default" w:ascii="宋体"/>
          <w:kern w:val="0"/>
          <w:sz w:val="38"/>
          <w:szCs w:val="24"/>
          <w:lang w:val="zh-CN"/>
        </w:rPr>
      </w:pPr>
      <w:r>
        <w:rPr>
          <w:rFonts w:hint="default" w:ascii="宋体"/>
          <w:kern w:val="0"/>
          <w:sz w:val="38"/>
          <w:szCs w:val="24"/>
          <w:lang w:val="zh-CN"/>
        </w:rPr>
        <w:br w:type="page"/>
      </w:r>
    </w:p>
    <w:tbl>
      <w:tblPr>
        <w:tblStyle w:val="4"/>
        <w:tblW w:w="13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0"/>
        <w:gridCol w:w="340"/>
        <w:gridCol w:w="340"/>
        <w:gridCol w:w="2420"/>
        <w:gridCol w:w="1680"/>
        <w:gridCol w:w="1680"/>
        <w:gridCol w:w="1680"/>
        <w:gridCol w:w="1680"/>
        <w:gridCol w:w="1680"/>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520" w:type="dxa"/>
            <w:gridSpan w:val="10"/>
            <w:tcBorders>
              <w:top w:val="nil"/>
              <w:left w:val="nil"/>
              <w:bottom w:val="nil"/>
              <w:right w:val="nil"/>
              <w:tl2br w:val="nil"/>
              <w:tr2bl w:val="nil"/>
            </w:tcBorders>
            <w:noWrap/>
            <w:vAlign w:val="bottom"/>
          </w:tcPr>
          <w:p>
            <w:pPr>
              <w:widowControl/>
              <w:spacing w:beforeLines="0" w:afterLines="0"/>
              <w:jc w:val="center"/>
              <w:rPr>
                <w:rFonts w:hint="default" w:ascii="Arial" w:cs="Arial"/>
                <w:color w:val="000000"/>
                <w:kern w:val="0"/>
                <w:sz w:val="20"/>
                <w:szCs w:val="24"/>
              </w:rPr>
            </w:pPr>
            <w:r>
              <w:rPr>
                <w:rFonts w:hint="eastAsia" w:ascii="宋体" w:hAnsi="宋体" w:cs="宋体"/>
                <w:color w:val="000000"/>
                <w:kern w:val="0"/>
                <w:sz w:val="30"/>
                <w:szCs w:val="24"/>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34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34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242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68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68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68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68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68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680" w:type="dxa"/>
            <w:tcBorders>
              <w:top w:val="nil"/>
              <w:left w:val="nil"/>
              <w:bottom w:val="nil"/>
              <w:right w:val="nil"/>
              <w:tl2br w:val="nil"/>
              <w:tr2bl w:val="nil"/>
            </w:tcBorders>
            <w:noWrap/>
            <w:vAlign w:val="bottom"/>
          </w:tcPr>
          <w:p>
            <w:pPr>
              <w:widowControl/>
              <w:spacing w:beforeLines="0" w:afterLines="0"/>
              <w:jc w:val="right"/>
              <w:rPr>
                <w:rFonts w:hint="eastAsia" w:cs="宋体"/>
                <w:color w:val="000000"/>
                <w:kern w:val="0"/>
                <w:sz w:val="20"/>
                <w:szCs w:val="24"/>
              </w:rPr>
            </w:pPr>
            <w:r>
              <w:rPr>
                <w:rFonts w:hint="eastAsia" w:ascii="宋体" w:hAnsi="宋体" w:cs="宋体"/>
                <w:color w:val="000000"/>
                <w:kern w:val="0"/>
                <w:sz w:val="20"/>
                <w:szCs w:val="24"/>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40" w:type="dxa"/>
            <w:gridSpan w:val="4"/>
            <w:tcBorders>
              <w:top w:val="nil"/>
              <w:left w:val="nil"/>
              <w:bottom w:val="nil"/>
              <w:right w:val="nil"/>
              <w:tl2br w:val="nil"/>
              <w:tr2bl w:val="nil"/>
            </w:tcBorders>
            <w:noWrap/>
            <w:vAlign w:val="bottom"/>
          </w:tcPr>
          <w:p>
            <w:pPr>
              <w:widowControl/>
              <w:spacing w:beforeLines="0" w:afterLines="0"/>
              <w:jc w:val="left"/>
              <w:rPr>
                <w:rFonts w:hint="eastAsia" w:cs="宋体"/>
                <w:color w:val="000000"/>
                <w:kern w:val="0"/>
                <w:sz w:val="20"/>
                <w:szCs w:val="24"/>
              </w:rPr>
            </w:pPr>
            <w:r>
              <w:rPr>
                <w:rFonts w:hint="eastAsia" w:ascii="宋体" w:hAnsi="宋体" w:cs="宋体"/>
                <w:color w:val="000000"/>
                <w:kern w:val="0"/>
                <w:sz w:val="20"/>
                <w:szCs w:val="24"/>
              </w:rPr>
              <w:t>部门：延津县安全生产监督管理局</w:t>
            </w:r>
          </w:p>
        </w:tc>
        <w:tc>
          <w:tcPr>
            <w:tcW w:w="168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68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68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68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680" w:type="dxa"/>
            <w:tcBorders>
              <w:top w:val="nil"/>
              <w:left w:val="nil"/>
              <w:bottom w:val="nil"/>
              <w:right w:val="nil"/>
              <w:tl2br w:val="nil"/>
              <w:tr2bl w:val="nil"/>
            </w:tcBorders>
            <w:noWrap/>
            <w:vAlign w:val="bottom"/>
          </w:tcPr>
          <w:p>
            <w:pPr>
              <w:widowControl/>
              <w:spacing w:beforeLines="0" w:afterLines="0"/>
              <w:jc w:val="left"/>
              <w:rPr>
                <w:rFonts w:hint="default" w:ascii="Arial" w:cs="Arial"/>
                <w:color w:val="000000"/>
                <w:kern w:val="0"/>
                <w:sz w:val="20"/>
                <w:szCs w:val="24"/>
              </w:rPr>
            </w:pPr>
          </w:p>
        </w:tc>
        <w:tc>
          <w:tcPr>
            <w:tcW w:w="1680" w:type="dxa"/>
            <w:tcBorders>
              <w:top w:val="nil"/>
              <w:left w:val="nil"/>
              <w:bottom w:val="nil"/>
              <w:right w:val="nil"/>
              <w:tl2br w:val="nil"/>
              <w:tr2bl w:val="nil"/>
            </w:tcBorders>
            <w:noWrap/>
            <w:vAlign w:val="bottom"/>
          </w:tcPr>
          <w:p>
            <w:pPr>
              <w:widowControl/>
              <w:spacing w:beforeLines="0" w:afterLines="0"/>
              <w:jc w:val="right"/>
              <w:rPr>
                <w:rFonts w:hint="eastAsia" w:cs="宋体"/>
                <w:color w:val="000000"/>
                <w:kern w:val="0"/>
                <w:sz w:val="20"/>
                <w:szCs w:val="24"/>
              </w:rPr>
            </w:pPr>
            <w:r>
              <w:rPr>
                <w:rFonts w:hint="eastAsia" w:ascii="宋体" w:hAnsi="宋体" w:cs="宋体"/>
                <w:color w:val="000000"/>
                <w:kern w:val="0"/>
                <w:sz w:val="20"/>
                <w:szCs w:val="24"/>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0" w:type="dxa"/>
            <w:gridSpan w:val="4"/>
            <w:tcBorders>
              <w:top w:val="single" w:color="000000" w:sz="4" w:space="0"/>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项目</w:t>
            </w:r>
          </w:p>
        </w:tc>
        <w:tc>
          <w:tcPr>
            <w:tcW w:w="1680" w:type="dxa"/>
            <w:vMerge w:val="restart"/>
            <w:tcBorders>
              <w:top w:val="single" w:color="000000" w:sz="4" w:space="0"/>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年初结转和结余</w:t>
            </w:r>
          </w:p>
        </w:tc>
        <w:tc>
          <w:tcPr>
            <w:tcW w:w="1680" w:type="dxa"/>
            <w:vMerge w:val="restart"/>
            <w:tcBorders>
              <w:top w:val="single" w:color="000000" w:sz="4" w:space="0"/>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本年收入</w:t>
            </w:r>
          </w:p>
        </w:tc>
        <w:tc>
          <w:tcPr>
            <w:tcW w:w="5040" w:type="dxa"/>
            <w:gridSpan w:val="3"/>
            <w:tcBorders>
              <w:top w:val="single" w:color="000000" w:sz="4" w:space="0"/>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本年支出</w:t>
            </w:r>
          </w:p>
        </w:tc>
        <w:tc>
          <w:tcPr>
            <w:tcW w:w="1680" w:type="dxa"/>
            <w:vMerge w:val="restart"/>
            <w:tcBorders>
              <w:top w:val="single" w:color="000000" w:sz="4" w:space="0"/>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gridSpan w:val="3"/>
            <w:vMerge w:val="restart"/>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功能分类科目编码</w:t>
            </w:r>
          </w:p>
        </w:tc>
        <w:tc>
          <w:tcPr>
            <w:tcW w:w="2420" w:type="dxa"/>
            <w:vMerge w:val="restart"/>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科目名称</w:t>
            </w:r>
          </w:p>
        </w:tc>
        <w:tc>
          <w:tcPr>
            <w:tcW w:w="1680" w:type="dxa"/>
            <w:vMerge w:val="continue"/>
            <w:tcBorders>
              <w:top w:val="single" w:color="000000" w:sz="4" w:space="0"/>
              <w:left w:val="nil"/>
              <w:bottom w:val="single" w:color="000000" w:sz="4" w:space="0"/>
              <w:right w:val="single" w:color="000000" w:sz="4" w:space="0"/>
              <w:tl2br w:val="nil"/>
              <w:tr2bl w:val="nil"/>
            </w:tcBorders>
            <w:shd w:val="clear" w:color="auto" w:fill="auto"/>
            <w:noWrap w:val="0"/>
            <w:vAlign w:val="center"/>
          </w:tcPr>
          <w:p>
            <w:pPr>
              <w:widowControl/>
              <w:spacing w:beforeLines="0" w:afterLines="0"/>
              <w:jc w:val="left"/>
              <w:rPr>
                <w:rFonts w:hint="eastAsia" w:cs="宋体"/>
                <w:color w:val="000000"/>
                <w:kern w:val="0"/>
                <w:sz w:val="22"/>
                <w:szCs w:val="24"/>
              </w:rPr>
            </w:pPr>
          </w:p>
        </w:tc>
        <w:tc>
          <w:tcPr>
            <w:tcW w:w="1680" w:type="dxa"/>
            <w:vMerge w:val="continue"/>
            <w:tcBorders>
              <w:top w:val="single" w:color="000000" w:sz="4" w:space="0"/>
              <w:left w:val="nil"/>
              <w:bottom w:val="single" w:color="000000" w:sz="4" w:space="0"/>
              <w:right w:val="single" w:color="000000" w:sz="4" w:space="0"/>
              <w:tl2br w:val="nil"/>
              <w:tr2bl w:val="nil"/>
            </w:tcBorders>
            <w:shd w:val="clear" w:color="auto" w:fill="auto"/>
            <w:noWrap w:val="0"/>
            <w:vAlign w:val="center"/>
          </w:tcPr>
          <w:p>
            <w:pPr>
              <w:widowControl/>
              <w:spacing w:beforeLines="0" w:afterLines="0"/>
              <w:jc w:val="left"/>
              <w:rPr>
                <w:rFonts w:hint="eastAsia" w:cs="宋体"/>
                <w:color w:val="000000"/>
                <w:kern w:val="0"/>
                <w:sz w:val="22"/>
                <w:szCs w:val="24"/>
              </w:rPr>
            </w:pPr>
          </w:p>
        </w:tc>
        <w:tc>
          <w:tcPr>
            <w:tcW w:w="1680" w:type="dxa"/>
            <w:vMerge w:val="restart"/>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小计</w:t>
            </w:r>
          </w:p>
        </w:tc>
        <w:tc>
          <w:tcPr>
            <w:tcW w:w="1680" w:type="dxa"/>
            <w:vMerge w:val="restart"/>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基本支出</w:t>
            </w:r>
          </w:p>
        </w:tc>
        <w:tc>
          <w:tcPr>
            <w:tcW w:w="1680" w:type="dxa"/>
            <w:vMerge w:val="restart"/>
            <w:tcBorders>
              <w:top w:val="nil"/>
              <w:left w:val="nil"/>
              <w:bottom w:val="single" w:color="000000" w:sz="4" w:space="0"/>
              <w:right w:val="single" w:color="000000" w:sz="4" w:space="0"/>
              <w:tl2br w:val="nil"/>
              <w:tr2bl w:val="nil"/>
            </w:tcBorders>
            <w:shd w:val="clear" w:color="FFFFFF" w:fill="C0C0C0"/>
            <w:noWrap w:val="0"/>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项目支出</w:t>
            </w:r>
          </w:p>
        </w:tc>
        <w:tc>
          <w:tcPr>
            <w:tcW w:w="1680" w:type="dxa"/>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gridSpan w:val="3"/>
            <w:vMerge w:val="continue"/>
            <w:tcBorders>
              <w:top w:val="nil"/>
              <w:left w:val="single" w:color="000000" w:sz="4" w:space="0"/>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2420" w:type="dxa"/>
            <w:vMerge w:val="continue"/>
            <w:tcBorders>
              <w:top w:val="nil"/>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680" w:type="dxa"/>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680" w:type="dxa"/>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680" w:type="dxa"/>
            <w:vMerge w:val="continue"/>
            <w:tcBorders>
              <w:top w:val="nil"/>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680" w:type="dxa"/>
            <w:vMerge w:val="continue"/>
            <w:tcBorders>
              <w:top w:val="nil"/>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680" w:type="dxa"/>
            <w:vMerge w:val="continue"/>
            <w:tcBorders>
              <w:top w:val="nil"/>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680" w:type="dxa"/>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gridSpan w:val="3"/>
            <w:vMerge w:val="continue"/>
            <w:tcBorders>
              <w:top w:val="nil"/>
              <w:left w:val="single" w:color="000000" w:sz="4" w:space="0"/>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2420" w:type="dxa"/>
            <w:vMerge w:val="continue"/>
            <w:tcBorders>
              <w:top w:val="nil"/>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680" w:type="dxa"/>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680" w:type="dxa"/>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680" w:type="dxa"/>
            <w:vMerge w:val="continue"/>
            <w:tcBorders>
              <w:top w:val="nil"/>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680" w:type="dxa"/>
            <w:vMerge w:val="continue"/>
            <w:tcBorders>
              <w:top w:val="nil"/>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680" w:type="dxa"/>
            <w:vMerge w:val="continue"/>
            <w:tcBorders>
              <w:top w:val="nil"/>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c>
          <w:tcPr>
            <w:tcW w:w="1680" w:type="dxa"/>
            <w:vMerge w:val="continue"/>
            <w:tcBorders>
              <w:top w:val="single" w:color="000000" w:sz="4" w:space="0"/>
              <w:left w:val="nil"/>
              <w:bottom w:val="single" w:color="000000" w:sz="4" w:space="0"/>
              <w:right w:val="single" w:color="000000" w:sz="4" w:space="0"/>
              <w:tl2br w:val="nil"/>
              <w:tr2bl w:val="nil"/>
            </w:tcBorders>
            <w:noWrap w:val="0"/>
            <w:vAlign w:val="center"/>
          </w:tcPr>
          <w:p>
            <w:pPr>
              <w:widowControl/>
              <w:spacing w:beforeLines="0" w:afterLines="0"/>
              <w:jc w:val="left"/>
              <w:rPr>
                <w:rFonts w:hint="eastAsia" w:cs="宋体"/>
                <w:color w:val="000000"/>
                <w:kern w:val="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0" w:type="dxa"/>
            <w:gridSpan w:val="4"/>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栏次</w:t>
            </w:r>
          </w:p>
        </w:tc>
        <w:tc>
          <w:tcPr>
            <w:tcW w:w="16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1</w:t>
            </w:r>
          </w:p>
        </w:tc>
        <w:tc>
          <w:tcPr>
            <w:tcW w:w="16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2</w:t>
            </w:r>
          </w:p>
        </w:tc>
        <w:tc>
          <w:tcPr>
            <w:tcW w:w="16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3</w:t>
            </w:r>
          </w:p>
        </w:tc>
        <w:tc>
          <w:tcPr>
            <w:tcW w:w="16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4</w:t>
            </w:r>
          </w:p>
        </w:tc>
        <w:tc>
          <w:tcPr>
            <w:tcW w:w="16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5</w:t>
            </w:r>
          </w:p>
        </w:tc>
        <w:tc>
          <w:tcPr>
            <w:tcW w:w="1680" w:type="dxa"/>
            <w:tcBorders>
              <w:top w:val="nil"/>
              <w:left w:val="nil"/>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ascii="宋体" w:hAnsi="宋体" w:cs="宋体"/>
                <w:color w:val="000000"/>
                <w:kern w:val="0"/>
                <w:sz w:val="22"/>
                <w:szCs w:val="24"/>
              </w:rPr>
            </w:pPr>
            <w:r>
              <w:rPr>
                <w:rFonts w:hint="eastAsia" w:ascii="宋体" w:hAnsi="宋体" w:cs="宋体"/>
                <w:color w:val="000000"/>
                <w:kern w:val="0"/>
                <w:sz w:val="22"/>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0" w:type="dxa"/>
            <w:gridSpan w:val="4"/>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widowControl/>
              <w:spacing w:beforeLines="0" w:afterLines="0"/>
              <w:jc w:val="center"/>
              <w:rPr>
                <w:rFonts w:hint="eastAsia" w:cs="宋体"/>
                <w:color w:val="000000"/>
                <w:kern w:val="0"/>
                <w:sz w:val="22"/>
                <w:szCs w:val="24"/>
              </w:rPr>
            </w:pPr>
            <w:r>
              <w:rPr>
                <w:rFonts w:hint="eastAsia" w:ascii="宋体" w:hAnsi="宋体" w:cs="宋体"/>
                <w:color w:val="000000"/>
                <w:kern w:val="0"/>
                <w:sz w:val="22"/>
                <w:szCs w:val="24"/>
              </w:rPr>
              <w:t>合计</w:t>
            </w:r>
          </w:p>
        </w:tc>
        <w:tc>
          <w:tcPr>
            <w:tcW w:w="1680" w:type="dxa"/>
            <w:tcBorders>
              <w:top w:val="nil"/>
              <w:left w:val="nil"/>
              <w:bottom w:val="single" w:color="000000" w:sz="4" w:space="0"/>
              <w:right w:val="single" w:color="000000" w:sz="4" w:space="0"/>
              <w:tl2br w:val="nil"/>
              <w:tr2bl w:val="nil"/>
            </w:tcBorders>
            <w:noWrap/>
            <w:vAlign w:val="top"/>
          </w:tcPr>
          <w:p>
            <w:pPr>
              <w:spacing w:beforeLines="0" w:afterLines="0"/>
              <w:rPr>
                <w:rFonts w:hint="default" w:eastAsia="Times New Roman"/>
                <w:sz w:val="21"/>
                <w:szCs w:val="24"/>
              </w:rPr>
            </w:pPr>
            <w:r>
              <w:rPr>
                <w:rFonts w:hint="default"/>
                <w:color w:val="000000"/>
                <w:kern w:val="0"/>
                <w:sz w:val="18"/>
                <w:szCs w:val="24"/>
              </w:rPr>
              <w:t>0.00</w:t>
            </w:r>
          </w:p>
        </w:tc>
        <w:tc>
          <w:tcPr>
            <w:tcW w:w="1680" w:type="dxa"/>
            <w:tcBorders>
              <w:top w:val="nil"/>
              <w:left w:val="nil"/>
              <w:bottom w:val="single" w:color="000000" w:sz="4" w:space="0"/>
              <w:right w:val="single" w:color="000000" w:sz="4" w:space="0"/>
              <w:tl2br w:val="nil"/>
              <w:tr2bl w:val="nil"/>
            </w:tcBorders>
            <w:noWrap/>
            <w:vAlign w:val="top"/>
          </w:tcPr>
          <w:p>
            <w:pPr>
              <w:spacing w:beforeLines="0" w:afterLines="0"/>
              <w:rPr>
                <w:rFonts w:hint="default" w:eastAsia="Times New Roman"/>
                <w:sz w:val="21"/>
                <w:szCs w:val="24"/>
              </w:rPr>
            </w:pPr>
            <w:r>
              <w:rPr>
                <w:rFonts w:hint="default"/>
                <w:color w:val="000000"/>
                <w:kern w:val="0"/>
                <w:sz w:val="18"/>
                <w:szCs w:val="24"/>
              </w:rPr>
              <w:t>0.00</w:t>
            </w:r>
          </w:p>
        </w:tc>
        <w:tc>
          <w:tcPr>
            <w:tcW w:w="1680" w:type="dxa"/>
            <w:tcBorders>
              <w:top w:val="nil"/>
              <w:left w:val="nil"/>
              <w:bottom w:val="single" w:color="000000" w:sz="4" w:space="0"/>
              <w:right w:val="single" w:color="000000" w:sz="4" w:space="0"/>
              <w:tl2br w:val="nil"/>
              <w:tr2bl w:val="nil"/>
            </w:tcBorders>
            <w:noWrap/>
            <w:vAlign w:val="top"/>
          </w:tcPr>
          <w:p>
            <w:pPr>
              <w:spacing w:beforeLines="0" w:afterLines="0"/>
              <w:rPr>
                <w:rFonts w:hint="default" w:eastAsia="Times New Roman"/>
                <w:sz w:val="21"/>
                <w:szCs w:val="24"/>
              </w:rPr>
            </w:pPr>
            <w:r>
              <w:rPr>
                <w:rFonts w:hint="default"/>
                <w:color w:val="000000"/>
                <w:kern w:val="0"/>
                <w:sz w:val="18"/>
                <w:szCs w:val="24"/>
              </w:rPr>
              <w:t>0.00</w:t>
            </w:r>
          </w:p>
        </w:tc>
        <w:tc>
          <w:tcPr>
            <w:tcW w:w="1680" w:type="dxa"/>
            <w:tcBorders>
              <w:top w:val="nil"/>
              <w:left w:val="nil"/>
              <w:bottom w:val="single" w:color="000000" w:sz="4" w:space="0"/>
              <w:right w:val="single" w:color="000000" w:sz="4" w:space="0"/>
              <w:tl2br w:val="nil"/>
              <w:tr2bl w:val="nil"/>
            </w:tcBorders>
            <w:noWrap/>
            <w:vAlign w:val="top"/>
          </w:tcPr>
          <w:p>
            <w:pPr>
              <w:spacing w:beforeLines="0" w:afterLines="0"/>
              <w:rPr>
                <w:rFonts w:hint="default" w:eastAsia="Times New Roman"/>
                <w:sz w:val="21"/>
                <w:szCs w:val="24"/>
              </w:rPr>
            </w:pPr>
            <w:r>
              <w:rPr>
                <w:rFonts w:hint="default"/>
                <w:color w:val="000000"/>
                <w:kern w:val="0"/>
                <w:sz w:val="18"/>
                <w:szCs w:val="24"/>
              </w:rPr>
              <w:t>0.00</w:t>
            </w:r>
          </w:p>
        </w:tc>
        <w:tc>
          <w:tcPr>
            <w:tcW w:w="1680" w:type="dxa"/>
            <w:tcBorders>
              <w:top w:val="nil"/>
              <w:left w:val="nil"/>
              <w:bottom w:val="single" w:color="000000" w:sz="4" w:space="0"/>
              <w:right w:val="single" w:color="000000" w:sz="4" w:space="0"/>
              <w:tl2br w:val="nil"/>
              <w:tr2bl w:val="nil"/>
            </w:tcBorders>
            <w:noWrap/>
            <w:vAlign w:val="top"/>
          </w:tcPr>
          <w:p>
            <w:pPr>
              <w:spacing w:beforeLines="0" w:afterLines="0"/>
              <w:rPr>
                <w:rFonts w:hint="default" w:eastAsia="Times New Roman"/>
                <w:sz w:val="21"/>
                <w:szCs w:val="24"/>
              </w:rPr>
            </w:pPr>
            <w:r>
              <w:rPr>
                <w:rFonts w:hint="default"/>
                <w:color w:val="000000"/>
                <w:kern w:val="0"/>
                <w:sz w:val="18"/>
                <w:szCs w:val="24"/>
              </w:rPr>
              <w:t>0.00</w:t>
            </w:r>
          </w:p>
        </w:tc>
        <w:tc>
          <w:tcPr>
            <w:tcW w:w="1680" w:type="dxa"/>
            <w:tcBorders>
              <w:top w:val="nil"/>
              <w:left w:val="nil"/>
              <w:bottom w:val="single" w:color="000000" w:sz="4" w:space="0"/>
              <w:right w:val="single" w:color="000000" w:sz="4" w:space="0"/>
              <w:tl2br w:val="nil"/>
              <w:tr2bl w:val="nil"/>
            </w:tcBorders>
            <w:noWrap/>
            <w:vAlign w:val="top"/>
          </w:tcPr>
          <w:p>
            <w:pPr>
              <w:spacing w:beforeLines="0" w:afterLines="0"/>
              <w:rPr>
                <w:rFonts w:hint="default" w:eastAsia="Times New Roman"/>
                <w:sz w:val="21"/>
                <w:szCs w:val="24"/>
              </w:rPr>
            </w:pPr>
            <w:r>
              <w:rPr>
                <w:rFonts w:hint="default"/>
                <w:color w:val="000000"/>
                <w:kern w:val="0"/>
                <w:sz w:val="18"/>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w:t>
            </w:r>
          </w:p>
        </w:tc>
        <w:tc>
          <w:tcPr>
            <w:tcW w:w="2420" w:type="dxa"/>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w:t>
            </w:r>
          </w:p>
        </w:tc>
        <w:tc>
          <w:tcPr>
            <w:tcW w:w="16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16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16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16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16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16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w:t>
            </w:r>
          </w:p>
        </w:tc>
        <w:tc>
          <w:tcPr>
            <w:tcW w:w="2420" w:type="dxa"/>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w:t>
            </w:r>
          </w:p>
        </w:tc>
        <w:tc>
          <w:tcPr>
            <w:tcW w:w="16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16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16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16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16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16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w:t>
            </w:r>
          </w:p>
        </w:tc>
        <w:tc>
          <w:tcPr>
            <w:tcW w:w="2420" w:type="dxa"/>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w:t>
            </w:r>
          </w:p>
        </w:tc>
        <w:tc>
          <w:tcPr>
            <w:tcW w:w="16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16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16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16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16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16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w:t>
            </w:r>
          </w:p>
        </w:tc>
        <w:tc>
          <w:tcPr>
            <w:tcW w:w="2420" w:type="dxa"/>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w:t>
            </w:r>
          </w:p>
        </w:tc>
        <w:tc>
          <w:tcPr>
            <w:tcW w:w="16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16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16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16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16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16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w:t>
            </w:r>
          </w:p>
        </w:tc>
        <w:tc>
          <w:tcPr>
            <w:tcW w:w="2420" w:type="dxa"/>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w:t>
            </w:r>
          </w:p>
        </w:tc>
        <w:tc>
          <w:tcPr>
            <w:tcW w:w="16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16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16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16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16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16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w:t>
            </w:r>
          </w:p>
        </w:tc>
        <w:tc>
          <w:tcPr>
            <w:tcW w:w="2420" w:type="dxa"/>
            <w:tcBorders>
              <w:top w:val="nil"/>
              <w:left w:val="nil"/>
              <w:bottom w:val="single" w:color="000000" w:sz="4" w:space="0"/>
              <w:right w:val="single" w:color="000000" w:sz="4" w:space="0"/>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　</w:t>
            </w:r>
          </w:p>
        </w:tc>
        <w:tc>
          <w:tcPr>
            <w:tcW w:w="16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16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16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16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16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c>
          <w:tcPr>
            <w:tcW w:w="1680" w:type="dxa"/>
            <w:tcBorders>
              <w:top w:val="nil"/>
              <w:left w:val="nil"/>
              <w:bottom w:val="single" w:color="000000" w:sz="4" w:space="0"/>
              <w:right w:val="single" w:color="000000" w:sz="4" w:space="0"/>
              <w:tl2br w:val="nil"/>
              <w:tr2bl w:val="nil"/>
            </w:tcBorders>
            <w:noWrap/>
            <w:vAlign w:val="center"/>
          </w:tcPr>
          <w:p>
            <w:pPr>
              <w:widowControl/>
              <w:spacing w:beforeLines="0" w:afterLines="0"/>
              <w:jc w:val="right"/>
              <w:rPr>
                <w:rFonts w:hint="eastAsia" w:cs="宋体"/>
                <w:color w:val="000000"/>
                <w:kern w:val="0"/>
                <w:sz w:val="22"/>
                <w:szCs w:val="24"/>
              </w:rPr>
            </w:pPr>
            <w:r>
              <w:rPr>
                <w:rFonts w:hint="eastAsia" w:ascii="宋体" w:hAnsi="宋体" w:cs="宋体"/>
                <w:color w:val="000000"/>
                <w:kern w:val="0"/>
                <w:sz w:val="22"/>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20" w:type="dxa"/>
            <w:gridSpan w:val="10"/>
            <w:tcBorders>
              <w:top w:val="nil"/>
              <w:left w:val="nil"/>
              <w:bottom w:val="nil"/>
              <w:right w:val="nil"/>
              <w:tl2br w:val="nil"/>
              <w:tr2bl w:val="nil"/>
            </w:tcBorders>
            <w:noWrap/>
            <w:vAlign w:val="center"/>
          </w:tcPr>
          <w:p>
            <w:pPr>
              <w:widowControl/>
              <w:spacing w:beforeLines="0" w:afterLines="0"/>
              <w:jc w:val="left"/>
              <w:rPr>
                <w:rFonts w:hint="eastAsia" w:cs="宋体"/>
                <w:color w:val="000000"/>
                <w:kern w:val="0"/>
                <w:sz w:val="22"/>
                <w:szCs w:val="24"/>
              </w:rPr>
            </w:pPr>
            <w:r>
              <w:rPr>
                <w:rFonts w:hint="eastAsia" w:ascii="宋体" w:hAnsi="宋体" w:cs="宋体"/>
                <w:color w:val="000000"/>
                <w:kern w:val="0"/>
                <w:sz w:val="22"/>
                <w:szCs w:val="24"/>
              </w:rPr>
              <w:t>注：本表反映部门本年度政府性基金预算财政拨款收入、支出及结转和结余情况。本表金额转换为万元时，因四舍五入可能存在尾差。</w:t>
            </w:r>
          </w:p>
        </w:tc>
      </w:tr>
    </w:tbl>
    <w:p>
      <w:pPr>
        <w:spacing w:beforeLines="0" w:afterLines="0"/>
        <w:jc w:val="left"/>
        <w:rPr>
          <w:rFonts w:hint="default" w:ascii="黑体" w:hAnsi="宋体" w:eastAsia="黑体" w:cs="宋体"/>
          <w:kern w:val="0"/>
          <w:sz w:val="28"/>
          <w:szCs w:val="28"/>
        </w:rPr>
      </w:pPr>
      <w:r>
        <w:rPr>
          <w:rFonts w:hint="eastAsia" w:ascii="黑体" w:hAnsi="黑体" w:eastAsia="黑体" w:cs="黑体"/>
          <w:sz w:val="28"/>
          <w:szCs w:val="28"/>
        </w:rPr>
        <w:t>说</w:t>
      </w:r>
      <w:r>
        <w:rPr>
          <w:rFonts w:hint="eastAsia" w:ascii="黑体" w:hAnsi="宋体" w:eastAsia="黑体" w:cs="宋体"/>
          <w:kern w:val="0"/>
          <w:sz w:val="28"/>
          <w:szCs w:val="28"/>
        </w:rPr>
        <w:t>明：我部门没有政府性基金收入，也没有使用政府性基金安排的支出，故本表无数据。</w:t>
      </w:r>
    </w:p>
    <w:p>
      <w:pPr>
        <w:autoSpaceDE w:val="0"/>
        <w:autoSpaceDN w:val="0"/>
        <w:adjustRightInd w:val="0"/>
        <w:spacing w:beforeLines="0" w:afterLines="0"/>
        <w:jc w:val="left"/>
        <w:rPr>
          <w:rFonts w:hint="default" w:ascii="宋体"/>
          <w:kern w:val="0"/>
          <w:sz w:val="38"/>
          <w:szCs w:val="24"/>
          <w:lang w:val="zh-CN"/>
        </w:rPr>
        <w:sectPr>
          <w:pgSz w:w="15840" w:h="12240" w:orient="landscape"/>
          <w:pgMar w:top="567" w:right="1440" w:bottom="567" w:left="1440" w:header="720" w:footer="720" w:gutter="0"/>
          <w:cols w:space="720" w:num="1"/>
          <w:docGrid w:linePitch="286" w:charSpace="0"/>
        </w:sectPr>
      </w:pPr>
    </w:p>
    <w:p>
      <w:pPr>
        <w:autoSpaceDE w:val="0"/>
        <w:autoSpaceDN w:val="0"/>
        <w:adjustRightInd w:val="0"/>
        <w:spacing w:beforeLines="0" w:afterLines="0"/>
        <w:jc w:val="left"/>
        <w:rPr>
          <w:rFonts w:hint="default" w:ascii="宋体"/>
          <w:kern w:val="0"/>
          <w:sz w:val="38"/>
          <w:szCs w:val="24"/>
          <w:lang w:val="zh-CN"/>
        </w:rPr>
      </w:pPr>
    </w:p>
    <w:p>
      <w:pPr>
        <w:autoSpaceDE w:val="0"/>
        <w:autoSpaceDN w:val="0"/>
        <w:adjustRightInd w:val="0"/>
        <w:spacing w:beforeLines="0" w:afterLines="0"/>
        <w:jc w:val="left"/>
        <w:rPr>
          <w:rFonts w:hint="default" w:ascii="宋体"/>
          <w:kern w:val="0"/>
          <w:sz w:val="38"/>
          <w:szCs w:val="24"/>
          <w:lang w:val="zh-CN"/>
        </w:rPr>
      </w:pPr>
    </w:p>
    <w:p>
      <w:pPr>
        <w:autoSpaceDE w:val="0"/>
        <w:autoSpaceDN w:val="0"/>
        <w:adjustRightInd w:val="0"/>
        <w:spacing w:beforeLines="0" w:afterLines="0"/>
        <w:jc w:val="left"/>
        <w:rPr>
          <w:rFonts w:hint="default" w:ascii="宋体"/>
          <w:kern w:val="0"/>
          <w:sz w:val="38"/>
          <w:szCs w:val="24"/>
          <w:lang w:val="zh-CN"/>
        </w:rPr>
      </w:pPr>
    </w:p>
    <w:p>
      <w:pPr>
        <w:autoSpaceDE w:val="0"/>
        <w:autoSpaceDN w:val="0"/>
        <w:adjustRightInd w:val="0"/>
        <w:spacing w:beforeLines="0" w:afterLines="0"/>
        <w:jc w:val="left"/>
        <w:rPr>
          <w:rFonts w:hint="default" w:ascii="宋体"/>
          <w:kern w:val="0"/>
          <w:sz w:val="38"/>
          <w:szCs w:val="24"/>
          <w:lang w:val="zh-CN"/>
        </w:rPr>
      </w:pPr>
    </w:p>
    <w:p>
      <w:pPr>
        <w:spacing w:beforeLines="0" w:afterLines="0"/>
        <w:jc w:val="left"/>
        <w:rPr>
          <w:rFonts w:hint="default" w:ascii="黑体" w:hAnsi="黑体" w:eastAsia="黑体"/>
          <w:sz w:val="32"/>
          <w:szCs w:val="24"/>
        </w:rPr>
      </w:pPr>
    </w:p>
    <w:p>
      <w:pPr>
        <w:spacing w:beforeLines="0" w:afterLines="0"/>
        <w:jc w:val="center"/>
        <w:rPr>
          <w:rFonts w:hint="default" w:ascii="黑体" w:hAnsi="黑体" w:eastAsia="黑体"/>
          <w:sz w:val="48"/>
          <w:szCs w:val="24"/>
        </w:rPr>
      </w:pPr>
      <w:r>
        <w:rPr>
          <w:rFonts w:hint="eastAsia" w:ascii="黑体" w:hAnsi="黑体" w:eastAsia="黑体"/>
          <w:sz w:val="48"/>
          <w:szCs w:val="24"/>
        </w:rPr>
        <w:t>第三部分</w:t>
      </w:r>
    </w:p>
    <w:p>
      <w:pPr>
        <w:widowControl/>
        <w:spacing w:beforeLines="0" w:afterLines="0"/>
        <w:jc w:val="center"/>
        <w:rPr>
          <w:rFonts w:hint="default" w:ascii="黑体" w:hAnsi="黑体" w:eastAsia="黑体"/>
          <w:sz w:val="48"/>
          <w:szCs w:val="24"/>
        </w:rPr>
      </w:pPr>
      <w:r>
        <w:rPr>
          <w:rFonts w:hint="eastAsia" w:ascii="黑体" w:hAnsi="黑体" w:eastAsia="黑体"/>
          <w:sz w:val="48"/>
          <w:szCs w:val="24"/>
        </w:rPr>
        <w:t>2018年度部门决算情况说明</w:t>
      </w:r>
    </w:p>
    <w:p>
      <w:pPr>
        <w:widowControl/>
        <w:spacing w:beforeLines="0" w:afterLines="0"/>
        <w:jc w:val="left"/>
        <w:rPr>
          <w:rFonts w:hint="default" w:ascii="黑体" w:hAnsi="黑体" w:eastAsia="黑体"/>
          <w:sz w:val="48"/>
          <w:szCs w:val="24"/>
        </w:rPr>
        <w:sectPr>
          <w:pgSz w:w="11906" w:h="16838"/>
          <w:pgMar w:top="1440" w:right="1800" w:bottom="1440" w:left="1800" w:header="720" w:footer="720" w:gutter="0"/>
          <w:pgNumType w:fmt="numberInDash"/>
          <w:cols w:space="720" w:num="1"/>
          <w:docGrid w:type="lines" w:linePitch="312" w:charSpace="0"/>
        </w:sectPr>
      </w:pPr>
    </w:p>
    <w:p>
      <w:pPr>
        <w:autoSpaceDE w:val="0"/>
        <w:autoSpaceDN w:val="0"/>
        <w:adjustRightInd w:val="0"/>
        <w:spacing w:beforeLines="0" w:afterLines="0"/>
        <w:ind w:firstLine="640" w:firstLineChars="200"/>
        <w:jc w:val="left"/>
        <w:rPr>
          <w:rFonts w:hint="default" w:ascii="宋体"/>
          <w:kern w:val="0"/>
          <w:sz w:val="32"/>
          <w:szCs w:val="24"/>
          <w:lang w:val="zh-CN"/>
        </w:rPr>
      </w:pPr>
      <w:r>
        <w:rPr>
          <w:rFonts w:hint="eastAsia" w:ascii="宋体" w:hAnsi="宋体" w:cs="宋体"/>
          <w:kern w:val="0"/>
          <w:sz w:val="32"/>
          <w:szCs w:val="24"/>
          <w:lang w:val="zh-CN"/>
        </w:rPr>
        <w:t>一、收入支出决算总体情况说明</w:t>
      </w:r>
    </w:p>
    <w:p>
      <w:pPr>
        <w:spacing w:beforeLines="0" w:afterLines="0"/>
        <w:ind w:firstLine="640" w:firstLineChars="200"/>
        <w:jc w:val="left"/>
        <w:rPr>
          <w:rFonts w:hint="default" w:ascii="仿宋" w:hAnsi="仿宋" w:eastAsia="仿宋"/>
          <w:sz w:val="32"/>
          <w:szCs w:val="24"/>
          <w:lang w:val="zh-CN"/>
        </w:rPr>
      </w:pPr>
      <w:r>
        <w:rPr>
          <w:rFonts w:hint="eastAsia" w:ascii="仿宋" w:hAnsi="仿宋" w:eastAsia="仿宋"/>
          <w:sz w:val="32"/>
          <w:szCs w:val="24"/>
          <w:lang w:val="zh-CN"/>
        </w:rPr>
        <w:t>2018年度收、支总计均为272.92万元。与上年度相比，收、支总计各增加19万元，增长7.49%。主要原因是2018年度人员经费收支同比均有所增加及年初结转和结余。</w:t>
      </w:r>
    </w:p>
    <w:p>
      <w:pPr>
        <w:autoSpaceDE w:val="0"/>
        <w:autoSpaceDN w:val="0"/>
        <w:adjustRightInd w:val="0"/>
        <w:spacing w:beforeLines="0" w:afterLines="0"/>
        <w:ind w:firstLine="640" w:firstLineChars="200"/>
        <w:jc w:val="left"/>
        <w:rPr>
          <w:rFonts w:hint="default" w:ascii="宋体"/>
          <w:kern w:val="0"/>
          <w:sz w:val="32"/>
          <w:szCs w:val="24"/>
          <w:lang w:val="zh-CN"/>
        </w:rPr>
      </w:pPr>
      <w:r>
        <w:rPr>
          <w:rFonts w:hint="eastAsia" w:ascii="宋体" w:hAnsi="宋体" w:cs="宋体"/>
          <w:kern w:val="0"/>
          <w:sz w:val="32"/>
          <w:szCs w:val="24"/>
          <w:lang w:val="zh-CN"/>
        </w:rPr>
        <w:t>二、收入决算情况说明</w:t>
      </w:r>
    </w:p>
    <w:p>
      <w:pPr>
        <w:spacing w:beforeLines="0" w:afterLines="0"/>
        <w:ind w:firstLine="640" w:firstLineChars="200"/>
        <w:jc w:val="left"/>
        <w:rPr>
          <w:rFonts w:hint="default" w:ascii="仿宋" w:hAnsi="仿宋" w:eastAsia="仿宋"/>
          <w:sz w:val="32"/>
          <w:szCs w:val="24"/>
          <w:lang w:val="zh-CN"/>
        </w:rPr>
      </w:pPr>
      <w:r>
        <w:rPr>
          <w:rFonts w:hint="eastAsia" w:ascii="仿宋" w:hAnsi="仿宋" w:eastAsia="仿宋"/>
          <w:sz w:val="32"/>
          <w:szCs w:val="24"/>
          <w:lang w:val="zh-CN"/>
        </w:rPr>
        <w:t>2018年度收入合计241万元，其中：财政拨款收入241万元，占100%；上级补助收入</w:t>
      </w:r>
      <w:r>
        <w:rPr>
          <w:rFonts w:hint="default" w:ascii="仿宋" w:hAnsi="仿宋" w:eastAsia="仿宋"/>
          <w:sz w:val="32"/>
          <w:szCs w:val="24"/>
          <w:lang w:val="zh-CN"/>
        </w:rPr>
        <w:t>0</w:t>
      </w:r>
      <w:r>
        <w:rPr>
          <w:rFonts w:hint="eastAsia" w:ascii="仿宋" w:hAnsi="仿宋" w:eastAsia="仿宋"/>
          <w:sz w:val="32"/>
          <w:szCs w:val="24"/>
          <w:lang w:val="zh-CN"/>
        </w:rPr>
        <w:t>万元，占0%；事业收入</w:t>
      </w:r>
      <w:r>
        <w:rPr>
          <w:rFonts w:hint="default" w:ascii="仿宋" w:hAnsi="仿宋" w:eastAsia="仿宋"/>
          <w:sz w:val="32"/>
          <w:szCs w:val="24"/>
          <w:lang w:val="zh-CN"/>
        </w:rPr>
        <w:t>0</w:t>
      </w:r>
      <w:r>
        <w:rPr>
          <w:rFonts w:hint="eastAsia" w:ascii="仿宋" w:hAnsi="仿宋" w:eastAsia="仿宋"/>
          <w:sz w:val="32"/>
          <w:szCs w:val="24"/>
          <w:lang w:val="zh-CN"/>
        </w:rPr>
        <w:t>万元，占0%；经营收入</w:t>
      </w:r>
      <w:r>
        <w:rPr>
          <w:rFonts w:hint="default" w:ascii="仿宋" w:hAnsi="仿宋" w:eastAsia="仿宋"/>
          <w:sz w:val="32"/>
          <w:szCs w:val="24"/>
          <w:lang w:val="zh-CN"/>
        </w:rPr>
        <w:t>0</w:t>
      </w:r>
      <w:r>
        <w:rPr>
          <w:rFonts w:hint="eastAsia" w:ascii="仿宋" w:hAnsi="仿宋" w:eastAsia="仿宋"/>
          <w:sz w:val="32"/>
          <w:szCs w:val="24"/>
          <w:lang w:val="zh-CN"/>
        </w:rPr>
        <w:t>万元，占0%；附属单位上缴收入</w:t>
      </w:r>
      <w:r>
        <w:rPr>
          <w:rFonts w:hint="default" w:ascii="仿宋" w:hAnsi="仿宋" w:eastAsia="仿宋"/>
          <w:sz w:val="32"/>
          <w:szCs w:val="24"/>
          <w:lang w:val="zh-CN"/>
        </w:rPr>
        <w:t>0</w:t>
      </w:r>
      <w:r>
        <w:rPr>
          <w:rFonts w:hint="eastAsia" w:ascii="仿宋" w:hAnsi="仿宋" w:eastAsia="仿宋"/>
          <w:sz w:val="32"/>
          <w:szCs w:val="24"/>
          <w:lang w:val="zh-CN"/>
        </w:rPr>
        <w:t>万元，占0%；其他收入</w:t>
      </w:r>
      <w:r>
        <w:rPr>
          <w:rFonts w:hint="default" w:ascii="仿宋" w:hAnsi="仿宋" w:eastAsia="仿宋"/>
          <w:sz w:val="32"/>
          <w:szCs w:val="24"/>
          <w:lang w:val="zh-CN"/>
        </w:rPr>
        <w:t>0</w:t>
      </w:r>
      <w:r>
        <w:rPr>
          <w:rFonts w:hint="eastAsia" w:ascii="仿宋" w:hAnsi="仿宋" w:eastAsia="仿宋"/>
          <w:sz w:val="32"/>
          <w:szCs w:val="24"/>
          <w:lang w:val="zh-CN"/>
        </w:rPr>
        <w:t>万元，占0%。</w:t>
      </w:r>
    </w:p>
    <w:p>
      <w:pPr>
        <w:autoSpaceDE w:val="0"/>
        <w:autoSpaceDN w:val="0"/>
        <w:adjustRightInd w:val="0"/>
        <w:spacing w:beforeLines="0" w:afterLines="0"/>
        <w:ind w:firstLine="640" w:firstLineChars="200"/>
        <w:jc w:val="left"/>
        <w:rPr>
          <w:rFonts w:hint="default" w:ascii="宋体"/>
          <w:kern w:val="0"/>
          <w:sz w:val="32"/>
          <w:szCs w:val="24"/>
          <w:lang w:val="zh-CN"/>
        </w:rPr>
      </w:pPr>
      <w:r>
        <w:rPr>
          <w:rFonts w:hint="eastAsia" w:ascii="宋体" w:hAnsi="宋体" w:cs="宋体"/>
          <w:kern w:val="0"/>
          <w:sz w:val="32"/>
          <w:szCs w:val="24"/>
          <w:lang w:val="zh-CN"/>
        </w:rPr>
        <w:t>三、支出决算情况说明</w:t>
      </w:r>
    </w:p>
    <w:p>
      <w:pPr>
        <w:autoSpaceDE w:val="0"/>
        <w:autoSpaceDN w:val="0"/>
        <w:adjustRightInd w:val="0"/>
        <w:spacing w:beforeLines="0" w:afterLines="0"/>
        <w:ind w:firstLine="640" w:firstLineChars="200"/>
        <w:jc w:val="left"/>
        <w:rPr>
          <w:rFonts w:hint="default" w:ascii="仿宋" w:hAnsi="仿宋" w:eastAsia="仿宋"/>
          <w:sz w:val="32"/>
          <w:szCs w:val="24"/>
          <w:lang w:val="zh-CN"/>
        </w:rPr>
      </w:pPr>
      <w:r>
        <w:rPr>
          <w:rFonts w:hint="eastAsia" w:ascii="仿宋" w:hAnsi="仿宋" w:eastAsia="仿宋"/>
          <w:sz w:val="32"/>
          <w:szCs w:val="24"/>
          <w:lang w:val="zh-CN"/>
        </w:rPr>
        <w:t>2018年度支出合计244.65万元，其中：基本支出244.65万元，占100%；项目支出</w:t>
      </w:r>
      <w:r>
        <w:rPr>
          <w:rFonts w:hint="default" w:ascii="仿宋" w:hAnsi="仿宋" w:eastAsia="仿宋"/>
          <w:sz w:val="32"/>
          <w:szCs w:val="24"/>
          <w:lang w:val="zh-CN"/>
        </w:rPr>
        <w:t>0</w:t>
      </w:r>
      <w:r>
        <w:rPr>
          <w:rFonts w:hint="eastAsia" w:ascii="仿宋" w:hAnsi="仿宋" w:eastAsia="仿宋"/>
          <w:sz w:val="32"/>
          <w:szCs w:val="24"/>
          <w:lang w:val="zh-CN"/>
        </w:rPr>
        <w:t>万元，占0%；上缴上级支出</w:t>
      </w:r>
      <w:r>
        <w:rPr>
          <w:rFonts w:hint="default" w:ascii="仿宋" w:hAnsi="仿宋" w:eastAsia="仿宋"/>
          <w:sz w:val="32"/>
          <w:szCs w:val="24"/>
          <w:lang w:val="zh-CN"/>
        </w:rPr>
        <w:t>0</w:t>
      </w:r>
      <w:r>
        <w:rPr>
          <w:rFonts w:hint="eastAsia" w:ascii="仿宋" w:hAnsi="仿宋" w:eastAsia="仿宋"/>
          <w:sz w:val="32"/>
          <w:szCs w:val="24"/>
          <w:lang w:val="zh-CN"/>
        </w:rPr>
        <w:t>万元，占0%；经营支出</w:t>
      </w:r>
      <w:r>
        <w:rPr>
          <w:rFonts w:hint="default" w:ascii="仿宋" w:hAnsi="仿宋" w:eastAsia="仿宋"/>
          <w:sz w:val="32"/>
          <w:szCs w:val="24"/>
          <w:lang w:val="zh-CN"/>
        </w:rPr>
        <w:t>0</w:t>
      </w:r>
      <w:r>
        <w:rPr>
          <w:rFonts w:hint="eastAsia" w:ascii="仿宋" w:hAnsi="仿宋" w:eastAsia="仿宋"/>
          <w:sz w:val="32"/>
          <w:szCs w:val="24"/>
          <w:lang w:val="zh-CN"/>
        </w:rPr>
        <w:t>万元，占0%；对附属单位补助支出</w:t>
      </w:r>
      <w:r>
        <w:rPr>
          <w:rFonts w:hint="default" w:ascii="仿宋" w:hAnsi="仿宋" w:eastAsia="仿宋"/>
          <w:sz w:val="32"/>
          <w:szCs w:val="24"/>
          <w:lang w:val="zh-CN"/>
        </w:rPr>
        <w:t>0</w:t>
      </w:r>
      <w:r>
        <w:rPr>
          <w:rFonts w:hint="eastAsia" w:ascii="仿宋" w:hAnsi="仿宋" w:eastAsia="仿宋"/>
          <w:sz w:val="32"/>
          <w:szCs w:val="24"/>
          <w:lang w:val="zh-CN"/>
        </w:rPr>
        <w:t>万元，占0%。</w:t>
      </w:r>
    </w:p>
    <w:p>
      <w:pPr>
        <w:autoSpaceDE w:val="0"/>
        <w:autoSpaceDN w:val="0"/>
        <w:adjustRightInd w:val="0"/>
        <w:spacing w:beforeLines="0" w:afterLines="0"/>
        <w:ind w:firstLine="640" w:firstLineChars="200"/>
        <w:jc w:val="left"/>
        <w:rPr>
          <w:rFonts w:hint="default" w:ascii="宋体"/>
          <w:kern w:val="0"/>
          <w:sz w:val="32"/>
          <w:szCs w:val="24"/>
          <w:lang w:val="zh-CN"/>
        </w:rPr>
      </w:pPr>
      <w:r>
        <w:rPr>
          <w:rFonts w:hint="eastAsia" w:ascii="宋体" w:hAnsi="宋体" w:cs="宋体"/>
          <w:kern w:val="0"/>
          <w:sz w:val="32"/>
          <w:szCs w:val="24"/>
          <w:lang w:val="zh-CN"/>
        </w:rPr>
        <w:t>四、财政拨款收入支出决算总体情况说明</w:t>
      </w:r>
    </w:p>
    <w:p>
      <w:pPr>
        <w:autoSpaceDE w:val="0"/>
        <w:autoSpaceDN w:val="0"/>
        <w:adjustRightInd w:val="0"/>
        <w:spacing w:beforeLines="0" w:afterLines="0"/>
        <w:ind w:firstLine="640" w:firstLineChars="200"/>
        <w:jc w:val="left"/>
        <w:rPr>
          <w:rFonts w:hint="default" w:ascii="仿宋" w:hAnsi="仿宋" w:eastAsia="仿宋"/>
          <w:sz w:val="32"/>
          <w:szCs w:val="24"/>
          <w:lang w:val="zh-CN"/>
        </w:rPr>
      </w:pPr>
      <w:r>
        <w:rPr>
          <w:rFonts w:hint="eastAsia" w:ascii="仿宋" w:hAnsi="仿宋" w:eastAsia="仿宋"/>
          <w:sz w:val="32"/>
          <w:szCs w:val="24"/>
          <w:lang w:val="zh-CN"/>
        </w:rPr>
        <w:t>2018年度财政拨款收、支总计均为272.92万元。与上年度相比，财政拨款收、支总计各增加19.01万元，增长7.49%。主要原因是用上年结转结余资金支出。</w:t>
      </w:r>
    </w:p>
    <w:p>
      <w:pPr>
        <w:autoSpaceDE w:val="0"/>
        <w:autoSpaceDN w:val="0"/>
        <w:adjustRightInd w:val="0"/>
        <w:spacing w:beforeLines="0" w:afterLines="0"/>
        <w:ind w:firstLine="640" w:firstLineChars="200"/>
        <w:jc w:val="left"/>
        <w:rPr>
          <w:rFonts w:hint="default" w:ascii="宋体"/>
          <w:kern w:val="0"/>
          <w:sz w:val="32"/>
          <w:szCs w:val="24"/>
          <w:lang w:val="zh-CN"/>
        </w:rPr>
      </w:pPr>
      <w:r>
        <w:rPr>
          <w:rFonts w:hint="eastAsia" w:ascii="宋体" w:hAnsi="宋体" w:cs="宋体"/>
          <w:kern w:val="0"/>
          <w:sz w:val="32"/>
          <w:szCs w:val="24"/>
          <w:lang w:val="zh-CN"/>
        </w:rPr>
        <w:t>五、一般公共预算财政拨款支出决算情况说明</w:t>
      </w:r>
    </w:p>
    <w:p>
      <w:pPr>
        <w:autoSpaceDE w:val="0"/>
        <w:autoSpaceDN w:val="0"/>
        <w:adjustRightInd w:val="0"/>
        <w:spacing w:beforeLines="0" w:afterLines="0"/>
        <w:ind w:firstLine="640" w:firstLineChars="200"/>
        <w:jc w:val="left"/>
        <w:rPr>
          <w:rFonts w:hint="default" w:ascii="宋体"/>
          <w:kern w:val="0"/>
          <w:sz w:val="32"/>
          <w:szCs w:val="24"/>
          <w:lang w:val="zh-CN"/>
        </w:rPr>
      </w:pPr>
      <w:r>
        <w:rPr>
          <w:rFonts w:hint="eastAsia" w:ascii="宋体" w:hAnsi="宋体" w:cs="宋体"/>
          <w:kern w:val="0"/>
          <w:sz w:val="32"/>
          <w:szCs w:val="24"/>
          <w:lang w:val="zh-CN"/>
        </w:rPr>
        <w:t>（一）总体情况。</w:t>
      </w:r>
    </w:p>
    <w:p>
      <w:pPr>
        <w:autoSpaceDE w:val="0"/>
        <w:autoSpaceDN w:val="0"/>
        <w:adjustRightInd w:val="0"/>
        <w:spacing w:beforeLines="0" w:afterLines="0"/>
        <w:ind w:firstLine="640" w:firstLineChars="200"/>
        <w:jc w:val="left"/>
        <w:rPr>
          <w:rFonts w:hint="default" w:ascii="仿宋" w:hAnsi="仿宋" w:eastAsia="仿宋"/>
          <w:sz w:val="32"/>
          <w:szCs w:val="24"/>
          <w:lang w:val="zh-CN"/>
        </w:rPr>
      </w:pPr>
      <w:r>
        <w:rPr>
          <w:rFonts w:hint="eastAsia" w:ascii="仿宋" w:hAnsi="仿宋" w:eastAsia="仿宋"/>
          <w:sz w:val="32"/>
          <w:szCs w:val="24"/>
          <w:lang w:val="zh-CN"/>
        </w:rPr>
        <w:t>2018年度一般公共预算财政拨款支出244.65万元，占本年支出合计的100%。与上年度相比，一般公共预算财政拨款支出增加22.27万元，增长10.017015%。主要原因是用上年结转结余资金支出。</w:t>
      </w:r>
    </w:p>
    <w:p>
      <w:pPr>
        <w:autoSpaceDE w:val="0"/>
        <w:autoSpaceDN w:val="0"/>
        <w:adjustRightInd w:val="0"/>
        <w:spacing w:beforeLines="0" w:afterLines="0"/>
        <w:ind w:firstLine="320" w:firstLineChars="100"/>
        <w:jc w:val="left"/>
        <w:rPr>
          <w:rFonts w:hint="default" w:ascii="宋体"/>
          <w:kern w:val="0"/>
          <w:sz w:val="32"/>
          <w:szCs w:val="24"/>
          <w:lang w:val="zh-CN"/>
        </w:rPr>
      </w:pPr>
      <w:r>
        <w:rPr>
          <w:rFonts w:hint="eastAsia" w:ascii="宋体" w:hAnsi="宋体" w:cs="宋体"/>
          <w:kern w:val="0"/>
          <w:sz w:val="32"/>
          <w:szCs w:val="24"/>
          <w:lang w:val="zh-CN"/>
        </w:rPr>
        <w:t>（二）结构情况。</w:t>
      </w:r>
    </w:p>
    <w:p>
      <w:pPr>
        <w:autoSpaceDE w:val="0"/>
        <w:autoSpaceDN w:val="0"/>
        <w:adjustRightInd w:val="0"/>
        <w:spacing w:beforeLines="0" w:afterLines="0"/>
        <w:ind w:firstLine="640" w:firstLineChars="200"/>
        <w:jc w:val="left"/>
        <w:rPr>
          <w:rFonts w:hint="default" w:ascii="仿宋" w:hAnsi="仿宋" w:eastAsia="仿宋"/>
          <w:sz w:val="32"/>
          <w:szCs w:val="24"/>
          <w:lang w:val="zh-CN"/>
        </w:rPr>
      </w:pPr>
      <w:r>
        <w:rPr>
          <w:rFonts w:hint="eastAsia" w:ascii="仿宋" w:hAnsi="仿宋" w:eastAsia="仿宋"/>
          <w:sz w:val="32"/>
          <w:szCs w:val="24"/>
          <w:lang w:val="zh-CN"/>
        </w:rPr>
        <w:t>2018年度一般公共预算财政拨款支出244.65万元，主要用于以下方面：一般公共服务（类）支出</w:t>
      </w:r>
      <w:r>
        <w:rPr>
          <w:rFonts w:hint="default" w:ascii="仿宋" w:hAnsi="仿宋" w:eastAsia="仿宋"/>
          <w:sz w:val="32"/>
          <w:szCs w:val="24"/>
          <w:lang w:val="zh-CN"/>
        </w:rPr>
        <w:t>0</w:t>
      </w:r>
      <w:r>
        <w:rPr>
          <w:rFonts w:hint="eastAsia" w:ascii="仿宋" w:hAnsi="仿宋" w:eastAsia="仿宋"/>
          <w:sz w:val="32"/>
          <w:szCs w:val="24"/>
          <w:lang w:val="zh-CN"/>
        </w:rPr>
        <w:t>万元，占0%；外交（类）支出</w:t>
      </w:r>
      <w:r>
        <w:rPr>
          <w:rFonts w:hint="default" w:ascii="仿宋" w:hAnsi="仿宋" w:eastAsia="仿宋"/>
          <w:sz w:val="32"/>
          <w:szCs w:val="24"/>
          <w:lang w:val="zh-CN"/>
        </w:rPr>
        <w:t>0</w:t>
      </w:r>
      <w:r>
        <w:rPr>
          <w:rFonts w:hint="eastAsia" w:ascii="仿宋" w:hAnsi="仿宋" w:eastAsia="仿宋"/>
          <w:sz w:val="32"/>
          <w:szCs w:val="24"/>
          <w:lang w:val="zh-CN"/>
        </w:rPr>
        <w:t>万元，占0%；国防（类）支出</w:t>
      </w:r>
      <w:r>
        <w:rPr>
          <w:rFonts w:hint="default" w:ascii="仿宋" w:hAnsi="仿宋" w:eastAsia="仿宋"/>
          <w:sz w:val="32"/>
          <w:szCs w:val="24"/>
          <w:lang w:val="zh-CN"/>
        </w:rPr>
        <w:t>0</w:t>
      </w:r>
      <w:r>
        <w:rPr>
          <w:rFonts w:hint="eastAsia" w:ascii="仿宋" w:hAnsi="仿宋" w:eastAsia="仿宋"/>
          <w:sz w:val="32"/>
          <w:szCs w:val="24"/>
          <w:lang w:val="zh-CN"/>
        </w:rPr>
        <w:t>万元，占0%；公共安全（类）支出</w:t>
      </w:r>
      <w:r>
        <w:rPr>
          <w:rFonts w:hint="default" w:ascii="仿宋" w:hAnsi="仿宋" w:eastAsia="仿宋"/>
          <w:sz w:val="32"/>
          <w:szCs w:val="24"/>
          <w:lang w:val="zh-CN"/>
        </w:rPr>
        <w:t>0</w:t>
      </w:r>
      <w:r>
        <w:rPr>
          <w:rFonts w:hint="eastAsia" w:ascii="仿宋" w:hAnsi="仿宋" w:eastAsia="仿宋"/>
          <w:sz w:val="32"/>
          <w:szCs w:val="24"/>
          <w:lang w:val="zh-CN"/>
        </w:rPr>
        <w:t>万元，占0%；教育（类）支出</w:t>
      </w:r>
      <w:r>
        <w:rPr>
          <w:rFonts w:hint="default" w:ascii="仿宋" w:hAnsi="仿宋" w:eastAsia="仿宋"/>
          <w:sz w:val="32"/>
          <w:szCs w:val="24"/>
          <w:lang w:val="zh-CN"/>
        </w:rPr>
        <w:t>0</w:t>
      </w:r>
      <w:r>
        <w:rPr>
          <w:rFonts w:hint="eastAsia" w:ascii="仿宋" w:hAnsi="仿宋" w:eastAsia="仿宋"/>
          <w:sz w:val="32"/>
          <w:szCs w:val="24"/>
          <w:lang w:val="zh-CN"/>
        </w:rPr>
        <w:t>万元，占0%；科学技术（类）支出</w:t>
      </w:r>
      <w:r>
        <w:rPr>
          <w:rFonts w:hint="default" w:ascii="仿宋" w:hAnsi="仿宋" w:eastAsia="仿宋"/>
          <w:sz w:val="32"/>
          <w:szCs w:val="24"/>
          <w:lang w:val="zh-CN"/>
        </w:rPr>
        <w:t>0</w:t>
      </w:r>
      <w:r>
        <w:rPr>
          <w:rFonts w:hint="eastAsia" w:ascii="仿宋" w:hAnsi="仿宋" w:eastAsia="仿宋"/>
          <w:sz w:val="32"/>
          <w:szCs w:val="24"/>
          <w:lang w:val="zh-CN"/>
        </w:rPr>
        <w:t>万元，占0%；文化体育与传媒（类）支出</w:t>
      </w:r>
      <w:r>
        <w:rPr>
          <w:rFonts w:hint="default" w:ascii="仿宋" w:hAnsi="仿宋" w:eastAsia="仿宋"/>
          <w:sz w:val="32"/>
          <w:szCs w:val="24"/>
          <w:lang w:val="zh-CN"/>
        </w:rPr>
        <w:t>0</w:t>
      </w:r>
      <w:r>
        <w:rPr>
          <w:rFonts w:hint="eastAsia" w:ascii="仿宋" w:hAnsi="仿宋" w:eastAsia="仿宋"/>
          <w:sz w:val="32"/>
          <w:szCs w:val="24"/>
          <w:lang w:val="zh-CN"/>
        </w:rPr>
        <w:t>万元，占0%；社会保障和就业（类）支出23.15万元，占9.46%；医疗卫生和计划生育（类）支出6.82万元，占2.79%；节能环保（类）支出</w:t>
      </w:r>
      <w:r>
        <w:rPr>
          <w:rFonts w:hint="default" w:ascii="仿宋" w:hAnsi="仿宋" w:eastAsia="仿宋"/>
          <w:sz w:val="32"/>
          <w:szCs w:val="24"/>
          <w:lang w:val="zh-CN"/>
        </w:rPr>
        <w:t>0</w:t>
      </w:r>
      <w:r>
        <w:rPr>
          <w:rFonts w:hint="eastAsia" w:ascii="仿宋" w:hAnsi="仿宋" w:eastAsia="仿宋"/>
          <w:sz w:val="32"/>
          <w:szCs w:val="24"/>
          <w:lang w:val="zh-CN"/>
        </w:rPr>
        <w:t>万元，占0%；城乡社区（类）支出</w:t>
      </w:r>
      <w:r>
        <w:rPr>
          <w:rFonts w:hint="default" w:ascii="仿宋" w:hAnsi="仿宋" w:eastAsia="仿宋"/>
          <w:sz w:val="32"/>
          <w:szCs w:val="24"/>
          <w:lang w:val="zh-CN"/>
        </w:rPr>
        <w:t>0</w:t>
      </w:r>
      <w:r>
        <w:rPr>
          <w:rFonts w:hint="eastAsia" w:ascii="仿宋" w:hAnsi="仿宋" w:eastAsia="仿宋"/>
          <w:sz w:val="32"/>
          <w:szCs w:val="24"/>
          <w:lang w:val="zh-CN"/>
        </w:rPr>
        <w:t>万元，占0%；农林水（类）支出</w:t>
      </w:r>
      <w:r>
        <w:rPr>
          <w:rFonts w:hint="default" w:ascii="仿宋" w:hAnsi="仿宋" w:eastAsia="仿宋"/>
          <w:sz w:val="32"/>
          <w:szCs w:val="24"/>
          <w:lang w:val="zh-CN"/>
        </w:rPr>
        <w:t>0</w:t>
      </w:r>
      <w:r>
        <w:rPr>
          <w:rFonts w:hint="eastAsia" w:ascii="仿宋" w:hAnsi="仿宋" w:eastAsia="仿宋"/>
          <w:sz w:val="32"/>
          <w:szCs w:val="24"/>
          <w:lang w:val="zh-CN"/>
        </w:rPr>
        <w:t>万元，占0%；交通运输（类）支出</w:t>
      </w:r>
      <w:r>
        <w:rPr>
          <w:rFonts w:hint="default" w:ascii="仿宋" w:hAnsi="仿宋" w:eastAsia="仿宋"/>
          <w:sz w:val="32"/>
          <w:szCs w:val="24"/>
          <w:lang w:val="zh-CN"/>
        </w:rPr>
        <w:t>0</w:t>
      </w:r>
      <w:r>
        <w:rPr>
          <w:rFonts w:hint="eastAsia" w:ascii="仿宋" w:hAnsi="仿宋" w:eastAsia="仿宋"/>
          <w:sz w:val="32"/>
          <w:szCs w:val="24"/>
          <w:lang w:val="zh-CN"/>
        </w:rPr>
        <w:t>万元，占0%；资源勘探信息（类）支出214.68万元，占87.75%；商业服务业（类）支出</w:t>
      </w:r>
      <w:r>
        <w:rPr>
          <w:rFonts w:hint="default" w:ascii="仿宋" w:hAnsi="仿宋" w:eastAsia="仿宋"/>
          <w:sz w:val="32"/>
          <w:szCs w:val="24"/>
          <w:lang w:val="zh-CN"/>
        </w:rPr>
        <w:t>0</w:t>
      </w:r>
      <w:r>
        <w:rPr>
          <w:rFonts w:hint="eastAsia" w:ascii="仿宋" w:hAnsi="仿宋" w:eastAsia="仿宋"/>
          <w:sz w:val="32"/>
          <w:szCs w:val="24"/>
          <w:lang w:val="zh-CN"/>
        </w:rPr>
        <w:t>万元，占0%；金融（类）支出</w:t>
      </w:r>
      <w:r>
        <w:rPr>
          <w:rFonts w:hint="default" w:ascii="仿宋" w:hAnsi="仿宋" w:eastAsia="仿宋"/>
          <w:sz w:val="32"/>
          <w:szCs w:val="24"/>
          <w:lang w:val="zh-CN"/>
        </w:rPr>
        <w:t>0</w:t>
      </w:r>
      <w:r>
        <w:rPr>
          <w:rFonts w:hint="eastAsia" w:ascii="仿宋" w:hAnsi="仿宋" w:eastAsia="仿宋"/>
          <w:sz w:val="32"/>
          <w:szCs w:val="24"/>
          <w:lang w:val="zh-CN"/>
        </w:rPr>
        <w:t>万元，占0%；援助其他地区（类）支出</w:t>
      </w:r>
      <w:r>
        <w:rPr>
          <w:rFonts w:hint="default" w:ascii="仿宋" w:hAnsi="仿宋" w:eastAsia="仿宋"/>
          <w:sz w:val="32"/>
          <w:szCs w:val="24"/>
          <w:lang w:val="zh-CN"/>
        </w:rPr>
        <w:t>0</w:t>
      </w:r>
      <w:r>
        <w:rPr>
          <w:rFonts w:hint="eastAsia" w:ascii="仿宋" w:hAnsi="仿宋" w:eastAsia="仿宋"/>
          <w:sz w:val="32"/>
          <w:szCs w:val="24"/>
          <w:lang w:val="zh-CN"/>
        </w:rPr>
        <w:t>万元，占0%；国土海洋气象（类）支出</w:t>
      </w:r>
      <w:r>
        <w:rPr>
          <w:rFonts w:hint="default" w:ascii="仿宋" w:hAnsi="仿宋" w:eastAsia="仿宋"/>
          <w:sz w:val="32"/>
          <w:szCs w:val="24"/>
          <w:lang w:val="zh-CN"/>
        </w:rPr>
        <w:t>0</w:t>
      </w:r>
      <w:r>
        <w:rPr>
          <w:rFonts w:hint="eastAsia" w:ascii="仿宋" w:hAnsi="仿宋" w:eastAsia="仿宋"/>
          <w:sz w:val="32"/>
          <w:szCs w:val="24"/>
          <w:lang w:val="zh-CN"/>
        </w:rPr>
        <w:t>万元，占0%；住房保障（类）支出</w:t>
      </w:r>
      <w:r>
        <w:rPr>
          <w:rFonts w:hint="default" w:ascii="仿宋" w:hAnsi="仿宋" w:eastAsia="仿宋"/>
          <w:sz w:val="32"/>
          <w:szCs w:val="24"/>
          <w:lang w:val="zh-CN"/>
        </w:rPr>
        <w:t>0</w:t>
      </w:r>
      <w:r>
        <w:rPr>
          <w:rFonts w:hint="eastAsia" w:ascii="仿宋" w:hAnsi="仿宋" w:eastAsia="仿宋"/>
          <w:sz w:val="32"/>
          <w:szCs w:val="24"/>
          <w:lang w:val="zh-CN"/>
        </w:rPr>
        <w:t>万元，占0%；粮油物资储备（类）支出</w:t>
      </w:r>
      <w:r>
        <w:rPr>
          <w:rFonts w:hint="default" w:ascii="仿宋" w:hAnsi="仿宋" w:eastAsia="仿宋"/>
          <w:sz w:val="32"/>
          <w:szCs w:val="24"/>
          <w:lang w:val="zh-CN"/>
        </w:rPr>
        <w:t>0</w:t>
      </w:r>
      <w:r>
        <w:rPr>
          <w:rFonts w:hint="eastAsia" w:ascii="仿宋" w:hAnsi="仿宋" w:eastAsia="仿宋"/>
          <w:sz w:val="32"/>
          <w:szCs w:val="24"/>
          <w:lang w:val="zh-CN"/>
        </w:rPr>
        <w:t>万元，占0%；其他（类）支出</w:t>
      </w:r>
      <w:r>
        <w:rPr>
          <w:rFonts w:hint="default" w:ascii="仿宋" w:hAnsi="仿宋" w:eastAsia="仿宋"/>
          <w:sz w:val="32"/>
          <w:szCs w:val="24"/>
          <w:lang w:val="zh-CN"/>
        </w:rPr>
        <w:t>0</w:t>
      </w:r>
      <w:r>
        <w:rPr>
          <w:rFonts w:hint="eastAsia" w:ascii="仿宋" w:hAnsi="仿宋" w:eastAsia="仿宋"/>
          <w:sz w:val="32"/>
          <w:szCs w:val="24"/>
          <w:lang w:val="zh-CN"/>
        </w:rPr>
        <w:t>万元，占0%；债务还本（类）支出</w:t>
      </w:r>
      <w:r>
        <w:rPr>
          <w:rFonts w:hint="default" w:ascii="仿宋" w:hAnsi="仿宋" w:eastAsia="仿宋"/>
          <w:sz w:val="32"/>
          <w:szCs w:val="24"/>
          <w:lang w:val="zh-CN"/>
        </w:rPr>
        <w:t>0</w:t>
      </w:r>
      <w:r>
        <w:rPr>
          <w:rFonts w:hint="eastAsia" w:ascii="仿宋" w:hAnsi="仿宋" w:eastAsia="仿宋"/>
          <w:sz w:val="32"/>
          <w:szCs w:val="24"/>
          <w:lang w:val="zh-CN"/>
        </w:rPr>
        <w:t>万元，占0%；债务付息（类）支出</w:t>
      </w:r>
      <w:r>
        <w:rPr>
          <w:rFonts w:hint="default" w:ascii="仿宋" w:hAnsi="仿宋" w:eastAsia="仿宋"/>
          <w:sz w:val="32"/>
          <w:szCs w:val="24"/>
          <w:lang w:val="zh-CN"/>
        </w:rPr>
        <w:t>0</w:t>
      </w:r>
      <w:r>
        <w:rPr>
          <w:rFonts w:hint="eastAsia" w:ascii="仿宋" w:hAnsi="仿宋" w:eastAsia="仿宋"/>
          <w:sz w:val="32"/>
          <w:szCs w:val="24"/>
          <w:lang w:val="zh-CN"/>
        </w:rPr>
        <w:t>万元，占0%。</w:t>
      </w:r>
    </w:p>
    <w:p>
      <w:pPr>
        <w:autoSpaceDE w:val="0"/>
        <w:autoSpaceDN w:val="0"/>
        <w:adjustRightInd w:val="0"/>
        <w:spacing w:beforeLines="0" w:afterLines="0"/>
        <w:ind w:firstLine="320" w:firstLineChars="100"/>
        <w:jc w:val="left"/>
        <w:rPr>
          <w:rFonts w:hint="default" w:ascii="宋体"/>
          <w:kern w:val="0"/>
          <w:sz w:val="32"/>
          <w:szCs w:val="24"/>
          <w:lang w:val="zh-CN"/>
        </w:rPr>
      </w:pPr>
      <w:r>
        <w:rPr>
          <w:rFonts w:hint="eastAsia" w:ascii="宋体" w:hAnsi="宋体" w:cs="宋体"/>
          <w:kern w:val="0"/>
          <w:sz w:val="32"/>
          <w:szCs w:val="24"/>
          <w:lang w:val="zh-CN"/>
        </w:rPr>
        <w:t>（三）具体情况。</w:t>
      </w:r>
    </w:p>
    <w:p>
      <w:pPr>
        <w:autoSpaceDE w:val="0"/>
        <w:autoSpaceDN w:val="0"/>
        <w:adjustRightInd w:val="0"/>
        <w:spacing w:beforeLines="0" w:afterLines="0"/>
        <w:ind w:firstLine="640" w:firstLineChars="200"/>
        <w:jc w:val="left"/>
        <w:rPr>
          <w:rFonts w:hint="default" w:ascii="仿宋" w:hAnsi="仿宋" w:eastAsia="仿宋"/>
          <w:sz w:val="32"/>
          <w:szCs w:val="24"/>
          <w:lang w:val="zh-CN"/>
        </w:rPr>
      </w:pPr>
      <w:r>
        <w:rPr>
          <w:rFonts w:hint="eastAsia" w:ascii="仿宋" w:hAnsi="仿宋" w:eastAsia="仿宋"/>
          <w:sz w:val="32"/>
          <w:szCs w:val="24"/>
          <w:lang w:val="zh-CN"/>
        </w:rPr>
        <w:t>2018年度一般公共预算财政拨款支出年初预算为226.58万元，支出决算为244.65万元，完成年初预算的107.98%。其中：</w:t>
      </w:r>
    </w:p>
    <w:p>
      <w:pPr>
        <w:adjustRightInd w:val="0"/>
        <w:snapToGrid w:val="0"/>
        <w:spacing w:beforeLines="0" w:afterLines="0" w:line="360" w:lineRule="auto"/>
        <w:ind w:firstLine="643" w:firstLineChars="200"/>
        <w:rPr>
          <w:rFonts w:hint="default" w:ascii="仿宋" w:hAnsi="仿宋" w:eastAsia="仿宋"/>
          <w:sz w:val="32"/>
          <w:szCs w:val="24"/>
          <w:lang w:val="zh-CN"/>
        </w:rPr>
      </w:pPr>
      <w:r>
        <w:rPr>
          <w:rFonts w:hint="eastAsia" w:ascii="仿宋_GB2312" w:hAnsi="宋体" w:eastAsia="仿宋_GB2312"/>
          <w:b/>
          <w:kern w:val="0"/>
          <w:sz w:val="32"/>
          <w:szCs w:val="24"/>
          <w:lang w:val="zh-CN"/>
        </w:rPr>
        <w:t>1．资源勘探信息等支出（类）安全生产监管（款）行政运行（项）。</w:t>
      </w:r>
      <w:r>
        <w:rPr>
          <w:rFonts w:hint="eastAsia" w:ascii="仿宋" w:hAnsi="仿宋" w:eastAsia="仿宋"/>
          <w:sz w:val="32"/>
          <w:szCs w:val="24"/>
          <w:lang w:val="zh-CN"/>
        </w:rPr>
        <w:t>年初预算为121.46万元，支出决算为139.10万元，完成年初预算的114.52%。决算数与年初预算数存在差异的主要原因是2018年度人员经费收支同比均有所增加及年初结转和结余。</w:t>
      </w:r>
    </w:p>
    <w:p>
      <w:pPr>
        <w:autoSpaceDE w:val="0"/>
        <w:autoSpaceDN w:val="0"/>
        <w:adjustRightInd w:val="0"/>
        <w:spacing w:beforeLines="0" w:afterLines="0"/>
        <w:ind w:firstLine="643" w:firstLineChars="200"/>
        <w:jc w:val="left"/>
        <w:rPr>
          <w:rFonts w:hint="default" w:ascii="仿宋" w:hAnsi="仿宋" w:eastAsia="仿宋"/>
          <w:sz w:val="32"/>
          <w:szCs w:val="24"/>
          <w:lang w:val="zh-CN"/>
        </w:rPr>
      </w:pPr>
      <w:r>
        <w:rPr>
          <w:rFonts w:hint="eastAsia" w:ascii="仿宋_GB2312" w:hAnsi="宋体" w:eastAsia="仿宋_GB2312"/>
          <w:b/>
          <w:kern w:val="0"/>
          <w:sz w:val="32"/>
          <w:szCs w:val="24"/>
          <w:lang w:val="zh-CN"/>
        </w:rPr>
        <w:t>2．资源勘探信息等支出（类）安全生产监管（款）机关服务（项）。</w:t>
      </w:r>
      <w:r>
        <w:rPr>
          <w:rFonts w:hint="eastAsia" w:ascii="仿宋" w:hAnsi="仿宋" w:eastAsia="仿宋"/>
          <w:sz w:val="32"/>
          <w:szCs w:val="24"/>
          <w:lang w:val="zh-CN"/>
        </w:rPr>
        <w:t>年初预算为63.75万元，支出决算为63.75万元，完成年初预算的100%。</w:t>
      </w:r>
    </w:p>
    <w:p>
      <w:pPr>
        <w:autoSpaceDE w:val="0"/>
        <w:autoSpaceDN w:val="0"/>
        <w:adjustRightInd w:val="0"/>
        <w:spacing w:beforeLines="0" w:afterLines="0"/>
        <w:ind w:firstLine="643" w:firstLineChars="200"/>
        <w:jc w:val="left"/>
        <w:rPr>
          <w:rFonts w:hint="default" w:ascii="仿宋" w:hAnsi="仿宋" w:eastAsia="仿宋"/>
          <w:sz w:val="32"/>
          <w:szCs w:val="24"/>
          <w:lang w:val="zh-CN"/>
        </w:rPr>
      </w:pPr>
      <w:r>
        <w:rPr>
          <w:rFonts w:hint="eastAsia" w:ascii="仿宋_GB2312" w:hAnsi="宋体" w:eastAsia="仿宋_GB2312"/>
          <w:b/>
          <w:kern w:val="0"/>
          <w:sz w:val="32"/>
          <w:szCs w:val="24"/>
          <w:lang w:val="zh-CN"/>
        </w:rPr>
        <w:t>3. 资源勘探信息等支出（类）安全生产监管（款）其他安全生产监管支出（项）。</w:t>
      </w:r>
      <w:r>
        <w:rPr>
          <w:rFonts w:hint="eastAsia" w:ascii="仿宋" w:hAnsi="仿宋" w:eastAsia="仿宋"/>
          <w:sz w:val="32"/>
          <w:szCs w:val="24"/>
          <w:lang w:val="zh-CN"/>
        </w:rPr>
        <w:t>年初预算为 0万元，支出决算为11.82万元，决算数与年初预算数存在差异的主要原因是年初一般行政管理事务调整为其他安全生产监管支出。</w:t>
      </w:r>
    </w:p>
    <w:p>
      <w:pPr>
        <w:autoSpaceDE w:val="0"/>
        <w:autoSpaceDN w:val="0"/>
        <w:adjustRightInd w:val="0"/>
        <w:spacing w:beforeLines="0" w:afterLines="0"/>
        <w:ind w:firstLine="643" w:firstLineChars="200"/>
        <w:jc w:val="left"/>
        <w:rPr>
          <w:rFonts w:hint="default" w:ascii="仿宋" w:hAnsi="仿宋" w:eastAsia="仿宋"/>
          <w:sz w:val="32"/>
          <w:szCs w:val="24"/>
          <w:lang w:val="zh-CN"/>
        </w:rPr>
      </w:pPr>
      <w:r>
        <w:rPr>
          <w:rFonts w:hint="eastAsia" w:ascii="仿宋_GB2312" w:hAnsi="宋体" w:eastAsia="仿宋_GB2312"/>
          <w:b/>
          <w:kern w:val="0"/>
          <w:sz w:val="32"/>
          <w:szCs w:val="24"/>
          <w:lang w:val="zh-CN"/>
        </w:rPr>
        <w:t>4.社会保障和就业支出（类）行政事业单位离退休（款）机关业单位基本养老保险缴费支出（项）。</w:t>
      </w:r>
      <w:r>
        <w:rPr>
          <w:rFonts w:hint="eastAsia" w:ascii="仿宋" w:hAnsi="仿宋" w:eastAsia="仿宋"/>
          <w:sz w:val="32"/>
          <w:szCs w:val="24"/>
          <w:lang w:val="zh-CN"/>
        </w:rPr>
        <w:t>年初预算为22.7万元，支出决算为22.7万元，完成年初预算的100%。</w:t>
      </w:r>
    </w:p>
    <w:p>
      <w:pPr>
        <w:autoSpaceDE w:val="0"/>
        <w:autoSpaceDN w:val="0"/>
        <w:adjustRightInd w:val="0"/>
        <w:spacing w:beforeLines="0" w:afterLines="0"/>
        <w:ind w:firstLine="643" w:firstLineChars="200"/>
        <w:jc w:val="left"/>
        <w:rPr>
          <w:rFonts w:hint="default" w:ascii="仿宋" w:hAnsi="仿宋" w:eastAsia="仿宋"/>
          <w:sz w:val="32"/>
          <w:szCs w:val="24"/>
          <w:lang w:val="zh-CN"/>
        </w:rPr>
      </w:pPr>
      <w:r>
        <w:rPr>
          <w:rFonts w:hint="eastAsia" w:ascii="仿宋_GB2312" w:hAnsi="宋体" w:eastAsia="仿宋_GB2312"/>
          <w:b/>
          <w:kern w:val="0"/>
          <w:sz w:val="32"/>
          <w:szCs w:val="24"/>
          <w:lang w:val="zh-CN"/>
        </w:rPr>
        <w:t>5.社会保障和就业支出（类）其他社会保障和就业支出（款）其他社会保障和就业支出（项）。</w:t>
      </w:r>
      <w:r>
        <w:rPr>
          <w:rFonts w:hint="eastAsia" w:ascii="仿宋" w:hAnsi="仿宋" w:eastAsia="仿宋"/>
          <w:sz w:val="32"/>
          <w:szCs w:val="24"/>
          <w:lang w:val="zh-CN"/>
        </w:rPr>
        <w:t>年初预算为</w:t>
      </w:r>
      <w:r>
        <w:rPr>
          <w:rFonts w:hint="default" w:ascii="仿宋" w:hAnsi="仿宋" w:eastAsia="仿宋"/>
          <w:sz w:val="32"/>
          <w:szCs w:val="24"/>
          <w:lang w:val="zh-CN"/>
        </w:rPr>
        <w:t>0</w:t>
      </w:r>
      <w:r>
        <w:rPr>
          <w:rFonts w:hint="eastAsia" w:ascii="仿宋" w:hAnsi="仿宋" w:eastAsia="仿宋"/>
          <w:sz w:val="32"/>
          <w:szCs w:val="24"/>
          <w:lang w:val="zh-CN"/>
        </w:rPr>
        <w:t>万元，支出决算为0.45万元，决算数与年初预算数存在差异的主要原因是年初财政对失业保险基金的补助调整其他社会保障和就业支出。</w:t>
      </w:r>
    </w:p>
    <w:p>
      <w:pPr>
        <w:autoSpaceDE w:val="0"/>
        <w:autoSpaceDN w:val="0"/>
        <w:adjustRightInd w:val="0"/>
        <w:spacing w:beforeLines="0" w:afterLines="0"/>
        <w:ind w:firstLine="643" w:firstLineChars="200"/>
        <w:jc w:val="left"/>
        <w:rPr>
          <w:rFonts w:hint="default" w:ascii="仿宋" w:hAnsi="仿宋" w:eastAsia="仿宋"/>
          <w:sz w:val="32"/>
          <w:szCs w:val="24"/>
          <w:lang w:val="zh-CN"/>
        </w:rPr>
      </w:pPr>
      <w:r>
        <w:rPr>
          <w:rFonts w:hint="eastAsia" w:ascii="仿宋_GB2312" w:hAnsi="宋体" w:eastAsia="仿宋_GB2312"/>
          <w:b/>
          <w:kern w:val="0"/>
          <w:sz w:val="32"/>
          <w:szCs w:val="24"/>
          <w:lang w:val="zh-CN"/>
        </w:rPr>
        <w:t>6.医疗卫生和计划生育支出（类）行政事业单位医疗（款）其行政单位医疗（项）。</w:t>
      </w:r>
      <w:r>
        <w:rPr>
          <w:rFonts w:hint="eastAsia" w:ascii="仿宋" w:hAnsi="仿宋" w:eastAsia="仿宋"/>
          <w:sz w:val="32"/>
          <w:szCs w:val="24"/>
          <w:lang w:val="zh-CN"/>
        </w:rPr>
        <w:t>年初预算为6.82万元，支出决算为6.82万元，完成年初预算的100%。</w:t>
      </w:r>
    </w:p>
    <w:p>
      <w:pPr>
        <w:autoSpaceDE w:val="0"/>
        <w:autoSpaceDN w:val="0"/>
        <w:adjustRightInd w:val="0"/>
        <w:spacing w:beforeLines="0" w:afterLines="0"/>
        <w:ind w:firstLine="640" w:firstLineChars="200"/>
        <w:jc w:val="left"/>
        <w:rPr>
          <w:rFonts w:hint="default" w:ascii="宋体"/>
          <w:kern w:val="0"/>
          <w:sz w:val="32"/>
          <w:szCs w:val="24"/>
          <w:lang w:val="zh-CN"/>
        </w:rPr>
      </w:pPr>
      <w:r>
        <w:rPr>
          <w:rFonts w:hint="eastAsia" w:ascii="宋体" w:hAnsi="宋体" w:cs="宋体"/>
          <w:kern w:val="0"/>
          <w:sz w:val="32"/>
          <w:szCs w:val="24"/>
          <w:lang w:val="zh-CN"/>
        </w:rPr>
        <w:t>六、一般公共预算财政拨款基本支出决算情况说明</w:t>
      </w:r>
    </w:p>
    <w:p>
      <w:pPr>
        <w:autoSpaceDE w:val="0"/>
        <w:autoSpaceDN w:val="0"/>
        <w:adjustRightInd w:val="0"/>
        <w:spacing w:beforeLines="0" w:afterLines="0"/>
        <w:ind w:firstLine="640" w:firstLineChars="200"/>
        <w:jc w:val="left"/>
        <w:rPr>
          <w:rFonts w:hint="default" w:ascii="仿宋" w:hAnsi="仿宋" w:eastAsia="仿宋"/>
          <w:sz w:val="32"/>
          <w:szCs w:val="24"/>
          <w:lang w:val="zh-CN"/>
        </w:rPr>
      </w:pPr>
      <w:r>
        <w:rPr>
          <w:rFonts w:hint="eastAsia" w:ascii="仿宋" w:hAnsi="仿宋" w:eastAsia="仿宋"/>
          <w:sz w:val="32"/>
          <w:szCs w:val="24"/>
          <w:lang w:val="zh-CN"/>
        </w:rPr>
        <w:t>2018年度一般公共预算财政拨款基本支出244.65万元。其中：人员经费205.05万元，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公用经费39.60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pPr>
        <w:autoSpaceDE w:val="0"/>
        <w:autoSpaceDN w:val="0"/>
        <w:adjustRightInd w:val="0"/>
        <w:spacing w:beforeLines="0" w:afterLines="0"/>
        <w:ind w:firstLine="640" w:firstLineChars="200"/>
        <w:jc w:val="left"/>
        <w:rPr>
          <w:rFonts w:hint="default" w:ascii="宋体"/>
          <w:kern w:val="0"/>
          <w:sz w:val="32"/>
          <w:szCs w:val="24"/>
          <w:lang w:val="zh-CN"/>
        </w:rPr>
      </w:pPr>
      <w:r>
        <w:rPr>
          <w:rFonts w:hint="eastAsia" w:ascii="宋体" w:hAnsi="宋体" w:cs="宋体"/>
          <w:kern w:val="0"/>
          <w:sz w:val="32"/>
          <w:szCs w:val="24"/>
          <w:lang w:val="zh-CN"/>
        </w:rPr>
        <w:t>七、一般公共预算财政拨款</w:t>
      </w:r>
      <w:r>
        <w:rPr>
          <w:rFonts w:hint="eastAsia" w:ascii="宋体"/>
          <w:kern w:val="0"/>
          <w:sz w:val="32"/>
          <w:szCs w:val="24"/>
          <w:lang w:val="zh-CN"/>
        </w:rPr>
        <w:t>“</w:t>
      </w:r>
      <w:r>
        <w:rPr>
          <w:rFonts w:hint="eastAsia" w:ascii="宋体" w:hAnsi="宋体" w:cs="宋体"/>
          <w:kern w:val="0"/>
          <w:sz w:val="32"/>
          <w:szCs w:val="24"/>
          <w:lang w:val="zh-CN"/>
        </w:rPr>
        <w:t>三公</w:t>
      </w:r>
      <w:r>
        <w:rPr>
          <w:rFonts w:hint="eastAsia" w:ascii="宋体"/>
          <w:kern w:val="0"/>
          <w:sz w:val="32"/>
          <w:szCs w:val="24"/>
          <w:lang w:val="zh-CN"/>
        </w:rPr>
        <w:t>”</w:t>
      </w:r>
      <w:r>
        <w:rPr>
          <w:rFonts w:hint="eastAsia" w:ascii="宋体" w:hAnsi="宋体" w:cs="宋体"/>
          <w:kern w:val="0"/>
          <w:sz w:val="32"/>
          <w:szCs w:val="24"/>
          <w:lang w:val="zh-CN"/>
        </w:rPr>
        <w:t>经费支出决算情况说明</w:t>
      </w:r>
    </w:p>
    <w:p>
      <w:pPr>
        <w:autoSpaceDE w:val="0"/>
        <w:autoSpaceDN w:val="0"/>
        <w:adjustRightInd w:val="0"/>
        <w:spacing w:beforeLines="0" w:afterLines="0"/>
        <w:ind w:firstLine="640" w:firstLineChars="200"/>
        <w:jc w:val="left"/>
        <w:rPr>
          <w:rFonts w:hint="default" w:ascii="宋体"/>
          <w:kern w:val="0"/>
          <w:sz w:val="32"/>
          <w:szCs w:val="24"/>
          <w:lang w:val="zh-CN"/>
        </w:rPr>
      </w:pPr>
      <w:r>
        <w:rPr>
          <w:rFonts w:hint="eastAsia" w:ascii="宋体" w:hAnsi="宋体" w:cs="宋体"/>
          <w:kern w:val="0"/>
          <w:sz w:val="32"/>
          <w:szCs w:val="24"/>
          <w:lang w:val="zh-CN"/>
        </w:rPr>
        <w:t>（一）</w:t>
      </w:r>
      <w:r>
        <w:rPr>
          <w:rFonts w:hint="eastAsia" w:ascii="宋体"/>
          <w:kern w:val="0"/>
          <w:sz w:val="32"/>
          <w:szCs w:val="24"/>
          <w:lang w:val="zh-CN"/>
        </w:rPr>
        <w:t>“</w:t>
      </w:r>
      <w:r>
        <w:rPr>
          <w:rFonts w:hint="eastAsia" w:ascii="宋体" w:hAnsi="宋体" w:cs="宋体"/>
          <w:kern w:val="0"/>
          <w:sz w:val="32"/>
          <w:szCs w:val="24"/>
          <w:lang w:val="zh-CN"/>
        </w:rPr>
        <w:t>三公</w:t>
      </w:r>
      <w:r>
        <w:rPr>
          <w:rFonts w:hint="eastAsia" w:ascii="宋体"/>
          <w:kern w:val="0"/>
          <w:sz w:val="32"/>
          <w:szCs w:val="24"/>
          <w:lang w:val="zh-CN"/>
        </w:rPr>
        <w:t>”</w:t>
      </w:r>
      <w:r>
        <w:rPr>
          <w:rFonts w:hint="eastAsia" w:ascii="宋体" w:hAnsi="宋体" w:cs="宋体"/>
          <w:kern w:val="0"/>
          <w:sz w:val="32"/>
          <w:szCs w:val="24"/>
          <w:lang w:val="zh-CN"/>
        </w:rPr>
        <w:t>经费财政拨款支出决算总体情况说明。</w:t>
      </w:r>
    </w:p>
    <w:p>
      <w:pPr>
        <w:autoSpaceDE w:val="0"/>
        <w:autoSpaceDN w:val="0"/>
        <w:adjustRightInd w:val="0"/>
        <w:spacing w:beforeLines="0" w:afterLines="0"/>
        <w:ind w:firstLine="640" w:firstLineChars="200"/>
        <w:jc w:val="left"/>
        <w:rPr>
          <w:rFonts w:hint="default" w:ascii="仿宋" w:hAnsi="仿宋" w:eastAsia="仿宋"/>
          <w:sz w:val="32"/>
          <w:szCs w:val="24"/>
          <w:lang w:val="zh-CN"/>
        </w:rPr>
      </w:pPr>
      <w:r>
        <w:rPr>
          <w:rFonts w:hint="eastAsia" w:ascii="仿宋" w:hAnsi="仿宋" w:eastAsia="仿宋"/>
          <w:sz w:val="32"/>
          <w:szCs w:val="24"/>
          <w:lang w:val="zh-CN"/>
        </w:rPr>
        <w:t>2018年度“三公”经费财政拨款支出预算为</w:t>
      </w:r>
      <w:r>
        <w:rPr>
          <w:rFonts w:hint="default" w:ascii="仿宋" w:hAnsi="仿宋" w:eastAsia="仿宋"/>
          <w:sz w:val="32"/>
          <w:szCs w:val="24"/>
          <w:lang w:val="zh-CN"/>
        </w:rPr>
        <w:t>0</w:t>
      </w:r>
      <w:r>
        <w:rPr>
          <w:rFonts w:hint="eastAsia" w:ascii="仿宋" w:hAnsi="仿宋" w:eastAsia="仿宋"/>
          <w:sz w:val="32"/>
          <w:szCs w:val="24"/>
          <w:lang w:val="zh-CN"/>
        </w:rPr>
        <w:t>万元，支出决算为</w:t>
      </w:r>
      <w:r>
        <w:rPr>
          <w:rFonts w:hint="default" w:ascii="仿宋" w:hAnsi="仿宋" w:eastAsia="仿宋"/>
          <w:sz w:val="32"/>
          <w:szCs w:val="24"/>
          <w:lang w:val="zh-CN"/>
        </w:rPr>
        <w:t>0</w:t>
      </w:r>
      <w:r>
        <w:rPr>
          <w:rFonts w:hint="eastAsia" w:ascii="仿宋" w:hAnsi="仿宋" w:eastAsia="仿宋"/>
          <w:sz w:val="32"/>
          <w:szCs w:val="24"/>
          <w:lang w:val="zh-CN"/>
        </w:rPr>
        <w:t>万元，完成预算的0%。</w:t>
      </w:r>
    </w:p>
    <w:p>
      <w:pPr>
        <w:autoSpaceDE w:val="0"/>
        <w:autoSpaceDN w:val="0"/>
        <w:adjustRightInd w:val="0"/>
        <w:spacing w:beforeLines="0" w:afterLines="0"/>
        <w:ind w:firstLine="640" w:firstLineChars="200"/>
        <w:jc w:val="left"/>
        <w:rPr>
          <w:rFonts w:hint="default" w:ascii="宋体"/>
          <w:kern w:val="0"/>
          <w:sz w:val="32"/>
          <w:szCs w:val="24"/>
          <w:lang w:val="zh-CN"/>
        </w:rPr>
      </w:pPr>
      <w:r>
        <w:rPr>
          <w:rFonts w:hint="eastAsia" w:ascii="宋体" w:hAnsi="宋体" w:cs="宋体"/>
          <w:kern w:val="0"/>
          <w:sz w:val="32"/>
          <w:szCs w:val="24"/>
          <w:lang w:val="zh-CN"/>
        </w:rPr>
        <w:t>（二）</w:t>
      </w:r>
      <w:r>
        <w:rPr>
          <w:rFonts w:hint="eastAsia" w:ascii="宋体"/>
          <w:kern w:val="0"/>
          <w:sz w:val="32"/>
          <w:szCs w:val="24"/>
          <w:lang w:val="zh-CN"/>
        </w:rPr>
        <w:t>“</w:t>
      </w:r>
      <w:r>
        <w:rPr>
          <w:rFonts w:hint="eastAsia" w:ascii="宋体" w:hAnsi="宋体" w:cs="宋体"/>
          <w:kern w:val="0"/>
          <w:sz w:val="32"/>
          <w:szCs w:val="24"/>
          <w:lang w:val="zh-CN"/>
        </w:rPr>
        <w:t>三公</w:t>
      </w:r>
      <w:r>
        <w:rPr>
          <w:rFonts w:hint="eastAsia" w:ascii="宋体"/>
          <w:kern w:val="0"/>
          <w:sz w:val="32"/>
          <w:szCs w:val="24"/>
          <w:lang w:val="zh-CN"/>
        </w:rPr>
        <w:t>”</w:t>
      </w:r>
      <w:r>
        <w:rPr>
          <w:rFonts w:hint="eastAsia" w:ascii="宋体" w:hAnsi="宋体" w:cs="宋体"/>
          <w:kern w:val="0"/>
          <w:sz w:val="32"/>
          <w:szCs w:val="24"/>
          <w:lang w:val="zh-CN"/>
        </w:rPr>
        <w:t>经费财政拨款支出决算具体情况说明。</w:t>
      </w:r>
    </w:p>
    <w:p>
      <w:pPr>
        <w:autoSpaceDE w:val="0"/>
        <w:autoSpaceDN w:val="0"/>
        <w:adjustRightInd w:val="0"/>
        <w:spacing w:beforeLines="0" w:afterLines="0"/>
        <w:ind w:firstLine="640" w:firstLineChars="200"/>
        <w:jc w:val="left"/>
        <w:rPr>
          <w:rFonts w:hint="default" w:ascii="仿宋" w:hAnsi="仿宋" w:eastAsia="仿宋"/>
          <w:sz w:val="32"/>
          <w:szCs w:val="24"/>
          <w:lang w:val="zh-CN"/>
        </w:rPr>
      </w:pPr>
      <w:r>
        <w:rPr>
          <w:rFonts w:hint="eastAsia" w:ascii="仿宋" w:hAnsi="仿宋" w:eastAsia="仿宋"/>
          <w:sz w:val="32"/>
          <w:szCs w:val="24"/>
          <w:lang w:val="zh-CN"/>
        </w:rPr>
        <w:t>2018年度“三公”经费财政拨款支出决算中，因公出国（境）费支出决算</w:t>
      </w:r>
      <w:r>
        <w:rPr>
          <w:rFonts w:hint="default" w:ascii="仿宋" w:hAnsi="仿宋" w:eastAsia="仿宋"/>
          <w:sz w:val="32"/>
          <w:szCs w:val="24"/>
          <w:lang w:val="zh-CN"/>
        </w:rPr>
        <w:t>0</w:t>
      </w:r>
      <w:r>
        <w:rPr>
          <w:rFonts w:hint="eastAsia" w:ascii="仿宋" w:hAnsi="仿宋" w:eastAsia="仿宋"/>
          <w:sz w:val="32"/>
          <w:szCs w:val="24"/>
          <w:lang w:val="zh-CN"/>
        </w:rPr>
        <w:t>万元，完成预算的0%，占0%；公务用车购置及运行费支出决算</w:t>
      </w:r>
      <w:r>
        <w:rPr>
          <w:rFonts w:hint="default" w:ascii="仿宋" w:hAnsi="仿宋" w:eastAsia="仿宋"/>
          <w:sz w:val="32"/>
          <w:szCs w:val="24"/>
          <w:lang w:val="zh-CN"/>
        </w:rPr>
        <w:t>0</w:t>
      </w:r>
      <w:r>
        <w:rPr>
          <w:rFonts w:hint="eastAsia" w:ascii="仿宋" w:hAnsi="仿宋" w:eastAsia="仿宋"/>
          <w:sz w:val="32"/>
          <w:szCs w:val="24"/>
          <w:lang w:val="zh-CN"/>
        </w:rPr>
        <w:t>万元，完成预算的0%，占0%；公务接待费支出决算</w:t>
      </w:r>
      <w:r>
        <w:rPr>
          <w:rFonts w:hint="default" w:ascii="仿宋" w:hAnsi="仿宋" w:eastAsia="仿宋"/>
          <w:sz w:val="32"/>
          <w:szCs w:val="24"/>
          <w:lang w:val="zh-CN"/>
        </w:rPr>
        <w:t>0</w:t>
      </w:r>
      <w:r>
        <w:rPr>
          <w:rFonts w:hint="eastAsia" w:ascii="仿宋" w:hAnsi="仿宋" w:eastAsia="仿宋"/>
          <w:sz w:val="32"/>
          <w:szCs w:val="24"/>
          <w:lang w:val="zh-CN"/>
        </w:rPr>
        <w:t>万元，完成预算的0%，占0%。具体情况如下：</w:t>
      </w:r>
    </w:p>
    <w:p>
      <w:pPr>
        <w:widowControl/>
        <w:spacing w:beforeLines="0" w:afterLines="0"/>
        <w:ind w:firstLine="640" w:firstLineChars="200"/>
        <w:jc w:val="left"/>
        <w:rPr>
          <w:rFonts w:hint="default" w:ascii="仿宋" w:hAnsi="仿宋" w:eastAsia="仿宋"/>
          <w:sz w:val="32"/>
          <w:szCs w:val="24"/>
          <w:lang w:val="zh-CN"/>
        </w:rPr>
      </w:pPr>
      <w:r>
        <w:rPr>
          <w:rFonts w:hint="eastAsia" w:ascii="仿宋" w:hAnsi="仿宋" w:eastAsia="仿宋"/>
          <w:sz w:val="32"/>
          <w:szCs w:val="24"/>
          <w:lang w:val="zh-CN"/>
        </w:rPr>
        <w:t>1．因公出国（境）费年初预算为</w:t>
      </w:r>
      <w:r>
        <w:rPr>
          <w:rFonts w:hint="default" w:ascii="仿宋" w:hAnsi="仿宋" w:eastAsia="仿宋"/>
          <w:sz w:val="32"/>
          <w:szCs w:val="24"/>
          <w:lang w:val="zh-CN"/>
        </w:rPr>
        <w:t>0</w:t>
      </w:r>
      <w:r>
        <w:rPr>
          <w:rFonts w:hint="eastAsia" w:ascii="仿宋" w:hAnsi="仿宋" w:eastAsia="仿宋"/>
          <w:sz w:val="32"/>
          <w:szCs w:val="24"/>
          <w:lang w:val="zh-CN"/>
        </w:rPr>
        <w:t>万元，支出决算为</w:t>
      </w:r>
      <w:r>
        <w:rPr>
          <w:rFonts w:hint="default" w:ascii="仿宋" w:hAnsi="仿宋" w:eastAsia="仿宋"/>
          <w:sz w:val="32"/>
          <w:szCs w:val="24"/>
          <w:lang w:val="zh-CN"/>
        </w:rPr>
        <w:t>0</w:t>
      </w:r>
      <w:r>
        <w:rPr>
          <w:rFonts w:hint="eastAsia" w:ascii="仿宋" w:hAnsi="仿宋" w:eastAsia="仿宋"/>
          <w:sz w:val="32"/>
          <w:szCs w:val="24"/>
          <w:lang w:val="zh-CN"/>
        </w:rPr>
        <w:t>万元，完成年初预算的0%。全年因公出国（境）团组</w:t>
      </w:r>
      <w:r>
        <w:rPr>
          <w:rFonts w:hint="default" w:ascii="仿宋" w:hAnsi="仿宋" w:eastAsia="仿宋"/>
          <w:sz w:val="32"/>
          <w:szCs w:val="24"/>
          <w:lang w:val="zh-CN"/>
        </w:rPr>
        <w:t>0</w:t>
      </w:r>
      <w:r>
        <w:rPr>
          <w:rFonts w:hint="eastAsia" w:ascii="仿宋" w:hAnsi="仿宋" w:eastAsia="仿宋"/>
          <w:sz w:val="32"/>
          <w:szCs w:val="24"/>
          <w:lang w:val="zh-CN"/>
        </w:rPr>
        <w:t>个，累计</w:t>
      </w:r>
      <w:r>
        <w:rPr>
          <w:rFonts w:hint="default" w:ascii="仿宋" w:hAnsi="仿宋" w:eastAsia="仿宋"/>
          <w:sz w:val="32"/>
          <w:szCs w:val="24"/>
          <w:lang w:val="zh-CN"/>
        </w:rPr>
        <w:t>0</w:t>
      </w:r>
      <w:r>
        <w:rPr>
          <w:rFonts w:hint="eastAsia" w:ascii="仿宋" w:hAnsi="仿宋" w:eastAsia="仿宋"/>
          <w:sz w:val="32"/>
          <w:szCs w:val="24"/>
          <w:lang w:val="zh-CN"/>
        </w:rPr>
        <w:t>人次。开支内容包括：</w:t>
      </w:r>
    </w:p>
    <w:p>
      <w:pPr>
        <w:spacing w:beforeLines="0" w:afterLines="0"/>
        <w:ind w:firstLine="640" w:firstLineChars="200"/>
        <w:jc w:val="left"/>
        <w:rPr>
          <w:rFonts w:hint="default" w:ascii="仿宋" w:hAnsi="仿宋" w:eastAsia="仿宋"/>
          <w:sz w:val="32"/>
          <w:szCs w:val="24"/>
        </w:rPr>
      </w:pPr>
      <w:r>
        <w:rPr>
          <w:rFonts w:hint="eastAsia" w:ascii="仿宋" w:hAnsi="仿宋" w:eastAsia="仿宋"/>
          <w:sz w:val="32"/>
          <w:szCs w:val="24"/>
          <w:lang w:val="zh-CN"/>
        </w:rPr>
        <w:t>会议支出</w:t>
      </w:r>
      <w:r>
        <w:rPr>
          <w:rFonts w:hint="default" w:ascii="仿宋" w:hAnsi="仿宋" w:eastAsia="仿宋"/>
          <w:sz w:val="32"/>
          <w:szCs w:val="24"/>
        </w:rPr>
        <w:t>0</w:t>
      </w:r>
      <w:r>
        <w:rPr>
          <w:rFonts w:hint="eastAsia" w:ascii="仿宋" w:hAnsi="仿宋" w:eastAsia="仿宋"/>
          <w:sz w:val="32"/>
          <w:szCs w:val="24"/>
        </w:rPr>
        <w:t>万元。</w:t>
      </w:r>
    </w:p>
    <w:p>
      <w:pPr>
        <w:spacing w:beforeLines="0" w:afterLines="0"/>
        <w:ind w:firstLine="640" w:firstLineChars="200"/>
        <w:jc w:val="left"/>
        <w:rPr>
          <w:rFonts w:hint="default" w:ascii="仿宋" w:hAnsi="仿宋" w:eastAsia="仿宋"/>
          <w:sz w:val="32"/>
          <w:szCs w:val="24"/>
        </w:rPr>
      </w:pPr>
      <w:r>
        <w:rPr>
          <w:rFonts w:hint="eastAsia" w:ascii="仿宋" w:hAnsi="仿宋" w:eastAsia="仿宋"/>
          <w:sz w:val="32"/>
          <w:szCs w:val="24"/>
          <w:lang w:val="zh-CN"/>
        </w:rPr>
        <w:t>因公出国（境）各种支出</w:t>
      </w:r>
      <w:r>
        <w:rPr>
          <w:rFonts w:hint="default" w:ascii="仿宋" w:hAnsi="仿宋" w:eastAsia="仿宋"/>
          <w:sz w:val="32"/>
          <w:szCs w:val="24"/>
        </w:rPr>
        <w:t>0</w:t>
      </w:r>
      <w:r>
        <w:rPr>
          <w:rFonts w:hint="eastAsia" w:ascii="仿宋" w:hAnsi="仿宋" w:eastAsia="仿宋"/>
          <w:sz w:val="32"/>
          <w:szCs w:val="24"/>
        </w:rPr>
        <w:t>万元。</w:t>
      </w:r>
    </w:p>
    <w:p>
      <w:pPr>
        <w:spacing w:beforeLines="0" w:afterLines="0"/>
        <w:ind w:firstLine="640" w:firstLineChars="200"/>
        <w:jc w:val="left"/>
        <w:rPr>
          <w:rFonts w:hint="default" w:ascii="仿宋" w:hAnsi="仿宋" w:eastAsia="仿宋"/>
          <w:sz w:val="32"/>
          <w:szCs w:val="24"/>
          <w:lang w:val="zh-CN"/>
        </w:rPr>
      </w:pPr>
      <w:r>
        <w:rPr>
          <w:rFonts w:hint="eastAsia" w:ascii="仿宋" w:hAnsi="仿宋" w:eastAsia="仿宋"/>
          <w:sz w:val="32"/>
          <w:szCs w:val="24"/>
          <w:lang w:val="zh-CN"/>
        </w:rPr>
        <w:t>出国谈判、工作磋商支出</w:t>
      </w:r>
      <w:r>
        <w:rPr>
          <w:rFonts w:hint="default" w:ascii="仿宋" w:hAnsi="仿宋" w:eastAsia="仿宋"/>
          <w:sz w:val="32"/>
          <w:szCs w:val="24"/>
          <w:lang w:val="zh-CN"/>
        </w:rPr>
        <w:t>0</w:t>
      </w:r>
      <w:r>
        <w:rPr>
          <w:rFonts w:hint="eastAsia" w:ascii="仿宋" w:hAnsi="仿宋" w:eastAsia="仿宋"/>
          <w:sz w:val="32"/>
          <w:szCs w:val="24"/>
          <w:lang w:val="zh-CN"/>
        </w:rPr>
        <w:t>万元。</w:t>
      </w:r>
    </w:p>
    <w:p>
      <w:pPr>
        <w:spacing w:beforeLines="0" w:afterLines="0"/>
        <w:ind w:firstLine="640" w:firstLineChars="200"/>
        <w:jc w:val="left"/>
        <w:rPr>
          <w:rFonts w:hint="default" w:ascii="仿宋" w:hAnsi="仿宋" w:eastAsia="仿宋"/>
          <w:sz w:val="32"/>
          <w:szCs w:val="24"/>
          <w:lang w:val="zh-CN"/>
        </w:rPr>
      </w:pPr>
      <w:r>
        <w:rPr>
          <w:rFonts w:hint="eastAsia" w:ascii="仿宋" w:hAnsi="仿宋" w:eastAsia="仿宋"/>
          <w:sz w:val="32"/>
          <w:szCs w:val="24"/>
          <w:lang w:val="zh-CN"/>
        </w:rPr>
        <w:t>境外业务培训支出支出</w:t>
      </w:r>
      <w:r>
        <w:rPr>
          <w:rFonts w:hint="default" w:ascii="仿宋" w:hAnsi="仿宋" w:eastAsia="仿宋"/>
          <w:sz w:val="32"/>
          <w:szCs w:val="24"/>
          <w:lang w:val="zh-CN"/>
        </w:rPr>
        <w:t>0</w:t>
      </w:r>
      <w:r>
        <w:rPr>
          <w:rFonts w:hint="eastAsia" w:ascii="仿宋" w:hAnsi="仿宋" w:eastAsia="仿宋"/>
          <w:sz w:val="32"/>
          <w:szCs w:val="24"/>
          <w:lang w:val="zh-CN"/>
        </w:rPr>
        <w:t>万元。</w:t>
      </w:r>
    </w:p>
    <w:p>
      <w:pPr>
        <w:autoSpaceDE w:val="0"/>
        <w:autoSpaceDN w:val="0"/>
        <w:adjustRightInd w:val="0"/>
        <w:spacing w:beforeLines="0" w:afterLines="0"/>
        <w:ind w:firstLine="640" w:firstLineChars="200"/>
        <w:jc w:val="left"/>
        <w:rPr>
          <w:rFonts w:hint="default" w:ascii="仿宋" w:hAnsi="仿宋" w:eastAsia="仿宋"/>
          <w:sz w:val="32"/>
          <w:szCs w:val="24"/>
          <w:lang w:val="zh-CN"/>
        </w:rPr>
      </w:pPr>
      <w:r>
        <w:rPr>
          <w:rFonts w:hint="eastAsia" w:ascii="仿宋" w:hAnsi="仿宋" w:eastAsia="仿宋"/>
          <w:sz w:val="32"/>
          <w:szCs w:val="24"/>
          <w:lang w:val="zh-CN"/>
        </w:rPr>
        <w:t>2．公务用车购置及运行费初预算为</w:t>
      </w:r>
      <w:r>
        <w:rPr>
          <w:rFonts w:hint="default" w:ascii="仿宋" w:hAnsi="仿宋" w:eastAsia="仿宋"/>
          <w:sz w:val="32"/>
          <w:szCs w:val="24"/>
          <w:lang w:val="zh-CN"/>
        </w:rPr>
        <w:t>0</w:t>
      </w:r>
      <w:r>
        <w:rPr>
          <w:rFonts w:hint="eastAsia" w:ascii="仿宋" w:hAnsi="仿宋" w:eastAsia="仿宋"/>
          <w:sz w:val="32"/>
          <w:szCs w:val="24"/>
          <w:lang w:val="zh-CN"/>
        </w:rPr>
        <w:t>万元，支出决算为</w:t>
      </w:r>
      <w:r>
        <w:rPr>
          <w:rFonts w:hint="default" w:ascii="仿宋" w:hAnsi="仿宋" w:eastAsia="仿宋"/>
          <w:sz w:val="32"/>
          <w:szCs w:val="24"/>
          <w:lang w:val="zh-CN"/>
        </w:rPr>
        <w:t>0</w:t>
      </w:r>
      <w:r>
        <w:rPr>
          <w:rFonts w:hint="eastAsia" w:ascii="仿宋" w:hAnsi="仿宋" w:eastAsia="仿宋"/>
          <w:sz w:val="32"/>
          <w:szCs w:val="24"/>
          <w:lang w:val="zh-CN"/>
        </w:rPr>
        <w:t>万元，完成年初预算的0%。</w:t>
      </w:r>
    </w:p>
    <w:p>
      <w:pPr>
        <w:autoSpaceDE w:val="0"/>
        <w:autoSpaceDN w:val="0"/>
        <w:adjustRightInd w:val="0"/>
        <w:spacing w:beforeLines="0" w:afterLines="0"/>
        <w:ind w:firstLine="640" w:firstLineChars="200"/>
        <w:jc w:val="left"/>
        <w:rPr>
          <w:rFonts w:hint="default" w:ascii="仿宋" w:hAnsi="仿宋" w:eastAsia="仿宋"/>
          <w:sz w:val="32"/>
          <w:szCs w:val="24"/>
          <w:lang w:val="zh-CN"/>
        </w:rPr>
      </w:pPr>
      <w:r>
        <w:rPr>
          <w:rFonts w:hint="eastAsia" w:ascii="仿宋" w:hAnsi="仿宋" w:eastAsia="仿宋"/>
          <w:sz w:val="32"/>
          <w:szCs w:val="24"/>
          <w:lang w:val="zh-CN"/>
        </w:rPr>
        <w:t>公务用车购置支出为</w:t>
      </w:r>
      <w:r>
        <w:rPr>
          <w:rFonts w:hint="default" w:ascii="仿宋" w:hAnsi="仿宋" w:eastAsia="仿宋"/>
          <w:sz w:val="32"/>
          <w:szCs w:val="24"/>
          <w:lang w:val="zh-CN"/>
        </w:rPr>
        <w:t>0</w:t>
      </w:r>
      <w:r>
        <w:rPr>
          <w:rFonts w:hint="eastAsia" w:ascii="仿宋" w:hAnsi="仿宋" w:eastAsia="仿宋"/>
          <w:sz w:val="32"/>
          <w:szCs w:val="24"/>
          <w:lang w:val="zh-CN"/>
        </w:rPr>
        <w:t>万元，购置车辆</w:t>
      </w:r>
      <w:r>
        <w:rPr>
          <w:rFonts w:hint="default" w:ascii="仿宋" w:hAnsi="仿宋" w:eastAsia="仿宋"/>
          <w:sz w:val="32"/>
          <w:szCs w:val="24"/>
          <w:lang w:val="zh-CN"/>
        </w:rPr>
        <w:t>0</w:t>
      </w:r>
      <w:r>
        <w:rPr>
          <w:rFonts w:hint="eastAsia" w:ascii="仿宋" w:hAnsi="仿宋" w:eastAsia="仿宋"/>
          <w:sz w:val="32"/>
          <w:szCs w:val="24"/>
          <w:lang w:val="zh-CN"/>
        </w:rPr>
        <w:t>辆。</w:t>
      </w:r>
    </w:p>
    <w:p>
      <w:pPr>
        <w:autoSpaceDE w:val="0"/>
        <w:autoSpaceDN w:val="0"/>
        <w:adjustRightInd w:val="0"/>
        <w:spacing w:beforeLines="0" w:afterLines="0"/>
        <w:ind w:firstLine="640" w:firstLineChars="200"/>
        <w:jc w:val="left"/>
        <w:rPr>
          <w:rFonts w:hint="default" w:ascii="仿宋" w:hAnsi="仿宋" w:eastAsia="仿宋"/>
          <w:sz w:val="32"/>
          <w:szCs w:val="24"/>
          <w:lang w:val="zh-CN"/>
        </w:rPr>
      </w:pPr>
      <w:r>
        <w:rPr>
          <w:rFonts w:hint="eastAsia" w:ascii="仿宋" w:hAnsi="仿宋" w:eastAsia="仿宋"/>
          <w:sz w:val="32"/>
          <w:szCs w:val="24"/>
          <w:lang w:val="zh-CN"/>
        </w:rPr>
        <w:t>公务用车运行支出</w:t>
      </w:r>
      <w:r>
        <w:rPr>
          <w:rFonts w:hint="default" w:ascii="仿宋" w:hAnsi="仿宋" w:eastAsia="仿宋"/>
          <w:sz w:val="32"/>
          <w:szCs w:val="24"/>
          <w:lang w:val="zh-CN"/>
        </w:rPr>
        <w:t>0</w:t>
      </w:r>
      <w:r>
        <w:rPr>
          <w:rFonts w:hint="eastAsia" w:ascii="仿宋" w:hAnsi="仿宋" w:eastAsia="仿宋"/>
          <w:sz w:val="32"/>
          <w:szCs w:val="24"/>
          <w:lang w:val="zh-CN"/>
        </w:rPr>
        <w:t>万元。2018年期末，部门开支财政拨款的公务用车保有量为</w:t>
      </w:r>
      <w:r>
        <w:rPr>
          <w:rFonts w:hint="default" w:ascii="仿宋" w:hAnsi="仿宋" w:eastAsia="仿宋"/>
          <w:sz w:val="32"/>
          <w:szCs w:val="24"/>
          <w:lang w:val="zh-CN"/>
        </w:rPr>
        <w:t>0</w:t>
      </w:r>
      <w:r>
        <w:rPr>
          <w:rFonts w:hint="eastAsia" w:ascii="仿宋" w:hAnsi="仿宋" w:eastAsia="仿宋"/>
          <w:sz w:val="32"/>
          <w:szCs w:val="24"/>
          <w:lang w:val="zh-CN"/>
        </w:rPr>
        <w:t>辆。</w:t>
      </w:r>
    </w:p>
    <w:p>
      <w:pPr>
        <w:autoSpaceDE w:val="0"/>
        <w:autoSpaceDN w:val="0"/>
        <w:adjustRightInd w:val="0"/>
        <w:spacing w:beforeLines="0" w:afterLines="0"/>
        <w:ind w:firstLine="640" w:firstLineChars="200"/>
        <w:jc w:val="left"/>
        <w:rPr>
          <w:rFonts w:hint="default" w:ascii="仿宋" w:hAnsi="仿宋" w:eastAsia="仿宋"/>
          <w:sz w:val="32"/>
          <w:szCs w:val="24"/>
          <w:lang w:val="zh-CN"/>
        </w:rPr>
      </w:pPr>
      <w:r>
        <w:rPr>
          <w:rFonts w:hint="eastAsia" w:ascii="仿宋" w:hAnsi="仿宋" w:eastAsia="仿宋"/>
          <w:sz w:val="32"/>
          <w:szCs w:val="24"/>
          <w:lang w:val="zh-CN"/>
        </w:rPr>
        <w:t>3.公务接待费初预算为</w:t>
      </w:r>
      <w:r>
        <w:rPr>
          <w:rFonts w:hint="default" w:ascii="仿宋" w:hAnsi="仿宋" w:eastAsia="仿宋"/>
          <w:sz w:val="32"/>
          <w:szCs w:val="24"/>
          <w:lang w:val="zh-CN"/>
        </w:rPr>
        <w:t>0</w:t>
      </w:r>
      <w:r>
        <w:rPr>
          <w:rFonts w:hint="eastAsia" w:ascii="仿宋" w:hAnsi="仿宋" w:eastAsia="仿宋"/>
          <w:sz w:val="32"/>
          <w:szCs w:val="24"/>
          <w:lang w:val="zh-CN"/>
        </w:rPr>
        <w:t>万元，支出决算为</w:t>
      </w:r>
      <w:r>
        <w:rPr>
          <w:rFonts w:hint="default" w:ascii="仿宋" w:hAnsi="仿宋" w:eastAsia="仿宋"/>
          <w:sz w:val="32"/>
          <w:szCs w:val="24"/>
          <w:lang w:val="zh-CN"/>
        </w:rPr>
        <w:t>0</w:t>
      </w:r>
      <w:r>
        <w:rPr>
          <w:rFonts w:hint="eastAsia" w:ascii="仿宋" w:hAnsi="仿宋" w:eastAsia="仿宋"/>
          <w:sz w:val="32"/>
          <w:szCs w:val="24"/>
          <w:lang w:val="zh-CN"/>
        </w:rPr>
        <w:t>万元，完成年初预算的0%。</w:t>
      </w:r>
    </w:p>
    <w:p>
      <w:pPr>
        <w:autoSpaceDE w:val="0"/>
        <w:autoSpaceDN w:val="0"/>
        <w:adjustRightInd w:val="0"/>
        <w:spacing w:beforeLines="0" w:afterLines="0"/>
        <w:ind w:firstLine="640" w:firstLineChars="200"/>
        <w:jc w:val="left"/>
        <w:rPr>
          <w:rFonts w:hint="default" w:ascii="仿宋" w:hAnsi="仿宋" w:eastAsia="仿宋"/>
          <w:sz w:val="32"/>
          <w:szCs w:val="24"/>
          <w:lang w:val="zh-CN"/>
        </w:rPr>
      </w:pPr>
      <w:r>
        <w:rPr>
          <w:rFonts w:hint="eastAsia" w:ascii="仿宋" w:hAnsi="仿宋" w:eastAsia="仿宋"/>
          <w:sz w:val="32"/>
          <w:szCs w:val="24"/>
          <w:lang w:val="zh-CN"/>
        </w:rPr>
        <w:t>外宾接待支出</w:t>
      </w:r>
      <w:r>
        <w:rPr>
          <w:rFonts w:hint="default" w:ascii="仿宋" w:hAnsi="仿宋" w:eastAsia="仿宋"/>
          <w:sz w:val="32"/>
          <w:szCs w:val="24"/>
          <w:lang w:val="zh-CN"/>
        </w:rPr>
        <w:t>0</w:t>
      </w:r>
      <w:r>
        <w:rPr>
          <w:rFonts w:hint="eastAsia" w:ascii="仿宋" w:hAnsi="仿宋" w:eastAsia="仿宋"/>
          <w:sz w:val="32"/>
          <w:szCs w:val="24"/>
          <w:lang w:val="zh-CN"/>
        </w:rPr>
        <w:t>万元。2018年共接待国（境）外来访团组</w:t>
      </w:r>
      <w:r>
        <w:rPr>
          <w:rFonts w:hint="default" w:ascii="仿宋" w:hAnsi="仿宋" w:eastAsia="仿宋"/>
          <w:sz w:val="32"/>
          <w:szCs w:val="24"/>
          <w:lang w:val="zh-CN"/>
        </w:rPr>
        <w:t>0</w:t>
      </w:r>
      <w:r>
        <w:rPr>
          <w:rFonts w:hint="eastAsia" w:ascii="仿宋" w:hAnsi="仿宋" w:eastAsia="仿宋"/>
          <w:sz w:val="32"/>
          <w:szCs w:val="24"/>
          <w:lang w:val="zh-CN"/>
        </w:rPr>
        <w:t>个、来访外宾</w:t>
      </w:r>
      <w:r>
        <w:rPr>
          <w:rFonts w:hint="default" w:ascii="仿宋" w:hAnsi="仿宋" w:eastAsia="仿宋"/>
          <w:sz w:val="32"/>
          <w:szCs w:val="24"/>
          <w:lang w:val="zh-CN"/>
        </w:rPr>
        <w:t>0</w:t>
      </w:r>
      <w:r>
        <w:rPr>
          <w:rFonts w:hint="eastAsia" w:ascii="仿宋" w:hAnsi="仿宋" w:eastAsia="仿宋"/>
          <w:sz w:val="32"/>
          <w:szCs w:val="24"/>
          <w:lang w:val="zh-CN"/>
        </w:rPr>
        <w:t>人次（不包括陪同人员）。</w:t>
      </w:r>
    </w:p>
    <w:p>
      <w:pPr>
        <w:autoSpaceDE w:val="0"/>
        <w:autoSpaceDN w:val="0"/>
        <w:adjustRightInd w:val="0"/>
        <w:spacing w:beforeLines="0" w:afterLines="0"/>
        <w:ind w:firstLine="640" w:firstLineChars="200"/>
        <w:jc w:val="left"/>
        <w:rPr>
          <w:rFonts w:hint="default" w:ascii="仿宋" w:hAnsi="仿宋" w:eastAsia="仿宋"/>
          <w:sz w:val="32"/>
          <w:szCs w:val="24"/>
          <w:lang w:val="zh-CN"/>
        </w:rPr>
      </w:pPr>
      <w:r>
        <w:rPr>
          <w:rFonts w:hint="eastAsia" w:ascii="仿宋" w:hAnsi="仿宋" w:eastAsia="仿宋"/>
          <w:sz w:val="32"/>
          <w:szCs w:val="24"/>
          <w:lang w:val="zh-CN"/>
        </w:rPr>
        <w:t>其他国内公务接待支出</w:t>
      </w:r>
      <w:r>
        <w:rPr>
          <w:rFonts w:hint="default" w:ascii="仿宋" w:hAnsi="仿宋" w:eastAsia="仿宋"/>
          <w:sz w:val="32"/>
          <w:szCs w:val="24"/>
          <w:lang w:val="zh-CN"/>
        </w:rPr>
        <w:t>0</w:t>
      </w:r>
      <w:r>
        <w:rPr>
          <w:rFonts w:hint="eastAsia" w:ascii="仿宋" w:hAnsi="仿宋" w:eastAsia="仿宋"/>
          <w:sz w:val="32"/>
          <w:szCs w:val="24"/>
          <w:lang w:val="zh-CN"/>
        </w:rPr>
        <w:t>万元。2018年共接待国内来访团组</w:t>
      </w:r>
      <w:r>
        <w:rPr>
          <w:rFonts w:hint="default" w:ascii="仿宋" w:hAnsi="仿宋" w:eastAsia="仿宋"/>
          <w:sz w:val="32"/>
          <w:szCs w:val="24"/>
          <w:lang w:val="zh-CN"/>
        </w:rPr>
        <w:t>0</w:t>
      </w:r>
      <w:r>
        <w:rPr>
          <w:rFonts w:hint="eastAsia" w:ascii="仿宋" w:hAnsi="仿宋" w:eastAsia="仿宋"/>
          <w:sz w:val="32"/>
          <w:szCs w:val="24"/>
          <w:lang w:val="zh-CN"/>
        </w:rPr>
        <w:t>个、来宾</w:t>
      </w:r>
      <w:r>
        <w:rPr>
          <w:rFonts w:hint="default" w:ascii="仿宋" w:hAnsi="仿宋" w:eastAsia="仿宋"/>
          <w:sz w:val="32"/>
          <w:szCs w:val="24"/>
          <w:lang w:val="zh-CN"/>
        </w:rPr>
        <w:t>0</w:t>
      </w:r>
      <w:r>
        <w:rPr>
          <w:rFonts w:hint="eastAsia" w:ascii="仿宋" w:hAnsi="仿宋" w:eastAsia="仿宋"/>
          <w:sz w:val="32"/>
          <w:szCs w:val="24"/>
          <w:lang w:val="zh-CN"/>
        </w:rPr>
        <w:t>人次（不包括陪同人员）。</w:t>
      </w:r>
    </w:p>
    <w:p>
      <w:pPr>
        <w:autoSpaceDE w:val="0"/>
        <w:autoSpaceDN w:val="0"/>
        <w:adjustRightInd w:val="0"/>
        <w:spacing w:beforeLines="0" w:afterLines="0"/>
        <w:ind w:firstLine="640" w:firstLineChars="200"/>
        <w:jc w:val="left"/>
        <w:rPr>
          <w:rFonts w:hint="default" w:ascii="宋体"/>
          <w:kern w:val="0"/>
          <w:sz w:val="32"/>
          <w:szCs w:val="24"/>
          <w:lang w:val="zh-CN"/>
        </w:rPr>
      </w:pPr>
      <w:r>
        <w:rPr>
          <w:rFonts w:hint="eastAsia" w:ascii="宋体" w:hAnsi="宋体" w:cs="宋体"/>
          <w:kern w:val="0"/>
          <w:sz w:val="32"/>
          <w:szCs w:val="24"/>
          <w:lang w:val="zh-CN"/>
        </w:rPr>
        <w:t>八、预算绩效情况说明</w:t>
      </w:r>
    </w:p>
    <w:p>
      <w:pPr>
        <w:autoSpaceDE w:val="0"/>
        <w:autoSpaceDN w:val="0"/>
        <w:adjustRightInd w:val="0"/>
        <w:spacing w:beforeLines="0" w:afterLines="0"/>
        <w:ind w:firstLine="480" w:firstLineChars="150"/>
        <w:jc w:val="left"/>
        <w:rPr>
          <w:rFonts w:hint="default" w:ascii="宋体"/>
          <w:kern w:val="0"/>
          <w:sz w:val="32"/>
          <w:szCs w:val="24"/>
          <w:lang w:val="zh-CN"/>
        </w:rPr>
      </w:pPr>
      <w:r>
        <w:rPr>
          <w:rFonts w:hint="eastAsia" w:ascii="宋体" w:hAnsi="宋体" w:cs="宋体"/>
          <w:kern w:val="0"/>
          <w:sz w:val="32"/>
          <w:szCs w:val="24"/>
          <w:lang w:val="zh-CN"/>
        </w:rPr>
        <w:t>（一）绩效管理工作开展情况。</w:t>
      </w:r>
    </w:p>
    <w:p>
      <w:pPr>
        <w:kinsoku w:val="0"/>
        <w:overflowPunct w:val="0"/>
        <w:autoSpaceDE w:val="0"/>
        <w:autoSpaceDN w:val="0"/>
        <w:adjustRightInd w:val="0"/>
        <w:snapToGrid w:val="0"/>
        <w:spacing w:beforeLines="0" w:afterLines="0" w:line="360" w:lineRule="auto"/>
        <w:ind w:firstLine="640" w:firstLineChars="200"/>
        <w:rPr>
          <w:rFonts w:hint="default" w:ascii="仿宋" w:hAnsi="仿宋" w:eastAsia="仿宋"/>
          <w:sz w:val="32"/>
          <w:szCs w:val="24"/>
          <w:lang w:val="zh-CN"/>
        </w:rPr>
      </w:pPr>
      <w:r>
        <w:rPr>
          <w:rFonts w:hint="eastAsia" w:ascii="仿宋" w:hAnsi="仿宋" w:eastAsia="仿宋"/>
          <w:sz w:val="32"/>
          <w:szCs w:val="24"/>
          <w:lang w:val="zh-CN"/>
        </w:rPr>
        <w:t>2018年，我单位按照延津县财政局的要求，对预算项目资金认真开展了绩效评价。通过对项目资金开展绩效评价，使我单位近一步认清了资金使用中存在的薄弱环节，加快了资金的支出进度，提高了项目资金的使用效率。</w:t>
      </w:r>
    </w:p>
    <w:p>
      <w:pPr>
        <w:autoSpaceDE w:val="0"/>
        <w:autoSpaceDN w:val="0"/>
        <w:adjustRightInd w:val="0"/>
        <w:spacing w:beforeLines="0" w:afterLines="0"/>
        <w:ind w:firstLine="640" w:firstLineChars="200"/>
        <w:jc w:val="left"/>
        <w:rPr>
          <w:rFonts w:hint="default" w:ascii="宋体"/>
          <w:kern w:val="0"/>
          <w:sz w:val="32"/>
          <w:szCs w:val="24"/>
          <w:lang w:val="zh-CN"/>
        </w:rPr>
      </w:pPr>
      <w:r>
        <w:rPr>
          <w:rFonts w:hint="eastAsia" w:ascii="宋体" w:hAnsi="宋体" w:cs="宋体"/>
          <w:kern w:val="0"/>
          <w:sz w:val="32"/>
          <w:szCs w:val="24"/>
          <w:lang w:val="zh-CN"/>
        </w:rPr>
        <w:t>（二）项目绩效自评结果。</w:t>
      </w:r>
    </w:p>
    <w:p>
      <w:pPr>
        <w:kinsoku w:val="0"/>
        <w:overflowPunct w:val="0"/>
        <w:autoSpaceDE w:val="0"/>
        <w:autoSpaceDN w:val="0"/>
        <w:adjustRightInd w:val="0"/>
        <w:snapToGrid w:val="0"/>
        <w:spacing w:beforeLines="0" w:afterLines="0" w:line="360" w:lineRule="auto"/>
        <w:ind w:firstLine="640" w:firstLineChars="200"/>
        <w:rPr>
          <w:rFonts w:hint="default" w:ascii="仿宋" w:hAnsi="仿宋" w:eastAsia="仿宋"/>
          <w:sz w:val="32"/>
          <w:szCs w:val="24"/>
          <w:lang w:val="zh-CN"/>
        </w:rPr>
      </w:pPr>
      <w:r>
        <w:rPr>
          <w:rFonts w:hint="eastAsia" w:ascii="仿宋" w:hAnsi="仿宋" w:eastAsia="仿宋"/>
          <w:sz w:val="32"/>
          <w:szCs w:val="24"/>
          <w:lang w:val="zh-CN"/>
        </w:rPr>
        <w:t>通过绩效评价也促进了我单位安全生产工作的开展，使全县安全生产形式持续稳定，获得了良好的社会效益，使政府、企业、广大群众对我单位项目工作的社会满意度得到了明显提高。</w:t>
      </w:r>
    </w:p>
    <w:p>
      <w:pPr>
        <w:autoSpaceDE w:val="0"/>
        <w:autoSpaceDN w:val="0"/>
        <w:adjustRightInd w:val="0"/>
        <w:spacing w:beforeLines="0" w:afterLines="0"/>
        <w:ind w:firstLine="640" w:firstLineChars="200"/>
        <w:jc w:val="left"/>
        <w:rPr>
          <w:rFonts w:hint="default" w:ascii="宋体"/>
          <w:kern w:val="0"/>
          <w:sz w:val="32"/>
          <w:szCs w:val="24"/>
          <w:lang w:val="zh-CN"/>
        </w:rPr>
      </w:pPr>
      <w:r>
        <w:rPr>
          <w:rFonts w:hint="eastAsia" w:ascii="宋体" w:hAnsi="宋体" w:cs="宋体"/>
          <w:kern w:val="0"/>
          <w:sz w:val="32"/>
          <w:szCs w:val="24"/>
          <w:lang w:val="zh-CN"/>
        </w:rPr>
        <w:t>（三）以部门为主体开展的重点绩效评价结果。</w:t>
      </w:r>
    </w:p>
    <w:p>
      <w:pPr>
        <w:kinsoku w:val="0"/>
        <w:overflowPunct w:val="0"/>
        <w:autoSpaceDE w:val="0"/>
        <w:autoSpaceDN w:val="0"/>
        <w:adjustRightInd w:val="0"/>
        <w:snapToGrid w:val="0"/>
        <w:spacing w:beforeLines="0" w:afterLines="0" w:line="360" w:lineRule="auto"/>
        <w:ind w:firstLine="640" w:firstLineChars="200"/>
        <w:rPr>
          <w:rFonts w:hint="default" w:ascii="仿宋" w:hAnsi="仿宋" w:eastAsia="仿宋"/>
          <w:sz w:val="32"/>
          <w:szCs w:val="24"/>
          <w:lang w:val="zh-CN"/>
        </w:rPr>
      </w:pPr>
      <w:r>
        <w:rPr>
          <w:rFonts w:hint="eastAsia" w:ascii="仿宋" w:hAnsi="仿宋" w:eastAsia="仿宋"/>
          <w:sz w:val="32"/>
          <w:szCs w:val="24"/>
          <w:lang w:val="zh-CN"/>
        </w:rPr>
        <w:t>全县安全生产形式持续稳定，获得了良好的社会效益，使政府、企业、广大群众对我单位项目工作的社会满意度得到了明显提高。</w:t>
      </w:r>
    </w:p>
    <w:p>
      <w:pPr>
        <w:autoSpaceDE w:val="0"/>
        <w:autoSpaceDN w:val="0"/>
        <w:adjustRightInd w:val="0"/>
        <w:spacing w:beforeLines="0" w:afterLines="0"/>
        <w:ind w:firstLine="640" w:firstLineChars="200"/>
        <w:jc w:val="left"/>
        <w:rPr>
          <w:rFonts w:hint="default" w:ascii="宋体"/>
          <w:kern w:val="0"/>
          <w:sz w:val="32"/>
          <w:szCs w:val="24"/>
          <w:lang w:val="zh-CN"/>
        </w:rPr>
      </w:pPr>
      <w:r>
        <w:rPr>
          <w:rFonts w:hint="eastAsia" w:ascii="宋体" w:hAnsi="宋体" w:cs="宋体"/>
          <w:kern w:val="0"/>
          <w:sz w:val="32"/>
          <w:szCs w:val="24"/>
          <w:lang w:val="zh-CN"/>
        </w:rPr>
        <w:t>九、政府性基金预算财政拨款支出决算情况说明</w:t>
      </w:r>
    </w:p>
    <w:p>
      <w:pPr>
        <w:autoSpaceDE w:val="0"/>
        <w:autoSpaceDN w:val="0"/>
        <w:adjustRightInd w:val="0"/>
        <w:spacing w:beforeLines="0" w:afterLines="0"/>
        <w:ind w:firstLine="640" w:firstLineChars="200"/>
        <w:jc w:val="left"/>
        <w:rPr>
          <w:rFonts w:hint="default" w:ascii="仿宋" w:hAnsi="仿宋" w:eastAsia="仿宋"/>
          <w:sz w:val="32"/>
          <w:szCs w:val="24"/>
          <w:lang w:val="zh-CN"/>
        </w:rPr>
      </w:pPr>
      <w:r>
        <w:rPr>
          <w:rFonts w:hint="eastAsia" w:ascii="仿宋" w:hAnsi="仿宋" w:eastAsia="仿宋"/>
          <w:sz w:val="32"/>
          <w:szCs w:val="24"/>
          <w:lang w:val="zh-CN"/>
        </w:rPr>
        <w:t>2018年度政府性基金预算财政拨款支出年初预算为</w:t>
      </w:r>
      <w:r>
        <w:rPr>
          <w:rFonts w:hint="default" w:ascii="仿宋" w:hAnsi="仿宋" w:eastAsia="仿宋"/>
          <w:sz w:val="32"/>
          <w:szCs w:val="24"/>
          <w:lang w:val="zh-CN"/>
        </w:rPr>
        <w:t>0</w:t>
      </w:r>
      <w:r>
        <w:rPr>
          <w:rFonts w:hint="eastAsia" w:ascii="仿宋" w:hAnsi="仿宋" w:eastAsia="仿宋"/>
          <w:sz w:val="32"/>
          <w:szCs w:val="24"/>
          <w:lang w:val="zh-CN"/>
        </w:rPr>
        <w:t>万元，支出决算为</w:t>
      </w:r>
      <w:r>
        <w:rPr>
          <w:rFonts w:hint="default" w:ascii="仿宋" w:hAnsi="仿宋" w:eastAsia="仿宋"/>
          <w:sz w:val="32"/>
          <w:szCs w:val="24"/>
          <w:lang w:val="zh-CN"/>
        </w:rPr>
        <w:t>0</w:t>
      </w:r>
      <w:r>
        <w:rPr>
          <w:rFonts w:hint="eastAsia" w:ascii="仿宋" w:hAnsi="仿宋" w:eastAsia="仿宋"/>
          <w:sz w:val="32"/>
          <w:szCs w:val="24"/>
          <w:lang w:val="zh-CN"/>
        </w:rPr>
        <w:t>万元，完成年初预算的0%。</w:t>
      </w:r>
    </w:p>
    <w:p>
      <w:pPr>
        <w:autoSpaceDE w:val="0"/>
        <w:autoSpaceDN w:val="0"/>
        <w:adjustRightInd w:val="0"/>
        <w:spacing w:beforeLines="0" w:afterLines="0"/>
        <w:ind w:firstLine="640" w:firstLineChars="200"/>
        <w:jc w:val="left"/>
        <w:rPr>
          <w:rFonts w:hint="default" w:ascii="宋体"/>
          <w:kern w:val="0"/>
          <w:sz w:val="32"/>
          <w:szCs w:val="24"/>
          <w:lang w:val="zh-CN"/>
        </w:rPr>
      </w:pPr>
      <w:r>
        <w:rPr>
          <w:rFonts w:hint="eastAsia" w:ascii="宋体" w:hAnsi="宋体" w:cs="宋体"/>
          <w:kern w:val="0"/>
          <w:sz w:val="32"/>
          <w:szCs w:val="24"/>
          <w:lang w:val="zh-CN"/>
        </w:rPr>
        <w:t>十、机关运行经费支出情况说明</w:t>
      </w:r>
    </w:p>
    <w:p>
      <w:pPr>
        <w:autoSpaceDE w:val="0"/>
        <w:autoSpaceDN w:val="0"/>
        <w:adjustRightInd w:val="0"/>
        <w:spacing w:beforeLines="0" w:afterLines="0"/>
        <w:ind w:firstLine="640" w:firstLineChars="200"/>
        <w:jc w:val="left"/>
        <w:rPr>
          <w:rFonts w:hint="default" w:ascii="仿宋" w:hAnsi="仿宋" w:eastAsia="仿宋"/>
          <w:sz w:val="32"/>
          <w:szCs w:val="24"/>
          <w:lang w:val="zh-CN"/>
        </w:rPr>
      </w:pPr>
      <w:r>
        <w:rPr>
          <w:rFonts w:hint="eastAsia" w:ascii="仿宋" w:hAnsi="仿宋" w:eastAsia="仿宋"/>
          <w:sz w:val="32"/>
          <w:szCs w:val="24"/>
          <w:lang w:val="zh-CN"/>
        </w:rPr>
        <w:t>2018年度机关运行经费初预算为30.46万元，支出决算为39.60万元，完成年初预算的129.97%。决算数与年初预算数存在差异的主要原因是机关运行经费包括基本支出中的机关运行支出和项目支出中的机关运行支出。</w:t>
      </w:r>
    </w:p>
    <w:p>
      <w:pPr>
        <w:autoSpaceDE w:val="0"/>
        <w:autoSpaceDN w:val="0"/>
        <w:adjustRightInd w:val="0"/>
        <w:spacing w:beforeLines="0" w:afterLines="0"/>
        <w:ind w:firstLine="640" w:firstLineChars="200"/>
        <w:jc w:val="left"/>
        <w:rPr>
          <w:rFonts w:hint="default" w:ascii="宋体"/>
          <w:kern w:val="0"/>
          <w:sz w:val="32"/>
          <w:szCs w:val="24"/>
          <w:lang w:val="zh-CN"/>
        </w:rPr>
      </w:pPr>
      <w:r>
        <w:rPr>
          <w:rFonts w:hint="eastAsia" w:ascii="宋体" w:hAnsi="宋体" w:cs="宋体"/>
          <w:kern w:val="0"/>
          <w:sz w:val="32"/>
          <w:szCs w:val="24"/>
          <w:lang w:val="zh-CN"/>
        </w:rPr>
        <w:t>十一、政府采购支出情况说明</w:t>
      </w:r>
    </w:p>
    <w:p>
      <w:pPr>
        <w:autoSpaceDE w:val="0"/>
        <w:autoSpaceDN w:val="0"/>
        <w:adjustRightInd w:val="0"/>
        <w:spacing w:beforeLines="0" w:afterLines="0"/>
        <w:ind w:firstLine="640" w:firstLineChars="200"/>
        <w:jc w:val="left"/>
        <w:rPr>
          <w:rFonts w:hint="default" w:ascii="仿宋" w:hAnsi="仿宋" w:eastAsia="仿宋"/>
          <w:sz w:val="32"/>
          <w:szCs w:val="24"/>
          <w:lang w:val="zh-CN"/>
        </w:rPr>
      </w:pPr>
      <w:r>
        <w:rPr>
          <w:rFonts w:hint="eastAsia" w:ascii="仿宋" w:hAnsi="仿宋" w:eastAsia="仿宋"/>
          <w:sz w:val="32"/>
          <w:szCs w:val="24"/>
          <w:lang w:val="zh-CN"/>
        </w:rPr>
        <w:t>2018年度政府采购支出总额</w:t>
      </w:r>
      <w:r>
        <w:rPr>
          <w:rFonts w:hint="default" w:ascii="仿宋" w:hAnsi="仿宋" w:eastAsia="仿宋"/>
          <w:sz w:val="32"/>
          <w:szCs w:val="24"/>
          <w:lang w:val="zh-CN"/>
        </w:rPr>
        <w:t>0</w:t>
      </w:r>
      <w:r>
        <w:rPr>
          <w:rFonts w:hint="eastAsia" w:ascii="仿宋" w:hAnsi="仿宋" w:eastAsia="仿宋"/>
          <w:sz w:val="32"/>
          <w:szCs w:val="24"/>
          <w:lang w:val="zh-CN"/>
        </w:rPr>
        <w:t>万元，其中：政府采购货物支出</w:t>
      </w:r>
      <w:r>
        <w:rPr>
          <w:rFonts w:hint="default" w:ascii="仿宋" w:hAnsi="仿宋" w:eastAsia="仿宋"/>
          <w:sz w:val="32"/>
          <w:szCs w:val="24"/>
          <w:lang w:val="zh-CN"/>
        </w:rPr>
        <w:t>0</w:t>
      </w:r>
      <w:r>
        <w:rPr>
          <w:rFonts w:hint="eastAsia" w:ascii="仿宋" w:hAnsi="仿宋" w:eastAsia="仿宋"/>
          <w:sz w:val="32"/>
          <w:szCs w:val="24"/>
          <w:lang w:val="zh-CN"/>
        </w:rPr>
        <w:t>万元、政府采购工程支出</w:t>
      </w:r>
      <w:r>
        <w:rPr>
          <w:rFonts w:hint="default" w:ascii="仿宋" w:hAnsi="仿宋" w:eastAsia="仿宋"/>
          <w:sz w:val="32"/>
          <w:szCs w:val="24"/>
          <w:lang w:val="zh-CN"/>
        </w:rPr>
        <w:t>0</w:t>
      </w:r>
      <w:r>
        <w:rPr>
          <w:rFonts w:hint="eastAsia" w:ascii="仿宋" w:hAnsi="仿宋" w:eastAsia="仿宋"/>
          <w:sz w:val="32"/>
          <w:szCs w:val="24"/>
          <w:lang w:val="zh-CN"/>
        </w:rPr>
        <w:t>万元、政府采购服务支出</w:t>
      </w:r>
      <w:r>
        <w:rPr>
          <w:rFonts w:hint="default" w:ascii="仿宋" w:hAnsi="仿宋" w:eastAsia="仿宋"/>
          <w:sz w:val="32"/>
          <w:szCs w:val="24"/>
          <w:lang w:val="zh-CN"/>
        </w:rPr>
        <w:t>0</w:t>
      </w:r>
      <w:r>
        <w:rPr>
          <w:rFonts w:hint="eastAsia" w:ascii="仿宋" w:hAnsi="仿宋" w:eastAsia="仿宋"/>
          <w:sz w:val="32"/>
          <w:szCs w:val="24"/>
          <w:lang w:val="zh-CN"/>
        </w:rPr>
        <w:t>万元。授予中小企业合同金额</w:t>
      </w:r>
      <w:r>
        <w:rPr>
          <w:rFonts w:hint="default" w:ascii="仿宋" w:hAnsi="仿宋" w:eastAsia="仿宋"/>
          <w:sz w:val="32"/>
          <w:szCs w:val="24"/>
          <w:lang w:val="zh-CN"/>
        </w:rPr>
        <w:t>0</w:t>
      </w:r>
      <w:r>
        <w:rPr>
          <w:rFonts w:hint="eastAsia" w:ascii="仿宋" w:hAnsi="仿宋" w:eastAsia="仿宋"/>
          <w:sz w:val="32"/>
          <w:szCs w:val="24"/>
          <w:lang w:val="zh-CN"/>
        </w:rPr>
        <w:t>万元，占政府采购支出总额的0%，其中：授予小微企业合同金额</w:t>
      </w:r>
      <w:r>
        <w:rPr>
          <w:rFonts w:hint="default" w:ascii="仿宋" w:hAnsi="仿宋" w:eastAsia="仿宋"/>
          <w:sz w:val="32"/>
          <w:szCs w:val="24"/>
          <w:lang w:val="zh-CN"/>
        </w:rPr>
        <w:t>0</w:t>
      </w:r>
      <w:r>
        <w:rPr>
          <w:rFonts w:hint="eastAsia" w:ascii="仿宋" w:hAnsi="仿宋" w:eastAsia="仿宋"/>
          <w:sz w:val="32"/>
          <w:szCs w:val="24"/>
          <w:lang w:val="zh-CN"/>
        </w:rPr>
        <w:t>万元，占政府采购支出总额的0%。</w:t>
      </w:r>
    </w:p>
    <w:p>
      <w:pPr>
        <w:autoSpaceDE w:val="0"/>
        <w:autoSpaceDN w:val="0"/>
        <w:adjustRightInd w:val="0"/>
        <w:spacing w:beforeLines="0" w:afterLines="0"/>
        <w:ind w:firstLine="640" w:firstLineChars="200"/>
        <w:jc w:val="left"/>
        <w:rPr>
          <w:rFonts w:hint="default" w:ascii="宋体"/>
          <w:kern w:val="0"/>
          <w:sz w:val="32"/>
          <w:szCs w:val="24"/>
          <w:lang w:val="zh-CN"/>
        </w:rPr>
      </w:pPr>
      <w:r>
        <w:rPr>
          <w:rFonts w:hint="eastAsia" w:ascii="宋体" w:hAnsi="宋体" w:cs="宋体"/>
          <w:kern w:val="0"/>
          <w:sz w:val="32"/>
          <w:szCs w:val="24"/>
          <w:lang w:val="zh-CN"/>
        </w:rPr>
        <w:t>十二、国有资产占用情况说明</w:t>
      </w:r>
    </w:p>
    <w:p>
      <w:pPr>
        <w:autoSpaceDE w:val="0"/>
        <w:autoSpaceDN w:val="0"/>
        <w:adjustRightInd w:val="0"/>
        <w:spacing w:beforeLines="0" w:afterLines="0"/>
        <w:ind w:firstLine="640" w:firstLineChars="200"/>
        <w:jc w:val="left"/>
        <w:rPr>
          <w:rFonts w:hint="default" w:ascii="仿宋" w:hAnsi="仿宋" w:eastAsia="仿宋"/>
          <w:sz w:val="32"/>
          <w:szCs w:val="24"/>
          <w:lang w:val="zh-CN"/>
        </w:rPr>
      </w:pPr>
      <w:r>
        <w:rPr>
          <w:rFonts w:hint="eastAsia" w:ascii="仿宋" w:hAnsi="仿宋" w:eastAsia="仿宋"/>
          <w:sz w:val="32"/>
          <w:szCs w:val="24"/>
          <w:lang w:val="zh-CN"/>
        </w:rPr>
        <w:t>2018年期末，我部门共有车辆4辆，其中：省级领导干部用车</w:t>
      </w:r>
      <w:r>
        <w:rPr>
          <w:rFonts w:hint="default" w:ascii="仿宋" w:hAnsi="仿宋" w:eastAsia="仿宋"/>
          <w:sz w:val="32"/>
          <w:szCs w:val="24"/>
          <w:lang w:val="zh-CN"/>
        </w:rPr>
        <w:t>0</w:t>
      </w:r>
      <w:r>
        <w:rPr>
          <w:rFonts w:hint="eastAsia" w:ascii="仿宋" w:hAnsi="仿宋" w:eastAsia="仿宋"/>
          <w:sz w:val="32"/>
          <w:szCs w:val="24"/>
          <w:lang w:val="zh-CN"/>
        </w:rPr>
        <w:t>辆、主要领导干部用车</w:t>
      </w:r>
      <w:r>
        <w:rPr>
          <w:rFonts w:hint="default" w:ascii="仿宋" w:hAnsi="仿宋" w:eastAsia="仿宋"/>
          <w:sz w:val="32"/>
          <w:szCs w:val="24"/>
          <w:lang w:val="zh-CN"/>
        </w:rPr>
        <w:t>0</w:t>
      </w:r>
      <w:r>
        <w:rPr>
          <w:rFonts w:hint="eastAsia" w:ascii="仿宋" w:hAnsi="仿宋" w:eastAsia="仿宋"/>
          <w:sz w:val="32"/>
          <w:szCs w:val="24"/>
          <w:lang w:val="zh-CN"/>
        </w:rPr>
        <w:t>辆、机要通信用车</w:t>
      </w:r>
      <w:r>
        <w:rPr>
          <w:rFonts w:hint="default" w:ascii="仿宋" w:hAnsi="仿宋" w:eastAsia="仿宋"/>
          <w:sz w:val="32"/>
          <w:szCs w:val="24"/>
          <w:lang w:val="zh-CN"/>
        </w:rPr>
        <w:t>0</w:t>
      </w:r>
      <w:r>
        <w:rPr>
          <w:rFonts w:hint="eastAsia" w:ascii="仿宋" w:hAnsi="仿宋" w:eastAsia="仿宋"/>
          <w:sz w:val="32"/>
          <w:szCs w:val="24"/>
          <w:lang w:val="zh-CN"/>
        </w:rPr>
        <w:t>辆、应急保障车</w:t>
      </w:r>
      <w:r>
        <w:rPr>
          <w:rFonts w:hint="default" w:ascii="仿宋" w:hAnsi="仿宋" w:eastAsia="仿宋"/>
          <w:sz w:val="32"/>
          <w:szCs w:val="24"/>
          <w:lang w:val="zh-CN"/>
        </w:rPr>
        <w:t>0</w:t>
      </w:r>
      <w:r>
        <w:rPr>
          <w:rFonts w:hint="eastAsia" w:ascii="仿宋" w:hAnsi="仿宋" w:eastAsia="仿宋"/>
          <w:sz w:val="32"/>
          <w:szCs w:val="24"/>
          <w:lang w:val="zh-CN"/>
        </w:rPr>
        <w:t>辆、执法执勤用车</w:t>
      </w:r>
      <w:r>
        <w:rPr>
          <w:rFonts w:hint="default" w:ascii="仿宋" w:hAnsi="仿宋" w:eastAsia="仿宋"/>
          <w:sz w:val="32"/>
          <w:szCs w:val="24"/>
          <w:lang w:val="zh-CN"/>
        </w:rPr>
        <w:t>0</w:t>
      </w:r>
      <w:r>
        <w:rPr>
          <w:rFonts w:hint="eastAsia" w:ascii="仿宋" w:hAnsi="仿宋" w:eastAsia="仿宋"/>
          <w:sz w:val="32"/>
          <w:szCs w:val="24"/>
          <w:lang w:val="zh-CN"/>
        </w:rPr>
        <w:t>辆、特种专业技术用车</w:t>
      </w:r>
      <w:r>
        <w:rPr>
          <w:rFonts w:hint="default" w:ascii="仿宋" w:hAnsi="仿宋" w:eastAsia="仿宋"/>
          <w:sz w:val="32"/>
          <w:szCs w:val="24"/>
          <w:lang w:val="zh-CN"/>
        </w:rPr>
        <w:t>0</w:t>
      </w:r>
      <w:r>
        <w:rPr>
          <w:rFonts w:hint="eastAsia" w:ascii="仿宋" w:hAnsi="仿宋" w:eastAsia="仿宋"/>
          <w:sz w:val="32"/>
          <w:szCs w:val="24"/>
          <w:lang w:val="zh-CN"/>
        </w:rPr>
        <w:t>辆、离退休干部用车</w:t>
      </w:r>
      <w:r>
        <w:rPr>
          <w:rFonts w:hint="default" w:ascii="仿宋" w:hAnsi="仿宋" w:eastAsia="仿宋"/>
          <w:sz w:val="32"/>
          <w:szCs w:val="24"/>
          <w:lang w:val="zh-CN"/>
        </w:rPr>
        <w:t>0</w:t>
      </w:r>
      <w:r>
        <w:rPr>
          <w:rFonts w:hint="eastAsia" w:ascii="仿宋" w:hAnsi="仿宋" w:eastAsia="仿宋"/>
          <w:sz w:val="32"/>
          <w:szCs w:val="24"/>
          <w:lang w:val="zh-CN"/>
        </w:rPr>
        <w:t>辆、其他用车4辆；单位价值50万元以上通用设备</w:t>
      </w:r>
      <w:r>
        <w:rPr>
          <w:rFonts w:hint="default" w:ascii="仿宋" w:hAnsi="仿宋" w:eastAsia="仿宋"/>
          <w:sz w:val="32"/>
          <w:szCs w:val="24"/>
          <w:lang w:val="zh-CN"/>
        </w:rPr>
        <w:t>0</w:t>
      </w:r>
      <w:r>
        <w:rPr>
          <w:rFonts w:hint="eastAsia" w:ascii="仿宋" w:hAnsi="仿宋" w:eastAsia="仿宋"/>
          <w:sz w:val="32"/>
          <w:szCs w:val="24"/>
          <w:lang w:val="zh-CN"/>
        </w:rPr>
        <w:t>台（套），单位价值100万元以上专用设备</w:t>
      </w:r>
      <w:r>
        <w:rPr>
          <w:rFonts w:hint="default" w:ascii="仿宋" w:hAnsi="仿宋" w:eastAsia="仿宋"/>
          <w:sz w:val="32"/>
          <w:szCs w:val="24"/>
          <w:lang w:val="zh-CN"/>
        </w:rPr>
        <w:t>0</w:t>
      </w:r>
      <w:r>
        <w:rPr>
          <w:rFonts w:hint="eastAsia" w:ascii="仿宋" w:hAnsi="仿宋" w:eastAsia="仿宋"/>
          <w:sz w:val="32"/>
          <w:szCs w:val="24"/>
          <w:lang w:val="zh-CN"/>
        </w:rPr>
        <w:t>台（套）。</w:t>
      </w:r>
    </w:p>
    <w:p>
      <w:pPr>
        <w:widowControl/>
        <w:spacing w:beforeLines="0" w:afterLines="0"/>
        <w:jc w:val="left"/>
        <w:rPr>
          <w:rFonts w:hint="default" w:ascii="楷体_GB2312" w:hAnsi="楷体_GB2312" w:eastAsia="楷体_GB2312"/>
          <w:sz w:val="32"/>
          <w:szCs w:val="24"/>
        </w:rPr>
        <w:sectPr>
          <w:pgSz w:w="11906" w:h="16838"/>
          <w:pgMar w:top="1440" w:right="1800" w:bottom="1440" w:left="1800" w:header="720" w:footer="720" w:gutter="0"/>
          <w:pgNumType w:fmt="numberInDash"/>
          <w:cols w:space="720" w:num="1"/>
          <w:docGrid w:type="lines" w:linePitch="312" w:charSpace="0"/>
        </w:sectPr>
      </w:pPr>
    </w:p>
    <w:p>
      <w:pPr>
        <w:spacing w:beforeLines="0" w:afterLines="0"/>
        <w:jc w:val="left"/>
        <w:rPr>
          <w:rFonts w:hint="default" w:ascii="黑体" w:hAnsi="黑体" w:eastAsia="黑体"/>
          <w:sz w:val="32"/>
          <w:szCs w:val="24"/>
        </w:rPr>
      </w:pPr>
    </w:p>
    <w:p>
      <w:pPr>
        <w:spacing w:beforeLines="0" w:afterLines="0"/>
        <w:jc w:val="left"/>
        <w:rPr>
          <w:rFonts w:hint="default" w:ascii="黑体" w:hAnsi="黑体" w:eastAsia="黑体"/>
          <w:sz w:val="32"/>
          <w:szCs w:val="24"/>
        </w:rPr>
      </w:pPr>
    </w:p>
    <w:p>
      <w:pPr>
        <w:spacing w:beforeLines="0" w:afterLines="0"/>
        <w:jc w:val="left"/>
        <w:rPr>
          <w:rFonts w:hint="default" w:ascii="黑体" w:hAnsi="黑体" w:eastAsia="黑体"/>
          <w:sz w:val="32"/>
          <w:szCs w:val="24"/>
        </w:rPr>
      </w:pPr>
    </w:p>
    <w:p>
      <w:pPr>
        <w:spacing w:beforeLines="0" w:afterLines="0"/>
        <w:jc w:val="left"/>
        <w:rPr>
          <w:rFonts w:hint="default" w:ascii="黑体" w:hAnsi="黑体" w:eastAsia="黑体"/>
          <w:sz w:val="32"/>
          <w:szCs w:val="24"/>
        </w:rPr>
      </w:pPr>
    </w:p>
    <w:p>
      <w:pPr>
        <w:spacing w:beforeLines="0" w:afterLines="0"/>
        <w:jc w:val="left"/>
        <w:rPr>
          <w:rFonts w:hint="default" w:ascii="黑体" w:hAnsi="黑体" w:eastAsia="黑体"/>
          <w:sz w:val="32"/>
          <w:szCs w:val="24"/>
        </w:rPr>
      </w:pPr>
    </w:p>
    <w:p>
      <w:pPr>
        <w:spacing w:beforeLines="0" w:afterLines="0"/>
        <w:jc w:val="left"/>
        <w:rPr>
          <w:rFonts w:hint="default" w:ascii="黑体" w:hAnsi="黑体" w:eastAsia="黑体"/>
          <w:sz w:val="32"/>
          <w:szCs w:val="24"/>
        </w:rPr>
      </w:pPr>
    </w:p>
    <w:p>
      <w:pPr>
        <w:spacing w:beforeLines="0" w:afterLines="0"/>
        <w:jc w:val="left"/>
        <w:rPr>
          <w:rFonts w:hint="default" w:ascii="黑体" w:hAnsi="黑体" w:eastAsia="黑体"/>
          <w:sz w:val="32"/>
          <w:szCs w:val="24"/>
        </w:rPr>
      </w:pPr>
    </w:p>
    <w:p>
      <w:pPr>
        <w:spacing w:beforeLines="0" w:afterLines="0"/>
        <w:jc w:val="center"/>
        <w:rPr>
          <w:rFonts w:hint="default" w:ascii="黑体" w:hAnsi="黑体" w:eastAsia="黑体"/>
          <w:sz w:val="48"/>
          <w:szCs w:val="24"/>
        </w:rPr>
      </w:pPr>
      <w:r>
        <w:rPr>
          <w:rFonts w:hint="eastAsia" w:ascii="黑体" w:hAnsi="黑体" w:eastAsia="黑体"/>
          <w:sz w:val="48"/>
          <w:szCs w:val="24"/>
        </w:rPr>
        <w:t>第四部分　　名词解释</w:t>
      </w:r>
    </w:p>
    <w:p>
      <w:pPr>
        <w:spacing w:beforeLines="0" w:afterLines="0"/>
        <w:jc w:val="center"/>
        <w:outlineLvl w:val="0"/>
        <w:rPr>
          <w:rFonts w:hint="default" w:ascii="黑体" w:hAnsi="黑体" w:eastAsia="黑体"/>
          <w:sz w:val="48"/>
          <w:szCs w:val="24"/>
        </w:rPr>
      </w:pPr>
    </w:p>
    <w:p>
      <w:pPr>
        <w:spacing w:beforeLines="0" w:afterLines="0"/>
        <w:jc w:val="center"/>
        <w:outlineLvl w:val="0"/>
        <w:rPr>
          <w:rFonts w:hint="default" w:ascii="黑体" w:hAnsi="黑体" w:eastAsia="黑体"/>
          <w:sz w:val="48"/>
          <w:szCs w:val="24"/>
        </w:rPr>
        <w:sectPr>
          <w:pgSz w:w="11906" w:h="16838"/>
          <w:pgMar w:top="1440" w:right="1531" w:bottom="1440" w:left="1587" w:header="850" w:footer="992" w:gutter="0"/>
          <w:pgNumType w:fmt="numberInDash"/>
          <w:cols w:space="720" w:num="1"/>
          <w:docGrid w:type="lines" w:linePitch="317" w:charSpace="0"/>
        </w:sectPr>
      </w:pPr>
    </w:p>
    <w:p>
      <w:pPr>
        <w:widowControl/>
        <w:spacing w:beforeLines="0" w:afterLines="0" w:line="590" w:lineRule="exact"/>
        <w:ind w:firstLine="640" w:firstLineChars="200"/>
        <w:jc w:val="left"/>
        <w:rPr>
          <w:rFonts w:hint="default" w:ascii="仿宋_GB2312" w:hAnsi="仿宋_GB2312" w:eastAsia="仿宋_GB2312"/>
          <w:sz w:val="32"/>
          <w:szCs w:val="24"/>
        </w:rPr>
      </w:pPr>
      <w:r>
        <w:rPr>
          <w:rFonts w:hint="eastAsia" w:ascii="仿宋_GB2312" w:hAnsi="仿宋_GB2312" w:eastAsia="仿宋_GB2312"/>
          <w:sz w:val="32"/>
          <w:szCs w:val="24"/>
        </w:rPr>
        <w:t>一、财政拨款收入：单位从同级政府财政部门取得的各类财政拨款。</w:t>
      </w:r>
    </w:p>
    <w:p>
      <w:pPr>
        <w:widowControl/>
        <w:spacing w:beforeLines="0" w:afterLines="0" w:line="590" w:lineRule="exact"/>
        <w:ind w:firstLine="640" w:firstLineChars="200"/>
        <w:jc w:val="left"/>
        <w:rPr>
          <w:rFonts w:hint="default" w:ascii="仿宋_GB2312" w:hAnsi="仿宋_GB2312" w:eastAsia="仿宋_GB2312"/>
          <w:sz w:val="32"/>
          <w:szCs w:val="24"/>
        </w:rPr>
      </w:pPr>
      <w:r>
        <w:rPr>
          <w:rFonts w:hint="eastAsia" w:ascii="仿宋_GB2312" w:hAnsi="仿宋_GB2312" w:eastAsia="仿宋_GB2312"/>
          <w:sz w:val="32"/>
          <w:szCs w:val="24"/>
        </w:rPr>
        <w:t>二、事业收入：事业单位开展专业业务活动及其辅助活动取得的收入。</w:t>
      </w:r>
    </w:p>
    <w:p>
      <w:pPr>
        <w:widowControl/>
        <w:spacing w:beforeLines="0" w:afterLines="0" w:line="590" w:lineRule="exact"/>
        <w:ind w:firstLine="640" w:firstLineChars="200"/>
        <w:jc w:val="left"/>
        <w:rPr>
          <w:rFonts w:hint="default" w:ascii="仿宋_GB2312" w:hAnsi="仿宋_GB2312" w:eastAsia="仿宋_GB2312"/>
          <w:sz w:val="32"/>
          <w:szCs w:val="24"/>
        </w:rPr>
      </w:pPr>
      <w:r>
        <w:rPr>
          <w:rFonts w:hint="eastAsia" w:ascii="仿宋_GB2312" w:hAnsi="仿宋_GB2312" w:eastAsia="仿宋_GB2312"/>
          <w:sz w:val="32"/>
          <w:szCs w:val="24"/>
        </w:rPr>
        <w:t>三、上级补助收入：事业单位从主管部门和上级单位取得的非财政补助收入。</w:t>
      </w:r>
    </w:p>
    <w:p>
      <w:pPr>
        <w:widowControl/>
        <w:spacing w:beforeLines="0" w:afterLines="0" w:line="590" w:lineRule="exact"/>
        <w:ind w:firstLine="640" w:firstLineChars="200"/>
        <w:jc w:val="left"/>
        <w:rPr>
          <w:rFonts w:hint="default" w:ascii="仿宋_GB2312" w:hAnsi="仿宋_GB2312" w:eastAsia="仿宋_GB2312"/>
          <w:sz w:val="32"/>
          <w:szCs w:val="24"/>
        </w:rPr>
      </w:pPr>
      <w:r>
        <w:rPr>
          <w:rFonts w:hint="eastAsia" w:ascii="仿宋_GB2312" w:hAnsi="仿宋_GB2312" w:eastAsia="仿宋_GB2312"/>
          <w:sz w:val="32"/>
          <w:szCs w:val="24"/>
        </w:rPr>
        <w:t>四、附属单位上缴收入：事业单位取得附属独立核算单位根据有关规定上缴的收入。</w:t>
      </w:r>
    </w:p>
    <w:p>
      <w:pPr>
        <w:widowControl/>
        <w:spacing w:beforeLines="0" w:afterLines="0" w:line="590" w:lineRule="exact"/>
        <w:ind w:firstLine="640" w:firstLineChars="200"/>
        <w:jc w:val="left"/>
        <w:rPr>
          <w:rFonts w:hint="default" w:ascii="仿宋_GB2312" w:hAnsi="仿宋_GB2312" w:eastAsia="仿宋_GB2312"/>
          <w:sz w:val="32"/>
          <w:szCs w:val="24"/>
        </w:rPr>
      </w:pPr>
      <w:r>
        <w:rPr>
          <w:rFonts w:hint="eastAsia" w:ascii="仿宋_GB2312" w:hAnsi="仿宋_GB2312" w:eastAsia="仿宋_GB2312"/>
          <w:sz w:val="32"/>
          <w:szCs w:val="24"/>
        </w:rPr>
        <w:t>五、经营收入：事业单位在专业业务活动及其辅助活动之外开展非独立核算经营活动取得的收入。</w:t>
      </w:r>
    </w:p>
    <w:p>
      <w:pPr>
        <w:widowControl/>
        <w:spacing w:beforeLines="0" w:afterLines="0" w:line="590" w:lineRule="exact"/>
        <w:ind w:firstLine="640" w:firstLineChars="200"/>
        <w:jc w:val="left"/>
        <w:rPr>
          <w:rFonts w:hint="default" w:ascii="仿宋_GB2312" w:hAnsi="仿宋_GB2312" w:eastAsia="仿宋_GB2312"/>
          <w:sz w:val="32"/>
          <w:szCs w:val="24"/>
        </w:rPr>
      </w:pPr>
      <w:r>
        <w:rPr>
          <w:rFonts w:hint="eastAsia" w:ascii="仿宋_GB2312" w:hAnsi="仿宋_GB2312" w:eastAsia="仿宋_GB2312"/>
          <w:sz w:val="32"/>
          <w:szCs w:val="24"/>
        </w:rPr>
        <w:t>六、其他收入：单位取得的除“财政拨款收入”、“事业收入”、“上级补助收入”、“附属单位上缴收入”、“经营收入”等以外的收入。</w:t>
      </w:r>
    </w:p>
    <w:p>
      <w:pPr>
        <w:widowControl/>
        <w:spacing w:beforeLines="0" w:afterLines="0" w:line="590" w:lineRule="exact"/>
        <w:ind w:firstLine="640" w:firstLineChars="200"/>
        <w:jc w:val="left"/>
        <w:rPr>
          <w:rFonts w:hint="default" w:ascii="仿宋_GB2312" w:hAnsi="仿宋_GB2312" w:eastAsia="仿宋_GB2312"/>
          <w:sz w:val="32"/>
          <w:szCs w:val="24"/>
        </w:rPr>
      </w:pPr>
      <w:r>
        <w:rPr>
          <w:rFonts w:hint="eastAsia" w:ascii="仿宋_GB2312" w:hAnsi="仿宋_GB2312" w:eastAsia="仿宋_GB2312"/>
          <w:sz w:val="32"/>
          <w:szCs w:val="24"/>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beforeLines="0" w:afterLines="0" w:line="590" w:lineRule="exact"/>
        <w:ind w:firstLine="640" w:firstLineChars="200"/>
        <w:jc w:val="left"/>
        <w:rPr>
          <w:rFonts w:hint="default" w:ascii="仿宋_GB2312" w:hAnsi="仿宋_GB2312" w:eastAsia="仿宋_GB2312"/>
          <w:sz w:val="32"/>
          <w:szCs w:val="24"/>
        </w:rPr>
      </w:pPr>
      <w:r>
        <w:rPr>
          <w:rFonts w:hint="eastAsia" w:ascii="仿宋_GB2312" w:hAnsi="仿宋_GB2312" w:eastAsia="仿宋_GB2312"/>
          <w:sz w:val="32"/>
          <w:szCs w:val="24"/>
        </w:rPr>
        <w:t>八、基本支出：为保障机构正常运转、完成日常工作任务而发生的人员支出和公用支出。</w:t>
      </w:r>
    </w:p>
    <w:p>
      <w:pPr>
        <w:widowControl/>
        <w:spacing w:beforeLines="0" w:afterLines="0" w:line="590" w:lineRule="exact"/>
        <w:ind w:firstLine="640" w:firstLineChars="200"/>
        <w:jc w:val="left"/>
        <w:rPr>
          <w:rFonts w:hint="default" w:ascii="仿宋_GB2312" w:hAnsi="仿宋_GB2312" w:eastAsia="仿宋_GB2312"/>
          <w:sz w:val="32"/>
          <w:szCs w:val="24"/>
        </w:rPr>
      </w:pPr>
      <w:r>
        <w:rPr>
          <w:rFonts w:hint="eastAsia" w:ascii="仿宋_GB2312" w:hAnsi="仿宋_GB2312" w:eastAsia="仿宋_GB2312"/>
          <w:sz w:val="32"/>
          <w:szCs w:val="24"/>
        </w:rPr>
        <w:t>九、项目支出：基本支出之外为完成特定行政任务和事业发展目标所发生的支出。</w:t>
      </w:r>
    </w:p>
    <w:p>
      <w:pPr>
        <w:widowControl/>
        <w:spacing w:beforeLines="0" w:afterLines="0" w:line="590" w:lineRule="exact"/>
        <w:ind w:firstLine="640" w:firstLineChars="200"/>
        <w:jc w:val="left"/>
        <w:rPr>
          <w:rFonts w:hint="default" w:ascii="仿宋_GB2312" w:hAnsi="仿宋_GB2312" w:eastAsia="仿宋_GB2312"/>
          <w:sz w:val="32"/>
          <w:szCs w:val="24"/>
        </w:rPr>
      </w:pPr>
      <w:r>
        <w:rPr>
          <w:rFonts w:hint="eastAsia" w:ascii="仿宋_GB2312" w:hAnsi="仿宋_GB2312" w:eastAsia="仿宋_GB2312"/>
          <w:sz w:val="32"/>
          <w:szCs w:val="24"/>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beforeLines="0" w:afterLines="0" w:line="590" w:lineRule="exact"/>
        <w:ind w:firstLine="640" w:firstLineChars="200"/>
        <w:jc w:val="left"/>
        <w:rPr>
          <w:rFonts w:hint="default" w:ascii="仿宋_GB2312" w:hAnsi="仿宋_GB2312" w:eastAsia="仿宋_GB2312"/>
          <w:sz w:val="32"/>
          <w:szCs w:val="24"/>
        </w:rPr>
      </w:pPr>
      <w:r>
        <w:rPr>
          <w:rFonts w:hint="eastAsia" w:ascii="仿宋_GB2312" w:hAnsi="仿宋_GB2312" w:eastAsia="仿宋_GB2312"/>
          <w:sz w:val="32"/>
          <w:szCs w:val="24"/>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beforeLines="0" w:afterLines="0" w:line="590" w:lineRule="exact"/>
        <w:ind w:firstLine="640" w:firstLineChars="200"/>
        <w:jc w:val="left"/>
        <w:rPr>
          <w:rFonts w:hint="default" w:ascii="仿宋_GB2312" w:hAnsi="仿宋_GB2312" w:eastAsia="仿宋_GB2312"/>
          <w:sz w:val="32"/>
          <w:szCs w:val="24"/>
        </w:rPr>
      </w:pPr>
      <w:r>
        <w:rPr>
          <w:rFonts w:hint="eastAsia" w:ascii="仿宋_GB2312" w:hAnsi="仿宋_GB2312" w:eastAsia="仿宋_GB2312"/>
          <w:sz w:val="32"/>
          <w:szCs w:val="24"/>
        </w:rPr>
        <w:t>十二、工资福利支出：单位支付给在职职工和编制外长期聘用人员的各类劳动报酬，以及为上述人员缴纳的各项社会保险费等。</w:t>
      </w:r>
    </w:p>
    <w:p>
      <w:pPr>
        <w:widowControl/>
        <w:spacing w:beforeLines="0" w:afterLines="0" w:line="590" w:lineRule="exact"/>
        <w:ind w:firstLine="640" w:firstLineChars="200"/>
        <w:jc w:val="left"/>
        <w:rPr>
          <w:rFonts w:hint="default" w:ascii="仿宋_GB2312" w:hAnsi="仿宋_GB2312" w:eastAsia="仿宋_GB2312"/>
          <w:sz w:val="32"/>
          <w:szCs w:val="24"/>
        </w:rPr>
      </w:pPr>
      <w:r>
        <w:rPr>
          <w:rFonts w:hint="eastAsia" w:ascii="仿宋_GB2312" w:hAnsi="仿宋_GB2312" w:eastAsia="仿宋_GB2312"/>
          <w:sz w:val="32"/>
          <w:szCs w:val="24"/>
        </w:rPr>
        <w:t>十三、商品和服务支出：单位购买商品和服务的支出。</w:t>
      </w:r>
    </w:p>
    <w:p>
      <w:pPr>
        <w:widowControl/>
        <w:spacing w:beforeLines="0" w:afterLines="0" w:line="590" w:lineRule="exact"/>
        <w:ind w:firstLine="640" w:firstLineChars="200"/>
        <w:jc w:val="left"/>
        <w:rPr>
          <w:rFonts w:hint="default" w:ascii="仿宋_GB2312" w:hAnsi="仿宋_GB2312" w:eastAsia="仿宋_GB2312"/>
          <w:sz w:val="32"/>
          <w:szCs w:val="24"/>
        </w:rPr>
      </w:pPr>
      <w:r>
        <w:rPr>
          <w:rFonts w:hint="eastAsia" w:ascii="仿宋_GB2312" w:hAnsi="仿宋_GB2312" w:eastAsia="仿宋_GB2312"/>
          <w:sz w:val="32"/>
          <w:szCs w:val="24"/>
        </w:rPr>
        <w:t>十四、对个人和家庭的补助支出：单位用于对个人和家庭的补助支出。</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Lines="0" w:afterLines="0"/>
      <w:rPr>
        <w:rFonts w:hint="default" w:eastAsia="Times New Roman"/>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wps:spPr>
                    <wps:txbx>
                      <w:txbxContent>
                        <w:p>
                          <w:pPr>
                            <w:spacing w:beforeLines="0" w:afterLines="0"/>
                            <w:rPr>
                              <w:rFonts w:hint="default" w:eastAsia="Times New Roman"/>
                              <w:sz w:val="21"/>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JBU+a0AAAAAMBAAAPAAAAAAAAAAEAIAAAACIAAABkcnMvZG93bnJl&#10;di54bWxQSwECFAAUAAAACACHTuJA3L/mrcwBAACXAwAADgAAAAAAAAABACAAAAAfAQAAZHJzL2Uy&#10;b0RvYy54bWxQSwUGAAAAAAYABgBZAQAAXQUAAAAA&#10;">
              <v:path/>
              <v:fill on="f" focussize="0,0"/>
              <v:stroke on="f"/>
              <v:imagedata o:title=""/>
              <o:lock v:ext="edit" aspectratio="f"/>
              <v:textbox inset="0mm,0mm,0mm,0mm" style="mso-fit-shape-to-text:t;">
                <w:txbxContent>
                  <w:p>
                    <w:pPr>
                      <w:spacing w:beforeLines="0" w:afterLines="0"/>
                      <w:rPr>
                        <w:rFonts w:hint="default" w:eastAsia="Times New Roman"/>
                        <w:sz w:val="21"/>
                        <w:szCs w:val="24"/>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multilevel"/>
    <w:tmpl w:val="5971BE17"/>
    <w:lvl w:ilvl="0" w:tentative="0">
      <w:start w:val="1"/>
      <w:numFmt w:val="chineseCounting"/>
      <w:suff w:val="nothing"/>
      <w:lvlText w:val="%1、"/>
      <w:lvlJc w:val="left"/>
      <w:rPr>
        <w:rFonts w:hint="default" w:ascii="Times New Roman" w:hAnsi="Calibri" w:eastAsia="宋体" w:cs="Times New Roman"/>
        <w:u w:val="none" w:color="auto"/>
      </w:rPr>
    </w:lvl>
    <w:lvl w:ilvl="1" w:tentative="0">
      <w:start w:val="1"/>
      <w:numFmt w:val="decimal"/>
      <w:lvlText w:val=""/>
      <w:lvlJc w:val="left"/>
      <w:rPr>
        <w:rFonts w:hint="default" w:cs="Times New Roman"/>
        <w:u w:val="none" w:color="auto"/>
      </w:rPr>
    </w:lvl>
    <w:lvl w:ilvl="2" w:tentative="0">
      <w:start w:val="1"/>
      <w:numFmt w:val="decimal"/>
      <w:lvlText w:val=""/>
      <w:lvlJc w:val="left"/>
      <w:rPr>
        <w:rFonts w:hint="default" w:cs="Times New Roman"/>
        <w:u w:val="none" w:color="auto"/>
      </w:rPr>
    </w:lvl>
    <w:lvl w:ilvl="3" w:tentative="0">
      <w:start w:val="1"/>
      <w:numFmt w:val="decimal"/>
      <w:lvlText w:val=""/>
      <w:lvlJc w:val="left"/>
      <w:rPr>
        <w:rFonts w:hint="default" w:cs="Times New Roman"/>
        <w:u w:val="none" w:color="auto"/>
      </w:rPr>
    </w:lvl>
    <w:lvl w:ilvl="4" w:tentative="0">
      <w:start w:val="1"/>
      <w:numFmt w:val="decimal"/>
      <w:lvlText w:val=""/>
      <w:lvlJc w:val="left"/>
      <w:rPr>
        <w:rFonts w:hint="default" w:cs="Times New Roman"/>
        <w:u w:val="none" w:color="auto"/>
      </w:rPr>
    </w:lvl>
    <w:lvl w:ilvl="5" w:tentative="0">
      <w:start w:val="1"/>
      <w:numFmt w:val="decimal"/>
      <w:lvlText w:val=""/>
      <w:lvlJc w:val="left"/>
      <w:rPr>
        <w:rFonts w:hint="default" w:cs="Times New Roman"/>
        <w:u w:val="none" w:color="auto"/>
      </w:rPr>
    </w:lvl>
    <w:lvl w:ilvl="6" w:tentative="0">
      <w:start w:val="1"/>
      <w:numFmt w:val="decimal"/>
      <w:lvlText w:val=""/>
      <w:lvlJc w:val="left"/>
      <w:rPr>
        <w:rFonts w:hint="default" w:cs="Times New Roman"/>
        <w:u w:val="none" w:color="auto"/>
      </w:rPr>
    </w:lvl>
    <w:lvl w:ilvl="7" w:tentative="0">
      <w:start w:val="1"/>
      <w:numFmt w:val="decimal"/>
      <w:lvlText w:val=""/>
      <w:lvlJc w:val="left"/>
      <w:rPr>
        <w:rFonts w:hint="default" w:cs="Times New Roman"/>
        <w:u w:val="none" w:color="auto"/>
      </w:rPr>
    </w:lvl>
    <w:lvl w:ilvl="8" w:tentative="0">
      <w:start w:val="1"/>
      <w:numFmt w:val="decimal"/>
      <w:lvlText w:val=""/>
      <w:lvlJc w:val="left"/>
      <w:rPr>
        <w:rFonts w:hint="default" w:cs="Times New Roman"/>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AD7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Calibri" w:hAnsi="Calibri"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beforeLines="0" w:afterLines="0"/>
      <w:jc w:val="left"/>
    </w:pPr>
    <w:rPr>
      <w:rFonts w:hint="eastAsia"/>
      <w:sz w:val="18"/>
      <w:szCs w:val="24"/>
    </w:rPr>
  </w:style>
  <w:style w:type="paragraph" w:styleId="3">
    <w:name w:val="Normal (Web)"/>
    <w:basedOn w:val="1"/>
    <w:unhideWhenUsed/>
    <w:qFormat/>
    <w:uiPriority w:val="99"/>
    <w:pPr>
      <w:widowControl/>
      <w:spacing w:before="100" w:beforeLines="0" w:beforeAutospacing="1" w:after="100" w:afterLines="0" w:afterAutospacing="1"/>
      <w:jc w:val="left"/>
    </w:pPr>
    <w:rPr>
      <w:rFonts w:hint="eastAsia" w:ascii="宋体" w:hAnsi="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婴幼儿纸尿裤批发零售</cp:lastModifiedBy>
  <dcterms:modified xsi:type="dcterms:W3CDTF">2021-06-10T03:16:04Z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8DA77000DBD74D0D88D744F8900DCEEA</vt:lpwstr>
  </property>
</Properties>
</file>