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河南省新乡市延津县胙城乡人民政府</w:t>
      </w:r>
    </w:p>
    <w:p>
      <w:pPr>
        <w:jc w:val="center"/>
        <w:rPr>
          <w:rFonts w:ascii="黑体" w:hAnsi="黑体" w:eastAsia="黑体" w:cs="黑体"/>
          <w:sz w:val="52"/>
          <w:szCs w:val="52"/>
        </w:rPr>
      </w:pPr>
      <w:r>
        <w:rPr>
          <w:rFonts w:hint="eastAsia" w:ascii="黑体" w:hAnsi="黑体" w:eastAsia="黑体" w:cs="黑体"/>
          <w:sz w:val="52"/>
          <w:szCs w:val="52"/>
        </w:rPr>
        <w:t>2019年度部门决算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pPr>
      <w:r>
        <w:rPr>
          <w:rFonts w:hint="eastAsia" w:ascii="黑体" w:hAnsi="黑体" w:eastAsia="黑体" w:cs="黑体"/>
          <w:sz w:val="32"/>
          <w:szCs w:val="32"/>
        </w:rPr>
        <w:t>二〇二〇年九月</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河南省新乡市延津县胙城乡人民政府概况</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部门职责</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延津县胙城乡人民政府概况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 xml:space="preserve">职责   </w:t>
      </w:r>
    </w:p>
    <w:p>
      <w:pPr>
        <w:widowControl/>
        <w:ind w:firstLine="640" w:firstLineChars="200"/>
        <w:jc w:val="left"/>
        <w:rPr>
          <w:rFonts w:ascii="黑体" w:hAnsi="黑体" w:eastAsia="黑体" w:cs="黑体"/>
          <w:kern w:val="0"/>
          <w:sz w:val="32"/>
          <w:szCs w:val="32"/>
        </w:rPr>
      </w:pPr>
      <w:r>
        <w:rPr>
          <w:rFonts w:hint="eastAsia" w:ascii="仿宋_GB2312" w:hAnsi="黑体" w:eastAsia="仿宋_GB2312" w:cs="黑体"/>
          <w:kern w:val="0"/>
          <w:sz w:val="32"/>
          <w:szCs w:val="32"/>
        </w:rPr>
        <w:t>胙城</w:t>
      </w:r>
      <w:r>
        <w:rPr>
          <w:rFonts w:hint="eastAsia" w:ascii="仿宋_GB2312" w:hAnsi="宋体" w:eastAsia="仿宋_GB2312" w:cs="Arial"/>
          <w:kern w:val="0"/>
          <w:sz w:val="32"/>
          <w:szCs w:val="32"/>
        </w:rPr>
        <w:t>乡人民政府是基层国家行政机关，行使本行政区的行政职能，政府职能主要有一下几个方面：</w:t>
      </w:r>
    </w:p>
    <w:p>
      <w:pPr>
        <w:pStyle w:val="9"/>
        <w:spacing w:before="0" w:beforeAutospacing="0" w:after="0" w:afterAutospacing="0" w:line="600" w:lineRule="exact"/>
        <w:ind w:right="74" w:firstLine="316" w:firstLineChars="99"/>
        <w:rPr>
          <w:rFonts w:ascii="仿宋_GB2312" w:eastAsia="仿宋_GB2312" w:cs="Arial"/>
          <w:sz w:val="32"/>
          <w:szCs w:val="32"/>
        </w:rPr>
      </w:pPr>
      <w:r>
        <w:rPr>
          <w:rFonts w:ascii="仿宋_GB2312" w:eastAsia="仿宋_GB2312" w:cs="Arial"/>
          <w:sz w:val="32"/>
          <w:szCs w:val="32"/>
        </w:rPr>
        <w:t>1</w:t>
      </w:r>
      <w:r>
        <w:rPr>
          <w:rFonts w:hint="eastAsia" w:ascii="仿宋_GB2312" w:eastAsia="仿宋_GB2312" w:cs="Arial"/>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cs="Arial"/>
          <w:sz w:val="32"/>
          <w:szCs w:val="32"/>
        </w:rPr>
        <w:br w:type="textWrapping"/>
      </w:r>
      <w:r>
        <w:rPr>
          <w:rFonts w:ascii="仿宋_GB2312" w:eastAsia="仿宋_GB2312" w:cs="Arial"/>
          <w:sz w:val="32"/>
          <w:szCs w:val="32"/>
        </w:rPr>
        <w:t xml:space="preserve">    2</w:t>
      </w:r>
      <w:r>
        <w:rPr>
          <w:rFonts w:hint="eastAsia" w:ascii="仿宋_GB2312" w:eastAsia="仿宋_GB2312" w:cs="Arial"/>
          <w:sz w:val="32"/>
          <w:szCs w:val="32"/>
        </w:rPr>
        <w:t>、制定并组织实施村镇建设规划，部署重点工程建设，地方道路建设及公共设施，水利设施的管理，负责土地、林木、水等自然资源和生态环境的保护，做好护林防火工作。</w:t>
      </w:r>
      <w:r>
        <w:rPr>
          <w:rFonts w:ascii="仿宋_GB2312" w:eastAsia="仿宋_GB2312" w:cs="Arial"/>
          <w:sz w:val="32"/>
          <w:szCs w:val="32"/>
        </w:rPr>
        <w:br w:type="textWrapping"/>
      </w:r>
      <w:r>
        <w:rPr>
          <w:rFonts w:ascii="仿宋_GB2312" w:eastAsia="仿宋_GB2312" w:cs="Arial"/>
          <w:sz w:val="32"/>
          <w:szCs w:val="32"/>
        </w:rPr>
        <w:t xml:space="preserve">    3</w:t>
      </w:r>
      <w:r>
        <w:rPr>
          <w:rFonts w:hint="eastAsia" w:ascii="仿宋_GB2312" w:eastAsia="仿宋_GB2312" w:cs="Arial"/>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eastAsia="仿宋_GB2312" w:cs="Arial"/>
          <w:sz w:val="32"/>
          <w:szCs w:val="32"/>
        </w:rPr>
        <w:br w:type="textWrapping"/>
      </w:r>
      <w:r>
        <w:rPr>
          <w:rFonts w:ascii="仿宋_GB2312" w:eastAsia="仿宋_GB2312" w:cs="Arial"/>
          <w:sz w:val="32"/>
          <w:szCs w:val="32"/>
        </w:rPr>
        <w:t xml:space="preserve">    4</w:t>
      </w:r>
      <w:r>
        <w:rPr>
          <w:rFonts w:hint="eastAsia" w:ascii="仿宋_GB2312" w:eastAsia="仿宋_GB2312" w:cs="Arial"/>
          <w:sz w:val="32"/>
          <w:szCs w:val="32"/>
        </w:rPr>
        <w:t>、按计划组织本级财政收入和地方税的征收，完成国家财政计划，不断培植税源，管好财政资金，增强财政实力。</w:t>
      </w:r>
      <w:r>
        <w:rPr>
          <w:rFonts w:ascii="仿宋_GB2312" w:eastAsia="仿宋_GB2312" w:cs="Arial"/>
          <w:sz w:val="32"/>
          <w:szCs w:val="32"/>
        </w:rPr>
        <w:br w:type="textWrapping"/>
      </w:r>
      <w:r>
        <w:rPr>
          <w:rFonts w:ascii="仿宋_GB2312" w:eastAsia="仿宋_GB2312" w:cs="Arial"/>
          <w:sz w:val="32"/>
          <w:szCs w:val="32"/>
        </w:rPr>
        <w:t xml:space="preserve">    5</w:t>
      </w:r>
      <w:r>
        <w:rPr>
          <w:rFonts w:hint="eastAsia" w:ascii="仿宋_GB2312" w:eastAsia="仿宋_GB2312" w:cs="Arial"/>
          <w:sz w:val="32"/>
          <w:szCs w:val="32"/>
        </w:rPr>
        <w:t>、抓好精神文明建设，丰富群众文化生活，提倡移风易俗，反对封建迷信，破除陈规陋习，树立社会主义新风尚。</w:t>
      </w:r>
      <w:r>
        <w:rPr>
          <w:rFonts w:ascii="仿宋_GB2312" w:eastAsia="仿宋_GB2312" w:cs="Arial"/>
          <w:sz w:val="32"/>
          <w:szCs w:val="32"/>
        </w:rPr>
        <w:br w:type="textWrapping"/>
      </w:r>
      <w:r>
        <w:rPr>
          <w:rFonts w:ascii="仿宋_GB2312" w:eastAsia="仿宋_GB2312" w:cs="Arial"/>
          <w:sz w:val="32"/>
          <w:szCs w:val="32"/>
        </w:rPr>
        <w:t xml:space="preserve">    6</w:t>
      </w:r>
      <w:r>
        <w:rPr>
          <w:rFonts w:hint="eastAsia" w:ascii="仿宋_GB2312" w:eastAsia="仿宋_GB2312" w:cs="Arial"/>
          <w:sz w:val="32"/>
          <w:szCs w:val="32"/>
        </w:rPr>
        <w:t>、完成上级政府交办的其它事项。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pStyle w:val="9"/>
        <w:spacing w:before="0" w:beforeAutospacing="0" w:after="0" w:afterAutospacing="0" w:line="600" w:lineRule="exact"/>
        <w:ind w:left="75" w:right="75" w:firstLine="480"/>
        <w:rPr>
          <w:rFonts w:ascii="仿宋_GB2312" w:eastAsia="仿宋_GB2312"/>
          <w:color w:val="333333"/>
          <w:sz w:val="32"/>
          <w:szCs w:val="32"/>
        </w:rPr>
      </w:pPr>
    </w:p>
    <w:p>
      <w:pPr>
        <w:pStyle w:val="9"/>
        <w:spacing w:before="0" w:beforeAutospacing="0" w:after="0" w:afterAutospacing="0" w:line="600" w:lineRule="exact"/>
        <w:ind w:left="75" w:right="75" w:firstLine="480"/>
        <w:rPr>
          <w:rFonts w:ascii="仿宋_GB2312" w:eastAsia="仿宋_GB2312"/>
          <w:color w:val="333333"/>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延津县胙城乡人民政府内设机构12个，包括：党政办公室、党建工作办公室、社会事务办公室、经济发展办公室、农业农村办公室、生态环境和规划建设办公室、综合行政执法协调办公室、便民服务中心、社会治安综合治理中心、文化卫生健康服务中心、综合行政执法大队、退役军人服务站。</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从决算单位构成看，延津县胙城乡人民政府部门决算包括：本级决算。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纳入本部门2019年度部门决算编制范围的单位共1个，具体是：延津县胙城乡人民政府本级。</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10"/>
        <w:tblW w:w="13846" w:type="dxa"/>
        <w:tblInd w:w="0" w:type="dxa"/>
        <w:tblLayout w:type="fixed"/>
        <w:tblCellMar>
          <w:top w:w="0" w:type="dxa"/>
          <w:left w:w="0" w:type="dxa"/>
          <w:bottom w:w="0" w:type="dxa"/>
          <w:right w:w="0" w:type="dxa"/>
        </w:tblCellMar>
      </w:tblPr>
      <w:tblGrid>
        <w:gridCol w:w="1027"/>
        <w:gridCol w:w="59"/>
        <w:gridCol w:w="2048"/>
        <w:gridCol w:w="776"/>
        <w:gridCol w:w="641"/>
        <w:gridCol w:w="501"/>
        <w:gridCol w:w="411"/>
        <w:gridCol w:w="221"/>
        <w:gridCol w:w="285"/>
        <w:gridCol w:w="816"/>
        <w:gridCol w:w="231"/>
        <w:gridCol w:w="512"/>
        <w:gridCol w:w="1041"/>
        <w:gridCol w:w="352"/>
        <w:gridCol w:w="1201"/>
        <w:gridCol w:w="440"/>
        <w:gridCol w:w="1114"/>
        <w:gridCol w:w="527"/>
        <w:gridCol w:w="105"/>
        <w:gridCol w:w="1513"/>
        <w:gridCol w:w="25"/>
      </w:tblGrid>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6"/>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6"/>
            <w:tcBorders>
              <w:top w:val="nil"/>
              <w:left w:val="nil"/>
              <w:bottom w:val="nil"/>
              <w:right w:val="nil"/>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部门：河南省新乡市延津县胙城乡人民政府</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1414.12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29</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398.13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16.27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30</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31</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32</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33</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34</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35</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36</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51.04</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37</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76.28</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38</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10.36</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11</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39</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147.57</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40</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649.22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41</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14</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42</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15</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43</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16</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44</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17</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45</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18</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46</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19</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47</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20</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48</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21</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49</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22</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50</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134.24</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23</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51</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24</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1430.39　</w:t>
            </w:r>
          </w:p>
        </w:tc>
        <w:tc>
          <w:tcPr>
            <w:tcW w:w="4891" w:type="dxa"/>
            <w:gridSpan w:val="7"/>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52</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b/>
                <w:bCs/>
                <w:kern w:val="0"/>
                <w:sz w:val="22"/>
              </w:rPr>
            </w:pPr>
            <w:r>
              <w:rPr>
                <w:rFonts w:hint="eastAsia" w:ascii="宋体" w:hAnsi="宋体" w:cs="宋体"/>
                <w:b/>
                <w:bCs/>
                <w:kern w:val="0"/>
                <w:sz w:val="22"/>
              </w:rPr>
              <w:t>　1466.84</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25</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53</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26</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814.35　</w:t>
            </w:r>
          </w:p>
        </w:tc>
        <w:tc>
          <w:tcPr>
            <w:tcW w:w="4891" w:type="dxa"/>
            <w:gridSpan w:val="7"/>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54</w:t>
            </w:r>
          </w:p>
        </w:tc>
        <w:tc>
          <w:tcPr>
            <w:tcW w:w="1513" w:type="dxa"/>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777.90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nil"/>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27</w:t>
            </w:r>
          </w:p>
        </w:tc>
        <w:tc>
          <w:tcPr>
            <w:tcW w:w="1101" w:type="dxa"/>
            <w:gridSpan w:val="2"/>
            <w:tcBorders>
              <w:top w:val="nil"/>
              <w:left w:val="nil"/>
              <w:bottom w:val="nil"/>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4891" w:type="dxa"/>
            <w:gridSpan w:val="7"/>
            <w:tcBorders>
              <w:top w:val="nil"/>
              <w:left w:val="nil"/>
              <w:bottom w:val="nil"/>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55</w:t>
            </w:r>
          </w:p>
        </w:tc>
        <w:tc>
          <w:tcPr>
            <w:tcW w:w="1513" w:type="dxa"/>
            <w:tcBorders>
              <w:top w:val="nil"/>
              <w:left w:val="nil"/>
              <w:bottom w:val="nil"/>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8" w:space="0"/>
              <w:bottom w:val="single" w:color="auto" w:sz="8" w:space="0"/>
              <w:right w:val="nil"/>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28</w:t>
            </w:r>
          </w:p>
        </w:tc>
        <w:tc>
          <w:tcPr>
            <w:tcW w:w="1101" w:type="dxa"/>
            <w:gridSpan w:val="2"/>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2244.74　</w:t>
            </w:r>
          </w:p>
        </w:tc>
        <w:tc>
          <w:tcPr>
            <w:tcW w:w="4891" w:type="dxa"/>
            <w:gridSpan w:val="7"/>
            <w:tcBorders>
              <w:top w:val="single" w:color="auto" w:sz="4" w:space="0"/>
              <w:left w:val="nil"/>
              <w:bottom w:val="single" w:color="auto" w:sz="8" w:space="0"/>
              <w:right w:val="nil"/>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56</w:t>
            </w:r>
          </w:p>
        </w:tc>
        <w:tc>
          <w:tcPr>
            <w:tcW w:w="1513"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rPr>
            </w:pPr>
            <w:r>
              <w:rPr>
                <w:rFonts w:hint="eastAsia" w:ascii="宋体" w:hAnsi="宋体" w:cs="宋体"/>
                <w:b/>
                <w:bCs/>
                <w:kern w:val="0"/>
                <w:sz w:val="22"/>
              </w:rPr>
              <w:t>　2244.74</w:t>
            </w:r>
          </w:p>
        </w:tc>
      </w:tr>
      <w:tr>
        <w:tblPrEx>
          <w:tblCellMar>
            <w:top w:w="0" w:type="dxa"/>
            <w:left w:w="108" w:type="dxa"/>
            <w:bottom w:w="0" w:type="dxa"/>
            <w:right w:w="108" w:type="dxa"/>
          </w:tblCellMar>
        </w:tblPrEx>
        <w:trPr>
          <w:gridAfter w:val="1"/>
          <w:wAfter w:w="25" w:type="dxa"/>
          <w:trHeight w:val="405" w:hRule="atLeast"/>
        </w:trPr>
        <w:tc>
          <w:tcPr>
            <w:tcW w:w="13821" w:type="dxa"/>
            <w:gridSpan w:val="20"/>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4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7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7016" w:type="dxa"/>
            <w:gridSpan w:val="11"/>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部门：河南省新乡市延津县胙城乡人民政府</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134"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1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55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39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134"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1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3134"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1430.39</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1430.39</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406.44</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406.44</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364.36</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364.36</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361.63</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361.63</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2010350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w:t>
            </w:r>
          </w:p>
        </w:tc>
        <w:tc>
          <w:tcPr>
            <w:tcW w:w="14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w:t>
            </w:r>
          </w:p>
        </w:tc>
        <w:tc>
          <w:tcPr>
            <w:tcW w:w="1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156.84</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156.84</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16.27</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16.27</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农村基础设施建设支出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9.27</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9.27</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729.43</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729.43</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630.51</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630.51</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365.14</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365.14</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265.37</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265.37</w:t>
            </w:r>
          </w:p>
        </w:tc>
        <w:tc>
          <w:tcPr>
            <w:tcW w:w="155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348" w:type="dxa"/>
        <w:tblInd w:w="15" w:type="dxa"/>
        <w:tblLayout w:type="fixed"/>
        <w:tblCellMar>
          <w:top w:w="0" w:type="dxa"/>
          <w:left w:w="0" w:type="dxa"/>
          <w:bottom w:w="0" w:type="dxa"/>
          <w:right w:w="0" w:type="dxa"/>
        </w:tblCellMar>
      </w:tblPr>
      <w:tblGrid>
        <w:gridCol w:w="1105"/>
        <w:gridCol w:w="63"/>
        <w:gridCol w:w="27"/>
        <w:gridCol w:w="1349"/>
        <w:gridCol w:w="1448"/>
        <w:gridCol w:w="326"/>
        <w:gridCol w:w="950"/>
        <w:gridCol w:w="852"/>
        <w:gridCol w:w="707"/>
        <w:gridCol w:w="1094"/>
        <w:gridCol w:w="324"/>
        <w:gridCol w:w="11"/>
        <w:gridCol w:w="1406"/>
        <w:gridCol w:w="61"/>
        <w:gridCol w:w="1640"/>
        <w:gridCol w:w="161"/>
        <w:gridCol w:w="1824"/>
      </w:tblGrid>
      <w:tr>
        <w:tblPrEx>
          <w:tblCellMar>
            <w:top w:w="0" w:type="dxa"/>
            <w:left w:w="0" w:type="dxa"/>
            <w:bottom w:w="0" w:type="dxa"/>
            <w:right w:w="0" w:type="dxa"/>
          </w:tblCellMar>
        </w:tblPrEx>
        <w:trPr>
          <w:trHeight w:val="435" w:hRule="atLeast"/>
        </w:trPr>
        <w:tc>
          <w:tcPr>
            <w:tcW w:w="13348" w:type="dxa"/>
            <w:gridSpan w:val="17"/>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0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7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6120" w:type="dxa"/>
            <w:gridSpan w:val="8"/>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部门：河南省新乡市延津县胙城乡人民政府</w:t>
            </w: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02"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992" w:type="dxa"/>
            <w:gridSpan w:val="5"/>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55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42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406"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85"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68"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82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68"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82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992" w:type="dxa"/>
            <w:gridSpan w:val="5"/>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85"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3992" w:type="dxa"/>
            <w:gridSpan w:val="5"/>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1466.84</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1115.07</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351.77</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398.13</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398.13</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364.35</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364.35</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361.62</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361.62</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2010350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14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147.57</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140.57</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649.22</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438.69</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550.30</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339.77</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219.77</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219.77</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120.00</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229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22999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2299901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5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14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630" w:hRule="atLeast"/>
        </w:trPr>
        <w:tc>
          <w:tcPr>
            <w:tcW w:w="1334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59"/>
        <w:gridCol w:w="1184"/>
        <w:gridCol w:w="336"/>
        <w:gridCol w:w="1680"/>
      </w:tblGrid>
      <w:tr>
        <w:tblPrEx>
          <w:tblCellMar>
            <w:top w:w="0" w:type="dxa"/>
            <w:left w:w="0" w:type="dxa"/>
            <w:bottom w:w="0" w:type="dxa"/>
            <w:right w:w="0" w:type="dxa"/>
          </w:tblCellMar>
        </w:tblPrEx>
        <w:trPr>
          <w:trHeight w:val="360" w:hRule="atLeast"/>
        </w:trPr>
        <w:tc>
          <w:tcPr>
            <w:tcW w:w="13988"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部门：河南省新乡市延津县胙城乡人民政府</w:t>
            </w: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5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1414.12</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398.13</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398.13</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16.27</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51.04</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51.04</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76.28</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76.28</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147.57</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140.57</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649.22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649.22</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134.24</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134.24</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1430.39</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1466.84</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1459.84</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b/>
                <w:color w:val="000000"/>
                <w:sz w:val="20"/>
                <w:szCs w:val="20"/>
              </w:rPr>
            </w:pPr>
            <w:r>
              <w:rPr>
                <w:rFonts w:hint="eastAsia" w:ascii="宋体" w:hAnsi="宋体" w:cs="宋体"/>
                <w:b/>
                <w:color w:val="000000"/>
                <w:sz w:val="20"/>
                <w:szCs w:val="20"/>
              </w:rPr>
              <w:t>7.00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814.35</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777.90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768.63</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9.27</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12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814.35</w:t>
            </w:r>
          </w:p>
        </w:tc>
        <w:tc>
          <w:tcPr>
            <w:tcW w:w="340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867" w:type="dxa"/>
            <w:gridSpan w:val="2"/>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20" w:type="dxa"/>
            <w:gridSpan w:val="2"/>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27</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3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86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2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28</w:t>
            </w:r>
          </w:p>
        </w:tc>
        <w:tc>
          <w:tcPr>
            <w:tcW w:w="121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867" w:type="dxa"/>
            <w:gridSpan w:val="2"/>
            <w:tcBorders>
              <w:top w:val="single" w:color="auto"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20" w:type="dxa"/>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auto"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2244.74</w:t>
            </w:r>
          </w:p>
        </w:tc>
        <w:tc>
          <w:tcPr>
            <w:tcW w:w="3400"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867"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2244.74</w:t>
            </w:r>
          </w:p>
        </w:tc>
        <w:tc>
          <w:tcPr>
            <w:tcW w:w="152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2228.47</w:t>
            </w:r>
          </w:p>
        </w:tc>
        <w:tc>
          <w:tcPr>
            <w:tcW w:w="1680"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ascii="宋体" w:hAnsi="宋体" w:cs="宋体"/>
                <w:b/>
                <w:color w:val="000000"/>
                <w:sz w:val="20"/>
                <w:szCs w:val="20"/>
              </w:rPr>
            </w:pPr>
            <w:r>
              <w:rPr>
                <w:rFonts w:hint="eastAsia" w:ascii="宋体" w:hAnsi="宋体" w:cs="宋体"/>
                <w:b/>
                <w:color w:val="000000"/>
                <w:sz w:val="20"/>
                <w:szCs w:val="20"/>
              </w:rPr>
              <w:t>16.27</w:t>
            </w:r>
          </w:p>
        </w:tc>
      </w:tr>
      <w:tr>
        <w:tblPrEx>
          <w:tblCellMar>
            <w:top w:w="0" w:type="dxa"/>
            <w:left w:w="0" w:type="dxa"/>
            <w:bottom w:w="0" w:type="dxa"/>
            <w:right w:w="0" w:type="dxa"/>
          </w:tblCellMar>
        </w:tblPrEx>
        <w:trPr>
          <w:trHeight w:val="585" w:hRule="atLeast"/>
        </w:trPr>
        <w:tc>
          <w:tcPr>
            <w:tcW w:w="13988"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726"/>
        <w:gridCol w:w="688"/>
        <w:gridCol w:w="3302"/>
        <w:gridCol w:w="1985"/>
        <w:gridCol w:w="387"/>
        <w:gridCol w:w="3015"/>
        <w:gridCol w:w="434"/>
        <w:gridCol w:w="3451"/>
      </w:tblGrid>
      <w:tr>
        <w:tblPrEx>
          <w:tblCellMar>
            <w:top w:w="0" w:type="dxa"/>
            <w:left w:w="0" w:type="dxa"/>
            <w:bottom w:w="0" w:type="dxa"/>
            <w:right w:w="0" w:type="dxa"/>
          </w:tblCellMar>
        </w:tblPrEx>
        <w:trPr>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3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372"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6"/>
                <w:rFonts w:hint="default"/>
              </w:rPr>
              <w:t>5表</w:t>
            </w:r>
          </w:p>
        </w:tc>
      </w:tr>
      <w:tr>
        <w:tblPrEx>
          <w:tblCellMar>
            <w:top w:w="0" w:type="dxa"/>
            <w:left w:w="0" w:type="dxa"/>
            <w:bottom w:w="0" w:type="dxa"/>
            <w:right w:w="0" w:type="dxa"/>
          </w:tblCellMar>
        </w:tblPrEx>
        <w:trPr>
          <w:trHeight w:val="300" w:hRule="atLeast"/>
        </w:trPr>
        <w:tc>
          <w:tcPr>
            <w:tcW w:w="7088"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部门：河南省新乡市延津县胙城乡人民政府</w:t>
            </w: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4716"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8"/>
                <w:rFonts w:hint="default"/>
                <w:sz w:val="20"/>
                <w:szCs w:val="20"/>
              </w:rPr>
              <w:t xml:space="preserve">   </w:t>
            </w:r>
            <w:r>
              <w:rPr>
                <w:rStyle w:val="20"/>
                <w:rFonts w:hint="default"/>
                <w:sz w:val="20"/>
                <w:szCs w:val="20"/>
              </w:rPr>
              <w:t>目</w:t>
            </w:r>
          </w:p>
        </w:tc>
        <w:tc>
          <w:tcPr>
            <w:tcW w:w="9272"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3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8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02"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885" w:type="dxa"/>
            <w:gridSpan w:val="2"/>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1459.84</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1115.07</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344.77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398.13</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398.13</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364.35</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364.35</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361.62</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361.62</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2010350</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51.04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48.96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76.28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61.59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14.69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6.85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7.84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140.57</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140.57</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33.86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106.71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649.22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438.69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98.92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550.30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339.77</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210.53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219.77</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219.77</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134.24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ind w:firstLine="1500" w:firstLineChars="750"/>
              <w:jc w:val="right"/>
              <w:rPr>
                <w:rFonts w:ascii="宋体" w:hAnsi="宋体" w:cs="宋体"/>
                <w:color w:val="000000"/>
                <w:sz w:val="20"/>
                <w:szCs w:val="20"/>
              </w:rPr>
            </w:pPr>
            <w:r>
              <w:rPr>
                <w:rFonts w:hint="eastAsia" w:ascii="宋体" w:hAnsi="宋体" w:cs="宋体"/>
                <w:color w:val="000000"/>
                <w:sz w:val="20"/>
                <w:szCs w:val="20"/>
              </w:rPr>
              <w:t>134.24</w:t>
            </w:r>
          </w:p>
        </w:tc>
      </w:tr>
      <w:tr>
        <w:tblPrEx>
          <w:tblCellMar>
            <w:top w:w="0" w:type="dxa"/>
            <w:left w:w="0" w:type="dxa"/>
            <w:bottom w:w="0" w:type="dxa"/>
            <w:right w:w="0" w:type="dxa"/>
          </w:tblCellMar>
        </w:tblPrEx>
        <w:trPr>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870"/>
        <w:gridCol w:w="3114"/>
        <w:gridCol w:w="747"/>
        <w:gridCol w:w="870"/>
        <w:gridCol w:w="2069"/>
        <w:gridCol w:w="935"/>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7670" w:type="dxa"/>
            <w:gridSpan w:val="5"/>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ascii="Arial" w:hAnsi="Arial" w:cs="Arial"/>
                <w:color w:val="000000"/>
                <w:kern w:val="0"/>
                <w:sz w:val="20"/>
                <w:szCs w:val="20"/>
              </w:rPr>
              <w:t>部门：</w:t>
            </w:r>
            <w:r>
              <w:rPr>
                <w:rFonts w:hint="eastAsia" w:ascii="Arial" w:hAnsi="Arial" w:cs="Arial"/>
                <w:color w:val="000000"/>
                <w:kern w:val="0"/>
                <w:sz w:val="20"/>
                <w:szCs w:val="20"/>
              </w:rPr>
              <w:t>河南省新乡市延津县胙城乡人民政府</w:t>
            </w:r>
          </w:p>
        </w:tc>
        <w:tc>
          <w:tcPr>
            <w:tcW w:w="93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367.07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213.66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193.99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112.41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63.15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26.39</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24.88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4.58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11.17</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48.96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16.75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5.11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14.69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2.08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11.06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19.32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6.05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387.95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4.00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15.22</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382.45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27.4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74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755.02</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360.05</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部门：河南省新乡市延津县胙城乡人民政府</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31.01</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25.44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15.39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10.05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5.57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30.64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25.24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15.22</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10.02</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2"/>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10"/>
        <w:tblW w:w="13692" w:type="dxa"/>
        <w:tblInd w:w="0" w:type="dxa"/>
        <w:tblLayout w:type="fixed"/>
        <w:tblCellMar>
          <w:top w:w="0" w:type="dxa"/>
          <w:left w:w="0" w:type="dxa"/>
          <w:bottom w:w="0" w:type="dxa"/>
          <w:right w:w="0" w:type="dxa"/>
        </w:tblCellMar>
      </w:tblPr>
      <w:tblGrid>
        <w:gridCol w:w="611"/>
        <w:gridCol w:w="535"/>
        <w:gridCol w:w="3402"/>
        <w:gridCol w:w="1134"/>
        <w:gridCol w:w="1559"/>
        <w:gridCol w:w="992"/>
        <w:gridCol w:w="429"/>
        <w:gridCol w:w="1202"/>
        <w:gridCol w:w="74"/>
        <w:gridCol w:w="1559"/>
        <w:gridCol w:w="1830"/>
        <w:gridCol w:w="365"/>
      </w:tblGrid>
      <w:tr>
        <w:tblPrEx>
          <w:tblCellMar>
            <w:top w:w="0" w:type="dxa"/>
            <w:left w:w="0" w:type="dxa"/>
            <w:bottom w:w="0" w:type="dxa"/>
            <w:right w:w="0" w:type="dxa"/>
          </w:tblCellMar>
        </w:tblPrEx>
        <w:trPr>
          <w:trHeight w:val="600" w:hRule="atLeast"/>
        </w:trPr>
        <w:tc>
          <w:tcPr>
            <w:tcW w:w="13692"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65" w:type="dxa"/>
          <w:trHeight w:val="222" w:hRule="atLeast"/>
        </w:trPr>
        <w:tc>
          <w:tcPr>
            <w:tcW w:w="61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13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5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gridAfter w:val="1"/>
          <w:wAfter w:w="365" w:type="dxa"/>
          <w:trHeight w:val="300" w:hRule="atLeast"/>
        </w:trPr>
        <w:tc>
          <w:tcPr>
            <w:tcW w:w="7241" w:type="dxa"/>
            <w:gridSpan w:val="5"/>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河南省新乡市延津县胙城乡人民政府</w:t>
            </w:r>
          </w:p>
        </w:tc>
        <w:tc>
          <w:tcPr>
            <w:tcW w:w="992"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65" w:type="dxa"/>
          <w:trHeight w:val="405" w:hRule="atLeast"/>
        </w:trPr>
        <w:tc>
          <w:tcPr>
            <w:tcW w:w="454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134"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559"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256" w:type="dxa"/>
            <w:gridSpan w:val="5"/>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830"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65" w:type="dxa"/>
          <w:trHeight w:val="540" w:hRule="atLeast"/>
        </w:trPr>
        <w:tc>
          <w:tcPr>
            <w:tcW w:w="1146"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4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2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59"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36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16.27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7.00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16.27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7.00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3"/>
                <w:szCs w:val="13"/>
              </w:rPr>
            </w:pPr>
            <w:r>
              <w:rPr>
                <w:rFonts w:hint="eastAsia" w:ascii="宋体" w:hAnsi="宋体" w:cs="宋体"/>
                <w:color w:val="000000"/>
                <w:sz w:val="13"/>
                <w:szCs w:val="13"/>
              </w:rPr>
              <w:t>国有土地使用权出让收入及对应专项债务收入安排的支出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16.27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7.00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2120804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9.27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2120899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sz w:val="18"/>
                <w:szCs w:val="18"/>
              </w:rPr>
              <w:t>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7.00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3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4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83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692"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2019年度收、支总计均为2244.74万元。与上年度相比，收、支总计各减少173.21万元，下降7.16%。主要原因是减少了基础设施建设投资项目支出和我乡胙城村的美丽乡村建设已完工并投入使用。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2019年度收入合计1430.39万元，其中：财政拨款收入1430.39万元，占100%。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2019年度支出合计1466.84万元，其中：基本支出1115.07万元，占76.02%；项目支出351.77万元，占23.98%。</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2019年度财政拨款收、支总计均为2244.74万元。与上年度相比，财政拨款收、支总计各减少173.22万元，下降7.16%。主要原因是减少了基础设施建设投资项目支出和我乡胙城村的美丽乡村建设已完工并投入使用。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1459.84万元，占本年支出合计的99.52%。与上年度相比，一般公共预算财政拨款支出减少121.56万元，下降7.69%。主要原因是减少了基础设施建设投资项目支出和我乡胙城村的美丽乡村建设已完工并投入使用。</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ind w:firstLine="640"/>
        <w:jc w:val="left"/>
        <w:rPr>
          <w:rFonts w:ascii="仿宋_GB2312" w:eastAsia="仿宋_GB2312" w:cs="仿宋"/>
          <w:color w:val="000000"/>
          <w:sz w:val="32"/>
          <w:szCs w:val="32"/>
        </w:rPr>
      </w:pPr>
      <w:r>
        <w:rPr>
          <w:rFonts w:hint="eastAsia" w:ascii="仿宋_GB2312" w:hAnsi="宋体" w:eastAsia="仿宋_GB2312" w:cs="仿宋"/>
          <w:color w:val="000000"/>
          <w:sz w:val="32"/>
          <w:szCs w:val="32"/>
        </w:rPr>
        <w:t>2019年度一般公共预算财政拨款支出1459.84万元，主要用于以下方面：一般公共服务（类）支出398.13万元，占27.27%；社会保障和就业（类）支出51.04万元，占3.5%；卫生健康（类）支出76.28万元，占5.23%；节能环保（类）支出</w:t>
      </w:r>
      <w:r>
        <w:rPr>
          <w:rFonts w:hint="eastAsia" w:ascii="仿宋_GB2312" w:eastAsia="仿宋_GB2312" w:cs="仿宋"/>
          <w:color w:val="000000"/>
          <w:sz w:val="32"/>
          <w:szCs w:val="32"/>
        </w:rPr>
        <w:t>10.36</w:t>
      </w:r>
      <w:r>
        <w:rPr>
          <w:rFonts w:hint="eastAsia" w:ascii="仿宋_GB2312" w:hAnsi="宋体" w:eastAsia="仿宋_GB2312" w:cs="仿宋"/>
          <w:color w:val="000000"/>
          <w:sz w:val="32"/>
          <w:szCs w:val="32"/>
        </w:rPr>
        <w:t>万元，占0.7%；城乡社区（类）支出140.57万元，占9.63%；农林水（类）支出649.22万元，占44.47%；其他（类）支出</w:t>
      </w:r>
      <w:r>
        <w:rPr>
          <w:rFonts w:hint="eastAsia" w:ascii="仿宋_GB2312" w:eastAsia="仿宋_GB2312" w:cs="仿宋"/>
          <w:color w:val="000000"/>
          <w:sz w:val="32"/>
          <w:szCs w:val="32"/>
        </w:rPr>
        <w:t>134.24</w:t>
      </w:r>
      <w:r>
        <w:rPr>
          <w:rFonts w:hint="eastAsia" w:ascii="仿宋_GB2312" w:hAnsi="宋体" w:eastAsia="仿宋_GB2312" w:cs="仿宋"/>
          <w:color w:val="000000"/>
          <w:sz w:val="32"/>
          <w:szCs w:val="32"/>
        </w:rPr>
        <w:t>万元，占9.20%。</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ind w:firstLine="640"/>
        <w:rPr>
          <w:rFonts w:ascii="仿宋_GB2312" w:eastAsia="仿宋_GB2312" w:cs="仿宋"/>
          <w:color w:val="000000"/>
          <w:sz w:val="32"/>
          <w:szCs w:val="32"/>
        </w:rPr>
      </w:pPr>
      <w:r>
        <w:rPr>
          <w:rFonts w:ascii="宋体" w:hAnsi="宋体" w:cs="仿宋"/>
          <w:color w:val="000000"/>
          <w:sz w:val="32"/>
          <w:szCs w:val="32"/>
        </w:rPr>
        <w:t>2019</w:t>
      </w:r>
      <w:r>
        <w:rPr>
          <w:rFonts w:hint="eastAsia" w:ascii="仿宋_GB2312" w:hAnsi="宋体" w:eastAsia="仿宋_GB2312" w:cs="仿宋"/>
          <w:color w:val="000000"/>
          <w:sz w:val="32"/>
          <w:szCs w:val="32"/>
        </w:rPr>
        <w:t>年度一般公共预算财政拨款支出年初预算为1463.59万元，支出决算为1459.84万元，完成年初预算的99.74%。其中：</w:t>
      </w: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1．一般公共服务（类）政府办公厅（室）及相关机构事物（款）行政运行（项）。</w:t>
      </w:r>
      <w:r>
        <w:rPr>
          <w:rFonts w:hint="eastAsia" w:ascii="仿宋_GB2312" w:hAnsi="仿宋_GB2312" w:eastAsia="仿宋_GB2312" w:cs="仿宋_GB2312"/>
          <w:sz w:val="32"/>
          <w:szCs w:val="32"/>
        </w:rPr>
        <w:t>年初预算为372.38万元，支出决算为361.62万元，完成年初预算的97.11%。</w:t>
      </w:r>
      <w:r>
        <w:rPr>
          <w:rFonts w:hint="eastAsia" w:ascii="仿宋_GB2312" w:eastAsia="仿宋_GB2312" w:cs="仿宋"/>
          <w:sz w:val="32"/>
          <w:szCs w:val="32"/>
        </w:rPr>
        <w:t>决算数与年初预算数存在差异的主要原因：“三公经费”支出和其他公用经费支出的减少。</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2．一般公共服务（类）政府办公厅（室）及相关机构事物（款）事业运行（项）。</w:t>
      </w:r>
      <w:r>
        <w:rPr>
          <w:rFonts w:hint="eastAsia" w:ascii="仿宋_GB2312" w:hAnsi="仿宋_GB2312" w:eastAsia="仿宋_GB2312" w:cs="仿宋_GB2312"/>
          <w:sz w:val="32"/>
          <w:szCs w:val="32"/>
        </w:rPr>
        <w:t>年初预算为2.73万元，支出决算为2.73万元，完成年初预算的100%。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3．一般公共服务（类）财政事物（款）其他财政事物（项）</w:t>
      </w:r>
      <w:r>
        <w:rPr>
          <w:rFonts w:hint="eastAsia" w:ascii="仿宋_GB2312" w:hAnsi="仿宋_GB2312" w:eastAsia="仿宋_GB2312" w:cs="仿宋_GB2312"/>
          <w:sz w:val="32"/>
          <w:szCs w:val="32"/>
        </w:rPr>
        <w:t>年初预算为1.7万元，支出决算为1.7万元，完成年初预算的100%。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4．一般公共服务（类）党委办公厅（室）及相关机构事物（款）行政运行（项）</w:t>
      </w:r>
      <w:r>
        <w:rPr>
          <w:rFonts w:hint="eastAsia" w:ascii="仿宋_GB2312" w:hAnsi="仿宋_GB2312" w:eastAsia="仿宋_GB2312" w:cs="仿宋_GB2312"/>
          <w:sz w:val="32"/>
          <w:szCs w:val="32"/>
        </w:rPr>
        <w:t>年初预算为32.08万元，支出决算为32.08万元，完成年初预算的100%。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rPr>
          <w:rFonts w:ascii="仿宋_GB2312" w:hAnsi="仿宋_GB2312" w:eastAsia="仿宋_GB2312" w:cs="仿宋_GB2312"/>
          <w:sz w:val="32"/>
          <w:szCs w:val="32"/>
        </w:rPr>
      </w:pPr>
    </w:p>
    <w:p>
      <w:pPr>
        <w:ind w:firstLine="787" w:firstLineChars="246"/>
        <w:rPr>
          <w:rFonts w:ascii="仿宋_GB2312" w:hAnsi="宋体" w:eastAsia="仿宋_GB2312" w:cs="Arial"/>
          <w:color w:val="000000"/>
          <w:kern w:val="0"/>
          <w:sz w:val="32"/>
          <w:szCs w:val="32"/>
        </w:rPr>
      </w:pPr>
      <w:r>
        <w:rPr>
          <w:rFonts w:hint="eastAsia" w:ascii="仿宋_GB2312" w:hAnsi="仿宋_GB2312" w:eastAsia="仿宋_GB2312" w:cs="仿宋_GB2312"/>
          <w:sz w:val="32"/>
          <w:szCs w:val="32"/>
        </w:rPr>
        <w:t>5.</w:t>
      </w:r>
      <w:r>
        <w:rPr>
          <w:rFonts w:ascii="仿宋_GB2312" w:hAnsi="宋体" w:eastAsia="仿宋_GB2312" w:cs="Arial"/>
          <w:color w:val="000000"/>
          <w:kern w:val="0"/>
          <w:sz w:val="32"/>
          <w:szCs w:val="32"/>
        </w:rPr>
        <w:t xml:space="preserve"> </w:t>
      </w:r>
      <w:r>
        <w:rPr>
          <w:rFonts w:hint="eastAsia" w:ascii="仿宋_GB2312" w:hAnsi="仿宋_GB2312" w:eastAsia="仿宋_GB2312" w:cs="仿宋_GB2312"/>
          <w:b/>
          <w:bCs/>
          <w:sz w:val="32"/>
          <w:szCs w:val="32"/>
        </w:rPr>
        <w:t>社会保障和就业（类）行政事业离退休（款）机关事业单位基本养老保险缴费（项）</w:t>
      </w:r>
      <w:r>
        <w:rPr>
          <w:rFonts w:hint="eastAsia" w:ascii="仿宋_GB2312" w:hAnsi="仿宋_GB2312" w:eastAsia="仿宋_GB2312" w:cs="仿宋_GB2312"/>
          <w:sz w:val="32"/>
          <w:szCs w:val="32"/>
        </w:rPr>
        <w:t>年初预算为48.96元，支出决算为48.96万元，完成年初预算的100%。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6．社会保障和就业（类）其他社会保障和就业（款）其他社会保障和就业支出（项）</w:t>
      </w:r>
      <w:r>
        <w:rPr>
          <w:rFonts w:hint="eastAsia" w:ascii="仿宋_GB2312" w:hAnsi="仿宋_GB2312" w:eastAsia="仿宋_GB2312" w:cs="仿宋_GB2312"/>
          <w:sz w:val="32"/>
          <w:szCs w:val="32"/>
        </w:rPr>
        <w:t>年初预算为2.08元，支出决算为2.08万元，完成年初预算的100%。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7．卫生与健康支出（类）计划生育事务（款）计划生育服务（项）</w:t>
      </w:r>
      <w:r>
        <w:rPr>
          <w:rFonts w:hint="eastAsia" w:ascii="仿宋_GB2312" w:hAnsi="仿宋_GB2312" w:eastAsia="仿宋_GB2312" w:cs="仿宋_GB2312"/>
          <w:sz w:val="32"/>
          <w:szCs w:val="32"/>
        </w:rPr>
        <w:t>年初预算为61.59万元，支出决算为61.59万元，完成年初预算的100%。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8．卫生与健康支出（类）行政事业单位医疗（款）行政单位医疗（项）</w:t>
      </w:r>
      <w:r>
        <w:rPr>
          <w:rFonts w:hint="eastAsia" w:ascii="仿宋_GB2312" w:hAnsi="仿宋_GB2312" w:eastAsia="仿宋_GB2312" w:cs="仿宋_GB2312"/>
          <w:sz w:val="32"/>
          <w:szCs w:val="32"/>
        </w:rPr>
        <w:t>年初预算为6.85万元，支出决算为6.85万元，完成年初预算的100%。</w:t>
      </w:r>
      <w:r>
        <w:rPr>
          <w:rFonts w:hint="eastAsia" w:ascii="仿宋_GB2312" w:eastAsia="仿宋_GB2312" w:cs="仿宋"/>
          <w:sz w:val="32"/>
          <w:szCs w:val="32"/>
        </w:rPr>
        <w:t>决算数与年初预算数不存在差异的主要原因：严格按照预算执行。</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9. 卫生与健康支出（类）行政事业单位医疗（款）事业单位医疗（项）</w:t>
      </w:r>
      <w:r>
        <w:rPr>
          <w:rFonts w:hint="eastAsia" w:ascii="仿宋_GB2312" w:hAnsi="仿宋_GB2312" w:eastAsia="仿宋_GB2312" w:cs="仿宋_GB2312"/>
          <w:sz w:val="32"/>
          <w:szCs w:val="32"/>
        </w:rPr>
        <w:t>年初预算为7.84万元，支出决算为7.84万元，完成年初预算的100%。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sz w:val="32"/>
          <w:szCs w:val="32"/>
        </w:rPr>
        <w:t>10</w:t>
      </w:r>
      <w:r>
        <w:rPr>
          <w:rFonts w:hint="eastAsia" w:ascii="仿宋_GB2312" w:hAnsi="仿宋_GB2312" w:eastAsia="仿宋_GB2312" w:cs="仿宋_GB2312"/>
          <w:b/>
          <w:bCs/>
          <w:sz w:val="32"/>
          <w:szCs w:val="32"/>
        </w:rPr>
        <w:t>．节能环保支出（类）自然生态保护（款）农村环境保护（项）</w:t>
      </w:r>
      <w:r>
        <w:rPr>
          <w:rFonts w:hint="eastAsia" w:ascii="仿宋_GB2312" w:hAnsi="仿宋_GB2312" w:eastAsia="仿宋_GB2312" w:cs="仿宋_GB2312"/>
          <w:sz w:val="32"/>
          <w:szCs w:val="32"/>
        </w:rPr>
        <w:t>年初预算为10.36万元，支出决算为10.36万元，完成年初预算的100%。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11．城乡社区（类）城乡社区公共设施（款）其他城乡社区公共设施（项）</w:t>
      </w:r>
      <w:r>
        <w:rPr>
          <w:rFonts w:hint="eastAsia" w:ascii="仿宋_GB2312" w:hAnsi="仿宋_GB2312" w:eastAsia="仿宋_GB2312" w:cs="仿宋_GB2312"/>
          <w:sz w:val="32"/>
          <w:szCs w:val="32"/>
        </w:rPr>
        <w:t>年初预算为33.86万元，支出决算为33.86万元，完成年初预算的100%。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12．城乡社区（类）城乡社区环境卫生（款）城乡社区环境卫生（项）</w:t>
      </w:r>
      <w:r>
        <w:rPr>
          <w:rFonts w:hint="eastAsia" w:ascii="仿宋_GB2312" w:hAnsi="仿宋_GB2312" w:eastAsia="仿宋_GB2312" w:cs="仿宋_GB2312"/>
          <w:sz w:val="32"/>
          <w:szCs w:val="32"/>
        </w:rPr>
        <w:t>年初预算为106.71万元，支出决算为106.71万元，完成年初预算的100%。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13．农林水（类）农业（款）事业运行（项）</w:t>
      </w:r>
      <w:r>
        <w:rPr>
          <w:rFonts w:hint="eastAsia" w:ascii="仿宋_GB2312" w:hAnsi="仿宋_GB2312" w:eastAsia="仿宋_GB2312" w:cs="仿宋_GB2312"/>
          <w:sz w:val="32"/>
          <w:szCs w:val="32"/>
        </w:rPr>
        <w:t>年初预算为91.91万元，支出决算为98.92万元，完成年初预算的107.63%。</w:t>
      </w:r>
      <w:r>
        <w:rPr>
          <w:rFonts w:hint="eastAsia" w:ascii="仿宋_GB2312" w:eastAsia="仿宋_GB2312" w:cs="仿宋"/>
          <w:sz w:val="32"/>
          <w:szCs w:val="32"/>
        </w:rPr>
        <w:t>决算数与年初预算数存在差异的主要原因：在职职工增资造成支出增加。</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14．农林水（类）农村综合改革（款）对村级一事一议的补助（项）</w:t>
      </w:r>
      <w:r>
        <w:rPr>
          <w:rFonts w:hint="eastAsia" w:ascii="仿宋_GB2312" w:hAnsi="仿宋_GB2312" w:eastAsia="仿宋_GB2312" w:cs="仿宋_GB2312"/>
          <w:sz w:val="32"/>
          <w:szCs w:val="32"/>
        </w:rPr>
        <w:t>年初预算为210.53万元，支出决算为210.53万元，完成年初预算的100%。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color w:val="000000"/>
          <w:kern w:val="0"/>
          <w:sz w:val="32"/>
          <w:szCs w:val="32"/>
        </w:rPr>
      </w:pP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15．农林水（类）农村综合改革（款）对村民委员会和党支部的补助（项）</w:t>
      </w:r>
      <w:r>
        <w:rPr>
          <w:rFonts w:hint="eastAsia" w:ascii="仿宋_GB2312" w:hAnsi="仿宋_GB2312" w:eastAsia="仿宋_GB2312" w:cs="仿宋_GB2312"/>
          <w:sz w:val="32"/>
          <w:szCs w:val="32"/>
        </w:rPr>
        <w:t>年初预算为219.77万元，支出决算为219.77万元，完成年初预算的100%。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16．农林水（类）农村综合改革（款）对村集体经济组织的补助（项）</w:t>
      </w:r>
      <w:r>
        <w:rPr>
          <w:rFonts w:hint="eastAsia" w:ascii="仿宋_GB2312" w:hAnsi="仿宋_GB2312" w:eastAsia="仿宋_GB2312" w:cs="仿宋_GB2312"/>
          <w:sz w:val="32"/>
          <w:szCs w:val="32"/>
        </w:rPr>
        <w:t>年初预算为120万元，支出决算为120万元，完成年初预算的100%。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803" w:firstLineChars="2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17．其他支出（类）其他支出（款）其他支出（项）</w:t>
      </w:r>
      <w:r>
        <w:rPr>
          <w:rFonts w:hint="eastAsia" w:ascii="仿宋_GB2312" w:hAnsi="仿宋_GB2312" w:eastAsia="仿宋_GB2312" w:cs="仿宋_GB2312"/>
          <w:sz w:val="32"/>
          <w:szCs w:val="32"/>
        </w:rPr>
        <w:t>年初预算为134.24万元，支出决算为134.24万元，完成年初预算的100%。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1115.07万元。其中：人员经费755.02万元，主要包括：基本工资193.99万元、津贴补贴63.15万元、绩效工资24.88万元、机关事业单位基本养老保险缴费48.96万元、职工基本医疗保险缴费14.69万元、其他社会保障缴费2.08万元、住房公积金19.32万元、离休费4万元、生活补助382.45万元、其他对个人和家庭的补助1.5万元；公用经费360.05万元，主要包括：办公费112.41万元、水费4.58万元、电费16.75万元、邮电费5.11万元、取暖费12.58万元、差旅费11.06万元、维修（护）费6.05万元、、培训费1.3万元、公务接待费5.4万元、劳务费27.4万元、公务用车运行维护费10.02万元、其他交通费用1万元、办公设备购置11.17万元、公务用车购置15.22万元、对民间非营利组织和群众自治组织的补贴120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31.01万元，支出决算为30.64万元，完成预算的98.8%。2019年度“三公”经费支出决算数与预算数存在差异的主要原因是第一在规定的公务接待标准上降低来客接待标准和减少陪餐人数降低公务接待费用。第二在保证工作正常开展的情况下，尽量减少公车的使用次数和频率，减少公车运行费用。</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25.24万元，完成预算的99.20%，占82.37%；公务接待费支出决算5.40万元，完成预算的96.9%，占17.63%。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预算为0万元，支出决算为0万元，完成预算的0%。决算数与年初预算数不存在差异。全年因公出国（境）团组0个，累计0人次。开支内容包括：</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预算为25.44万元，支出决算为25.24万元，完成预算的99.2%。决算数与年初预算数存在差异的主要原因是减少了购车费用，压减了公车运行支出。其中：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公务用车购置支出为</w:t>
      </w:r>
      <w:r>
        <w:rPr>
          <w:rFonts w:hint="eastAsia" w:ascii="仿宋_GB2312" w:hAnsi="仿宋_GB2312" w:eastAsia="仿宋_GB2312" w:cs="仿宋_GB2312"/>
          <w:sz w:val="32"/>
          <w:szCs w:val="32"/>
        </w:rPr>
        <w:t>15.22万元，购置车辆1辆，其中一般公务用车1辆。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10.02万元。主要用于2辆一般公务用车和4辆执法执勤车辆的油费和维修。2019年期末，部门开支财政拨款的公务用车保有量为6辆。</w:t>
      </w:r>
      <w:r>
        <w:rPr>
          <w:rFonts w:ascii="仿宋_GB2312" w:hAnsi="仿宋_GB2312" w:eastAsia="仿宋_GB2312" w:cs="仿宋_GB2312"/>
          <w:sz w:val="32"/>
          <w:szCs w:val="32"/>
        </w:rPr>
        <w:t xml:space="preserve"> </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预算为5.57万元，支出决算为5.4万元，完成预算的96.9%。决算数与年初预算数存在差异的主要原因是在规定的公务接待标准上降低来客接待标准和减少陪餐人数减少公务接待费用。其中：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5.4万元。主要用于上级部门检查工作和其他单位来客的接待。2019年共接待国内来访团组227个、来宾1936人次（不包括陪同人员）。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根据财政预算管理要求，对2019年度一般公共预算项目支出全面开展绩效自评。其中，一级项目3个，共涉及预算资金351.77万元，自评覆盖率达到100%。</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2019年年初设定的绩效目标，“城乡社区卫生设施”中的“其他国有土地使用权出让收入安排的支出”项目支出7万元，自评得分92分，资金支出主要用于乡国土所房屋装修；“农村综合改革”中的“对村级一事一议的补助”项目支出210.54万元，项目自评得分为93分，资金支出主要用于我乡张庄村、前董固、后董固三个村村内道路建设； “其他支出”中的“其他支出”项目支出134.24万元，项目自评得分为95分，用于我乡袁庄村美丽乡村建设。发现的主要问题：工程进度与资金支付不能同步，项目已建设完工，并验收投入使用但资金无法按合同规定拨付给施工单位，施工方意见很大。项目完工并投入使用但接收方后期管护不到位。下一步改进措施：增加财政资金的投入，严格按合同拨付施工款项。督促接收方加强后期项目的管护和维修，使项目能够长期给人们服务。</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性基金预算财政拨款支出年初预算为16.27万元，支出决算为7万元，完成年初预算的43.02%。主要用于乡国土所的房屋装修，其中“农村基础设施建设支出”项目年末结转和结余资金数额较大，主要原因：所建设项目没有完工，没有验收，资金没有拨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2019年度机关运行经费年初预算为0万元，支出决算为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%，比年初预算数减少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w:t>
      </w:r>
      <w:bookmarkStart w:id="0" w:name="_GoBack"/>
      <w:bookmarkEnd w:id="0"/>
      <w:r>
        <w:rPr>
          <w:rFonts w:hint="eastAsia" w:ascii="仿宋_GB2312" w:hAnsi="仿宋_GB2312" w:eastAsia="仿宋_GB2312" w:cs="仿宋_GB2312"/>
          <w:sz w:val="32"/>
          <w:szCs w:val="32"/>
        </w:rPr>
        <w:t>%。决算数与年初预算数存在差异的主要原因是在保证机关工作正常开展的情况下，压缩机关运行经费，将节省出来的资金全部用于全乡的脱贫攻坚工作，要将有限的资金用到刀刃上。</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55.26万元，其中：政府采购货物支出55.26万元、政府采购工程支出0万元、政府采购服务支出0万元。授予中小企业合同金额36.70万元，占政府采购支出总额的66.41%，其中：授予小微企业合同金额36.7万元，占政府采购支出总额的66.41%。</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6辆，其中：执法执勤用车4辆、其他用车2辆，其他用车主要是单位日常工作人员下基层和到上级部门办事用车，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74CE0"/>
    <w:multiLevelType w:val="multilevel"/>
    <w:tmpl w:val="78174CE0"/>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172A27"/>
    <w:rsid w:val="00004CB8"/>
    <w:rsid w:val="00004D53"/>
    <w:rsid w:val="0000599F"/>
    <w:rsid w:val="00011092"/>
    <w:rsid w:val="000270E8"/>
    <w:rsid w:val="0004085E"/>
    <w:rsid w:val="000452B8"/>
    <w:rsid w:val="00057AFD"/>
    <w:rsid w:val="00076410"/>
    <w:rsid w:val="000875A3"/>
    <w:rsid w:val="00094E62"/>
    <w:rsid w:val="000B505F"/>
    <w:rsid w:val="000C073B"/>
    <w:rsid w:val="000C2647"/>
    <w:rsid w:val="000F2333"/>
    <w:rsid w:val="001003F8"/>
    <w:rsid w:val="00115945"/>
    <w:rsid w:val="00131BAE"/>
    <w:rsid w:val="00144159"/>
    <w:rsid w:val="00144DF3"/>
    <w:rsid w:val="001556B7"/>
    <w:rsid w:val="0015578D"/>
    <w:rsid w:val="00170856"/>
    <w:rsid w:val="001718A8"/>
    <w:rsid w:val="00172A27"/>
    <w:rsid w:val="00182842"/>
    <w:rsid w:val="001905F2"/>
    <w:rsid w:val="00193C10"/>
    <w:rsid w:val="00196F81"/>
    <w:rsid w:val="001D61B1"/>
    <w:rsid w:val="001E089C"/>
    <w:rsid w:val="001F5040"/>
    <w:rsid w:val="001F5B9B"/>
    <w:rsid w:val="002006EB"/>
    <w:rsid w:val="002075A5"/>
    <w:rsid w:val="00207E45"/>
    <w:rsid w:val="00211806"/>
    <w:rsid w:val="00222595"/>
    <w:rsid w:val="002406FA"/>
    <w:rsid w:val="00260D70"/>
    <w:rsid w:val="00270CED"/>
    <w:rsid w:val="00282C7F"/>
    <w:rsid w:val="002833F4"/>
    <w:rsid w:val="00287811"/>
    <w:rsid w:val="002903F8"/>
    <w:rsid w:val="002961DB"/>
    <w:rsid w:val="002A22C4"/>
    <w:rsid w:val="002B0D12"/>
    <w:rsid w:val="002B0E65"/>
    <w:rsid w:val="002B3F94"/>
    <w:rsid w:val="002D3E5E"/>
    <w:rsid w:val="002E1CAD"/>
    <w:rsid w:val="002E6A86"/>
    <w:rsid w:val="00304326"/>
    <w:rsid w:val="00304D04"/>
    <w:rsid w:val="00305B88"/>
    <w:rsid w:val="00315FEB"/>
    <w:rsid w:val="00327B26"/>
    <w:rsid w:val="00351775"/>
    <w:rsid w:val="003578C6"/>
    <w:rsid w:val="00363DEE"/>
    <w:rsid w:val="00390AAA"/>
    <w:rsid w:val="0039179F"/>
    <w:rsid w:val="003B6571"/>
    <w:rsid w:val="003B6EF5"/>
    <w:rsid w:val="003D54A6"/>
    <w:rsid w:val="003E34FC"/>
    <w:rsid w:val="004054E4"/>
    <w:rsid w:val="00412A39"/>
    <w:rsid w:val="0042585F"/>
    <w:rsid w:val="00427C53"/>
    <w:rsid w:val="00445CAC"/>
    <w:rsid w:val="00454941"/>
    <w:rsid w:val="00465DBD"/>
    <w:rsid w:val="00472E19"/>
    <w:rsid w:val="00485448"/>
    <w:rsid w:val="00487869"/>
    <w:rsid w:val="004C143F"/>
    <w:rsid w:val="004D5275"/>
    <w:rsid w:val="00507364"/>
    <w:rsid w:val="00511A74"/>
    <w:rsid w:val="00546F7C"/>
    <w:rsid w:val="005867F5"/>
    <w:rsid w:val="00593B93"/>
    <w:rsid w:val="005A0C2F"/>
    <w:rsid w:val="005B1056"/>
    <w:rsid w:val="005B1AE2"/>
    <w:rsid w:val="005B4A24"/>
    <w:rsid w:val="005E7B35"/>
    <w:rsid w:val="006228C4"/>
    <w:rsid w:val="006470EF"/>
    <w:rsid w:val="006512DD"/>
    <w:rsid w:val="00656BEF"/>
    <w:rsid w:val="00656D75"/>
    <w:rsid w:val="00657D66"/>
    <w:rsid w:val="00657E86"/>
    <w:rsid w:val="00664226"/>
    <w:rsid w:val="00667F08"/>
    <w:rsid w:val="00673EF7"/>
    <w:rsid w:val="00683A28"/>
    <w:rsid w:val="006903CF"/>
    <w:rsid w:val="0069449E"/>
    <w:rsid w:val="006B0F7D"/>
    <w:rsid w:val="006B6436"/>
    <w:rsid w:val="006C07F0"/>
    <w:rsid w:val="006C644A"/>
    <w:rsid w:val="006C7D84"/>
    <w:rsid w:val="006F168E"/>
    <w:rsid w:val="0070530F"/>
    <w:rsid w:val="00707BD8"/>
    <w:rsid w:val="007148E8"/>
    <w:rsid w:val="0071781E"/>
    <w:rsid w:val="00726FD4"/>
    <w:rsid w:val="007305F3"/>
    <w:rsid w:val="00733DAA"/>
    <w:rsid w:val="00736117"/>
    <w:rsid w:val="007366AA"/>
    <w:rsid w:val="00742BA0"/>
    <w:rsid w:val="00743829"/>
    <w:rsid w:val="00753545"/>
    <w:rsid w:val="00764156"/>
    <w:rsid w:val="00767178"/>
    <w:rsid w:val="007706D7"/>
    <w:rsid w:val="0077280E"/>
    <w:rsid w:val="00776B36"/>
    <w:rsid w:val="007879ED"/>
    <w:rsid w:val="007A48A3"/>
    <w:rsid w:val="007A550C"/>
    <w:rsid w:val="007B2B76"/>
    <w:rsid w:val="007C029F"/>
    <w:rsid w:val="007C1412"/>
    <w:rsid w:val="007C7F49"/>
    <w:rsid w:val="007D2A21"/>
    <w:rsid w:val="007E4ADB"/>
    <w:rsid w:val="0082526E"/>
    <w:rsid w:val="00826815"/>
    <w:rsid w:val="00843461"/>
    <w:rsid w:val="0085777A"/>
    <w:rsid w:val="00872946"/>
    <w:rsid w:val="0088023A"/>
    <w:rsid w:val="008818E9"/>
    <w:rsid w:val="0088254D"/>
    <w:rsid w:val="008858FB"/>
    <w:rsid w:val="008914A0"/>
    <w:rsid w:val="00894B41"/>
    <w:rsid w:val="008B3D73"/>
    <w:rsid w:val="008B5427"/>
    <w:rsid w:val="008D0294"/>
    <w:rsid w:val="008D354A"/>
    <w:rsid w:val="008F1C35"/>
    <w:rsid w:val="008F21A2"/>
    <w:rsid w:val="00903F6B"/>
    <w:rsid w:val="00906280"/>
    <w:rsid w:val="00912868"/>
    <w:rsid w:val="0091738E"/>
    <w:rsid w:val="009173F9"/>
    <w:rsid w:val="0096087C"/>
    <w:rsid w:val="00975A04"/>
    <w:rsid w:val="00976DD9"/>
    <w:rsid w:val="00986958"/>
    <w:rsid w:val="009A6FB2"/>
    <w:rsid w:val="009B04A4"/>
    <w:rsid w:val="009D71A9"/>
    <w:rsid w:val="009E223F"/>
    <w:rsid w:val="009F546E"/>
    <w:rsid w:val="00A079F0"/>
    <w:rsid w:val="00A124B5"/>
    <w:rsid w:val="00A50CD2"/>
    <w:rsid w:val="00A57BF7"/>
    <w:rsid w:val="00A72096"/>
    <w:rsid w:val="00A81452"/>
    <w:rsid w:val="00A83D8A"/>
    <w:rsid w:val="00A87DA3"/>
    <w:rsid w:val="00A93E7D"/>
    <w:rsid w:val="00AA260E"/>
    <w:rsid w:val="00AA44CB"/>
    <w:rsid w:val="00AA67CD"/>
    <w:rsid w:val="00AB7481"/>
    <w:rsid w:val="00AC2764"/>
    <w:rsid w:val="00AC4266"/>
    <w:rsid w:val="00AD6761"/>
    <w:rsid w:val="00AE600E"/>
    <w:rsid w:val="00B0083B"/>
    <w:rsid w:val="00B05F02"/>
    <w:rsid w:val="00B209B8"/>
    <w:rsid w:val="00B249F3"/>
    <w:rsid w:val="00B6387B"/>
    <w:rsid w:val="00B710DD"/>
    <w:rsid w:val="00BB3FD2"/>
    <w:rsid w:val="00BE5A85"/>
    <w:rsid w:val="00BF5718"/>
    <w:rsid w:val="00C1157A"/>
    <w:rsid w:val="00C25FAD"/>
    <w:rsid w:val="00C3106E"/>
    <w:rsid w:val="00C60609"/>
    <w:rsid w:val="00C90ABB"/>
    <w:rsid w:val="00C95CC1"/>
    <w:rsid w:val="00C97266"/>
    <w:rsid w:val="00CA3F44"/>
    <w:rsid w:val="00CB30BC"/>
    <w:rsid w:val="00CB63B3"/>
    <w:rsid w:val="00CC4F89"/>
    <w:rsid w:val="00CD79FE"/>
    <w:rsid w:val="00CE212D"/>
    <w:rsid w:val="00CE2EFB"/>
    <w:rsid w:val="00CE4B38"/>
    <w:rsid w:val="00CF55A6"/>
    <w:rsid w:val="00D108CD"/>
    <w:rsid w:val="00D1321A"/>
    <w:rsid w:val="00D177F3"/>
    <w:rsid w:val="00D27B26"/>
    <w:rsid w:val="00D30ADF"/>
    <w:rsid w:val="00D338A3"/>
    <w:rsid w:val="00D346F6"/>
    <w:rsid w:val="00D44041"/>
    <w:rsid w:val="00D6315E"/>
    <w:rsid w:val="00D652C2"/>
    <w:rsid w:val="00D74EE2"/>
    <w:rsid w:val="00D812FD"/>
    <w:rsid w:val="00D81301"/>
    <w:rsid w:val="00D83E19"/>
    <w:rsid w:val="00D94F47"/>
    <w:rsid w:val="00DA00C9"/>
    <w:rsid w:val="00DA1D3F"/>
    <w:rsid w:val="00DB200E"/>
    <w:rsid w:val="00DB65F5"/>
    <w:rsid w:val="00DF4CAC"/>
    <w:rsid w:val="00DF6148"/>
    <w:rsid w:val="00E0106A"/>
    <w:rsid w:val="00E01C3E"/>
    <w:rsid w:val="00E13099"/>
    <w:rsid w:val="00E24448"/>
    <w:rsid w:val="00E4339F"/>
    <w:rsid w:val="00E533D3"/>
    <w:rsid w:val="00E629EA"/>
    <w:rsid w:val="00E63E5F"/>
    <w:rsid w:val="00E642E4"/>
    <w:rsid w:val="00E6777C"/>
    <w:rsid w:val="00E74229"/>
    <w:rsid w:val="00EB05A3"/>
    <w:rsid w:val="00ED38B7"/>
    <w:rsid w:val="00ED6798"/>
    <w:rsid w:val="00EE051D"/>
    <w:rsid w:val="00EE078D"/>
    <w:rsid w:val="00EE3C4D"/>
    <w:rsid w:val="00EE5979"/>
    <w:rsid w:val="00EE7B65"/>
    <w:rsid w:val="00F0131A"/>
    <w:rsid w:val="00F018C0"/>
    <w:rsid w:val="00F14C17"/>
    <w:rsid w:val="00F17041"/>
    <w:rsid w:val="00F3772D"/>
    <w:rsid w:val="00F44937"/>
    <w:rsid w:val="00F61A47"/>
    <w:rsid w:val="00F84422"/>
    <w:rsid w:val="00F95455"/>
    <w:rsid w:val="00FA574D"/>
    <w:rsid w:val="00FC32A8"/>
    <w:rsid w:val="00FE7AD9"/>
    <w:rsid w:val="00FF4333"/>
    <w:rsid w:val="00FF710C"/>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805789"/>
    <w:rsid w:val="2B4A0E52"/>
    <w:rsid w:val="2C975890"/>
    <w:rsid w:val="2DEF21BB"/>
    <w:rsid w:val="2E4A2F05"/>
    <w:rsid w:val="2ECC1061"/>
    <w:rsid w:val="2FA476AD"/>
    <w:rsid w:val="303F7540"/>
    <w:rsid w:val="30EC1D24"/>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0DF563B"/>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Date"/>
    <w:basedOn w:val="1"/>
    <w:next w:val="1"/>
    <w:link w:val="28"/>
    <w:unhideWhenUsed/>
    <w:qFormat/>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unhideWhenUsed/>
    <w:uiPriority w:val="99"/>
    <w:rPr>
      <w:color w:val="800080"/>
      <w:u w:val="single"/>
    </w:rPr>
  </w:style>
  <w:style w:type="character" w:styleId="14">
    <w:name w:val="Hyperlink"/>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styleId="16">
    <w:name w:val="footnote reference"/>
    <w:basedOn w:val="12"/>
    <w:unhideWhenUsed/>
    <w:qFormat/>
    <w:uiPriority w:val="99"/>
    <w:rPr>
      <w:vertAlign w:val="superscript"/>
    </w:rPr>
  </w:style>
  <w:style w:type="character" w:customStyle="1" w:styleId="17">
    <w:name w:val="页脚 Char"/>
    <w:link w:val="6"/>
    <w:qFormat/>
    <w:uiPriority w:val="99"/>
    <w:rPr>
      <w:kern w:val="2"/>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批注框文本 Char"/>
    <w:basedOn w:val="12"/>
    <w:link w:val="5"/>
    <w:semiHidden/>
    <w:qFormat/>
    <w:uiPriority w:val="99"/>
    <w:rPr>
      <w:kern w:val="2"/>
      <w:sz w:val="18"/>
      <w:szCs w:val="18"/>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页眉 Char"/>
    <w:link w:val="7"/>
    <w:qFormat/>
    <w:uiPriority w:val="99"/>
    <w:rPr>
      <w:kern w:val="2"/>
      <w:sz w:val="18"/>
      <w:szCs w:val="18"/>
    </w:rPr>
  </w:style>
  <w:style w:type="character" w:customStyle="1" w:styleId="22">
    <w:name w:val="font41"/>
    <w:basedOn w:val="12"/>
    <w:qFormat/>
    <w:uiPriority w:val="0"/>
    <w:rPr>
      <w:rFonts w:hint="eastAsia" w:ascii="宋体" w:hAnsi="宋体" w:eastAsia="宋体" w:cs="宋体"/>
      <w:color w:val="000000"/>
      <w:sz w:val="24"/>
      <w:szCs w:val="24"/>
      <w:u w:val="none"/>
    </w:rPr>
  </w:style>
  <w:style w:type="character" w:customStyle="1" w:styleId="23">
    <w:name w:val="font21"/>
    <w:basedOn w:val="12"/>
    <w:qFormat/>
    <w:uiPriority w:val="0"/>
    <w:rPr>
      <w:rFonts w:hint="eastAsia" w:ascii="宋体" w:hAnsi="宋体" w:eastAsia="宋体" w:cs="宋体"/>
      <w:color w:val="000000"/>
      <w:sz w:val="22"/>
      <w:szCs w:val="22"/>
      <w:u w:val="none"/>
    </w:rPr>
  </w:style>
  <w:style w:type="character" w:customStyle="1" w:styleId="24">
    <w:name w:val="无间隔 Char"/>
    <w:basedOn w:val="12"/>
    <w:link w:val="25"/>
    <w:uiPriority w:val="1"/>
    <w:rPr>
      <w:sz w:val="22"/>
      <w:szCs w:val="22"/>
      <w:lang w:val="en-US" w:eastAsia="zh-CN" w:bidi="ar-SA"/>
    </w:rPr>
  </w:style>
  <w:style w:type="paragraph" w:customStyle="1" w:styleId="25">
    <w:name w:val="No Spacing"/>
    <w:link w:val="24"/>
    <w:qFormat/>
    <w:uiPriority w:val="1"/>
    <w:rPr>
      <w:rFonts w:ascii="Calibri" w:hAnsi="Calibri" w:eastAsia="宋体" w:cs="Times New Roman"/>
      <w:sz w:val="22"/>
      <w:szCs w:val="22"/>
      <w:lang w:val="en-US" w:eastAsia="zh-CN" w:bidi="ar-SA"/>
    </w:rPr>
  </w:style>
  <w:style w:type="character" w:customStyle="1" w:styleId="26">
    <w:name w:val="font11"/>
    <w:basedOn w:val="12"/>
    <w:qFormat/>
    <w:uiPriority w:val="0"/>
    <w:rPr>
      <w:rFonts w:hint="eastAsia" w:ascii="宋体" w:hAnsi="宋体" w:eastAsia="宋体" w:cs="宋体"/>
      <w:color w:val="000000"/>
      <w:sz w:val="20"/>
      <w:szCs w:val="20"/>
      <w:u w:val="none"/>
    </w:rPr>
  </w:style>
  <w:style w:type="paragraph" w:customStyle="1" w:styleId="27">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28">
    <w:name w:val="日期 Char"/>
    <w:basedOn w:val="12"/>
    <w:link w:val="4"/>
    <w:semiHidden/>
    <w:qFormat/>
    <w:uiPriority w:val="99"/>
    <w:rPr>
      <w:kern w:val="2"/>
      <w:sz w:val="21"/>
      <w:szCs w:val="22"/>
    </w:rPr>
  </w:style>
  <w:style w:type="paragraph" w:customStyle="1"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28430-DA83-46DC-B930-EE2A47CFBDAE}">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38</Pages>
  <Words>2656</Words>
  <Characters>15141</Characters>
  <Lines>126</Lines>
  <Paragraphs>35</Paragraphs>
  <TotalTime>1</TotalTime>
  <ScaleCrop>false</ScaleCrop>
  <LinksUpToDate>false</LinksUpToDate>
  <CharactersWithSpaces>17762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2020-09-07T01:55:00Z</dcterms:created>
  <dc:creator>管理者</dc:creator>
  <cp:lastModifiedBy>Administrator</cp:lastModifiedBy>
  <cp:lastPrinted>2020-09-07T04:29:00Z</cp:lastPrinted>
  <dcterms:modified xsi:type="dcterms:W3CDTF">2020-09-27T02:50:19Z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