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河南省新乡市延津县榆林乡人民政府</w:t>
      </w:r>
    </w:p>
    <w:p>
      <w:pPr>
        <w:jc w:val="center"/>
        <w:rPr>
          <w:rFonts w:ascii="黑体" w:hAnsi="黑体" w:eastAsia="黑体" w:cs="黑体"/>
          <w:sz w:val="52"/>
          <w:szCs w:val="52"/>
        </w:rPr>
      </w:pPr>
      <w:r>
        <w:rPr>
          <w:rFonts w:hint="eastAsia" w:ascii="黑体" w:hAnsi="黑体" w:eastAsia="黑体" w:cs="黑体"/>
          <w:sz w:val="52"/>
          <w:szCs w:val="52"/>
        </w:rPr>
        <w:t>2019年度部门决算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pPr>
      <w:r>
        <w:rPr>
          <w:rFonts w:hint="eastAsia" w:ascii="黑体" w:hAnsi="黑体" w:eastAsia="黑体" w:cs="黑体"/>
          <w:sz w:val="32"/>
          <w:szCs w:val="32"/>
        </w:rPr>
        <w:t>二〇二〇年九月</w:t>
      </w: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河南省新乡市延津县榆林乡人民政府概况</w:t>
      </w:r>
    </w:p>
    <w:p>
      <w:pPr>
        <w:pStyle w:val="29"/>
        <w:numPr>
          <w:ilvl w:val="0"/>
          <w:numId w:val="1"/>
        </w:numPr>
        <w:ind w:firstLineChars="0"/>
        <w:jc w:val="left"/>
        <w:rPr>
          <w:rFonts w:ascii="宋体" w:hAnsi="宋体" w:cs="宋体"/>
          <w:sz w:val="32"/>
          <w:szCs w:val="32"/>
        </w:rPr>
      </w:pPr>
      <w:r>
        <w:rPr>
          <w:rFonts w:hint="eastAsia" w:ascii="宋体" w:hAnsi="宋体" w:cs="宋体"/>
          <w:sz w:val="32"/>
          <w:szCs w:val="32"/>
        </w:rPr>
        <w:t>部门职责</w:t>
      </w:r>
    </w:p>
    <w:p>
      <w:pPr>
        <w:pStyle w:val="29"/>
        <w:numPr>
          <w:ilvl w:val="0"/>
          <w:numId w:val="1"/>
        </w:numPr>
        <w:ind w:firstLineChars="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2019年度部门决算表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2019年度部门决算情况说明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十二、国有资产占用情况说明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ascii="黑体" w:hAnsi="黑体" w:eastAsia="黑体" w:cs="黑体"/>
          <w:sz w:val="32"/>
          <w:szCs w:val="32"/>
        </w:rPr>
        <w:sectPr>
          <w:pgSz w:w="11906" w:h="16838"/>
          <w:pgMar w:top="1440" w:right="1531" w:bottom="1440" w:left="1587" w:header="850" w:footer="992" w:gutter="0"/>
          <w:pgNumType w:fmt="numberInDash" w:start="1"/>
          <w:cols w:space="720" w:num="1"/>
          <w:docGrid w:type="lines" w:linePitch="317"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延津县榆林乡人民政府概况</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 xml:space="preserve">职责   </w:t>
      </w:r>
    </w:p>
    <w:p>
      <w:pPr>
        <w:widowControl/>
        <w:ind w:firstLine="640" w:firstLineChars="200"/>
        <w:jc w:val="left"/>
        <w:rPr>
          <w:rFonts w:ascii="黑体" w:hAnsi="黑体" w:eastAsia="黑体" w:cs="黑体"/>
          <w:kern w:val="0"/>
          <w:sz w:val="32"/>
          <w:szCs w:val="32"/>
        </w:rPr>
      </w:pPr>
      <w:r>
        <w:rPr>
          <w:rFonts w:hint="eastAsia" w:ascii="仿宋_GB2312" w:hAnsi="黑体" w:eastAsia="仿宋_GB2312" w:cs="黑体"/>
          <w:kern w:val="0"/>
          <w:sz w:val="32"/>
          <w:szCs w:val="32"/>
        </w:rPr>
        <w:t>榆林</w:t>
      </w:r>
      <w:r>
        <w:rPr>
          <w:rFonts w:hint="eastAsia" w:ascii="仿宋_GB2312" w:hAnsi="宋体" w:eastAsia="仿宋_GB2312" w:cs="Arial"/>
          <w:kern w:val="0"/>
          <w:sz w:val="32"/>
          <w:szCs w:val="32"/>
        </w:rPr>
        <w:t>乡人民政府是基层国家行政机关，行使本行政区的行政职能，政府职能主要有以下几个方面：</w:t>
      </w:r>
    </w:p>
    <w:p>
      <w:pPr>
        <w:pStyle w:val="9"/>
        <w:spacing w:before="0" w:beforeAutospacing="0" w:after="0" w:afterAutospacing="0" w:line="600" w:lineRule="exact"/>
        <w:ind w:right="74" w:firstLine="636" w:firstLineChars="199"/>
        <w:rPr>
          <w:rFonts w:ascii="仿宋_GB2312" w:eastAsia="仿宋_GB2312" w:cs="Arial"/>
          <w:sz w:val="32"/>
          <w:szCs w:val="32"/>
        </w:rPr>
      </w:pPr>
      <w:r>
        <w:rPr>
          <w:rFonts w:ascii="仿宋_GB2312" w:eastAsia="仿宋_GB2312" w:cs="Arial"/>
          <w:sz w:val="32"/>
          <w:szCs w:val="32"/>
        </w:rPr>
        <w:t>1</w:t>
      </w:r>
      <w:r>
        <w:rPr>
          <w:rFonts w:hint="eastAsia" w:ascii="仿宋_GB2312" w:eastAsia="仿宋_GB2312" w:cs="Arial"/>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ascii="仿宋_GB2312" w:eastAsia="仿宋_GB2312" w:cs="Arial"/>
          <w:sz w:val="32"/>
          <w:szCs w:val="32"/>
        </w:rPr>
        <w:br w:type="textWrapping"/>
      </w:r>
      <w:r>
        <w:rPr>
          <w:rFonts w:ascii="仿宋_GB2312" w:eastAsia="仿宋_GB2312" w:cs="Arial"/>
          <w:sz w:val="32"/>
          <w:szCs w:val="32"/>
        </w:rPr>
        <w:t xml:space="preserve">    2</w:t>
      </w:r>
      <w:r>
        <w:rPr>
          <w:rFonts w:hint="eastAsia" w:ascii="仿宋_GB2312" w:eastAsia="仿宋_GB2312" w:cs="Arial"/>
          <w:sz w:val="32"/>
          <w:szCs w:val="32"/>
        </w:rPr>
        <w:t>、制定并组织实施村镇建设规划，部署重点工程建设，地方道路建设及公共设施，水利设施的管理，负责土地、林木、水等自然资源和生态环境的保护，做好护林防火工作。</w:t>
      </w:r>
      <w:r>
        <w:rPr>
          <w:rFonts w:ascii="仿宋_GB2312" w:eastAsia="仿宋_GB2312" w:cs="Arial"/>
          <w:sz w:val="32"/>
          <w:szCs w:val="32"/>
        </w:rPr>
        <w:br w:type="textWrapping"/>
      </w:r>
      <w:r>
        <w:rPr>
          <w:rFonts w:ascii="仿宋_GB2312" w:eastAsia="仿宋_GB2312" w:cs="Arial"/>
          <w:sz w:val="32"/>
          <w:szCs w:val="32"/>
        </w:rPr>
        <w:t xml:space="preserve">    3</w:t>
      </w:r>
      <w:r>
        <w:rPr>
          <w:rFonts w:hint="eastAsia" w:ascii="仿宋_GB2312" w:eastAsia="仿宋_GB2312" w:cs="Arial"/>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r>
        <w:rPr>
          <w:rFonts w:ascii="仿宋_GB2312" w:eastAsia="仿宋_GB2312" w:cs="Arial"/>
          <w:sz w:val="32"/>
          <w:szCs w:val="32"/>
        </w:rPr>
        <w:br w:type="textWrapping"/>
      </w:r>
      <w:r>
        <w:rPr>
          <w:rFonts w:ascii="仿宋_GB2312" w:eastAsia="仿宋_GB2312" w:cs="Arial"/>
          <w:sz w:val="32"/>
          <w:szCs w:val="32"/>
        </w:rPr>
        <w:t xml:space="preserve">    4</w:t>
      </w:r>
      <w:r>
        <w:rPr>
          <w:rFonts w:hint="eastAsia" w:ascii="仿宋_GB2312" w:eastAsia="仿宋_GB2312" w:cs="Arial"/>
          <w:sz w:val="32"/>
          <w:szCs w:val="32"/>
        </w:rPr>
        <w:t>、按计划组织本级财政收入和地方税的征收，完成国家财政计划，不断培植税源，管好财政资金，增强财政实力。</w:t>
      </w:r>
      <w:r>
        <w:rPr>
          <w:rFonts w:ascii="仿宋_GB2312" w:eastAsia="仿宋_GB2312" w:cs="Arial"/>
          <w:sz w:val="32"/>
          <w:szCs w:val="32"/>
        </w:rPr>
        <w:br w:type="textWrapping"/>
      </w:r>
      <w:r>
        <w:rPr>
          <w:rFonts w:ascii="仿宋_GB2312" w:eastAsia="仿宋_GB2312" w:cs="Arial"/>
          <w:sz w:val="32"/>
          <w:szCs w:val="32"/>
        </w:rPr>
        <w:t xml:space="preserve">    5</w:t>
      </w:r>
      <w:r>
        <w:rPr>
          <w:rFonts w:hint="eastAsia" w:ascii="仿宋_GB2312" w:eastAsia="仿宋_GB2312" w:cs="Arial"/>
          <w:sz w:val="32"/>
          <w:szCs w:val="32"/>
        </w:rPr>
        <w:t>、抓好精神文明建设，丰富群众文化生活，提倡移风易俗，反对封建迷信，破除陈规陋习，树立社会主义新风尚。</w:t>
      </w:r>
      <w:r>
        <w:rPr>
          <w:rFonts w:ascii="仿宋_GB2312" w:eastAsia="仿宋_GB2312" w:cs="Arial"/>
          <w:sz w:val="32"/>
          <w:szCs w:val="32"/>
        </w:rPr>
        <w:br w:type="textWrapping"/>
      </w:r>
      <w:r>
        <w:rPr>
          <w:rFonts w:ascii="仿宋_GB2312" w:eastAsia="仿宋_GB2312" w:cs="Arial"/>
          <w:sz w:val="32"/>
          <w:szCs w:val="32"/>
        </w:rPr>
        <w:t xml:space="preserve">    6</w:t>
      </w:r>
      <w:r>
        <w:rPr>
          <w:rFonts w:hint="eastAsia" w:ascii="仿宋_GB2312" w:eastAsia="仿宋_GB2312" w:cs="Arial"/>
          <w:sz w:val="32"/>
          <w:szCs w:val="32"/>
        </w:rPr>
        <w:t>、完成上级政府交办的其它事项。</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ind w:firstLine="640" w:firstLineChars="200"/>
        <w:rPr>
          <w:rFonts w:ascii="仿宋_GB2312" w:hAnsi="仿宋" w:eastAsia="仿宋_GB2312"/>
          <w:sz w:val="32"/>
          <w:szCs w:val="32"/>
        </w:rPr>
      </w:pPr>
      <w:r>
        <w:rPr>
          <w:rFonts w:hint="eastAsia" w:ascii="仿宋_GB2312" w:hAnsi="仿宋" w:eastAsia="仿宋_GB2312"/>
          <w:sz w:val="32"/>
          <w:szCs w:val="32"/>
        </w:rPr>
        <w:t>延津县榆林乡人民政府内设机构12个，包括：党政办公室、党建工作办公室、社会事务办公室、经济发展办公室、农业农村办公室、生态环境和规划建设办公室、综合行政执法协调办公室、便民服务中心、社会治安综合治理中心、文化卫生健康服务中心、综合行政执法大队、退役军人服务站。</w:t>
      </w:r>
    </w:p>
    <w:p>
      <w:pPr>
        <w:widowControl/>
        <w:ind w:firstLine="800" w:firstLineChars="2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从决算单位构成看，延津县榆林乡人民政府部门决算包括：本级决算。</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纳入本部门2019年度部门决算编制范围的单位共1个，具体是：延津县榆林乡人民政府本级。</w:t>
      </w: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2019年度部门决算表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10"/>
        <w:tblW w:w="13846" w:type="dxa"/>
        <w:tblInd w:w="0" w:type="dxa"/>
        <w:tblLayout w:type="fixed"/>
        <w:tblCellMar>
          <w:top w:w="0" w:type="dxa"/>
          <w:left w:w="0" w:type="dxa"/>
          <w:bottom w:w="0" w:type="dxa"/>
          <w:right w:w="0" w:type="dxa"/>
        </w:tblCellMar>
      </w:tblPr>
      <w:tblGrid>
        <w:gridCol w:w="15"/>
        <w:gridCol w:w="1012"/>
        <w:gridCol w:w="59"/>
        <w:gridCol w:w="34"/>
        <w:gridCol w:w="63"/>
        <w:gridCol w:w="27"/>
        <w:gridCol w:w="1349"/>
        <w:gridCol w:w="575"/>
        <w:gridCol w:w="776"/>
        <w:gridCol w:w="97"/>
        <w:gridCol w:w="326"/>
        <w:gridCol w:w="218"/>
        <w:gridCol w:w="501"/>
        <w:gridCol w:w="231"/>
        <w:gridCol w:w="180"/>
        <w:gridCol w:w="221"/>
        <w:gridCol w:w="285"/>
        <w:gridCol w:w="166"/>
        <w:gridCol w:w="650"/>
        <w:gridCol w:w="57"/>
        <w:gridCol w:w="174"/>
        <w:gridCol w:w="512"/>
        <w:gridCol w:w="408"/>
        <w:gridCol w:w="324"/>
        <w:gridCol w:w="11"/>
        <w:gridCol w:w="298"/>
        <w:gridCol w:w="352"/>
        <w:gridCol w:w="756"/>
        <w:gridCol w:w="61"/>
        <w:gridCol w:w="384"/>
        <w:gridCol w:w="440"/>
        <w:gridCol w:w="816"/>
        <w:gridCol w:w="161"/>
        <w:gridCol w:w="137"/>
        <w:gridCol w:w="527"/>
        <w:gridCol w:w="105"/>
        <w:gridCol w:w="1055"/>
        <w:gridCol w:w="458"/>
        <w:gridCol w:w="25"/>
      </w:tblGrid>
      <w:tr>
        <w:tblPrEx>
          <w:tblCellMar>
            <w:top w:w="0" w:type="dxa"/>
            <w:left w:w="0" w:type="dxa"/>
            <w:bottom w:w="0" w:type="dxa"/>
            <w:right w:w="0" w:type="dxa"/>
          </w:tblCellMar>
        </w:tblPrEx>
        <w:trPr>
          <w:trHeight w:val="435" w:hRule="atLeast"/>
        </w:trPr>
        <w:tc>
          <w:tcPr>
            <w:tcW w:w="13846" w:type="dxa"/>
            <w:gridSpan w:val="3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华文中宋" w:hAnsi="华文中宋" w:eastAsia="华文中宋" w:cs="华文中宋"/>
                <w:color w:val="000000"/>
                <w:kern w:val="0"/>
                <w:sz w:val="32"/>
                <w:szCs w:val="32"/>
              </w:rPr>
              <w:t>收入支出决算总表</w:t>
            </w:r>
          </w:p>
        </w:tc>
      </w:tr>
      <w:tr>
        <w:tblPrEx>
          <w:tblCellMar>
            <w:top w:w="0" w:type="dxa"/>
            <w:left w:w="108" w:type="dxa"/>
            <w:bottom w:w="0" w:type="dxa"/>
            <w:right w:w="108" w:type="dxa"/>
          </w:tblCellMar>
        </w:tblPrEx>
        <w:trPr>
          <w:gridAfter w:val="1"/>
          <w:wAfter w:w="25" w:type="dxa"/>
          <w:trHeight w:val="199" w:hRule="atLeast"/>
        </w:trPr>
        <w:tc>
          <w:tcPr>
            <w:tcW w:w="5052" w:type="dxa"/>
            <w:gridSpan w:val="13"/>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3"/>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101" w:type="dxa"/>
            <w:gridSpan w:val="3"/>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891" w:type="dxa"/>
            <w:gridSpan w:val="15"/>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13" w:type="dxa"/>
            <w:gridSpan w:val="2"/>
            <w:tcBorders>
              <w:top w:val="nil"/>
              <w:left w:val="nil"/>
              <w:bottom w:val="nil"/>
              <w:right w:val="nil"/>
            </w:tcBorders>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gridAfter w:val="1"/>
          <w:wAfter w:w="25" w:type="dxa"/>
          <w:trHeight w:val="300" w:hRule="atLeast"/>
        </w:trPr>
        <w:tc>
          <w:tcPr>
            <w:tcW w:w="5052" w:type="dxa"/>
            <w:gridSpan w:val="13"/>
            <w:tcBorders>
              <w:top w:val="nil"/>
              <w:left w:val="nil"/>
              <w:bottom w:val="nil"/>
              <w:right w:val="nil"/>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部门：河南省新乡市延津县榆林乡人民政府</w:t>
            </w:r>
          </w:p>
        </w:tc>
        <w:tc>
          <w:tcPr>
            <w:tcW w:w="632" w:type="dxa"/>
            <w:gridSpan w:val="3"/>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101" w:type="dxa"/>
            <w:gridSpan w:val="3"/>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891" w:type="dxa"/>
            <w:gridSpan w:val="15"/>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13" w:type="dxa"/>
            <w:gridSpan w:val="2"/>
            <w:tcBorders>
              <w:top w:val="nil"/>
              <w:left w:val="nil"/>
              <w:bottom w:val="nil"/>
              <w:right w:val="nil"/>
            </w:tcBorders>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gridAfter w:val="1"/>
          <w:wAfter w:w="25" w:type="dxa"/>
          <w:trHeight w:val="375" w:hRule="atLeast"/>
        </w:trPr>
        <w:tc>
          <w:tcPr>
            <w:tcW w:w="6785" w:type="dxa"/>
            <w:gridSpan w:val="19"/>
            <w:tcBorders>
              <w:top w:val="single" w:color="auto" w:sz="8"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收入</w:t>
            </w:r>
          </w:p>
        </w:tc>
        <w:tc>
          <w:tcPr>
            <w:tcW w:w="7036" w:type="dxa"/>
            <w:gridSpan w:val="19"/>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支出</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101"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决算数</w:t>
            </w:r>
          </w:p>
        </w:tc>
        <w:tc>
          <w:tcPr>
            <w:tcW w:w="4891" w:type="dxa"/>
            <w:gridSpan w:val="15"/>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513" w:type="dxa"/>
            <w:gridSpan w:val="2"/>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决算数</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101"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4891" w:type="dxa"/>
            <w:gridSpan w:val="15"/>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13" w:type="dxa"/>
            <w:gridSpan w:val="2"/>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一、一般公共预算财政拨款收入</w:t>
            </w: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1330.92　</w:t>
            </w:r>
          </w:p>
        </w:tc>
        <w:tc>
          <w:tcPr>
            <w:tcW w:w="4891" w:type="dxa"/>
            <w:gridSpan w:val="15"/>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一、一般公共服务支出</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29</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212.61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二、政府性基金预算财政拨款收入</w:t>
            </w: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37.97　</w:t>
            </w:r>
          </w:p>
        </w:tc>
        <w:tc>
          <w:tcPr>
            <w:tcW w:w="4891" w:type="dxa"/>
            <w:gridSpan w:val="15"/>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二、外交支出</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30</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三、上级补助收入</w:t>
            </w: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0.00　</w:t>
            </w:r>
          </w:p>
        </w:tc>
        <w:tc>
          <w:tcPr>
            <w:tcW w:w="4891" w:type="dxa"/>
            <w:gridSpan w:val="15"/>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三、国防支出</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31</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四、事业收入</w:t>
            </w: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0.00　</w:t>
            </w:r>
          </w:p>
        </w:tc>
        <w:tc>
          <w:tcPr>
            <w:tcW w:w="4891" w:type="dxa"/>
            <w:gridSpan w:val="15"/>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四、公共安全支出</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32</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五、经营收入</w:t>
            </w: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5</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0.00　</w:t>
            </w:r>
          </w:p>
        </w:tc>
        <w:tc>
          <w:tcPr>
            <w:tcW w:w="4891" w:type="dxa"/>
            <w:gridSpan w:val="15"/>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五、教育支出</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33</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六、附属单位上缴收入</w:t>
            </w: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6</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0.00　</w:t>
            </w:r>
          </w:p>
        </w:tc>
        <w:tc>
          <w:tcPr>
            <w:tcW w:w="4891" w:type="dxa"/>
            <w:gridSpan w:val="15"/>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六、科学技术支出</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34</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七、其他收入</w:t>
            </w: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7</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0.00　</w:t>
            </w:r>
          </w:p>
        </w:tc>
        <w:tc>
          <w:tcPr>
            <w:tcW w:w="4891" w:type="dxa"/>
            <w:gridSpan w:val="15"/>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七、文化旅游体育与传媒支出</w:t>
            </w:r>
          </w:p>
        </w:tc>
        <w:tc>
          <w:tcPr>
            <w:tcW w:w="6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35</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8</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八、社会保障和就业支出　</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36</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50.26</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9</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九、卫生健康支出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37</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xml:space="preserve">      57.36</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10</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十、节能环保支出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38</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xml:space="preserve">     10.36</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11</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十一、城乡社区支出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39</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xml:space="preserve">     457.02</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12</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十二、农林水支出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40</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xml:space="preserve">    222.05</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13</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十三、交通运输支出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41</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xml:space="preserve">       0.00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14</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十四、资源勘探信息等支出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42</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xml:space="preserve">       0.00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15</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十五、商业服务业等支出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43</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xml:space="preserve">       0.00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16</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十六、金融支出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44</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xml:space="preserve">       0.00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17</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十七、援助其他地区支出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45</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xml:space="preserve">       0.00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18</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十八、自然资源海洋气象等支出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46</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xml:space="preserve">       0.00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19</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十九、住房保障支出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47</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xml:space="preserve">       0.00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20</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二十、粮油物资储备支出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48</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xml:space="preserve">       0.00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21</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二十一、灾害防治及应急管理支出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49</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xml:space="preserve">       0.00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22</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二十二、其他支出</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50</w:t>
            </w:r>
          </w:p>
        </w:tc>
        <w:tc>
          <w:tcPr>
            <w:tcW w:w="1513" w:type="dxa"/>
            <w:gridSpan w:val="2"/>
            <w:tcBorders>
              <w:top w:val="nil"/>
              <w:left w:val="nil"/>
              <w:bottom w:val="single" w:color="auto" w:sz="4" w:space="0"/>
              <w:right w:val="single" w:color="auto" w:sz="8" w:space="0"/>
            </w:tcBorders>
            <w:vAlign w:val="center"/>
          </w:tcPr>
          <w:p>
            <w:pPr>
              <w:widowControl/>
              <w:ind w:firstLine="770" w:firstLineChars="350"/>
              <w:jc w:val="right"/>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23</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51</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本年收入合计</w:t>
            </w: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24</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1368.89　</w:t>
            </w:r>
          </w:p>
        </w:tc>
        <w:tc>
          <w:tcPr>
            <w:tcW w:w="4891" w:type="dxa"/>
            <w:gridSpan w:val="15"/>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本年支出合计</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52</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b/>
                <w:bCs/>
                <w:kern w:val="0"/>
                <w:sz w:val="22"/>
              </w:rPr>
            </w:pPr>
            <w:r>
              <w:rPr>
                <w:rFonts w:hint="eastAsia" w:ascii="宋体" w:hAnsi="宋体" w:cs="宋体"/>
                <w:b/>
                <w:bCs/>
                <w:kern w:val="0"/>
                <w:sz w:val="22"/>
              </w:rPr>
              <w:t>　  1009.66</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xml:space="preserve">         用事业基金弥补收支差额</w:t>
            </w: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25</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0.00　</w:t>
            </w: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xml:space="preserve">                结余分配</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53</w:t>
            </w:r>
          </w:p>
        </w:tc>
        <w:tc>
          <w:tcPr>
            <w:tcW w:w="1513" w:type="dxa"/>
            <w:gridSpan w:val="2"/>
            <w:tcBorders>
              <w:top w:val="nil"/>
              <w:left w:val="nil"/>
              <w:bottom w:val="single" w:color="auto" w:sz="4" w:space="0"/>
              <w:right w:val="single" w:color="auto" w:sz="8" w:space="0"/>
            </w:tcBorders>
            <w:vAlign w:val="center"/>
          </w:tcPr>
          <w:p>
            <w:pPr>
              <w:widowControl/>
              <w:ind w:firstLine="770" w:firstLineChars="350"/>
              <w:jc w:val="right"/>
              <w:rPr>
                <w:rFonts w:ascii="宋体" w:hAnsi="宋体" w:cs="宋体"/>
                <w:kern w:val="0"/>
                <w:sz w:val="22"/>
              </w:rPr>
            </w:pPr>
            <w:r>
              <w:rPr>
                <w:rFonts w:hint="eastAsia" w:ascii="宋体" w:hAnsi="宋体" w:cs="宋体"/>
                <w:kern w:val="0"/>
                <w:sz w:val="22"/>
              </w:rPr>
              <w:t>0.00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xml:space="preserve">         年初结转和结余</w:t>
            </w:r>
          </w:p>
        </w:tc>
        <w:tc>
          <w:tcPr>
            <w:tcW w:w="63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26</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129.27　</w:t>
            </w:r>
          </w:p>
        </w:tc>
        <w:tc>
          <w:tcPr>
            <w:tcW w:w="4891"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xml:space="preserve">                年末结转和结余</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54</w:t>
            </w:r>
          </w:p>
        </w:tc>
        <w:tc>
          <w:tcPr>
            <w:tcW w:w="1513" w:type="dxa"/>
            <w:gridSpan w:val="2"/>
            <w:tcBorders>
              <w:top w:val="nil"/>
              <w:left w:val="nil"/>
              <w:bottom w:val="single" w:color="auto" w:sz="4" w:space="0"/>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488.50</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nil"/>
              <w:left w:val="single" w:color="auto" w:sz="8" w:space="0"/>
              <w:bottom w:val="nil"/>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27</w:t>
            </w:r>
          </w:p>
        </w:tc>
        <w:tc>
          <w:tcPr>
            <w:tcW w:w="1101" w:type="dxa"/>
            <w:gridSpan w:val="3"/>
            <w:tcBorders>
              <w:top w:val="nil"/>
              <w:left w:val="nil"/>
              <w:bottom w:val="nil"/>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　</w:t>
            </w:r>
          </w:p>
        </w:tc>
        <w:tc>
          <w:tcPr>
            <w:tcW w:w="4891" w:type="dxa"/>
            <w:gridSpan w:val="15"/>
            <w:tcBorders>
              <w:top w:val="nil"/>
              <w:left w:val="nil"/>
              <w:bottom w:val="nil"/>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55</w:t>
            </w:r>
          </w:p>
        </w:tc>
        <w:tc>
          <w:tcPr>
            <w:tcW w:w="1513" w:type="dxa"/>
            <w:gridSpan w:val="2"/>
            <w:tcBorders>
              <w:top w:val="nil"/>
              <w:left w:val="nil"/>
              <w:bottom w:val="nil"/>
              <w:right w:val="single" w:color="auto" w:sz="8" w:space="0"/>
            </w:tcBorders>
            <w:vAlign w:val="center"/>
          </w:tcPr>
          <w:p>
            <w:pPr>
              <w:widowControl/>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gridAfter w:val="1"/>
          <w:wAfter w:w="25" w:type="dxa"/>
          <w:trHeight w:val="375" w:hRule="atLeast"/>
        </w:trPr>
        <w:tc>
          <w:tcPr>
            <w:tcW w:w="5052" w:type="dxa"/>
            <w:gridSpan w:val="13"/>
            <w:tcBorders>
              <w:top w:val="single" w:color="auto" w:sz="4" w:space="0"/>
              <w:left w:val="single" w:color="auto" w:sz="8" w:space="0"/>
              <w:bottom w:val="single" w:color="auto" w:sz="8" w:space="0"/>
              <w:right w:val="nil"/>
            </w:tcBorders>
            <w:shd w:val="clear" w:color="000000" w:fill="FFFFFF"/>
            <w:vAlign w:val="center"/>
          </w:tcPr>
          <w:p>
            <w:pPr>
              <w:widowControl/>
              <w:jc w:val="center"/>
              <w:rPr>
                <w:rFonts w:ascii="宋体" w:hAnsi="宋体" w:cs="宋体"/>
                <w:b/>
                <w:bCs/>
                <w:kern w:val="0"/>
                <w:sz w:val="22"/>
              </w:rPr>
            </w:pPr>
            <w:r>
              <w:rPr>
                <w:rFonts w:hint="eastAsia" w:ascii="宋体" w:hAnsi="宋体" w:cs="宋体"/>
                <w:b/>
                <w:bCs/>
                <w:kern w:val="0"/>
                <w:sz w:val="22"/>
              </w:rPr>
              <w:t>总计</w:t>
            </w:r>
          </w:p>
        </w:tc>
        <w:tc>
          <w:tcPr>
            <w:tcW w:w="632"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28</w:t>
            </w:r>
          </w:p>
        </w:tc>
        <w:tc>
          <w:tcPr>
            <w:tcW w:w="1101" w:type="dxa"/>
            <w:gridSpan w:val="3"/>
            <w:tcBorders>
              <w:top w:val="single" w:color="auto" w:sz="4" w:space="0"/>
              <w:left w:val="nil"/>
              <w:bottom w:val="single" w:color="auto" w:sz="8" w:space="0"/>
              <w:right w:val="single" w:color="auto" w:sz="4" w:space="0"/>
            </w:tcBorders>
            <w:shd w:val="clear" w:color="auto" w:fill="auto"/>
            <w:vAlign w:val="center"/>
          </w:tcPr>
          <w:p>
            <w:pPr>
              <w:widowControl/>
              <w:jc w:val="right"/>
              <w:rPr>
                <w:rFonts w:ascii="宋体" w:hAnsi="宋体" w:cs="宋体"/>
                <w:kern w:val="0"/>
                <w:sz w:val="22"/>
              </w:rPr>
            </w:pPr>
            <w:r>
              <w:rPr>
                <w:rFonts w:hint="eastAsia" w:ascii="宋体" w:hAnsi="宋体" w:cs="宋体"/>
                <w:kern w:val="0"/>
                <w:sz w:val="22"/>
              </w:rPr>
              <w:t>1498.16　</w:t>
            </w:r>
          </w:p>
        </w:tc>
        <w:tc>
          <w:tcPr>
            <w:tcW w:w="4891" w:type="dxa"/>
            <w:gridSpan w:val="15"/>
            <w:tcBorders>
              <w:top w:val="single" w:color="auto" w:sz="4" w:space="0"/>
              <w:left w:val="nil"/>
              <w:bottom w:val="single" w:color="auto" w:sz="8" w:space="0"/>
              <w:right w:val="nil"/>
            </w:tcBorders>
            <w:shd w:val="clear" w:color="000000" w:fill="FFFFFF"/>
            <w:vAlign w:val="center"/>
          </w:tcPr>
          <w:p>
            <w:pPr>
              <w:widowControl/>
              <w:jc w:val="center"/>
              <w:rPr>
                <w:rFonts w:ascii="宋体" w:hAnsi="宋体" w:cs="宋体"/>
                <w:b/>
                <w:bCs/>
                <w:kern w:val="0"/>
                <w:sz w:val="22"/>
              </w:rPr>
            </w:pPr>
            <w:r>
              <w:rPr>
                <w:rFonts w:hint="eastAsia" w:ascii="宋体" w:hAnsi="宋体" w:cs="宋体"/>
                <w:b/>
                <w:bCs/>
                <w:kern w:val="0"/>
                <w:sz w:val="22"/>
              </w:rPr>
              <w:t>总计</w:t>
            </w:r>
          </w:p>
        </w:tc>
        <w:tc>
          <w:tcPr>
            <w:tcW w:w="63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56</w:t>
            </w:r>
          </w:p>
        </w:tc>
        <w:tc>
          <w:tcPr>
            <w:tcW w:w="1513" w:type="dxa"/>
            <w:gridSpan w:val="2"/>
            <w:tcBorders>
              <w:top w:val="single" w:color="auto" w:sz="4" w:space="0"/>
              <w:left w:val="nil"/>
              <w:bottom w:val="single" w:color="auto" w:sz="8" w:space="0"/>
              <w:right w:val="single" w:color="auto" w:sz="8" w:space="0"/>
            </w:tcBorders>
            <w:vAlign w:val="center"/>
          </w:tcPr>
          <w:p>
            <w:pPr>
              <w:widowControl/>
              <w:jc w:val="right"/>
              <w:rPr>
                <w:rFonts w:ascii="宋体" w:hAnsi="宋体" w:cs="宋体"/>
                <w:b/>
                <w:bCs/>
                <w:kern w:val="0"/>
                <w:sz w:val="22"/>
              </w:rPr>
            </w:pPr>
            <w:r>
              <w:rPr>
                <w:rFonts w:hint="eastAsia" w:ascii="宋体" w:hAnsi="宋体" w:cs="宋体"/>
                <w:b/>
                <w:bCs/>
                <w:kern w:val="0"/>
                <w:sz w:val="22"/>
              </w:rPr>
              <w:t>　1498.16</w:t>
            </w:r>
          </w:p>
        </w:tc>
      </w:tr>
      <w:tr>
        <w:tblPrEx>
          <w:tblCellMar>
            <w:top w:w="0" w:type="dxa"/>
            <w:left w:w="108" w:type="dxa"/>
            <w:bottom w:w="0" w:type="dxa"/>
            <w:right w:w="108" w:type="dxa"/>
          </w:tblCellMar>
        </w:tblPrEx>
        <w:trPr>
          <w:gridAfter w:val="1"/>
          <w:wAfter w:w="25" w:type="dxa"/>
          <w:trHeight w:val="405" w:hRule="atLeast"/>
        </w:trPr>
        <w:tc>
          <w:tcPr>
            <w:tcW w:w="13821" w:type="dxa"/>
            <w:gridSpan w:val="38"/>
            <w:tcBorders>
              <w:top w:val="single" w:color="auto" w:sz="8" w:space="0"/>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注：本表反映部门本年度的总收支和年末结转结余情况。本表金额转换为万元时，因四舍五入可能存在尾差。</w:t>
            </w:r>
          </w:p>
        </w:tc>
      </w:tr>
      <w:tr>
        <w:tblPrEx>
          <w:tblCellMar>
            <w:top w:w="0" w:type="dxa"/>
            <w:left w:w="0" w:type="dxa"/>
            <w:bottom w:w="0" w:type="dxa"/>
            <w:right w:w="0" w:type="dxa"/>
          </w:tblCellMar>
        </w:tblPrEx>
        <w:trPr>
          <w:trHeight w:val="435" w:hRule="atLeast"/>
        </w:trPr>
        <w:tc>
          <w:tcPr>
            <w:tcW w:w="13846" w:type="dxa"/>
            <w:gridSpan w:val="3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收入决算表</w:t>
            </w:r>
          </w:p>
        </w:tc>
      </w:tr>
      <w:tr>
        <w:tblPrEx>
          <w:tblCellMar>
            <w:top w:w="0" w:type="dxa"/>
            <w:left w:w="0" w:type="dxa"/>
            <w:bottom w:w="0" w:type="dxa"/>
            <w:right w:w="0" w:type="dxa"/>
          </w:tblCellMar>
        </w:tblPrEx>
        <w:trPr>
          <w:trHeight w:val="285" w:hRule="atLeast"/>
        </w:trPr>
        <w:tc>
          <w:tcPr>
            <w:tcW w:w="1027"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59"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048" w:type="dxa"/>
            <w:gridSpan w:val="5"/>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76"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6"/>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6"/>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5"/>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4"/>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4" w:type="dxa"/>
            <w:gridSpan w:val="4"/>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170" w:type="dxa"/>
            <w:gridSpan w:val="5"/>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公开02表</w:t>
            </w:r>
          </w:p>
        </w:tc>
      </w:tr>
      <w:tr>
        <w:tblPrEx>
          <w:tblCellMar>
            <w:top w:w="0" w:type="dxa"/>
            <w:left w:w="0" w:type="dxa"/>
            <w:bottom w:w="0" w:type="dxa"/>
            <w:right w:w="0" w:type="dxa"/>
          </w:tblCellMar>
        </w:tblPrEx>
        <w:trPr>
          <w:trHeight w:val="300" w:hRule="atLeast"/>
        </w:trPr>
        <w:tc>
          <w:tcPr>
            <w:tcW w:w="7016" w:type="dxa"/>
            <w:gridSpan w:val="21"/>
            <w:tcBorders>
              <w:top w:val="nil"/>
              <w:left w:val="nil"/>
              <w:bottom w:val="nil"/>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rPr>
              <w:t>部门：河南省新乡市延津县榆林乡人民政府</w:t>
            </w:r>
          </w:p>
        </w:tc>
        <w:tc>
          <w:tcPr>
            <w:tcW w:w="1553" w:type="dxa"/>
            <w:gridSpan w:val="5"/>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4"/>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4" w:type="dxa"/>
            <w:gridSpan w:val="4"/>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170" w:type="dxa"/>
            <w:gridSpan w:val="5"/>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50" w:hRule="atLeast"/>
        </w:trPr>
        <w:tc>
          <w:tcPr>
            <w:tcW w:w="3134" w:type="dxa"/>
            <w:gridSpan w:val="8"/>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417"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本年收入合计</w:t>
            </w:r>
          </w:p>
        </w:tc>
        <w:tc>
          <w:tcPr>
            <w:tcW w:w="1418" w:type="dxa"/>
            <w:gridSpan w:val="5"/>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财政拨款收入</w:t>
            </w:r>
          </w:p>
        </w:tc>
        <w:tc>
          <w:tcPr>
            <w:tcW w:w="1559" w:type="dxa"/>
            <w:gridSpan w:val="5"/>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上级补助收入</w:t>
            </w:r>
          </w:p>
        </w:tc>
        <w:tc>
          <w:tcPr>
            <w:tcW w:w="1393" w:type="dxa"/>
            <w:gridSpan w:val="5"/>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事业收入</w:t>
            </w:r>
          </w:p>
        </w:tc>
        <w:tc>
          <w:tcPr>
            <w:tcW w:w="1641"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经营收入</w:t>
            </w:r>
          </w:p>
        </w:tc>
        <w:tc>
          <w:tcPr>
            <w:tcW w:w="1641"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附属单位上缴收入</w:t>
            </w:r>
          </w:p>
        </w:tc>
        <w:tc>
          <w:tcPr>
            <w:tcW w:w="1643" w:type="dxa"/>
            <w:gridSpan w:val="4"/>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其他收入</w:t>
            </w:r>
          </w:p>
        </w:tc>
      </w:tr>
      <w:tr>
        <w:tblPrEx>
          <w:tblCellMar>
            <w:top w:w="0" w:type="dxa"/>
            <w:left w:w="0" w:type="dxa"/>
            <w:bottom w:w="0" w:type="dxa"/>
            <w:right w:w="0" w:type="dxa"/>
          </w:tblCellMar>
        </w:tblPrEx>
        <w:trPr>
          <w:trHeight w:val="450" w:hRule="atLeast"/>
        </w:trPr>
        <w:tc>
          <w:tcPr>
            <w:tcW w:w="1086" w:type="dxa"/>
            <w:gridSpan w:val="3"/>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04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417"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18"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59"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393"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3" w:type="dxa"/>
            <w:gridSpan w:val="4"/>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3"/>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04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17"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18"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59"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393"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3" w:type="dxa"/>
            <w:gridSpan w:val="4"/>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3134" w:type="dxa"/>
            <w:gridSpan w:val="8"/>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41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559"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39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64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64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643" w:type="dxa"/>
            <w:gridSpan w:val="4"/>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r>
      <w:tr>
        <w:tblPrEx>
          <w:tblCellMar>
            <w:top w:w="0" w:type="dxa"/>
            <w:left w:w="0" w:type="dxa"/>
            <w:bottom w:w="0" w:type="dxa"/>
            <w:right w:w="0" w:type="dxa"/>
          </w:tblCellMar>
        </w:tblPrEx>
        <w:trPr>
          <w:trHeight w:val="450" w:hRule="atLeast"/>
        </w:trPr>
        <w:tc>
          <w:tcPr>
            <w:tcW w:w="3134" w:type="dxa"/>
            <w:gridSpan w:val="8"/>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41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1368.89</w:t>
            </w:r>
          </w:p>
        </w:tc>
        <w:tc>
          <w:tcPr>
            <w:tcW w:w="141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1368.89</w:t>
            </w:r>
          </w:p>
        </w:tc>
        <w:tc>
          <w:tcPr>
            <w:tcW w:w="155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w:t>
            </w:r>
          </w:p>
        </w:tc>
        <w:tc>
          <w:tcPr>
            <w:tcW w:w="2048"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一般公共服务支出</w:t>
            </w:r>
          </w:p>
        </w:tc>
        <w:tc>
          <w:tcPr>
            <w:tcW w:w="141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212.86</w:t>
            </w:r>
          </w:p>
        </w:tc>
        <w:tc>
          <w:tcPr>
            <w:tcW w:w="141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212.86</w:t>
            </w:r>
          </w:p>
        </w:tc>
        <w:tc>
          <w:tcPr>
            <w:tcW w:w="155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w:t>
            </w:r>
          </w:p>
        </w:tc>
        <w:tc>
          <w:tcPr>
            <w:tcW w:w="2048"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政府办公厅（室）及相关机构事务</w:t>
            </w:r>
          </w:p>
        </w:tc>
        <w:tc>
          <w:tcPr>
            <w:tcW w:w="141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163.82</w:t>
            </w:r>
          </w:p>
        </w:tc>
        <w:tc>
          <w:tcPr>
            <w:tcW w:w="141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163.82</w:t>
            </w:r>
          </w:p>
        </w:tc>
        <w:tc>
          <w:tcPr>
            <w:tcW w:w="155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2010301</w:t>
            </w:r>
          </w:p>
        </w:tc>
        <w:tc>
          <w:tcPr>
            <w:tcW w:w="2048"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41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right="100"/>
              <w:jc w:val="right"/>
              <w:rPr>
                <w:rFonts w:ascii="宋体" w:hAnsi="宋体" w:cs="宋体"/>
                <w:color w:val="000000"/>
                <w:sz w:val="20"/>
                <w:szCs w:val="20"/>
              </w:rPr>
            </w:pPr>
            <w:r>
              <w:rPr>
                <w:rFonts w:hint="eastAsia" w:ascii="宋体" w:hAnsi="宋体" w:cs="宋体"/>
                <w:color w:val="000000"/>
                <w:sz w:val="20"/>
                <w:szCs w:val="20"/>
              </w:rPr>
              <w:t>163.82</w:t>
            </w:r>
          </w:p>
        </w:tc>
        <w:tc>
          <w:tcPr>
            <w:tcW w:w="141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163.82</w:t>
            </w:r>
          </w:p>
        </w:tc>
        <w:tc>
          <w:tcPr>
            <w:tcW w:w="155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20106</w:t>
            </w:r>
          </w:p>
        </w:tc>
        <w:tc>
          <w:tcPr>
            <w:tcW w:w="2048"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财政事务</w:t>
            </w:r>
          </w:p>
        </w:tc>
        <w:tc>
          <w:tcPr>
            <w:tcW w:w="141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w:t>
            </w:r>
          </w:p>
        </w:tc>
        <w:tc>
          <w:tcPr>
            <w:tcW w:w="141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w:t>
            </w:r>
          </w:p>
        </w:tc>
        <w:tc>
          <w:tcPr>
            <w:tcW w:w="155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2010699</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其他财政事务支出</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党委办公厅（室）及相关机构事务</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48.04</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48.04</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2013101</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48.04</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48.04</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社会保障和就业支出</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50.26</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50.26</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行政事业单位离退休</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48.85</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48.85</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2080505</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机关事业单位基本养老保险缴费支出</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48.85</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48.85</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其他社会保障和就业支出</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1.41</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1.41</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2089901</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其他社会保障和就业支出</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1.41</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1.41</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卫生健康支出</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57.36</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57.36</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计划生育事务</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42.85</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42.85</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2100717</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计划生育服务</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42.85</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42.85</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行政事业单位医疗</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14.51</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14.51</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2101101</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行政单位医疗</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6.22</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6.22</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2101102</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事业单位医疗</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8.29</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8.29</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节能环保支出</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自然生态保护</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2110402</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农村环境保护</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城乡社区支出</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486.29</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486.29</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城乡社区公共设施</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337.50</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337.50</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2120399</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其他城乡社区公共设施支出</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337.50</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337.50</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城乡社区环境卫生</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110.82</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110.82</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2120501</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城乡社区环境卫生</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110.82</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110.82</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21208</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国有土地使用权出让收入及对应专项债务收入安排的支出</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37.97</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37.97</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2120804</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农村基础设施建设支出</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29.27</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29.27</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2120899</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其他国有土地使用权出让收入安排的支出</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8.7</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8.7</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农林水支出</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551.76</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551.76</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农业</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112.80</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112.80</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2130104</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事业运行</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102.82</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102.82</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cs="Arial"/>
                <w:color w:val="000000"/>
                <w:sz w:val="18"/>
                <w:szCs w:val="18"/>
              </w:rPr>
            </w:pPr>
            <w:r>
              <w:rPr>
                <w:rFonts w:hint="eastAsia" w:cs="Arial"/>
                <w:color w:val="000000"/>
                <w:sz w:val="18"/>
                <w:szCs w:val="18"/>
              </w:rPr>
              <w:t>2130108</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cs="Arial"/>
                <w:color w:val="000000"/>
                <w:sz w:val="18"/>
                <w:szCs w:val="18"/>
              </w:rPr>
            </w:pPr>
            <w:r>
              <w:rPr>
                <w:rFonts w:hint="eastAsia" w:cs="Arial"/>
                <w:color w:val="000000"/>
                <w:sz w:val="18"/>
                <w:szCs w:val="18"/>
              </w:rPr>
              <w:t>病虫害控制</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9.98</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9.98</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农村综合改革</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438.96</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438.96</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2130701</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对村级一事一议的补助</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53.39</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53.39</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2130705</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对村民委员会和村党支部的补助</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335.57</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335.57</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rFonts w:cs="Arial"/>
                <w:color w:val="000000"/>
                <w:sz w:val="18"/>
                <w:szCs w:val="18"/>
              </w:rPr>
            </w:pPr>
            <w:r>
              <w:rPr>
                <w:rFonts w:hint="eastAsia" w:cs="Arial"/>
                <w:color w:val="000000"/>
                <w:sz w:val="18"/>
                <w:szCs w:val="18"/>
              </w:rPr>
              <w:t>2130706</w:t>
            </w:r>
          </w:p>
        </w:tc>
        <w:tc>
          <w:tcPr>
            <w:tcW w:w="2048"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cs="Arial"/>
                <w:color w:val="000000"/>
                <w:sz w:val="18"/>
                <w:szCs w:val="18"/>
              </w:rPr>
            </w:pPr>
            <w:r>
              <w:rPr>
                <w:rFonts w:hint="eastAsia" w:cs="Arial"/>
                <w:color w:val="000000"/>
                <w:sz w:val="18"/>
                <w:szCs w:val="18"/>
              </w:rPr>
              <w:t>对村集体经济组织的补助</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50.00</w:t>
            </w:r>
          </w:p>
        </w:tc>
        <w:tc>
          <w:tcPr>
            <w:tcW w:w="1418"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50.00</w:t>
            </w:r>
          </w:p>
        </w:tc>
        <w:tc>
          <w:tcPr>
            <w:tcW w:w="155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643"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615" w:hRule="atLeast"/>
        </w:trPr>
        <w:tc>
          <w:tcPr>
            <w:tcW w:w="13846" w:type="dxa"/>
            <w:gridSpan w:val="3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注：本表反映部门本年度取得的各项收入情况。本表金额转换为万元时，因四舍五入可能存在尾差。</w:t>
            </w:r>
          </w:p>
        </w:tc>
      </w:tr>
      <w:tr>
        <w:tblPrEx>
          <w:tblCellMar>
            <w:top w:w="0" w:type="dxa"/>
            <w:left w:w="0" w:type="dxa"/>
            <w:bottom w:w="0" w:type="dxa"/>
            <w:right w:w="0" w:type="dxa"/>
          </w:tblCellMar>
        </w:tblPrEx>
        <w:trPr>
          <w:gridBefore w:val="1"/>
          <w:gridAfter w:val="2"/>
          <w:wBefore w:w="15" w:type="dxa"/>
          <w:wAfter w:w="483" w:type="dxa"/>
          <w:trHeight w:val="435" w:hRule="atLeast"/>
        </w:trPr>
        <w:tc>
          <w:tcPr>
            <w:tcW w:w="13348" w:type="dxa"/>
            <w:gridSpan w:val="3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bookmarkStart w:id="0" w:name="_GoBack"/>
            <w:bookmarkEnd w:id="0"/>
            <w:r>
              <w:rPr>
                <w:rFonts w:hint="eastAsia" w:ascii="华文中宋" w:hAnsi="华文中宋" w:eastAsia="华文中宋" w:cs="华文中宋"/>
                <w:color w:val="000000"/>
                <w:kern w:val="0"/>
                <w:sz w:val="32"/>
                <w:szCs w:val="32"/>
              </w:rPr>
              <w:t>支出决算表</w:t>
            </w:r>
          </w:p>
        </w:tc>
      </w:tr>
      <w:tr>
        <w:tblPrEx>
          <w:tblCellMar>
            <w:top w:w="0" w:type="dxa"/>
            <w:left w:w="0" w:type="dxa"/>
            <w:bottom w:w="0" w:type="dxa"/>
            <w:right w:w="0" w:type="dxa"/>
          </w:tblCellMar>
        </w:tblPrEx>
        <w:trPr>
          <w:gridBefore w:val="1"/>
          <w:gridAfter w:val="2"/>
          <w:wBefore w:w="15" w:type="dxa"/>
          <w:wAfter w:w="483" w:type="dxa"/>
          <w:trHeight w:val="285" w:hRule="atLeast"/>
        </w:trPr>
        <w:tc>
          <w:tcPr>
            <w:tcW w:w="1105" w:type="dxa"/>
            <w:gridSpan w:val="3"/>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9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349"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774" w:type="dxa"/>
            <w:gridSpan w:val="4"/>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2" w:type="dxa"/>
            <w:gridSpan w:val="7"/>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5"/>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2" w:type="dxa"/>
            <w:gridSpan w:val="6"/>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4"/>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24" w:type="dxa"/>
            <w:gridSpan w:val="4"/>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0" w:type="dxa"/>
            <w:bottom w:w="0" w:type="dxa"/>
            <w:right w:w="0" w:type="dxa"/>
          </w:tblCellMar>
        </w:tblPrEx>
        <w:trPr>
          <w:gridBefore w:val="1"/>
          <w:gridAfter w:val="2"/>
          <w:wBefore w:w="15" w:type="dxa"/>
          <w:wAfter w:w="483" w:type="dxa"/>
          <w:trHeight w:val="300" w:hRule="atLeast"/>
        </w:trPr>
        <w:tc>
          <w:tcPr>
            <w:tcW w:w="6120" w:type="dxa"/>
            <w:gridSpan w:val="17"/>
            <w:tcBorders>
              <w:top w:val="nil"/>
              <w:left w:val="nil"/>
              <w:bottom w:val="nil"/>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rPr>
              <w:t>部门：河南省新乡市延津县榆林乡人民政府</w:t>
            </w:r>
          </w:p>
        </w:tc>
        <w:tc>
          <w:tcPr>
            <w:tcW w:w="1801" w:type="dxa"/>
            <w:gridSpan w:val="5"/>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802" w:type="dxa"/>
            <w:gridSpan w:val="6"/>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4"/>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24" w:type="dxa"/>
            <w:gridSpan w:val="4"/>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3992" w:type="dxa"/>
            <w:gridSpan w:val="9"/>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276"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本年支出合计</w:t>
            </w:r>
          </w:p>
        </w:tc>
        <w:tc>
          <w:tcPr>
            <w:tcW w:w="1559" w:type="dxa"/>
            <w:gridSpan w:val="6"/>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429" w:type="dxa"/>
            <w:gridSpan w:val="5"/>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406"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上缴上级支出</w:t>
            </w:r>
          </w:p>
        </w:tc>
        <w:tc>
          <w:tcPr>
            <w:tcW w:w="1701"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经营支出</w:t>
            </w:r>
          </w:p>
        </w:tc>
        <w:tc>
          <w:tcPr>
            <w:tcW w:w="1985" w:type="dxa"/>
            <w:gridSpan w:val="5"/>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对附属单位补助支出</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824"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276"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59" w:type="dxa"/>
            <w:gridSpan w:val="6"/>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29"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06"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01"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85" w:type="dxa"/>
            <w:gridSpan w:val="5"/>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824"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59" w:type="dxa"/>
            <w:gridSpan w:val="6"/>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29"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06"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01"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85" w:type="dxa"/>
            <w:gridSpan w:val="5"/>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Before w:val="1"/>
          <w:gridAfter w:val="2"/>
          <w:wBefore w:w="15" w:type="dxa"/>
          <w:wAfter w:w="483" w:type="dxa"/>
          <w:trHeight w:val="450" w:hRule="atLeast"/>
        </w:trPr>
        <w:tc>
          <w:tcPr>
            <w:tcW w:w="3992" w:type="dxa"/>
            <w:gridSpan w:val="9"/>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276"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429"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4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70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85" w:type="dxa"/>
            <w:gridSpan w:val="5"/>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3992" w:type="dxa"/>
            <w:gridSpan w:val="9"/>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1009.66</w:t>
            </w:r>
          </w:p>
        </w:tc>
        <w:tc>
          <w:tcPr>
            <w:tcW w:w="155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602.98</w:t>
            </w:r>
          </w:p>
        </w:tc>
        <w:tc>
          <w:tcPr>
            <w:tcW w:w="14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406.68</w:t>
            </w:r>
          </w:p>
        </w:tc>
        <w:tc>
          <w:tcPr>
            <w:tcW w:w="140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w:t>
            </w:r>
          </w:p>
        </w:tc>
        <w:tc>
          <w:tcPr>
            <w:tcW w:w="2824"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一般公共服务支出</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212.61</w:t>
            </w:r>
          </w:p>
        </w:tc>
        <w:tc>
          <w:tcPr>
            <w:tcW w:w="155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212.61</w:t>
            </w:r>
          </w:p>
        </w:tc>
        <w:tc>
          <w:tcPr>
            <w:tcW w:w="14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w:t>
            </w:r>
          </w:p>
        </w:tc>
        <w:tc>
          <w:tcPr>
            <w:tcW w:w="2824"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政府办公厅（室）及相关机构事务</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164.57</w:t>
            </w:r>
          </w:p>
        </w:tc>
        <w:tc>
          <w:tcPr>
            <w:tcW w:w="155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164.57</w:t>
            </w:r>
          </w:p>
        </w:tc>
        <w:tc>
          <w:tcPr>
            <w:tcW w:w="14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2010301</w:t>
            </w:r>
          </w:p>
        </w:tc>
        <w:tc>
          <w:tcPr>
            <w:tcW w:w="2824"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164.57</w:t>
            </w:r>
          </w:p>
        </w:tc>
        <w:tc>
          <w:tcPr>
            <w:tcW w:w="155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164.57</w:t>
            </w:r>
          </w:p>
        </w:tc>
        <w:tc>
          <w:tcPr>
            <w:tcW w:w="14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党委办公厅（室）及相关机构事务</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48.04</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48.04</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2013101</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48.04</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48.04</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社会保障和就业支出</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50.26</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50.26</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行政事业单位离退休</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48.85</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48.85</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2080505</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机关事业单位基本养老保险缴费支出</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48.85</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48.85</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其他社会保障和就业支出</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1.41</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1.41</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2089901</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其他社会保障和就业支出</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1.41</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1.41</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卫生健康支出</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57.36</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57.36</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计划生育事务</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42.85</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42.85</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2100717</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计划生育服务</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42.85</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42.85</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行政事业单位医疗</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14.51</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14.51</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2101101</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行政单位医疗</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6.22</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6.22</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2101102</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事业单位医疗</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8.29</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8.29</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节能环保支出</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自然生态保护</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2110402</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农村环境保护</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城乡社区支出</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457.02</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110.82</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346.20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城乡社区公共设施</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337.50</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337.50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2120399</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其他城乡社区公共设施支出</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337.50</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337.50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城乡社区环境卫生</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110.82</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110.82</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2120501</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城乡社区环境卫生</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110.82</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110.82</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21208</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国有土地使用权出让收入及对应专项债务收入安排的支出</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8.70</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8"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8.70</w:t>
            </w:r>
          </w:p>
        </w:tc>
        <w:tc>
          <w:tcPr>
            <w:tcW w:w="1417"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2120899</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其他国有土地使用权出让收入安排的支出</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8.70</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8.70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农林水支出</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222.05</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171.93</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50.12</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农业</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112.80</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112.80</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2130104</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事业运行</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102.82</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102.82</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cs="Arial"/>
                <w:color w:val="000000"/>
                <w:sz w:val="18"/>
                <w:szCs w:val="18"/>
              </w:rPr>
            </w:pPr>
            <w:r>
              <w:rPr>
                <w:rFonts w:hint="eastAsia" w:cs="Arial"/>
                <w:color w:val="000000"/>
                <w:sz w:val="18"/>
                <w:szCs w:val="18"/>
              </w:rPr>
              <w:t>2130108</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cs="Arial"/>
                <w:color w:val="000000"/>
                <w:sz w:val="18"/>
                <w:szCs w:val="18"/>
              </w:rPr>
            </w:pPr>
            <w:r>
              <w:rPr>
                <w:rFonts w:hint="eastAsia" w:cs="Arial"/>
                <w:color w:val="000000"/>
                <w:sz w:val="18"/>
                <w:szCs w:val="18"/>
              </w:rPr>
              <w:t>病虫害控制</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9.98</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9.98</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农村综合改革</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109.25</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59.13</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50.12</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2130701</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对村级一事一议的补助</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0.12</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0.12</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2130705</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对村民委员会和村党支部的补助</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59.13</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59.13</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450" w:hRule="atLeast"/>
        </w:trPr>
        <w:tc>
          <w:tcPr>
            <w:tcW w:w="1168" w:type="dxa"/>
            <w:gridSpan w:val="4"/>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rPr>
                <w:rFonts w:cs="Arial"/>
                <w:color w:val="000000"/>
                <w:sz w:val="18"/>
                <w:szCs w:val="18"/>
              </w:rPr>
            </w:pPr>
            <w:r>
              <w:rPr>
                <w:rFonts w:hint="eastAsia" w:cs="Arial"/>
                <w:color w:val="000000"/>
                <w:sz w:val="18"/>
                <w:szCs w:val="18"/>
              </w:rPr>
              <w:t>2130706</w:t>
            </w:r>
          </w:p>
        </w:tc>
        <w:tc>
          <w:tcPr>
            <w:tcW w:w="2824" w:type="dxa"/>
            <w:gridSpan w:val="5"/>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rFonts w:cs="Arial"/>
                <w:color w:val="000000"/>
                <w:sz w:val="18"/>
                <w:szCs w:val="18"/>
              </w:rPr>
            </w:pPr>
            <w:r>
              <w:rPr>
                <w:rFonts w:hint="eastAsia" w:cs="Arial"/>
                <w:color w:val="000000"/>
                <w:sz w:val="18"/>
                <w:szCs w:val="18"/>
              </w:rPr>
              <w:t>对村集体经济组织的补助</w:t>
            </w:r>
          </w:p>
        </w:tc>
        <w:tc>
          <w:tcPr>
            <w:tcW w:w="1276"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50.00</w:t>
            </w:r>
          </w:p>
        </w:tc>
        <w:tc>
          <w:tcPr>
            <w:tcW w:w="1559" w:type="dxa"/>
            <w:gridSpan w:val="6"/>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50.00</w:t>
            </w:r>
          </w:p>
        </w:tc>
        <w:tc>
          <w:tcPr>
            <w:tcW w:w="14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c>
          <w:tcPr>
            <w:tcW w:w="1985" w:type="dxa"/>
            <w:gridSpan w:val="5"/>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gridBefore w:val="1"/>
          <w:gridAfter w:val="2"/>
          <w:wBefore w:w="15" w:type="dxa"/>
          <w:wAfter w:w="483" w:type="dxa"/>
          <w:trHeight w:val="630" w:hRule="atLeast"/>
        </w:trPr>
        <w:tc>
          <w:tcPr>
            <w:tcW w:w="13348" w:type="dxa"/>
            <w:gridSpan w:val="3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988" w:type="dxa"/>
        <w:tblInd w:w="0" w:type="dxa"/>
        <w:tblLayout w:type="fixed"/>
        <w:tblCellMar>
          <w:top w:w="0" w:type="dxa"/>
          <w:left w:w="0" w:type="dxa"/>
          <w:bottom w:w="0" w:type="dxa"/>
          <w:right w:w="0" w:type="dxa"/>
        </w:tblCellMar>
      </w:tblPr>
      <w:tblGrid>
        <w:gridCol w:w="3994"/>
        <w:gridCol w:w="720"/>
        <w:gridCol w:w="1210"/>
        <w:gridCol w:w="3400"/>
        <w:gridCol w:w="597"/>
        <w:gridCol w:w="708"/>
        <w:gridCol w:w="159"/>
        <w:gridCol w:w="1184"/>
        <w:gridCol w:w="336"/>
        <w:gridCol w:w="1680"/>
      </w:tblGrid>
      <w:tr>
        <w:tblPrEx>
          <w:tblCellMar>
            <w:top w:w="0" w:type="dxa"/>
            <w:left w:w="0" w:type="dxa"/>
            <w:bottom w:w="0" w:type="dxa"/>
            <w:right w:w="0" w:type="dxa"/>
          </w:tblCellMar>
        </w:tblPrEx>
        <w:trPr>
          <w:trHeight w:val="360" w:hRule="atLeast"/>
        </w:trPr>
        <w:tc>
          <w:tcPr>
            <w:tcW w:w="13988"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财政拨款收入支出决算总表</w:t>
            </w:r>
          </w:p>
        </w:tc>
      </w:tr>
      <w:tr>
        <w:tblPrEx>
          <w:tblCellMar>
            <w:top w:w="0" w:type="dxa"/>
            <w:left w:w="0" w:type="dxa"/>
            <w:bottom w:w="0" w:type="dxa"/>
            <w:right w:w="0" w:type="dxa"/>
          </w:tblCellMar>
        </w:tblPrEx>
        <w:trPr>
          <w:trHeight w:val="199" w:hRule="atLeast"/>
        </w:trPr>
        <w:tc>
          <w:tcPr>
            <w:tcW w:w="3994"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2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59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08"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34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016"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公开04表</w:t>
            </w:r>
          </w:p>
        </w:tc>
      </w:tr>
      <w:tr>
        <w:tblPrEx>
          <w:tblCellMar>
            <w:top w:w="0" w:type="dxa"/>
            <w:left w:w="0" w:type="dxa"/>
            <w:bottom w:w="0" w:type="dxa"/>
            <w:right w:w="0" w:type="dxa"/>
          </w:tblCellMar>
        </w:tblPrEx>
        <w:trPr>
          <w:trHeight w:val="300" w:hRule="atLeast"/>
        </w:trPr>
        <w:tc>
          <w:tcPr>
            <w:tcW w:w="3994"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部门：河南省新乡市延津县榆林乡人民政府</w:t>
            </w:r>
          </w:p>
        </w:tc>
        <w:tc>
          <w:tcPr>
            <w:tcW w:w="72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59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08"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34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016"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收入</w:t>
            </w:r>
          </w:p>
        </w:tc>
        <w:tc>
          <w:tcPr>
            <w:tcW w:w="8064" w:type="dxa"/>
            <w:gridSpan w:val="7"/>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w:t>
            </w:r>
          </w:p>
        </w:tc>
      </w:tr>
      <w:tr>
        <w:tblPrEx>
          <w:tblCellMar>
            <w:top w:w="0" w:type="dxa"/>
            <w:left w:w="0" w:type="dxa"/>
            <w:bottom w:w="0" w:type="dxa"/>
            <w:right w:w="0" w:type="dxa"/>
          </w:tblCellMar>
        </w:tblPrEx>
        <w:trPr>
          <w:trHeight w:val="630"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5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一般公共预算财政拨款</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政府性基金预算财政拨款</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1330.92</w:t>
            </w: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30</w:t>
            </w:r>
          </w:p>
        </w:tc>
        <w:tc>
          <w:tcPr>
            <w:tcW w:w="867"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212.61</w:t>
            </w:r>
          </w:p>
        </w:tc>
        <w:tc>
          <w:tcPr>
            <w:tcW w:w="152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ind w:firstLine="700" w:firstLineChars="350"/>
              <w:jc w:val="right"/>
              <w:rPr>
                <w:rFonts w:ascii="宋体" w:hAnsi="宋体" w:cs="宋体"/>
                <w:color w:val="000000"/>
                <w:sz w:val="20"/>
                <w:szCs w:val="20"/>
              </w:rPr>
            </w:pPr>
            <w:r>
              <w:rPr>
                <w:rFonts w:hint="eastAsia" w:ascii="宋体" w:hAnsi="宋体" w:cs="宋体"/>
                <w:color w:val="000000"/>
                <w:sz w:val="20"/>
                <w:szCs w:val="20"/>
              </w:rPr>
              <w:t>212.61</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37.97</w:t>
            </w: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31</w:t>
            </w:r>
          </w:p>
        </w:tc>
        <w:tc>
          <w:tcPr>
            <w:tcW w:w="867"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867"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867"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五、教育支出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867"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六、科学技术支出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867"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kern w:val="0"/>
                <w:sz w:val="24"/>
                <w:szCs w:val="24"/>
              </w:rPr>
            </w:pPr>
            <w:r>
              <w:rPr>
                <w:rFonts w:hint="eastAsia" w:ascii="宋体" w:hAnsi="宋体" w:cs="宋体"/>
                <w:kern w:val="0"/>
                <w:sz w:val="24"/>
                <w:szCs w:val="24"/>
              </w:rPr>
              <w:t>七、文化旅游体育与传媒支出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867"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八、社会保障和就业支出　</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50.26</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50.26</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九、卫生健康支出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57.36</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57.36</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十、节能环保支出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10.36</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十一、城乡社区支出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457.02</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448.32</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ind w:firstLine="1200" w:firstLineChars="600"/>
              <w:jc w:val="right"/>
              <w:rPr>
                <w:rFonts w:ascii="宋体" w:hAnsi="宋体" w:cs="宋体"/>
                <w:color w:val="000000"/>
                <w:sz w:val="20"/>
                <w:szCs w:val="20"/>
              </w:rPr>
            </w:pPr>
            <w:r>
              <w:rPr>
                <w:rFonts w:hint="eastAsia" w:ascii="宋体" w:hAnsi="宋体" w:cs="宋体"/>
                <w:color w:val="000000"/>
                <w:sz w:val="20"/>
                <w:szCs w:val="20"/>
              </w:rPr>
              <w:t>8.70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十二、农林水支出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222.05</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firstLine="800" w:firstLineChars="400"/>
              <w:jc w:val="right"/>
              <w:rPr>
                <w:rFonts w:ascii="宋体" w:hAnsi="宋体" w:cs="宋体"/>
                <w:color w:val="000000"/>
                <w:sz w:val="20"/>
                <w:szCs w:val="20"/>
              </w:rPr>
            </w:pPr>
            <w:r>
              <w:rPr>
                <w:rFonts w:hint="eastAsia" w:ascii="宋体" w:hAnsi="宋体" w:cs="宋体"/>
                <w:color w:val="000000"/>
                <w:sz w:val="20"/>
                <w:szCs w:val="20"/>
              </w:rPr>
              <w:t>222.05</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ind w:firstLine="1200" w:firstLineChars="600"/>
              <w:jc w:val="right"/>
              <w:rPr>
                <w:rFonts w:ascii="宋体" w:hAnsi="宋体" w:cs="宋体"/>
                <w:color w:val="000000"/>
                <w:sz w:val="20"/>
                <w:szCs w:val="20"/>
              </w:rPr>
            </w:pPr>
            <w:r>
              <w:rPr>
                <w:rFonts w:hint="eastAsia" w:ascii="宋体" w:hAnsi="宋体" w:cs="宋体"/>
                <w:color w:val="000000"/>
                <w:sz w:val="20"/>
                <w:szCs w:val="20"/>
              </w:rPr>
              <w:t xml:space="preserve">0.00           </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十三、交通运输支出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十四、资源勘探信息等支出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十五、商业服务业等支出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十六、金融支出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十七、援助其他地区支出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十八、自然资源海洋气象等支出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十九、住房保障支出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二十、粮油物资储备支出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二十一、灾害防治及应急管理支出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二十二、其他支出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52</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1368.89</w:t>
            </w: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53</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1009.66</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1000.96</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ind w:firstLine="984" w:firstLineChars="490"/>
              <w:jc w:val="right"/>
              <w:rPr>
                <w:rFonts w:ascii="宋体" w:hAnsi="宋体" w:cs="宋体"/>
                <w:b/>
                <w:color w:val="000000"/>
                <w:sz w:val="20"/>
                <w:szCs w:val="20"/>
              </w:rPr>
            </w:pPr>
            <w:r>
              <w:rPr>
                <w:rFonts w:hint="eastAsia" w:ascii="宋体" w:hAnsi="宋体" w:cs="宋体"/>
                <w:b/>
                <w:color w:val="000000"/>
                <w:sz w:val="20"/>
                <w:szCs w:val="20"/>
              </w:rPr>
              <w:t>8.70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129.27</w:t>
            </w: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54</w:t>
            </w:r>
          </w:p>
        </w:tc>
        <w:tc>
          <w:tcPr>
            <w:tcW w:w="867"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488.50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459.23</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ind w:firstLine="1000" w:firstLineChars="500"/>
              <w:jc w:val="right"/>
              <w:rPr>
                <w:rFonts w:ascii="宋体" w:hAnsi="宋体" w:cs="宋体"/>
                <w:color w:val="000000"/>
                <w:sz w:val="20"/>
                <w:szCs w:val="20"/>
              </w:rPr>
            </w:pPr>
            <w:r>
              <w:rPr>
                <w:rFonts w:hint="eastAsia" w:ascii="宋体" w:hAnsi="宋体" w:cs="宋体"/>
                <w:color w:val="000000"/>
                <w:sz w:val="20"/>
                <w:szCs w:val="20"/>
              </w:rPr>
              <w:t>29.27</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一、一般公共预算财政拨款</w:t>
            </w:r>
          </w:p>
        </w:tc>
        <w:tc>
          <w:tcPr>
            <w:tcW w:w="72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26</w:t>
            </w:r>
          </w:p>
        </w:tc>
        <w:tc>
          <w:tcPr>
            <w:tcW w:w="12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129.27</w:t>
            </w:r>
          </w:p>
        </w:tc>
        <w:tc>
          <w:tcPr>
            <w:tcW w:w="3400" w:type="dxa"/>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597"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867" w:type="dxa"/>
            <w:gridSpan w:val="2"/>
            <w:tcBorders>
              <w:top w:val="single" w:color="000000" w:sz="4" w:space="0"/>
              <w:left w:val="nil"/>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000000" w:sz="4" w:space="0"/>
              <w:left w:val="nil"/>
              <w:bottom w:val="single" w:color="auto" w:sz="4" w:space="0"/>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二、政府性基金预算财政拨款</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27</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4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5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56</w:t>
            </w:r>
          </w:p>
        </w:tc>
        <w:tc>
          <w:tcPr>
            <w:tcW w:w="867"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auto" w:sz="4" w:space="0"/>
              <w:left w:val="single" w:color="000000" w:sz="8" w:space="0"/>
              <w:bottom w:val="nil"/>
              <w:right w:val="nil"/>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72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28</w:t>
            </w:r>
          </w:p>
        </w:tc>
        <w:tc>
          <w:tcPr>
            <w:tcW w:w="1210"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auto" w:sz="4" w:space="0"/>
              <w:left w:val="single" w:color="000000" w:sz="4" w:space="0"/>
              <w:bottom w:val="nil"/>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597"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57</w:t>
            </w:r>
          </w:p>
        </w:tc>
        <w:tc>
          <w:tcPr>
            <w:tcW w:w="867" w:type="dxa"/>
            <w:gridSpan w:val="2"/>
            <w:tcBorders>
              <w:top w:val="single" w:color="auto" w:sz="4" w:space="0"/>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pPr>
            <w:r>
              <w:rPr>
                <w:rFonts w:hint="eastAsia" w:ascii="宋体" w:hAnsi="宋体" w:cs="宋体"/>
                <w:color w:val="000000"/>
                <w:sz w:val="20"/>
                <w:szCs w:val="20"/>
              </w:rPr>
              <w:t>0.00</w:t>
            </w:r>
          </w:p>
        </w:tc>
        <w:tc>
          <w:tcPr>
            <w:tcW w:w="1680" w:type="dxa"/>
            <w:tcBorders>
              <w:top w:val="single" w:color="auto" w:sz="4" w:space="0"/>
              <w:left w:val="nil"/>
              <w:bottom w:val="nil"/>
              <w:right w:val="single" w:color="000000" w:sz="8" w:space="0"/>
            </w:tcBorders>
            <w:tcMar>
              <w:top w:w="15" w:type="dxa"/>
              <w:left w:w="15" w:type="dxa"/>
              <w:right w:w="15" w:type="dxa"/>
            </w:tcMar>
            <w:vAlign w:val="cente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29</w:t>
            </w:r>
          </w:p>
        </w:tc>
        <w:tc>
          <w:tcPr>
            <w:tcW w:w="121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1498.16</w:t>
            </w:r>
          </w:p>
        </w:tc>
        <w:tc>
          <w:tcPr>
            <w:tcW w:w="3400"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w:t>
            </w:r>
          </w:p>
        </w:tc>
        <w:tc>
          <w:tcPr>
            <w:tcW w:w="867" w:type="dxa"/>
            <w:gridSpan w:val="2"/>
            <w:tcBorders>
              <w:top w:val="single" w:color="000000" w:sz="4" w:space="0"/>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1498.16</w:t>
            </w:r>
          </w:p>
        </w:tc>
        <w:tc>
          <w:tcPr>
            <w:tcW w:w="1520"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1460.19</w:t>
            </w:r>
          </w:p>
        </w:tc>
        <w:tc>
          <w:tcPr>
            <w:tcW w:w="1680"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ind w:firstLine="984" w:firstLineChars="490"/>
              <w:jc w:val="right"/>
              <w:rPr>
                <w:rFonts w:ascii="宋体" w:hAnsi="宋体" w:cs="宋体"/>
                <w:b/>
                <w:color w:val="000000"/>
                <w:sz w:val="20"/>
                <w:szCs w:val="20"/>
              </w:rPr>
            </w:pPr>
            <w:r>
              <w:rPr>
                <w:rFonts w:hint="eastAsia" w:ascii="宋体" w:hAnsi="宋体" w:cs="宋体"/>
                <w:b/>
                <w:color w:val="000000"/>
                <w:sz w:val="20"/>
                <w:szCs w:val="20"/>
              </w:rPr>
              <w:t>37.97</w:t>
            </w:r>
          </w:p>
        </w:tc>
      </w:tr>
      <w:tr>
        <w:tblPrEx>
          <w:tblCellMar>
            <w:top w:w="0" w:type="dxa"/>
            <w:left w:w="0" w:type="dxa"/>
            <w:bottom w:w="0" w:type="dxa"/>
            <w:right w:w="0" w:type="dxa"/>
          </w:tblCellMar>
        </w:tblPrEx>
        <w:trPr>
          <w:trHeight w:val="585" w:hRule="atLeast"/>
        </w:trPr>
        <w:tc>
          <w:tcPr>
            <w:tcW w:w="13988" w:type="dxa"/>
            <w:gridSpan w:val="10"/>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注：本表反映部门本年度一般公共预算财政拨款和政府性基金预算财政拨款的总收支和年末结转结余情况。本表金额转换为万元时，因四舍五入可能存在尾差。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20560" w:type="dxa"/>
        <w:tblInd w:w="0" w:type="dxa"/>
        <w:tblLayout w:type="fixed"/>
        <w:tblCellMar>
          <w:top w:w="0" w:type="dxa"/>
          <w:left w:w="0" w:type="dxa"/>
          <w:bottom w:w="0" w:type="dxa"/>
          <w:right w:w="0" w:type="dxa"/>
        </w:tblCellMar>
      </w:tblPr>
      <w:tblGrid>
        <w:gridCol w:w="726"/>
        <w:gridCol w:w="688"/>
        <w:gridCol w:w="3302"/>
        <w:gridCol w:w="1985"/>
        <w:gridCol w:w="387"/>
        <w:gridCol w:w="3015"/>
        <w:gridCol w:w="434"/>
        <w:gridCol w:w="3451"/>
        <w:gridCol w:w="1643"/>
        <w:gridCol w:w="1643"/>
        <w:gridCol w:w="1643"/>
        <w:gridCol w:w="1643"/>
      </w:tblGrid>
      <w:tr>
        <w:tblPrEx>
          <w:tblCellMar>
            <w:top w:w="0" w:type="dxa"/>
            <w:left w:w="0" w:type="dxa"/>
            <w:bottom w:w="0" w:type="dxa"/>
            <w:right w:w="0" w:type="dxa"/>
          </w:tblCellMar>
        </w:tblPrEx>
        <w:trPr>
          <w:gridAfter w:val="4"/>
          <w:wAfter w:w="6572" w:type="dxa"/>
          <w:trHeight w:val="600" w:hRule="atLeast"/>
        </w:trPr>
        <w:tc>
          <w:tcPr>
            <w:tcW w:w="13988" w:type="dxa"/>
            <w:gridSpan w:val="8"/>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一般公共预算财政拨款支出决算表</w:t>
            </w:r>
          </w:p>
        </w:tc>
      </w:tr>
      <w:tr>
        <w:tblPrEx>
          <w:tblCellMar>
            <w:top w:w="0" w:type="dxa"/>
            <w:left w:w="0" w:type="dxa"/>
            <w:bottom w:w="0" w:type="dxa"/>
            <w:right w:w="0" w:type="dxa"/>
          </w:tblCellMar>
        </w:tblPrEx>
        <w:trPr>
          <w:gridAfter w:val="4"/>
          <w:wAfter w:w="6572" w:type="dxa"/>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30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372"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49"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w:t>
            </w:r>
            <w:r>
              <w:rPr>
                <w:rStyle w:val="26"/>
                <w:rFonts w:hint="default"/>
              </w:rPr>
              <w:t>5表</w:t>
            </w:r>
          </w:p>
        </w:tc>
      </w:tr>
      <w:tr>
        <w:tblPrEx>
          <w:tblCellMar>
            <w:top w:w="0" w:type="dxa"/>
            <w:left w:w="0" w:type="dxa"/>
            <w:bottom w:w="0" w:type="dxa"/>
            <w:right w:w="0" w:type="dxa"/>
          </w:tblCellMar>
        </w:tblPrEx>
        <w:trPr>
          <w:gridAfter w:val="4"/>
          <w:wAfter w:w="6572" w:type="dxa"/>
          <w:trHeight w:val="300" w:hRule="atLeast"/>
        </w:trPr>
        <w:tc>
          <w:tcPr>
            <w:tcW w:w="7088" w:type="dxa"/>
            <w:gridSpan w:val="5"/>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部门：河南省新乡市延津县榆林乡人民政府</w:t>
            </w:r>
          </w:p>
        </w:tc>
        <w:tc>
          <w:tcPr>
            <w:tcW w:w="3449"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gridAfter w:val="4"/>
          <w:wAfter w:w="6572" w:type="dxa"/>
          <w:trHeight w:val="405" w:hRule="atLeast"/>
        </w:trPr>
        <w:tc>
          <w:tcPr>
            <w:tcW w:w="4716"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项 </w:t>
            </w:r>
            <w:r>
              <w:rPr>
                <w:rStyle w:val="18"/>
                <w:rFonts w:hint="default"/>
                <w:sz w:val="20"/>
                <w:szCs w:val="20"/>
              </w:rPr>
              <w:t xml:space="preserve">   </w:t>
            </w:r>
            <w:r>
              <w:rPr>
                <w:rStyle w:val="20"/>
                <w:rFonts w:hint="default"/>
                <w:sz w:val="20"/>
                <w:szCs w:val="20"/>
              </w:rPr>
              <w:t>目</w:t>
            </w:r>
          </w:p>
        </w:tc>
        <w:tc>
          <w:tcPr>
            <w:tcW w:w="9272" w:type="dxa"/>
            <w:gridSpan w:val="5"/>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r>
      <w:tr>
        <w:tblPrEx>
          <w:tblCellMar>
            <w:top w:w="0" w:type="dxa"/>
            <w:left w:w="0" w:type="dxa"/>
            <w:bottom w:w="0" w:type="dxa"/>
            <w:right w:w="0" w:type="dxa"/>
          </w:tblCellMar>
        </w:tblPrEx>
        <w:trPr>
          <w:gridAfter w:val="4"/>
          <w:wAfter w:w="6572" w:type="dxa"/>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33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98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3402"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3885" w:type="dxa"/>
            <w:gridSpan w:val="2"/>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r>
      <w:tr>
        <w:tblPrEx>
          <w:tblCellMar>
            <w:top w:w="0" w:type="dxa"/>
            <w:left w:w="0" w:type="dxa"/>
            <w:bottom w:w="0" w:type="dxa"/>
            <w:right w:w="0" w:type="dxa"/>
          </w:tblCellMar>
        </w:tblPrEx>
        <w:trPr>
          <w:gridAfter w:val="4"/>
          <w:wAfter w:w="6572" w:type="dxa"/>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3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8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885" w:type="dxa"/>
            <w:gridSpan w:val="2"/>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4"/>
          <w:wAfter w:w="6572" w:type="dxa"/>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3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8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885" w:type="dxa"/>
            <w:gridSpan w:val="2"/>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4"/>
          <w:wAfter w:w="6572" w:type="dxa"/>
          <w:trHeight w:val="450" w:hRule="atLeast"/>
        </w:trPr>
        <w:tc>
          <w:tcPr>
            <w:tcW w:w="4716"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tblPrEx>
          <w:tblCellMar>
            <w:top w:w="0" w:type="dxa"/>
            <w:left w:w="0" w:type="dxa"/>
            <w:bottom w:w="0" w:type="dxa"/>
            <w:right w:w="0" w:type="dxa"/>
          </w:tblCellMar>
        </w:tblPrEx>
        <w:trPr>
          <w:gridAfter w:val="4"/>
          <w:wAfter w:w="6572" w:type="dxa"/>
          <w:trHeight w:val="450" w:hRule="atLeast"/>
        </w:trPr>
        <w:tc>
          <w:tcPr>
            <w:tcW w:w="4716"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 xml:space="preserve">           1000.96</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602.98</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397.98</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一般公共服务支出</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212.61</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212.61</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政府办公厅（室）及相关机构事务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164.57</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164.57</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2010301</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164.57</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164.57</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党委办公厅（室）及相关机构事务</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48.04</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48.04</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48.04</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48.04</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社会保障和就业支出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50.26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50.26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行政事业单位离退休</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48.85</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48.85</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2080505</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机关事业单位基本养老保险缴费支出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48.85</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48.85</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其他社会保障和就业支出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1.41</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1.41</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其他社会保障和就业支出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1.41</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1.41</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卫生健康支出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57.36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57.36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计划生育事务</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42.85</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42.85</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2100717</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计划生育服务</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42.85</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42.85</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行政事业单位医疗</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14.51</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14.51</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行政单位医疗</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6.22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6.22</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2101102</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事业单位医疗</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8.29</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8.29</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节能环保支出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10.36</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自然生态保护</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10.36</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2110402</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农村环境保护</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10.36</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448.32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110.82</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337.50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城乡社区公共设施</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337.50</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337.50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2120399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其他城乡社区公共设施支出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337.50</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337.50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城乡社区环境卫生</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110.82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110.82</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城乡社区环境卫生</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110.82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110.82</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农林水支出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222.05</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171.93</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50.12</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农业</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112.80</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112.80</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2130104</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事业运行</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102.82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102.82</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2130108</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病虫害控制</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9.98</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9.98</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农村综合改革</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109.25</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59.13</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50.12</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对村级一事一议的补助</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0.12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0.12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2130705</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对村民委员会和村党支部的补助</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59.13</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59.13</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vAlign w:val="center"/>
          </w:tcPr>
          <w:p/>
        </w:tc>
        <w:tc>
          <w:tcPr>
            <w:tcW w:w="1643" w:type="dxa"/>
            <w:vAlign w:val="center"/>
          </w:tcPr>
          <w:p>
            <w:pPr>
              <w:jc w:val="center"/>
            </w:pPr>
          </w:p>
        </w:tc>
        <w:tc>
          <w:tcPr>
            <w:tcW w:w="1643" w:type="dxa"/>
            <w:vAlign w:val="center"/>
          </w:tcPr>
          <w:p>
            <w:pPr>
              <w:jc w:val="center"/>
            </w:pPr>
            <w:r>
              <w:rPr>
                <w:rFonts w:hint="eastAsia" w:ascii="宋体" w:hAnsi="宋体" w:cs="宋体"/>
                <w:color w:val="000000"/>
                <w:sz w:val="20"/>
                <w:szCs w:val="20"/>
              </w:rPr>
              <w:t>0.00</w:t>
            </w:r>
          </w:p>
        </w:tc>
        <w:tc>
          <w:tcPr>
            <w:tcW w:w="1643" w:type="dxa"/>
            <w:vAlign w:val="center"/>
          </w:tcPr>
          <w:p>
            <w:pPr>
              <w:jc w:val="cente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4"/>
          <w:wAfter w:w="6572"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2130706</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对村集体经济组织的补助</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50.00</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50.00</w:t>
            </w:r>
          </w:p>
        </w:tc>
      </w:tr>
      <w:tr>
        <w:tblPrEx>
          <w:tblCellMar>
            <w:top w:w="0" w:type="dxa"/>
            <w:left w:w="0" w:type="dxa"/>
            <w:bottom w:w="0" w:type="dxa"/>
            <w:right w:w="0" w:type="dxa"/>
          </w:tblCellMar>
        </w:tblPrEx>
        <w:trPr>
          <w:gridAfter w:val="4"/>
          <w:wAfter w:w="6572" w:type="dxa"/>
          <w:trHeight w:val="645" w:hRule="atLeast"/>
        </w:trPr>
        <w:tc>
          <w:tcPr>
            <w:tcW w:w="13988"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988" w:type="dxa"/>
        <w:tblInd w:w="0" w:type="dxa"/>
        <w:tblLayout w:type="fixed"/>
        <w:tblCellMar>
          <w:top w:w="0" w:type="dxa"/>
          <w:left w:w="0" w:type="dxa"/>
          <w:bottom w:w="0" w:type="dxa"/>
          <w:right w:w="0" w:type="dxa"/>
        </w:tblCellMar>
      </w:tblPr>
      <w:tblGrid>
        <w:gridCol w:w="870"/>
        <w:gridCol w:w="3114"/>
        <w:gridCol w:w="747"/>
        <w:gridCol w:w="870"/>
        <w:gridCol w:w="2069"/>
        <w:gridCol w:w="935"/>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一般公共预算财政拨款基本支出决算表</w:t>
            </w:r>
          </w:p>
        </w:tc>
      </w:tr>
      <w:tr>
        <w:tblPrEx>
          <w:tblCellMar>
            <w:top w:w="0" w:type="dxa"/>
            <w:left w:w="0" w:type="dxa"/>
            <w:bottom w:w="0" w:type="dxa"/>
            <w:right w:w="0" w:type="dxa"/>
          </w:tblCellMar>
        </w:tblPrEx>
        <w:trPr>
          <w:trHeight w:val="405" w:hRule="atLeast"/>
        </w:trPr>
        <w:tc>
          <w:tcPr>
            <w:tcW w:w="870"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114"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47"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06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3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公开06表</w:t>
            </w:r>
          </w:p>
        </w:tc>
      </w:tr>
      <w:tr>
        <w:tblPrEx>
          <w:tblCellMar>
            <w:top w:w="0" w:type="dxa"/>
            <w:left w:w="0" w:type="dxa"/>
            <w:bottom w:w="0" w:type="dxa"/>
            <w:right w:w="0" w:type="dxa"/>
          </w:tblCellMar>
        </w:tblPrEx>
        <w:trPr>
          <w:trHeight w:val="300" w:hRule="atLeast"/>
        </w:trPr>
        <w:tc>
          <w:tcPr>
            <w:tcW w:w="7670" w:type="dxa"/>
            <w:gridSpan w:val="5"/>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r>
              <w:rPr>
                <w:rFonts w:ascii="Arial" w:hAnsi="Arial" w:cs="Arial"/>
                <w:color w:val="000000"/>
                <w:kern w:val="0"/>
                <w:sz w:val="20"/>
                <w:szCs w:val="20"/>
              </w:rPr>
              <w:t>部门：</w:t>
            </w:r>
            <w:r>
              <w:rPr>
                <w:rFonts w:hint="eastAsia" w:ascii="Arial" w:hAnsi="Arial" w:cs="Arial"/>
                <w:color w:val="000000"/>
                <w:kern w:val="0"/>
                <w:sz w:val="20"/>
                <w:szCs w:val="20"/>
              </w:rPr>
              <w:t>河南省新乡市延津县榆林乡人民政府</w:t>
            </w:r>
          </w:p>
        </w:tc>
        <w:tc>
          <w:tcPr>
            <w:tcW w:w="935"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3575"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3114"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747"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2069"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工资福利支出</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366.35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商品和服务支出</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165.84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债务利息及费用支出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30101</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基本工资</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213.97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30201</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34.19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国内债务付息</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30102</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津贴补贴</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63.24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30202</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印刷费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国外债务付息</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30103</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30203</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咨询费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30106</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伙食补助费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30204</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手续费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0.35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30107</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绩效工资</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24.37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30205</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水费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1.88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30108</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机关事业单位基本养老保险缴费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48.85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30206</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电费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9.72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30109</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职业年金缴费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30207</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邮电费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2.70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30110</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职工基本医疗保险缴费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14.51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30208</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取暖费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30111</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公务员医疗补助缴费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30209</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物业管理费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30112</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其他社会保障缴费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30211</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差旅费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0.92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物资储备</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30113</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住房公积金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30212</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因公出国（境）费用</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土地补偿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30114</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30213</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维修（护）费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3.65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安置补助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30199</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其他工资福利支出</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30214</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租赁费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对个人和家庭的补助</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70.79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30215</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会议费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0.68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拆迁补偿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30301</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离休费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8.85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30216</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培训费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30302</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退休费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30217</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公务接待费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30303</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退职（役）费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30218</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专用材料费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30304</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抚恤金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30224</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被装购置费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30305</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生活补助</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41.14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30225</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专用燃料费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30306</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救济费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30226</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劳务费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30307</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医疗费补助</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30227</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委托业务费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30308</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助学金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30228</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工会经费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30309</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奖励金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30229</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福利费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30310</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个人农业生产补贴</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30231</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公务用车运行维护费</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4.01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30399</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其他对个人和家庭的补助</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20.80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30239</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其他交通费用</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3.50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30240</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税金及附加费用</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30299</w:t>
            </w: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其他商品和服务支出</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398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2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98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人员经费合计</w:t>
            </w:r>
          </w:p>
        </w:tc>
        <w:tc>
          <w:tcPr>
            <w:tcW w:w="74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437.14</w:t>
            </w:r>
          </w:p>
        </w:tc>
        <w:tc>
          <w:tcPr>
            <w:tcW w:w="831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公用经费合计</w:t>
            </w:r>
          </w:p>
        </w:tc>
        <w:tc>
          <w:tcPr>
            <w:tcW w:w="93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165.84</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300" w:hRule="atLeast"/>
        </w:trPr>
        <w:tc>
          <w:tcPr>
            <w:tcW w:w="6901" w:type="dxa"/>
            <w:gridSpan w:val="6"/>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部门：河南省新乡市延津县榆林乡人民政府</w:t>
            </w: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ind w:firstLine="600" w:firstLineChars="300"/>
              <w:jc w:val="center"/>
              <w:rPr>
                <w:rFonts w:ascii="宋体" w:hAnsi="宋体" w:cs="宋体"/>
                <w:color w:val="000000"/>
                <w:sz w:val="20"/>
                <w:szCs w:val="20"/>
              </w:rPr>
            </w:pPr>
            <w:r>
              <w:rPr>
                <w:rFonts w:hint="eastAsia" w:ascii="宋体" w:hAnsi="宋体" w:cs="宋体"/>
                <w:color w:val="000000"/>
                <w:sz w:val="20"/>
                <w:szCs w:val="20"/>
              </w:rPr>
              <w:t>7.88</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pPr>
            <w:r>
              <w:rPr>
                <w:rFonts w:hint="eastAsia" w:ascii="宋体" w:hAnsi="宋体" w:cs="宋体"/>
                <w:color w:val="000000"/>
                <w:sz w:val="20"/>
                <w:szCs w:val="20"/>
              </w:rPr>
              <w:t xml:space="preserve">     0.00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pPr>
            <w:r>
              <w:rPr>
                <w:rFonts w:hint="eastAsia" w:ascii="宋体" w:hAnsi="宋体" w:cs="宋体"/>
                <w:color w:val="000000"/>
                <w:sz w:val="20"/>
                <w:szCs w:val="20"/>
              </w:rPr>
              <w:t xml:space="preserve">      0.00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pPr>
            <w:r>
              <w:rPr>
                <w:rFonts w:hint="eastAsia" w:ascii="宋体" w:hAnsi="宋体" w:cs="宋体"/>
                <w:color w:val="000000"/>
                <w:sz w:val="20"/>
                <w:szCs w:val="20"/>
              </w:rPr>
              <w:t xml:space="preserve">     0.00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ind w:firstLine="600" w:firstLineChars="300"/>
              <w:jc w:val="center"/>
              <w:rPr>
                <w:rFonts w:ascii="宋体" w:hAnsi="宋体" w:cs="宋体"/>
                <w:color w:val="000000"/>
                <w:sz w:val="20"/>
                <w:szCs w:val="20"/>
              </w:rPr>
            </w:pPr>
            <w:r>
              <w:rPr>
                <w:rFonts w:hint="eastAsia" w:ascii="宋体" w:hAnsi="宋体" w:cs="宋体"/>
                <w:color w:val="000000"/>
                <w:sz w:val="20"/>
                <w:szCs w:val="20"/>
              </w:rPr>
              <w:t>5.08</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ind w:firstLine="600" w:firstLineChars="300"/>
              <w:jc w:val="center"/>
              <w:rPr>
                <w:rFonts w:ascii="宋体" w:hAnsi="宋体" w:cs="宋体"/>
                <w:color w:val="000000"/>
                <w:sz w:val="20"/>
                <w:szCs w:val="20"/>
              </w:rPr>
            </w:pPr>
            <w:r>
              <w:rPr>
                <w:rFonts w:hint="eastAsia" w:ascii="宋体" w:hAnsi="宋体" w:cs="宋体"/>
                <w:color w:val="000000"/>
                <w:sz w:val="20"/>
                <w:szCs w:val="20"/>
              </w:rPr>
              <w:t>2.80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ind w:firstLine="600" w:firstLineChars="300"/>
              <w:jc w:val="center"/>
              <w:rPr>
                <w:rFonts w:ascii="宋体" w:hAnsi="宋体" w:cs="宋体"/>
                <w:color w:val="000000"/>
                <w:sz w:val="20"/>
                <w:szCs w:val="20"/>
              </w:rPr>
            </w:pPr>
            <w:r>
              <w:rPr>
                <w:rFonts w:hint="eastAsia" w:ascii="宋体" w:hAnsi="宋体" w:cs="宋体"/>
                <w:color w:val="000000"/>
                <w:sz w:val="20"/>
                <w:szCs w:val="20"/>
              </w:rPr>
              <w:t>6.67</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 xml:space="preserve">     0.00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 xml:space="preserve">     4.01</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 xml:space="preserve">     0.00</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ind w:firstLine="600" w:firstLineChars="300"/>
              <w:jc w:val="center"/>
              <w:rPr>
                <w:rFonts w:ascii="宋体" w:hAnsi="宋体" w:cs="宋体"/>
                <w:color w:val="000000"/>
                <w:sz w:val="20"/>
                <w:szCs w:val="20"/>
              </w:rPr>
            </w:pPr>
            <w:r>
              <w:rPr>
                <w:rFonts w:hint="eastAsia" w:ascii="宋体" w:hAnsi="宋体" w:cs="宋体"/>
                <w:color w:val="000000"/>
                <w:sz w:val="20"/>
                <w:szCs w:val="20"/>
              </w:rPr>
              <w:t>4.01</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ind w:firstLine="600" w:firstLineChars="300"/>
              <w:jc w:val="center"/>
              <w:rPr>
                <w:rFonts w:ascii="宋体" w:hAnsi="宋体" w:cs="宋体"/>
                <w:color w:val="000000"/>
                <w:sz w:val="20"/>
                <w:szCs w:val="20"/>
              </w:rPr>
            </w:pPr>
            <w:r>
              <w:rPr>
                <w:rFonts w:hint="eastAsia" w:ascii="宋体" w:hAnsi="宋体" w:cs="宋体"/>
                <w:color w:val="000000"/>
                <w:sz w:val="20"/>
                <w:szCs w:val="20"/>
              </w:rPr>
              <w:t>2.66</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注：本表反映部门本年度“三公”经费支出预决算情况。其中，</w:t>
            </w:r>
            <w:r>
              <w:rPr>
                <w:rStyle w:val="22"/>
                <w:rFonts w:hint="default"/>
                <w:sz w:val="20"/>
                <w:szCs w:val="20"/>
              </w:rPr>
              <w:t>预算数为“三公”经费全年预算数，反映按规定程序调整后的预算数；决算数是包括当年一般公共预算财政拨款和以前年度结转资金安排的实际支出。</w:t>
            </w:r>
            <w:r>
              <w:rPr>
                <w:rFonts w:hint="eastAsia" w:ascii="宋体" w:hAnsi="宋体" w:cs="宋体"/>
                <w:color w:val="000000"/>
                <w:kern w:val="0"/>
                <w:sz w:val="20"/>
                <w:szCs w:val="20"/>
              </w:rPr>
              <w:t>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10"/>
        <w:tblW w:w="13692" w:type="dxa"/>
        <w:tblInd w:w="0" w:type="dxa"/>
        <w:tblLayout w:type="fixed"/>
        <w:tblCellMar>
          <w:top w:w="0" w:type="dxa"/>
          <w:left w:w="0" w:type="dxa"/>
          <w:bottom w:w="0" w:type="dxa"/>
          <w:right w:w="0" w:type="dxa"/>
        </w:tblCellMar>
      </w:tblPr>
      <w:tblGrid>
        <w:gridCol w:w="611"/>
        <w:gridCol w:w="535"/>
        <w:gridCol w:w="3402"/>
        <w:gridCol w:w="1134"/>
        <w:gridCol w:w="1559"/>
        <w:gridCol w:w="992"/>
        <w:gridCol w:w="429"/>
        <w:gridCol w:w="1202"/>
        <w:gridCol w:w="74"/>
        <w:gridCol w:w="1559"/>
        <w:gridCol w:w="1830"/>
        <w:gridCol w:w="365"/>
      </w:tblGrid>
      <w:tr>
        <w:tblPrEx>
          <w:tblCellMar>
            <w:top w:w="0" w:type="dxa"/>
            <w:left w:w="0" w:type="dxa"/>
            <w:bottom w:w="0" w:type="dxa"/>
            <w:right w:w="0" w:type="dxa"/>
          </w:tblCellMar>
        </w:tblPrEx>
        <w:trPr>
          <w:trHeight w:val="600" w:hRule="atLeast"/>
        </w:trPr>
        <w:tc>
          <w:tcPr>
            <w:tcW w:w="13692"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tblPrEx>
          <w:tblCellMar>
            <w:top w:w="0" w:type="dxa"/>
            <w:left w:w="0" w:type="dxa"/>
            <w:bottom w:w="0" w:type="dxa"/>
            <w:right w:w="0" w:type="dxa"/>
          </w:tblCellMar>
        </w:tblPrEx>
        <w:trPr>
          <w:gridAfter w:val="1"/>
          <w:wAfter w:w="365" w:type="dxa"/>
          <w:trHeight w:val="222" w:hRule="atLeast"/>
        </w:trPr>
        <w:tc>
          <w:tcPr>
            <w:tcW w:w="611"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3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40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134"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55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92"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631"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633"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30"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0" w:type="dxa"/>
            <w:bottom w:w="0" w:type="dxa"/>
            <w:right w:w="0" w:type="dxa"/>
          </w:tblCellMar>
        </w:tblPrEx>
        <w:trPr>
          <w:gridAfter w:val="1"/>
          <w:wAfter w:w="365" w:type="dxa"/>
          <w:trHeight w:val="300" w:hRule="atLeast"/>
        </w:trPr>
        <w:tc>
          <w:tcPr>
            <w:tcW w:w="7241" w:type="dxa"/>
            <w:gridSpan w:val="5"/>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sz w:val="20"/>
                <w:szCs w:val="20"/>
              </w:rPr>
              <w:t>河南省新乡市延津县榆林乡人民政府</w:t>
            </w:r>
          </w:p>
        </w:tc>
        <w:tc>
          <w:tcPr>
            <w:tcW w:w="992"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631"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633"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30"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gridAfter w:val="1"/>
          <w:wAfter w:w="365" w:type="dxa"/>
          <w:trHeight w:val="405" w:hRule="atLeast"/>
        </w:trPr>
        <w:tc>
          <w:tcPr>
            <w:tcW w:w="4548"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134"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1559"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w:t>
            </w:r>
          </w:p>
        </w:tc>
        <w:tc>
          <w:tcPr>
            <w:tcW w:w="4256" w:type="dxa"/>
            <w:gridSpan w:val="5"/>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c>
          <w:tcPr>
            <w:tcW w:w="1830"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r>
      <w:tr>
        <w:tblPrEx>
          <w:tblCellMar>
            <w:top w:w="0" w:type="dxa"/>
            <w:left w:w="0" w:type="dxa"/>
            <w:bottom w:w="0" w:type="dxa"/>
            <w:right w:w="0" w:type="dxa"/>
          </w:tblCellMar>
        </w:tblPrEx>
        <w:trPr>
          <w:gridAfter w:val="1"/>
          <w:wAfter w:w="365" w:type="dxa"/>
          <w:trHeight w:val="540" w:hRule="atLeast"/>
        </w:trPr>
        <w:tc>
          <w:tcPr>
            <w:tcW w:w="1146"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34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134"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21"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27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559" w:type="dxa"/>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830"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65" w:type="dxa"/>
          <w:trHeight w:val="360" w:hRule="atLeast"/>
        </w:trPr>
        <w:tc>
          <w:tcPr>
            <w:tcW w:w="1146"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34"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21"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830"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65" w:type="dxa"/>
          <w:trHeight w:val="450" w:hRule="atLeast"/>
        </w:trPr>
        <w:tc>
          <w:tcPr>
            <w:tcW w:w="1146"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34"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21"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830"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65" w:type="dxa"/>
          <w:trHeight w:val="450" w:hRule="atLeast"/>
        </w:trPr>
        <w:tc>
          <w:tcPr>
            <w:tcW w:w="4548"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gridAfter w:val="1"/>
          <w:wAfter w:w="365" w:type="dxa"/>
          <w:trHeight w:val="450" w:hRule="atLeast"/>
        </w:trPr>
        <w:tc>
          <w:tcPr>
            <w:tcW w:w="4548"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37.97</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8.70</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8.70</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29.27</w:t>
            </w: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城乡社区支出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000" w:firstLineChars="500"/>
              <w:jc w:val="right"/>
              <w:rPr>
                <w:rFonts w:ascii="宋体" w:hAnsi="宋体" w:cs="宋体"/>
                <w:color w:val="000000"/>
                <w:sz w:val="20"/>
                <w:szCs w:val="20"/>
              </w:rPr>
            </w:pPr>
            <w:r>
              <w:rPr>
                <w:rFonts w:hint="eastAsia" w:ascii="宋体" w:hAnsi="宋体" w:cs="宋体"/>
                <w:color w:val="000000"/>
                <w:sz w:val="20"/>
                <w:szCs w:val="20"/>
              </w:rPr>
              <w:t>37.97</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900" w:firstLineChars="450"/>
              <w:jc w:val="right"/>
              <w:rPr>
                <w:rFonts w:ascii="宋体" w:hAnsi="宋体" w:cs="宋体"/>
                <w:color w:val="000000"/>
                <w:sz w:val="20"/>
                <w:szCs w:val="20"/>
              </w:rPr>
            </w:pPr>
            <w:r>
              <w:rPr>
                <w:rFonts w:hint="eastAsia" w:ascii="宋体" w:hAnsi="宋体" w:cs="宋体"/>
                <w:color w:val="000000"/>
                <w:sz w:val="20"/>
                <w:szCs w:val="20"/>
              </w:rPr>
              <w:t>8.70</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ind w:firstLine="1000" w:firstLineChars="500"/>
              <w:jc w:val="right"/>
              <w:rPr>
                <w:rFonts w:ascii="宋体" w:hAnsi="宋体" w:cs="宋体"/>
                <w:color w:val="000000"/>
                <w:sz w:val="20"/>
                <w:szCs w:val="20"/>
              </w:rPr>
            </w:pPr>
            <w:r>
              <w:rPr>
                <w:rFonts w:hint="eastAsia" w:ascii="宋体" w:hAnsi="宋体" w:cs="宋体"/>
                <w:color w:val="000000"/>
                <w:sz w:val="20"/>
                <w:szCs w:val="20"/>
              </w:rPr>
              <w:t>8.70</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ind w:firstLine="1200" w:firstLineChars="600"/>
              <w:jc w:val="right"/>
              <w:rPr>
                <w:rFonts w:ascii="宋体" w:hAnsi="宋体" w:cs="宋体"/>
                <w:color w:val="000000"/>
                <w:sz w:val="20"/>
                <w:szCs w:val="20"/>
              </w:rPr>
            </w:pPr>
            <w:r>
              <w:rPr>
                <w:rFonts w:hint="eastAsia" w:ascii="宋体" w:hAnsi="宋体" w:cs="宋体"/>
                <w:color w:val="000000"/>
                <w:sz w:val="20"/>
                <w:szCs w:val="20"/>
              </w:rPr>
              <w:t>29.27</w:t>
            </w: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21208</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13"/>
                <w:szCs w:val="13"/>
              </w:rPr>
            </w:pPr>
            <w:r>
              <w:rPr>
                <w:rFonts w:hint="eastAsia" w:ascii="宋体" w:hAnsi="宋体" w:cs="宋体"/>
                <w:color w:val="000000"/>
                <w:sz w:val="13"/>
                <w:szCs w:val="13"/>
              </w:rPr>
              <w:t>国有土地使用权出让收入及对应专项债务收入安排的支出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000" w:firstLineChars="500"/>
              <w:jc w:val="right"/>
              <w:rPr>
                <w:rFonts w:ascii="宋体" w:hAnsi="宋体" w:cs="宋体"/>
                <w:color w:val="000000"/>
                <w:sz w:val="20"/>
                <w:szCs w:val="20"/>
              </w:rPr>
            </w:pPr>
            <w:r>
              <w:rPr>
                <w:rFonts w:hint="eastAsia" w:ascii="宋体" w:hAnsi="宋体" w:cs="宋体"/>
                <w:color w:val="000000"/>
                <w:sz w:val="20"/>
                <w:szCs w:val="20"/>
              </w:rPr>
              <w:t>37.97</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900" w:firstLineChars="450"/>
              <w:jc w:val="right"/>
              <w:rPr>
                <w:rFonts w:ascii="宋体" w:hAnsi="宋体" w:cs="宋体"/>
                <w:color w:val="000000"/>
                <w:sz w:val="20"/>
                <w:szCs w:val="20"/>
              </w:rPr>
            </w:pPr>
            <w:r>
              <w:rPr>
                <w:rFonts w:hint="eastAsia" w:ascii="宋体" w:hAnsi="宋体" w:cs="宋体"/>
                <w:color w:val="000000"/>
                <w:sz w:val="20"/>
                <w:szCs w:val="20"/>
              </w:rPr>
              <w:t>8.70</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ind w:firstLine="1000" w:firstLineChars="500"/>
              <w:jc w:val="right"/>
              <w:rPr>
                <w:rFonts w:ascii="宋体" w:hAnsi="宋体" w:cs="宋体"/>
                <w:color w:val="000000"/>
                <w:sz w:val="20"/>
                <w:szCs w:val="20"/>
              </w:rPr>
            </w:pPr>
            <w:r>
              <w:rPr>
                <w:rFonts w:hint="eastAsia" w:ascii="宋体" w:hAnsi="宋体" w:cs="宋体"/>
                <w:color w:val="000000"/>
                <w:sz w:val="20"/>
                <w:szCs w:val="20"/>
              </w:rPr>
              <w:t>8.70</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ind w:firstLine="1200" w:firstLineChars="600"/>
              <w:jc w:val="right"/>
              <w:rPr>
                <w:rFonts w:ascii="宋体" w:hAnsi="宋体" w:cs="宋体"/>
                <w:color w:val="000000"/>
                <w:sz w:val="20"/>
                <w:szCs w:val="20"/>
              </w:rPr>
            </w:pPr>
            <w:r>
              <w:rPr>
                <w:rFonts w:hint="eastAsia" w:ascii="宋体" w:hAnsi="宋体" w:cs="宋体"/>
                <w:color w:val="000000"/>
                <w:sz w:val="20"/>
                <w:szCs w:val="20"/>
              </w:rPr>
              <w:t>29.27</w:t>
            </w: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2120804</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农村基础设施建设支出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000" w:firstLineChars="500"/>
              <w:jc w:val="right"/>
              <w:rPr>
                <w:rFonts w:ascii="宋体" w:hAnsi="宋体" w:cs="宋体"/>
                <w:color w:val="000000"/>
                <w:sz w:val="20"/>
                <w:szCs w:val="20"/>
              </w:rPr>
            </w:pPr>
            <w:r>
              <w:rPr>
                <w:rFonts w:hint="eastAsia" w:ascii="宋体" w:hAnsi="宋体" w:cs="宋体"/>
                <w:color w:val="000000"/>
                <w:sz w:val="20"/>
                <w:szCs w:val="20"/>
              </w:rPr>
              <w:t>29.27</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900" w:firstLineChars="450"/>
              <w:jc w:val="right"/>
              <w:rPr>
                <w:rFonts w:ascii="宋体" w:hAnsi="宋体" w:cs="宋体"/>
                <w:color w:val="000000"/>
                <w:sz w:val="20"/>
                <w:szCs w:val="20"/>
              </w:rPr>
            </w:pPr>
            <w:r>
              <w:rPr>
                <w:rFonts w:hint="eastAsia"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0.00</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ind w:firstLine="1200" w:firstLineChars="600"/>
              <w:jc w:val="right"/>
              <w:rPr>
                <w:rFonts w:ascii="宋体" w:hAnsi="宋体" w:cs="宋体"/>
                <w:color w:val="000000"/>
                <w:sz w:val="20"/>
                <w:szCs w:val="20"/>
              </w:rPr>
            </w:pPr>
            <w:r>
              <w:rPr>
                <w:rFonts w:hint="eastAsia" w:ascii="宋体" w:hAnsi="宋体" w:cs="宋体"/>
                <w:color w:val="000000"/>
                <w:sz w:val="20"/>
                <w:szCs w:val="20"/>
              </w:rPr>
              <w:t>29.27</w:t>
            </w: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2120899</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18"/>
                <w:szCs w:val="18"/>
              </w:rPr>
            </w:pPr>
            <w:r>
              <w:rPr>
                <w:rFonts w:hint="eastAsia" w:ascii="宋体" w:hAnsi="宋体" w:cs="宋体"/>
                <w:color w:val="000000"/>
                <w:sz w:val="18"/>
                <w:szCs w:val="18"/>
              </w:rPr>
              <w:t>其他国有土地使用权出让收入安排的支出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100" w:firstLineChars="550"/>
              <w:jc w:val="right"/>
              <w:rPr>
                <w:rFonts w:ascii="宋体" w:hAnsi="宋体" w:cs="宋体"/>
                <w:color w:val="000000"/>
                <w:sz w:val="20"/>
                <w:szCs w:val="20"/>
              </w:rPr>
            </w:pPr>
            <w:r>
              <w:rPr>
                <w:rFonts w:hint="eastAsia" w:ascii="宋体" w:hAnsi="宋体" w:cs="宋体"/>
                <w:color w:val="000000"/>
                <w:sz w:val="20"/>
                <w:szCs w:val="20"/>
              </w:rPr>
              <w:t>8.70</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900" w:firstLineChars="450"/>
              <w:jc w:val="right"/>
              <w:rPr>
                <w:rFonts w:ascii="宋体" w:hAnsi="宋体" w:cs="宋体"/>
                <w:color w:val="000000"/>
                <w:sz w:val="20"/>
                <w:szCs w:val="20"/>
              </w:rPr>
            </w:pPr>
            <w:r>
              <w:rPr>
                <w:rFonts w:hint="eastAsia" w:ascii="宋体" w:hAnsi="宋体" w:cs="宋体"/>
                <w:color w:val="000000"/>
                <w:sz w:val="20"/>
                <w:szCs w:val="20"/>
              </w:rPr>
              <w:t>8.70</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ind w:firstLine="1100" w:firstLineChars="550"/>
              <w:jc w:val="right"/>
              <w:rPr>
                <w:rFonts w:ascii="宋体" w:hAnsi="宋体" w:cs="宋体"/>
                <w:color w:val="000000"/>
                <w:sz w:val="20"/>
                <w:szCs w:val="20"/>
              </w:rPr>
            </w:pPr>
            <w:r>
              <w:rPr>
                <w:rFonts w:hint="eastAsia" w:ascii="宋体" w:hAnsi="宋体" w:cs="宋体"/>
                <w:color w:val="000000"/>
                <w:sz w:val="20"/>
                <w:szCs w:val="20"/>
              </w:rPr>
              <w:t>8.70</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0.00</w:t>
            </w: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34"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55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4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559"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830"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645" w:hRule="atLeast"/>
        </w:trPr>
        <w:tc>
          <w:tcPr>
            <w:tcW w:w="13692"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注：本表反映部门本年度政府性基金预算财政拨款收入、支出及结转和结余情况。</w:t>
            </w:r>
          </w:p>
        </w:tc>
      </w:tr>
    </w:tbl>
    <w:p>
      <w:pPr>
        <w:jc w:val="center"/>
        <w:rPr>
          <w:rFonts w:ascii="仿宋_GB2312" w:hAnsi="仿宋_GB2312" w:eastAsia="仿宋_GB2312" w:cs="仿宋_GB2312"/>
          <w:sz w:val="32"/>
          <w:szCs w:val="32"/>
          <w:highlight w:val="yellow"/>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2019年度部门决算情况说明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2019年度收、支总计均为1498.16万元。与上年度相比，收、支总计各增加41.74万元，增长2.87%。主要原因是城乡社区基础设施建设项目支出有所增加。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2019年度收入合计1368.89万元，其中：财政拨款收入1368.89万元，占100%。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2019年度支出合计1009.66万元，其中：基本支出602.98万元，占59.72%；项目支出406.68万元，占40.28%。</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jc w:val="left"/>
        <w:rPr>
          <w:rFonts w:ascii="黑体" w:hAnsi="黑体" w:eastAsia="黑体" w:cs="黑体"/>
          <w:sz w:val="32"/>
          <w:szCs w:val="32"/>
        </w:rPr>
      </w:pPr>
      <w:r>
        <w:rPr>
          <w:rFonts w:hint="eastAsia" w:ascii="仿宋_GB2312" w:hAnsi="仿宋_GB2312" w:eastAsia="仿宋_GB2312" w:cs="仿宋_GB2312"/>
          <w:sz w:val="32"/>
          <w:szCs w:val="32"/>
        </w:rPr>
        <w:t xml:space="preserve">2019年度财政拨款收、支总计均为1498.16万元。与上年度相比，财政拨款收、支总计各增加41.74万元，增长2.87%。主要原因是城乡社区基础设施建设项目投资支出有所增加                                                   </w:t>
      </w: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2019年度一般公共预算财政拨款支出1000.96万元，占本年支出合计的99.14%。与上年度相比，一般公共预算财政拨款支出增加201.83万元，增长25.26%。主要原因是增加了城乡社区基础设施建设投资项目。</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autoSpaceDE w:val="0"/>
        <w:autoSpaceDN w:val="0"/>
        <w:adjustRightInd w:val="0"/>
        <w:ind w:firstLine="640"/>
        <w:jc w:val="left"/>
        <w:rPr>
          <w:rFonts w:ascii="仿宋_GB2312" w:eastAsia="仿宋_GB2312" w:cs="仿宋"/>
          <w:color w:val="000000"/>
          <w:sz w:val="32"/>
          <w:szCs w:val="32"/>
        </w:rPr>
      </w:pPr>
      <w:r>
        <w:rPr>
          <w:rFonts w:hint="eastAsia" w:ascii="仿宋_GB2312" w:hAnsi="宋体" w:eastAsia="仿宋_GB2312" w:cs="仿宋"/>
          <w:color w:val="000000"/>
          <w:sz w:val="32"/>
          <w:szCs w:val="32"/>
        </w:rPr>
        <w:t>2019年度一般公共预算财政拨款支出1000.96万元，主要用于以下方面：一般公共服务（类）支出212.61万元，占21.24%；社会保障和就业（类）支出50.26万元，占5.02%；卫生健康（类）支出57.36万元，占5.73%；节能环保（类）支出</w:t>
      </w:r>
      <w:r>
        <w:rPr>
          <w:rFonts w:hint="eastAsia" w:ascii="仿宋_GB2312" w:eastAsia="仿宋_GB2312" w:cs="仿宋"/>
          <w:color w:val="000000"/>
          <w:sz w:val="32"/>
          <w:szCs w:val="32"/>
        </w:rPr>
        <w:t>10.36</w:t>
      </w:r>
      <w:r>
        <w:rPr>
          <w:rFonts w:hint="eastAsia" w:ascii="仿宋_GB2312" w:hAnsi="宋体" w:eastAsia="仿宋_GB2312" w:cs="仿宋"/>
          <w:color w:val="000000"/>
          <w:sz w:val="32"/>
          <w:szCs w:val="32"/>
        </w:rPr>
        <w:t>万元，占1.04%；城乡社区（类）支出448.32万元，占44.79%；农林水（类）支出222.05万元，占22.18%。</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autoSpaceDE w:val="0"/>
        <w:autoSpaceDN w:val="0"/>
        <w:adjustRightInd w:val="0"/>
        <w:ind w:firstLine="640"/>
        <w:rPr>
          <w:rFonts w:ascii="仿宋_GB2312" w:eastAsia="仿宋_GB2312" w:cs="仿宋"/>
          <w:color w:val="000000"/>
          <w:sz w:val="32"/>
          <w:szCs w:val="32"/>
        </w:rPr>
      </w:pPr>
      <w:r>
        <w:rPr>
          <w:rFonts w:ascii="宋体" w:hAnsi="宋体" w:cs="仿宋"/>
          <w:color w:val="000000"/>
          <w:sz w:val="32"/>
          <w:szCs w:val="32"/>
        </w:rPr>
        <w:t>2019</w:t>
      </w:r>
      <w:r>
        <w:rPr>
          <w:rFonts w:hint="eastAsia" w:ascii="仿宋_GB2312" w:hAnsi="宋体" w:eastAsia="仿宋_GB2312" w:cs="仿宋"/>
          <w:color w:val="000000"/>
          <w:sz w:val="32"/>
          <w:szCs w:val="32"/>
        </w:rPr>
        <w:t>年度一般公共预算财政拨款支出年初预算为1000.96万元，支出决算为1000.96万元，完成年初预算的100%。其中：</w:t>
      </w:r>
    </w:p>
    <w:p>
      <w:pPr>
        <w:ind w:firstLine="790" w:firstLineChars="246"/>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1．一般公共服务（类）政府办公厅（室）及相关机构事物（款）行政运行（项）。</w:t>
      </w:r>
      <w:r>
        <w:rPr>
          <w:rFonts w:hint="eastAsia" w:ascii="仿宋_GB2312" w:hAnsi="仿宋_GB2312" w:eastAsia="仿宋_GB2312" w:cs="仿宋_GB2312"/>
          <w:sz w:val="32"/>
          <w:szCs w:val="32"/>
        </w:rPr>
        <w:t>年初预算为164.57万元，支出决算为164.57万元，完成年初预算的100%。</w:t>
      </w:r>
      <w:r>
        <w:rPr>
          <w:rFonts w:hint="eastAsia" w:ascii="仿宋_GB2312" w:eastAsia="仿宋_GB2312" w:cs="仿宋"/>
          <w:sz w:val="32"/>
          <w:szCs w:val="32"/>
        </w:rPr>
        <w:t>决算数与年初预算数不存在差异的主要原因：严格按照预算执行。</w:t>
      </w:r>
      <w:r>
        <w:rPr>
          <w:rFonts w:hint="eastAsia" w:ascii="仿宋_GB2312" w:hAnsi="宋体" w:eastAsia="仿宋_GB2312" w:cs="Arial"/>
          <w:color w:val="000000"/>
          <w:kern w:val="0"/>
          <w:sz w:val="32"/>
          <w:szCs w:val="32"/>
        </w:rPr>
        <w:t xml:space="preserve"> </w:t>
      </w:r>
    </w:p>
    <w:p>
      <w:pPr>
        <w:ind w:firstLine="803" w:firstLineChars="25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2．一般公共服务（类）党委办公厅（室）及相关机构事物（款）行政运行（项）</w:t>
      </w:r>
      <w:r>
        <w:rPr>
          <w:rFonts w:hint="eastAsia" w:ascii="仿宋_GB2312" w:hAnsi="仿宋_GB2312" w:eastAsia="仿宋_GB2312" w:cs="仿宋_GB2312"/>
          <w:sz w:val="32"/>
          <w:szCs w:val="32"/>
        </w:rPr>
        <w:t>年初预算为48.04万元，支出决算为48.04万元，完成年初预算的100%。</w:t>
      </w:r>
      <w:r>
        <w:rPr>
          <w:rFonts w:hint="eastAsia" w:ascii="仿宋_GB2312" w:eastAsia="仿宋_GB2312" w:cs="仿宋"/>
          <w:sz w:val="32"/>
          <w:szCs w:val="32"/>
        </w:rPr>
        <w:t>决算数与年初预算数不存在差异的主要原因：严格按照预算执行。</w:t>
      </w:r>
    </w:p>
    <w:p>
      <w:pPr>
        <w:widowControl/>
        <w:spacing w:line="590" w:lineRule="exact"/>
        <w:ind w:firstLine="640" w:firstLineChars="200"/>
        <w:rPr>
          <w:rFonts w:ascii="仿宋_GB2312" w:hAnsi="仿宋_GB2312" w:eastAsia="仿宋_GB2312" w:cs="仿宋_GB2312"/>
          <w:sz w:val="32"/>
          <w:szCs w:val="32"/>
        </w:rPr>
      </w:pPr>
    </w:p>
    <w:p>
      <w:pPr>
        <w:ind w:firstLine="790" w:firstLineChars="246"/>
        <w:rPr>
          <w:rFonts w:ascii="仿宋_GB2312" w:hAnsi="宋体" w:eastAsia="仿宋_GB2312" w:cs="Arial"/>
          <w:color w:val="000000"/>
          <w:kern w:val="0"/>
          <w:sz w:val="32"/>
          <w:szCs w:val="32"/>
        </w:rPr>
      </w:pPr>
      <w:r>
        <w:rPr>
          <w:rFonts w:hint="eastAsia" w:ascii="仿宋_GB2312" w:hAnsi="仿宋_GB2312" w:eastAsia="仿宋_GB2312" w:cs="仿宋_GB2312"/>
          <w:b/>
          <w:sz w:val="32"/>
          <w:szCs w:val="32"/>
        </w:rPr>
        <w:t>3.</w:t>
      </w:r>
      <w:r>
        <w:rPr>
          <w:rFonts w:ascii="仿宋_GB2312" w:hAnsi="宋体" w:eastAsia="仿宋_GB2312" w:cs="Arial"/>
          <w:b/>
          <w:color w:val="000000"/>
          <w:kern w:val="0"/>
          <w:sz w:val="32"/>
          <w:szCs w:val="32"/>
        </w:rPr>
        <w:t xml:space="preserve"> </w:t>
      </w:r>
      <w:r>
        <w:rPr>
          <w:rFonts w:hint="eastAsia" w:ascii="仿宋_GB2312" w:hAnsi="仿宋_GB2312" w:eastAsia="仿宋_GB2312" w:cs="仿宋_GB2312"/>
          <w:b/>
          <w:bCs/>
          <w:sz w:val="32"/>
          <w:szCs w:val="32"/>
        </w:rPr>
        <w:t>社会保障和就业（类）行政事业离退休（款）机关事业单位基本养老保险缴费（项）</w:t>
      </w:r>
      <w:r>
        <w:rPr>
          <w:rFonts w:hint="eastAsia" w:ascii="仿宋_GB2312" w:hAnsi="仿宋_GB2312" w:eastAsia="仿宋_GB2312" w:cs="仿宋_GB2312"/>
          <w:sz w:val="32"/>
          <w:szCs w:val="32"/>
        </w:rPr>
        <w:t>年初预算为48.85元，支出决算为48.85万元，完成年初预算的100%。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color w:val="000000"/>
          <w:kern w:val="0"/>
          <w:sz w:val="32"/>
          <w:szCs w:val="32"/>
        </w:rPr>
      </w:pP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4．社会保障和就业（类）其他社会保障和就业（款）其他社会保障和就业支出（项）</w:t>
      </w:r>
      <w:r>
        <w:rPr>
          <w:rFonts w:hint="eastAsia" w:ascii="仿宋_GB2312" w:hAnsi="仿宋_GB2312" w:eastAsia="仿宋_GB2312" w:cs="仿宋_GB2312"/>
          <w:sz w:val="32"/>
          <w:szCs w:val="32"/>
        </w:rPr>
        <w:t>年初预算为1.41元，支出决算为1.41万元，完成年初预算的100%。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color w:val="000000"/>
          <w:kern w:val="0"/>
          <w:sz w:val="32"/>
          <w:szCs w:val="32"/>
        </w:rPr>
      </w:pP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5．卫生与健康支出（类）计划生育事务（款）计划生育服务（项）</w:t>
      </w:r>
      <w:r>
        <w:rPr>
          <w:rFonts w:hint="eastAsia" w:ascii="仿宋_GB2312" w:hAnsi="仿宋_GB2312" w:eastAsia="仿宋_GB2312" w:cs="仿宋_GB2312"/>
          <w:sz w:val="32"/>
          <w:szCs w:val="32"/>
        </w:rPr>
        <w:t>年初预算为42.85万元，支出决算为42.85万元，完成年初预算的100%。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color w:val="000000"/>
          <w:kern w:val="0"/>
          <w:sz w:val="32"/>
          <w:szCs w:val="32"/>
        </w:rPr>
      </w:pP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6．卫生与健康支出（类）行政事业单位医疗（款）行政单位医疗（项）</w:t>
      </w:r>
      <w:r>
        <w:rPr>
          <w:rFonts w:hint="eastAsia" w:ascii="仿宋_GB2312" w:hAnsi="仿宋_GB2312" w:eastAsia="仿宋_GB2312" w:cs="仿宋_GB2312"/>
          <w:sz w:val="32"/>
          <w:szCs w:val="32"/>
        </w:rPr>
        <w:t>年初预算为6.22万元，支出决算为6.22万元，完成年初预算的100%。</w:t>
      </w:r>
      <w:r>
        <w:rPr>
          <w:rFonts w:hint="eastAsia" w:ascii="仿宋_GB2312" w:eastAsia="仿宋_GB2312" w:cs="仿宋"/>
          <w:sz w:val="32"/>
          <w:szCs w:val="32"/>
        </w:rPr>
        <w:t>决算数与年初预算数不存在差异的主要原因：严格按照预算执行。</w:t>
      </w: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7. 卫生与健康支出（类）行政事业单位医疗（款）事业单位医疗（项）</w:t>
      </w:r>
      <w:r>
        <w:rPr>
          <w:rFonts w:hint="eastAsia" w:ascii="仿宋_GB2312" w:hAnsi="仿宋_GB2312" w:eastAsia="仿宋_GB2312" w:cs="仿宋_GB2312"/>
          <w:sz w:val="32"/>
          <w:szCs w:val="32"/>
        </w:rPr>
        <w:t>年初预算为8.29万元，支出决算为8.29万元，完成年初预算的100%。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color w:val="000000"/>
          <w:kern w:val="0"/>
          <w:sz w:val="32"/>
          <w:szCs w:val="32"/>
        </w:rPr>
      </w:pP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sz w:val="32"/>
          <w:szCs w:val="32"/>
        </w:rPr>
        <w:t>8</w:t>
      </w:r>
      <w:r>
        <w:rPr>
          <w:rFonts w:hint="eastAsia" w:ascii="仿宋_GB2312" w:hAnsi="仿宋_GB2312" w:eastAsia="仿宋_GB2312" w:cs="仿宋_GB2312"/>
          <w:b/>
          <w:bCs/>
          <w:sz w:val="32"/>
          <w:szCs w:val="32"/>
        </w:rPr>
        <w:t>．节能环保支出（类）自然生态保护（款）农村环境保护（项）</w:t>
      </w:r>
      <w:r>
        <w:rPr>
          <w:rFonts w:hint="eastAsia" w:ascii="仿宋_GB2312" w:hAnsi="仿宋_GB2312" w:eastAsia="仿宋_GB2312" w:cs="仿宋_GB2312"/>
          <w:sz w:val="32"/>
          <w:szCs w:val="32"/>
        </w:rPr>
        <w:t>年初预算为10.36万元，支出决算为10.36万元，完成年初预算的100%。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color w:val="000000"/>
          <w:kern w:val="0"/>
          <w:sz w:val="32"/>
          <w:szCs w:val="32"/>
        </w:rPr>
      </w:pP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9．城乡社区（类）城乡社区公共设施（款）其他城乡社区公共设施（项）</w:t>
      </w:r>
      <w:r>
        <w:rPr>
          <w:rFonts w:hint="eastAsia" w:ascii="仿宋_GB2312" w:hAnsi="仿宋_GB2312" w:eastAsia="仿宋_GB2312" w:cs="仿宋_GB2312"/>
          <w:sz w:val="32"/>
          <w:szCs w:val="32"/>
        </w:rPr>
        <w:t>年初预算为337.50万元，支出决算为337.50万元，完成年初预算的100%。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color w:val="000000"/>
          <w:kern w:val="0"/>
          <w:sz w:val="32"/>
          <w:szCs w:val="32"/>
        </w:rPr>
      </w:pP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10．城乡社区（类）城乡社区环境卫生（款）城乡社区环境卫生（项）</w:t>
      </w:r>
      <w:r>
        <w:rPr>
          <w:rFonts w:hint="eastAsia" w:ascii="仿宋_GB2312" w:hAnsi="仿宋_GB2312" w:eastAsia="仿宋_GB2312" w:cs="仿宋_GB2312"/>
          <w:sz w:val="32"/>
          <w:szCs w:val="32"/>
        </w:rPr>
        <w:t>年初预算为110.82万元，支出决算为110.82万元，完成年初预算的100%。</w:t>
      </w:r>
      <w:r>
        <w:rPr>
          <w:rFonts w:hint="eastAsia" w:ascii="仿宋_GB2312" w:eastAsia="仿宋_GB2312" w:cs="仿宋"/>
          <w:sz w:val="32"/>
          <w:szCs w:val="32"/>
        </w:rPr>
        <w:t>决算数与年初预算数不存在差异的主要原因：严格按照预算执行。</w:t>
      </w:r>
    </w:p>
    <w:p>
      <w:pPr>
        <w:rPr>
          <w:rFonts w:ascii="仿宋_GB2312" w:hAnsi="宋体" w:eastAsia="仿宋_GB2312" w:cs="Arial"/>
          <w:color w:val="000000"/>
          <w:kern w:val="0"/>
          <w:sz w:val="32"/>
          <w:szCs w:val="32"/>
        </w:rPr>
      </w:pP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11．农林水（类）农业（款）事业运行（项）</w:t>
      </w:r>
      <w:r>
        <w:rPr>
          <w:rFonts w:hint="eastAsia" w:ascii="仿宋_GB2312" w:hAnsi="仿宋_GB2312" w:eastAsia="仿宋_GB2312" w:cs="仿宋_GB2312"/>
          <w:sz w:val="32"/>
          <w:szCs w:val="32"/>
        </w:rPr>
        <w:t>年初预算为102.82万元，支出决算为102.82万元，完成年初预算的100%。</w:t>
      </w:r>
      <w:r>
        <w:rPr>
          <w:rFonts w:hint="eastAsia" w:ascii="仿宋_GB2312" w:eastAsia="仿宋_GB2312" w:cs="仿宋"/>
          <w:sz w:val="32"/>
          <w:szCs w:val="32"/>
        </w:rPr>
        <w:t>决算数与年初预算数不存在差异的主要原因：严格按照预算执行。</w:t>
      </w:r>
    </w:p>
    <w:p>
      <w:pPr>
        <w:ind w:firstLine="790" w:firstLineChars="246"/>
        <w:rPr>
          <w:rFonts w:ascii="仿宋_GB2312" w:hAnsi="宋体" w:eastAsia="仿宋_GB2312" w:cs="Arial"/>
          <w:color w:val="000000"/>
          <w:kern w:val="0"/>
          <w:sz w:val="32"/>
          <w:szCs w:val="32"/>
        </w:rPr>
      </w:pPr>
      <w:r>
        <w:rPr>
          <w:rFonts w:hint="eastAsia" w:ascii="仿宋_GB2312" w:hAnsi="宋体" w:eastAsia="仿宋_GB2312" w:cs="Arial"/>
          <w:b/>
          <w:color w:val="000000"/>
          <w:kern w:val="0"/>
          <w:sz w:val="32"/>
          <w:szCs w:val="32"/>
        </w:rPr>
        <w:t>12 .农林水（类）农业（款）病虫害控制（项）</w:t>
      </w:r>
      <w:r>
        <w:rPr>
          <w:rFonts w:hint="eastAsia" w:ascii="仿宋_GB2312" w:hAnsi="宋体" w:eastAsia="仿宋_GB2312" w:cs="Arial"/>
          <w:color w:val="000000"/>
          <w:kern w:val="0"/>
          <w:sz w:val="32"/>
          <w:szCs w:val="32"/>
        </w:rPr>
        <w:t>年初预算为9.98万元，支出决算为9.98万元，完成年初预算的100%。决算数与年初预算数不存在差异的主要原因：严格按照预算执行。</w:t>
      </w: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13．农林水（类）农村综合改革（款）对村级一事一议的补助（项）</w:t>
      </w:r>
      <w:r>
        <w:rPr>
          <w:rFonts w:hint="eastAsia" w:ascii="仿宋_GB2312" w:hAnsi="仿宋_GB2312" w:eastAsia="仿宋_GB2312" w:cs="仿宋_GB2312"/>
          <w:sz w:val="32"/>
          <w:szCs w:val="32"/>
        </w:rPr>
        <w:t>年初预算为0.12万元，支出决算为0.12万元，完成年初预算的100%。</w:t>
      </w:r>
      <w:r>
        <w:rPr>
          <w:rFonts w:hint="eastAsia" w:ascii="仿宋_GB2312" w:eastAsia="仿宋_GB2312" w:cs="仿宋"/>
          <w:sz w:val="32"/>
          <w:szCs w:val="32"/>
        </w:rPr>
        <w:t>决算数与年初预算数不存在差异的主要原因：严格按照预算执行。</w:t>
      </w:r>
    </w:p>
    <w:p>
      <w:pPr>
        <w:rPr>
          <w:rFonts w:ascii="仿宋_GB2312" w:hAnsi="宋体" w:eastAsia="仿宋_GB2312" w:cs="Arial"/>
          <w:color w:val="000000"/>
          <w:kern w:val="0"/>
          <w:sz w:val="32"/>
          <w:szCs w:val="32"/>
        </w:rPr>
      </w:pPr>
    </w:p>
    <w:p>
      <w:pPr>
        <w:ind w:firstLine="482" w:firstLineChars="15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14．农林水（类）农村综合改革（款）对村民委员会和党支部的补助（项）</w:t>
      </w:r>
      <w:r>
        <w:rPr>
          <w:rFonts w:hint="eastAsia" w:ascii="仿宋_GB2312" w:hAnsi="仿宋_GB2312" w:eastAsia="仿宋_GB2312" w:cs="仿宋_GB2312"/>
          <w:sz w:val="32"/>
          <w:szCs w:val="32"/>
        </w:rPr>
        <w:t>年初预算为59.13万元，支出决算为59.13万元，完成年初预算的100%。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color w:val="000000"/>
          <w:kern w:val="0"/>
          <w:sz w:val="32"/>
          <w:szCs w:val="32"/>
        </w:rPr>
      </w:pPr>
    </w:p>
    <w:p>
      <w:pPr>
        <w:ind w:firstLine="482" w:firstLineChars="15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15．农林水（类）农村综合改革（款）对村集体经济组织的补助（项）</w:t>
      </w:r>
      <w:r>
        <w:rPr>
          <w:rFonts w:hint="eastAsia" w:ascii="仿宋_GB2312" w:hAnsi="仿宋_GB2312" w:eastAsia="仿宋_GB2312" w:cs="仿宋_GB2312"/>
          <w:sz w:val="32"/>
          <w:szCs w:val="32"/>
        </w:rPr>
        <w:t>年初预算为50万元，支出决算为50万元，完成年初预算的100%。</w:t>
      </w:r>
      <w:r>
        <w:rPr>
          <w:rFonts w:hint="eastAsia" w:ascii="仿宋_GB2312" w:eastAsia="仿宋_GB2312" w:cs="仿宋"/>
          <w:sz w:val="32"/>
          <w:szCs w:val="32"/>
        </w:rPr>
        <w:t>决算数与年初预算数不存在差异的主要原因：严格按照预算执行。</w:t>
      </w:r>
    </w:p>
    <w:p>
      <w:pPr>
        <w:rPr>
          <w:rFonts w:ascii="仿宋_GB2312" w:hAnsi="宋体" w:eastAsia="仿宋_GB2312" w:cs="Arial"/>
          <w:color w:val="000000"/>
          <w:kern w:val="0"/>
          <w:sz w:val="32"/>
          <w:szCs w:val="32"/>
        </w:r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基本支出602.98万元。其中：人员经费437.14万元，主要包括：基本工资213.97万元、津贴补贴63.24万元、绩效工资24.37万元、机关事业单位基本养老保险缴费48.85万元、职工基本医疗保险缴费14.51万元、其他社会保障缴费1.41万元、离休费8.85万元、生活补助41.14万元、其他对个人和家庭的补助20.8万元；公用经费165.84万元，主要包括：办公费34.19万元、印刷费1.58万元，手续费0.35万元，水费1.88万元、电费9.72万元、邮电费2.70万元、差旅费0.92万元、维修（护）费3.65万元、、会议费0.68万元、公务接待费2.66万元、委托业务费100万元、公务用车运行维护费4.01万元、其他交通费用3.5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三公”经费财政拨款支出预算为7.88万元，支出决算为6.67万元，完成预算的84.65%。2019年度“三公”经费支出决算数与预算数存在差异的主要原因是第一在规定的公务接待标准上降低来客接待标准和减少陪餐人数降低公务接待费用。第二在保证工作正常开展的情况下，尽量减少公车的使用次数和频率，减少公车运行费用。</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三公”经费财政拨款支出决算中，因公出国（境）费支出决算0万元，完成预算的0%，占0%；公务用车购置及运行费支出决算4.01万元，完成预算的78.94%，占60.12%；公务接待费支出决算2.66万元，完成预算的95%，占39.88%。具体情况如下：</w:t>
      </w:r>
    </w:p>
    <w:p>
      <w:pPr>
        <w:widowControl/>
        <w:spacing w:line="590" w:lineRule="exact"/>
        <w:ind w:firstLine="643" w:firstLineChars="200"/>
        <w:rPr>
          <w:rFonts w:ascii="仿宋_GB2312" w:hAnsi="仿宋_GB2312" w:eastAsia="仿宋_GB2312" w:cs="仿宋_GB2312"/>
          <w:sz w:val="32"/>
          <w:szCs w:val="32"/>
          <w:u w:color="FFFFFF" w:themeColor="background1"/>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预算为0万元，支出决算为0万元，完成预算的0%。决算数与年初预算数不存在差异。</w:t>
      </w:r>
      <w:r>
        <w:rPr>
          <w:rFonts w:hint="eastAsia" w:ascii="仿宋_GB2312" w:hAnsi="仿宋_GB2312" w:eastAsia="仿宋_GB2312" w:cs="仿宋_GB2312"/>
          <w:sz w:val="32"/>
          <w:szCs w:val="32"/>
          <w:u w:val="wave" w:color="FFFFFF" w:themeColor="background1"/>
        </w:rPr>
        <w:t>全年因公出国（境）团组0个，累计0人次。</w:t>
      </w:r>
      <w:r>
        <w:rPr>
          <w:rFonts w:hint="eastAsia" w:ascii="仿宋_GB2312" w:hAnsi="仿宋_GB2312" w:eastAsia="仿宋_GB2312" w:cs="仿宋_GB2312"/>
          <w:sz w:val="32"/>
          <w:szCs w:val="32"/>
          <w:u w:color="FFFFFF" w:themeColor="background1"/>
        </w:rPr>
        <w:t>开支内容包括：</w:t>
      </w:r>
    </w:p>
    <w:p>
      <w:pPr>
        <w:widowControl/>
        <w:spacing w:line="590" w:lineRule="exact"/>
        <w:ind w:firstLine="640" w:firstLineChars="200"/>
        <w:rPr>
          <w:rFonts w:ascii="仿宋_GB2312" w:hAnsi="仿宋_GB2312" w:eastAsia="仿宋_GB2312" w:cs="仿宋_GB2312"/>
          <w:sz w:val="32"/>
          <w:szCs w:val="32"/>
          <w:u w:color="FFFFFF" w:themeColor="background1"/>
        </w:rPr>
      </w:pPr>
      <w:r>
        <w:rPr>
          <w:rFonts w:hint="eastAsia" w:ascii="仿宋_GB2312" w:hAnsi="仿宋_GB2312" w:eastAsia="仿宋_GB2312" w:cs="仿宋_GB2312"/>
          <w:sz w:val="32"/>
          <w:szCs w:val="32"/>
          <w:u w:color="FFFFFF" w:themeColor="background1"/>
        </w:rPr>
        <w:t>无。</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预算为5.08万元，支出决算为4.01万元，完成预算的78.94%。决算数与年初预算数存在差异的主要原因是压减了公车运行支出。其中：</w:t>
      </w:r>
    </w:p>
    <w:p>
      <w:pPr>
        <w:widowControl/>
        <w:spacing w:line="590" w:lineRule="exact"/>
        <w:ind w:firstLine="803" w:firstLineChars="25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4.01万元。主要用于2辆一般公务用车和3辆执法执勤车辆的油费和维修。2019年期末，部门开支财政拨款的公务用车保有量为5辆。</w:t>
      </w:r>
      <w:r>
        <w:rPr>
          <w:rFonts w:ascii="仿宋_GB2312" w:hAnsi="仿宋_GB2312" w:eastAsia="仿宋_GB2312" w:cs="仿宋_GB2312"/>
          <w:sz w:val="32"/>
          <w:szCs w:val="32"/>
        </w:rPr>
        <w:t xml:space="preserve"> </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预算为2.8万元，支出决算为2.66万元，完成预算的95%。决算数与年初预算数存在差异的主要原因是在规定的公务接待标准上降低来客接待标准和减少陪餐人数减少公务接待费用。其中：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0万元。2019年共接待国（境）外来访团组0个、来访外宾0人次（不包括陪同人员）。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2.66万元。主要用于上级部门检查工作和其他单位来客的接待。2019年共接待国内来访团组170个、来宾890人次（不包括陪同人员）。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（一）预算绩效管理工作开展情况。</w:t>
      </w:r>
    </w:p>
    <w:p>
      <w:pPr>
        <w:kinsoku w:val="0"/>
        <w:overflowPunct w:val="0"/>
        <w:autoSpaceDE w:val="0"/>
        <w:autoSpaceDN w:val="0"/>
        <w:adjustRightInd w:val="0"/>
        <w:snapToGrid w:val="0"/>
        <w:spacing w:line="360" w:lineRule="auto"/>
        <w:ind w:firstLine="640" w:firstLineChars="200"/>
        <w:rPr>
          <w:rFonts w:ascii="仿宋_GB2312" w:eastAsia="仿宋_GB2312" w:cs="Courier New"/>
          <w:sz w:val="32"/>
          <w:szCs w:val="32"/>
        </w:rPr>
      </w:pPr>
      <w:r>
        <w:rPr>
          <w:rFonts w:hint="eastAsia" w:ascii="仿宋_GB2312" w:hAnsi="宋体" w:eastAsia="仿宋_GB2312" w:cs="Courier New"/>
          <w:sz w:val="32"/>
          <w:szCs w:val="32"/>
        </w:rPr>
        <w:t>根据财政预算管理要求，从预算编制与执行，资金分配与使用，资金监督与管理，项目决策，项目管理与项目绩效方面采取定量分析和定性分析相结合，对2019年度一般公共预算项目支出全面开展绩效自评，自评覆盖率达到100%。</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kinsoku w:val="0"/>
        <w:overflowPunct w:val="0"/>
        <w:autoSpaceDE w:val="0"/>
        <w:autoSpaceDN w:val="0"/>
        <w:adjustRightInd w:val="0"/>
        <w:snapToGrid w:val="0"/>
        <w:spacing w:line="360" w:lineRule="auto"/>
        <w:ind w:firstLine="640" w:firstLineChars="200"/>
        <w:rPr>
          <w:rFonts w:ascii="仿宋_GB2312" w:eastAsia="仿宋_GB2312" w:cs="Courier New"/>
          <w:sz w:val="32"/>
          <w:szCs w:val="32"/>
        </w:rPr>
      </w:pPr>
      <w:r>
        <w:rPr>
          <w:rFonts w:hint="eastAsia" w:ascii="仿宋_GB2312" w:hAnsi="宋体" w:eastAsia="仿宋_GB2312" w:cs="Courier New"/>
          <w:sz w:val="32"/>
          <w:szCs w:val="32"/>
        </w:rPr>
        <w:t>根据2019年年初设定的绩效目标，总体评价良好，资金使用合理，公众满意度较高，绩效水平较好，对改善农村人居环境，方便群众出行，改善农村基础设施建设等方面发挥了积极作用，基本实现了项目财政支出的目的。发现的主要问题：项目完工并投入使用但接收方后期管护不到位。下一步改进措施：督促接收方加强后期项目的管护和维修，使项目能够长期给人们服务。</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政府性基金预算财政拨款支出年初预算为37.97万元，支出决算为8.7万元，完成年初预算的22.91%。主要用于乡国土所的房屋装修，其中“农村基础设施建设支出”项目年末结转和结余资金数额较大，主要原因：所建设项目没有完工，没有验收，资金没有拨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2019年度机关运行经费支出决算为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万元，比去年增加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%。我单位不是行政机关，也不是非参照公务员管理事业单位，没有机关运行经费。</w:t>
      </w:r>
    </w:p>
    <w:p>
      <w:pPr>
        <w:widowControl/>
        <w:spacing w:line="590" w:lineRule="exact"/>
        <w:ind w:firstLine="640" w:firstLineChars="200"/>
        <w:rPr>
          <w:rFonts w:ascii="仿宋_GB2312" w:hAnsi="仿宋_GB2312" w:eastAsia="仿宋_GB2312" w:cs="仿宋_GB2312"/>
          <w:sz w:val="32"/>
          <w:szCs w:val="32"/>
        </w:r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2019年度政府采购支出总额0万元，其中：政府采购货物支出0万元、政府采购工程支出0万元、政府采购服务支出0万元。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2019年12月31日，我部门共有车辆5辆，其中：执法执勤用车3辆、其他用车2辆，其他用车主要是单位日常工作人员下基层和到上级部门办事用车，单位价值50万元以上通用设备0台（套），单位价值100万元以上专用设备0台（套）。</w:t>
      </w:r>
    </w:p>
    <w:p>
      <w:pPr>
        <w:widowControl/>
        <w:jc w:val="left"/>
        <w:rPr>
          <w:rFonts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八、年初结转和结余：指以前年度安排、结转到本年仍按原规定用途继续使用的资金。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九、结余分配：指事业单位按照会计制度规定缴纳的所得税以及从非财政拨款结余中提取的职工福利基金、事业基金等。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十、年末结转和结余：指单位本年度或以前年度预算安排、因客观条件发生变化未全部执行或未执行，结转到以后年度继续使用的资金，或项目已完成等产生的结余资金。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十三、经营支出：指事业单位在专业业务活动及其辅助活动之外开展非独立核算经营活动发生的支出。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74CE0"/>
    <w:multiLevelType w:val="multilevel"/>
    <w:tmpl w:val="78174CE0"/>
    <w:lvl w:ilvl="0" w:tentative="0">
      <w:start w:val="1"/>
      <w:numFmt w:val="japaneseCounting"/>
      <w:lvlText w:val="%1、"/>
      <w:lvlJc w:val="left"/>
      <w:pPr>
        <w:ind w:left="1360" w:hanging="720"/>
      </w:pPr>
      <w:rPr>
        <w:rFonts w:hint="default" w:ascii="黑体" w:hAnsi="黑体" w:eastAsia="黑体" w:cs="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172A27"/>
    <w:rsid w:val="00000D00"/>
    <w:rsid w:val="00004D53"/>
    <w:rsid w:val="0000599F"/>
    <w:rsid w:val="00011092"/>
    <w:rsid w:val="000270E8"/>
    <w:rsid w:val="000452B8"/>
    <w:rsid w:val="00057AFD"/>
    <w:rsid w:val="00076410"/>
    <w:rsid w:val="000875A3"/>
    <w:rsid w:val="00094E62"/>
    <w:rsid w:val="000C073B"/>
    <w:rsid w:val="000C2647"/>
    <w:rsid w:val="000E644A"/>
    <w:rsid w:val="000F3763"/>
    <w:rsid w:val="001003F8"/>
    <w:rsid w:val="00106921"/>
    <w:rsid w:val="00116543"/>
    <w:rsid w:val="001315DF"/>
    <w:rsid w:val="00131BAE"/>
    <w:rsid w:val="001435A4"/>
    <w:rsid w:val="00144159"/>
    <w:rsid w:val="001556B7"/>
    <w:rsid w:val="0015578D"/>
    <w:rsid w:val="00167BA8"/>
    <w:rsid w:val="00170856"/>
    <w:rsid w:val="001718A8"/>
    <w:rsid w:val="00172759"/>
    <w:rsid w:val="00172A27"/>
    <w:rsid w:val="00174505"/>
    <w:rsid w:val="001747D9"/>
    <w:rsid w:val="00182842"/>
    <w:rsid w:val="001905F2"/>
    <w:rsid w:val="00193C10"/>
    <w:rsid w:val="00196F81"/>
    <w:rsid w:val="001C2626"/>
    <w:rsid w:val="001D61B1"/>
    <w:rsid w:val="001E7FDC"/>
    <w:rsid w:val="001F5040"/>
    <w:rsid w:val="001F5B9B"/>
    <w:rsid w:val="002006EB"/>
    <w:rsid w:val="00207E45"/>
    <w:rsid w:val="00211806"/>
    <w:rsid w:val="00222595"/>
    <w:rsid w:val="002406FA"/>
    <w:rsid w:val="00260D70"/>
    <w:rsid w:val="00264055"/>
    <w:rsid w:val="00282C7F"/>
    <w:rsid w:val="00283153"/>
    <w:rsid w:val="00287811"/>
    <w:rsid w:val="002903F8"/>
    <w:rsid w:val="00293592"/>
    <w:rsid w:val="002961DB"/>
    <w:rsid w:val="00296660"/>
    <w:rsid w:val="00297EC4"/>
    <w:rsid w:val="002A22C4"/>
    <w:rsid w:val="002A5A44"/>
    <w:rsid w:val="002A7112"/>
    <w:rsid w:val="002B0D12"/>
    <w:rsid w:val="002B0E65"/>
    <w:rsid w:val="002B1468"/>
    <w:rsid w:val="002B3F94"/>
    <w:rsid w:val="002D13A8"/>
    <w:rsid w:val="002D3E5E"/>
    <w:rsid w:val="002E6A86"/>
    <w:rsid w:val="002F0D8F"/>
    <w:rsid w:val="002F16D1"/>
    <w:rsid w:val="00304326"/>
    <w:rsid w:val="00304D04"/>
    <w:rsid w:val="00305B88"/>
    <w:rsid w:val="00315FEB"/>
    <w:rsid w:val="00327B26"/>
    <w:rsid w:val="0034692F"/>
    <w:rsid w:val="00353498"/>
    <w:rsid w:val="003578C6"/>
    <w:rsid w:val="00363DEE"/>
    <w:rsid w:val="00365E5F"/>
    <w:rsid w:val="00367CC9"/>
    <w:rsid w:val="00390AAA"/>
    <w:rsid w:val="0039179F"/>
    <w:rsid w:val="003B6571"/>
    <w:rsid w:val="003B6EF5"/>
    <w:rsid w:val="003D54A6"/>
    <w:rsid w:val="003D7034"/>
    <w:rsid w:val="003E34FC"/>
    <w:rsid w:val="003F4223"/>
    <w:rsid w:val="004054E4"/>
    <w:rsid w:val="00412A39"/>
    <w:rsid w:val="00416224"/>
    <w:rsid w:val="0042585F"/>
    <w:rsid w:val="00427C53"/>
    <w:rsid w:val="00433A76"/>
    <w:rsid w:val="004414CF"/>
    <w:rsid w:val="00445CAC"/>
    <w:rsid w:val="00454941"/>
    <w:rsid w:val="004579A7"/>
    <w:rsid w:val="00462196"/>
    <w:rsid w:val="00462A08"/>
    <w:rsid w:val="00465DBD"/>
    <w:rsid w:val="00471810"/>
    <w:rsid w:val="00472E19"/>
    <w:rsid w:val="00487869"/>
    <w:rsid w:val="004958DE"/>
    <w:rsid w:val="004C143F"/>
    <w:rsid w:val="004C3CA5"/>
    <w:rsid w:val="004D5275"/>
    <w:rsid w:val="004E1F96"/>
    <w:rsid w:val="004F1C2E"/>
    <w:rsid w:val="00507364"/>
    <w:rsid w:val="005163C0"/>
    <w:rsid w:val="00546F7C"/>
    <w:rsid w:val="00556E84"/>
    <w:rsid w:val="00566C63"/>
    <w:rsid w:val="00580190"/>
    <w:rsid w:val="00580F38"/>
    <w:rsid w:val="005A0C2F"/>
    <w:rsid w:val="005B1AE2"/>
    <w:rsid w:val="005B1DD7"/>
    <w:rsid w:val="005B4A24"/>
    <w:rsid w:val="005D5C94"/>
    <w:rsid w:val="005E7B35"/>
    <w:rsid w:val="005F03C9"/>
    <w:rsid w:val="006106A4"/>
    <w:rsid w:val="0061076D"/>
    <w:rsid w:val="0061298D"/>
    <w:rsid w:val="00617E9E"/>
    <w:rsid w:val="00621E26"/>
    <w:rsid w:val="006228C4"/>
    <w:rsid w:val="00631E1F"/>
    <w:rsid w:val="006512DD"/>
    <w:rsid w:val="00656BEF"/>
    <w:rsid w:val="00656D75"/>
    <w:rsid w:val="00657D66"/>
    <w:rsid w:val="00657E86"/>
    <w:rsid w:val="00664226"/>
    <w:rsid w:val="00667F08"/>
    <w:rsid w:val="00673EF7"/>
    <w:rsid w:val="0068399E"/>
    <w:rsid w:val="00683A28"/>
    <w:rsid w:val="0069449E"/>
    <w:rsid w:val="006B0F7D"/>
    <w:rsid w:val="006B6436"/>
    <w:rsid w:val="006C07F0"/>
    <w:rsid w:val="006C1DAC"/>
    <w:rsid w:val="006C644A"/>
    <w:rsid w:val="006C7D84"/>
    <w:rsid w:val="006D1DF1"/>
    <w:rsid w:val="006D559C"/>
    <w:rsid w:val="006E252E"/>
    <w:rsid w:val="006F168E"/>
    <w:rsid w:val="00700262"/>
    <w:rsid w:val="0070530F"/>
    <w:rsid w:val="00707BD8"/>
    <w:rsid w:val="007148E8"/>
    <w:rsid w:val="0071781E"/>
    <w:rsid w:val="00726FD4"/>
    <w:rsid w:val="007305F3"/>
    <w:rsid w:val="00732443"/>
    <w:rsid w:val="00733DAA"/>
    <w:rsid w:val="0073546F"/>
    <w:rsid w:val="00736117"/>
    <w:rsid w:val="00742BA0"/>
    <w:rsid w:val="007510E5"/>
    <w:rsid w:val="00753545"/>
    <w:rsid w:val="00764156"/>
    <w:rsid w:val="007706D7"/>
    <w:rsid w:val="0077280E"/>
    <w:rsid w:val="00776B36"/>
    <w:rsid w:val="00777B02"/>
    <w:rsid w:val="007879ED"/>
    <w:rsid w:val="007A41B3"/>
    <w:rsid w:val="007A48A3"/>
    <w:rsid w:val="007A550C"/>
    <w:rsid w:val="007B00BA"/>
    <w:rsid w:val="007B2B76"/>
    <w:rsid w:val="007C029F"/>
    <w:rsid w:val="007C1412"/>
    <w:rsid w:val="007C7F49"/>
    <w:rsid w:val="007D2A21"/>
    <w:rsid w:val="007D5D17"/>
    <w:rsid w:val="007E4ADB"/>
    <w:rsid w:val="007E4E6A"/>
    <w:rsid w:val="00810CDD"/>
    <w:rsid w:val="00821BAD"/>
    <w:rsid w:val="0082526E"/>
    <w:rsid w:val="00826815"/>
    <w:rsid w:val="00843461"/>
    <w:rsid w:val="0085777A"/>
    <w:rsid w:val="008652FF"/>
    <w:rsid w:val="00866E63"/>
    <w:rsid w:val="00872946"/>
    <w:rsid w:val="00873F15"/>
    <w:rsid w:val="008765C9"/>
    <w:rsid w:val="00877985"/>
    <w:rsid w:val="0088023A"/>
    <w:rsid w:val="008818E9"/>
    <w:rsid w:val="0088254D"/>
    <w:rsid w:val="008858FB"/>
    <w:rsid w:val="0088677D"/>
    <w:rsid w:val="00894B41"/>
    <w:rsid w:val="008B3D73"/>
    <w:rsid w:val="008B5427"/>
    <w:rsid w:val="008C43CA"/>
    <w:rsid w:val="008D0294"/>
    <w:rsid w:val="008D354A"/>
    <w:rsid w:val="008F1C35"/>
    <w:rsid w:val="008F21A2"/>
    <w:rsid w:val="00903F6B"/>
    <w:rsid w:val="00905902"/>
    <w:rsid w:val="00912868"/>
    <w:rsid w:val="009143E6"/>
    <w:rsid w:val="0091738E"/>
    <w:rsid w:val="009173F9"/>
    <w:rsid w:val="009236D3"/>
    <w:rsid w:val="0092621E"/>
    <w:rsid w:val="00932BE9"/>
    <w:rsid w:val="00942A53"/>
    <w:rsid w:val="0096087C"/>
    <w:rsid w:val="0096399E"/>
    <w:rsid w:val="00965FF6"/>
    <w:rsid w:val="00970077"/>
    <w:rsid w:val="00975A04"/>
    <w:rsid w:val="00976DD9"/>
    <w:rsid w:val="00986958"/>
    <w:rsid w:val="009B04A4"/>
    <w:rsid w:val="009B0B23"/>
    <w:rsid w:val="009C2BD0"/>
    <w:rsid w:val="009D71A9"/>
    <w:rsid w:val="009F546E"/>
    <w:rsid w:val="00A03281"/>
    <w:rsid w:val="00A079F0"/>
    <w:rsid w:val="00A124B5"/>
    <w:rsid w:val="00A17BBF"/>
    <w:rsid w:val="00A44D05"/>
    <w:rsid w:val="00A44DB7"/>
    <w:rsid w:val="00A5085E"/>
    <w:rsid w:val="00A50CD2"/>
    <w:rsid w:val="00A57AD2"/>
    <w:rsid w:val="00A57BF7"/>
    <w:rsid w:val="00A72096"/>
    <w:rsid w:val="00A751F7"/>
    <w:rsid w:val="00A75B7E"/>
    <w:rsid w:val="00A81452"/>
    <w:rsid w:val="00A83D8A"/>
    <w:rsid w:val="00A8734E"/>
    <w:rsid w:val="00A87DA3"/>
    <w:rsid w:val="00A91992"/>
    <w:rsid w:val="00A93E7D"/>
    <w:rsid w:val="00AA124A"/>
    <w:rsid w:val="00AA260E"/>
    <w:rsid w:val="00AA44CB"/>
    <w:rsid w:val="00AA55F3"/>
    <w:rsid w:val="00AA67CD"/>
    <w:rsid w:val="00AA77A0"/>
    <w:rsid w:val="00AB0F15"/>
    <w:rsid w:val="00AB7481"/>
    <w:rsid w:val="00AC2764"/>
    <w:rsid w:val="00AC4266"/>
    <w:rsid w:val="00AD6761"/>
    <w:rsid w:val="00AE600E"/>
    <w:rsid w:val="00B0083B"/>
    <w:rsid w:val="00B209B8"/>
    <w:rsid w:val="00B249F3"/>
    <w:rsid w:val="00B2674F"/>
    <w:rsid w:val="00B41DD0"/>
    <w:rsid w:val="00B455AD"/>
    <w:rsid w:val="00B6387B"/>
    <w:rsid w:val="00B710DD"/>
    <w:rsid w:val="00BB3FD2"/>
    <w:rsid w:val="00BB7B95"/>
    <w:rsid w:val="00BC5B0C"/>
    <w:rsid w:val="00BD496E"/>
    <w:rsid w:val="00BE42FD"/>
    <w:rsid w:val="00BE5A85"/>
    <w:rsid w:val="00BF1B7F"/>
    <w:rsid w:val="00BF5718"/>
    <w:rsid w:val="00C06384"/>
    <w:rsid w:val="00C1157A"/>
    <w:rsid w:val="00C25FAD"/>
    <w:rsid w:val="00C3106E"/>
    <w:rsid w:val="00C506A9"/>
    <w:rsid w:val="00C60609"/>
    <w:rsid w:val="00C74716"/>
    <w:rsid w:val="00C90806"/>
    <w:rsid w:val="00C95CC1"/>
    <w:rsid w:val="00C97266"/>
    <w:rsid w:val="00CA3F44"/>
    <w:rsid w:val="00CB07A6"/>
    <w:rsid w:val="00CB63B3"/>
    <w:rsid w:val="00CC4F89"/>
    <w:rsid w:val="00CD79FE"/>
    <w:rsid w:val="00CE212D"/>
    <w:rsid w:val="00CE2EFB"/>
    <w:rsid w:val="00CE3C0B"/>
    <w:rsid w:val="00CE4B38"/>
    <w:rsid w:val="00CF2304"/>
    <w:rsid w:val="00CF55A6"/>
    <w:rsid w:val="00D04A91"/>
    <w:rsid w:val="00D108CD"/>
    <w:rsid w:val="00D1321A"/>
    <w:rsid w:val="00D15867"/>
    <w:rsid w:val="00D16A4D"/>
    <w:rsid w:val="00D177F3"/>
    <w:rsid w:val="00D30ADF"/>
    <w:rsid w:val="00D338A3"/>
    <w:rsid w:val="00D346F6"/>
    <w:rsid w:val="00D4629C"/>
    <w:rsid w:val="00D6315E"/>
    <w:rsid w:val="00D63E38"/>
    <w:rsid w:val="00D652C2"/>
    <w:rsid w:val="00D74D88"/>
    <w:rsid w:val="00D74EE2"/>
    <w:rsid w:val="00D812FD"/>
    <w:rsid w:val="00D81301"/>
    <w:rsid w:val="00D83E19"/>
    <w:rsid w:val="00D90AF7"/>
    <w:rsid w:val="00D93983"/>
    <w:rsid w:val="00DA00C9"/>
    <w:rsid w:val="00DA03EE"/>
    <w:rsid w:val="00DB200E"/>
    <w:rsid w:val="00DB5BA9"/>
    <w:rsid w:val="00DB65F5"/>
    <w:rsid w:val="00DF1144"/>
    <w:rsid w:val="00DF4CAC"/>
    <w:rsid w:val="00DF6148"/>
    <w:rsid w:val="00E0106A"/>
    <w:rsid w:val="00E01C3E"/>
    <w:rsid w:val="00E13099"/>
    <w:rsid w:val="00E24448"/>
    <w:rsid w:val="00E4339F"/>
    <w:rsid w:val="00E533D3"/>
    <w:rsid w:val="00E6068B"/>
    <w:rsid w:val="00E629EA"/>
    <w:rsid w:val="00E63E5F"/>
    <w:rsid w:val="00E6777C"/>
    <w:rsid w:val="00E74229"/>
    <w:rsid w:val="00EB05A3"/>
    <w:rsid w:val="00ED38B7"/>
    <w:rsid w:val="00ED6798"/>
    <w:rsid w:val="00ED7F10"/>
    <w:rsid w:val="00EE051D"/>
    <w:rsid w:val="00EE078D"/>
    <w:rsid w:val="00EE3C4D"/>
    <w:rsid w:val="00EE5979"/>
    <w:rsid w:val="00EE7B65"/>
    <w:rsid w:val="00EF5CB5"/>
    <w:rsid w:val="00EF7BC4"/>
    <w:rsid w:val="00F0131A"/>
    <w:rsid w:val="00F018C0"/>
    <w:rsid w:val="00F10424"/>
    <w:rsid w:val="00F14C17"/>
    <w:rsid w:val="00F17041"/>
    <w:rsid w:val="00F26B57"/>
    <w:rsid w:val="00F32A43"/>
    <w:rsid w:val="00F3772D"/>
    <w:rsid w:val="00F44937"/>
    <w:rsid w:val="00F61A47"/>
    <w:rsid w:val="00F84422"/>
    <w:rsid w:val="00F95455"/>
    <w:rsid w:val="00F96B61"/>
    <w:rsid w:val="00F97C52"/>
    <w:rsid w:val="00FA574D"/>
    <w:rsid w:val="00FC32A8"/>
    <w:rsid w:val="00FE15F7"/>
    <w:rsid w:val="00FE7AD9"/>
    <w:rsid w:val="00FF4333"/>
    <w:rsid w:val="00FF710C"/>
    <w:rsid w:val="01322275"/>
    <w:rsid w:val="019B717E"/>
    <w:rsid w:val="01DC6F05"/>
    <w:rsid w:val="02A3489A"/>
    <w:rsid w:val="02CA138D"/>
    <w:rsid w:val="02E238C3"/>
    <w:rsid w:val="033646FC"/>
    <w:rsid w:val="03C75F80"/>
    <w:rsid w:val="0478364D"/>
    <w:rsid w:val="04AF4BA4"/>
    <w:rsid w:val="050E70CD"/>
    <w:rsid w:val="053D4C0D"/>
    <w:rsid w:val="0557532E"/>
    <w:rsid w:val="0799329C"/>
    <w:rsid w:val="086F16A7"/>
    <w:rsid w:val="0A0F7225"/>
    <w:rsid w:val="0A2B7D82"/>
    <w:rsid w:val="0ADC40E9"/>
    <w:rsid w:val="0AE607F4"/>
    <w:rsid w:val="0B451598"/>
    <w:rsid w:val="0BEC73F4"/>
    <w:rsid w:val="0C392698"/>
    <w:rsid w:val="0C4F2D0B"/>
    <w:rsid w:val="0D224EC2"/>
    <w:rsid w:val="10BD36F6"/>
    <w:rsid w:val="11BF0649"/>
    <w:rsid w:val="123E3E08"/>
    <w:rsid w:val="12F66B4A"/>
    <w:rsid w:val="161C2DFF"/>
    <w:rsid w:val="16373578"/>
    <w:rsid w:val="16D3336B"/>
    <w:rsid w:val="17806C36"/>
    <w:rsid w:val="17A74F62"/>
    <w:rsid w:val="18A47774"/>
    <w:rsid w:val="19352BDA"/>
    <w:rsid w:val="19C13DCF"/>
    <w:rsid w:val="1B2E6FD8"/>
    <w:rsid w:val="1B877D21"/>
    <w:rsid w:val="1C4319A9"/>
    <w:rsid w:val="1E4D68A4"/>
    <w:rsid w:val="1E994F4A"/>
    <w:rsid w:val="1EAF0224"/>
    <w:rsid w:val="1ED74E3A"/>
    <w:rsid w:val="1F2230A4"/>
    <w:rsid w:val="20210932"/>
    <w:rsid w:val="202448E0"/>
    <w:rsid w:val="20BE3E6B"/>
    <w:rsid w:val="21302EEA"/>
    <w:rsid w:val="22376FB5"/>
    <w:rsid w:val="23E152D7"/>
    <w:rsid w:val="255D43C8"/>
    <w:rsid w:val="25FD0CE5"/>
    <w:rsid w:val="26876BDD"/>
    <w:rsid w:val="2714632A"/>
    <w:rsid w:val="27B0539E"/>
    <w:rsid w:val="29365CF8"/>
    <w:rsid w:val="29397105"/>
    <w:rsid w:val="299469B3"/>
    <w:rsid w:val="29BE69C3"/>
    <w:rsid w:val="2A805789"/>
    <w:rsid w:val="2B4A0E52"/>
    <w:rsid w:val="2C975890"/>
    <w:rsid w:val="2DEF21BB"/>
    <w:rsid w:val="2E4A2F05"/>
    <w:rsid w:val="2ECC1061"/>
    <w:rsid w:val="2FA476AD"/>
    <w:rsid w:val="303F7540"/>
    <w:rsid w:val="31DD00BF"/>
    <w:rsid w:val="328B2FA1"/>
    <w:rsid w:val="3293174C"/>
    <w:rsid w:val="32936002"/>
    <w:rsid w:val="32BB38D4"/>
    <w:rsid w:val="32C9376D"/>
    <w:rsid w:val="33780472"/>
    <w:rsid w:val="33933F43"/>
    <w:rsid w:val="33AF0905"/>
    <w:rsid w:val="34EB6088"/>
    <w:rsid w:val="355932F4"/>
    <w:rsid w:val="35611882"/>
    <w:rsid w:val="35934FF5"/>
    <w:rsid w:val="35EB0033"/>
    <w:rsid w:val="36746FC3"/>
    <w:rsid w:val="368763AE"/>
    <w:rsid w:val="395D59E7"/>
    <w:rsid w:val="39A93932"/>
    <w:rsid w:val="3A915562"/>
    <w:rsid w:val="3B7265A0"/>
    <w:rsid w:val="3B8D4765"/>
    <w:rsid w:val="3C000DBA"/>
    <w:rsid w:val="3DC045D3"/>
    <w:rsid w:val="3E504FFB"/>
    <w:rsid w:val="3E615CD0"/>
    <w:rsid w:val="3E9C47F6"/>
    <w:rsid w:val="3FAB3095"/>
    <w:rsid w:val="3FE45947"/>
    <w:rsid w:val="412253A8"/>
    <w:rsid w:val="41242965"/>
    <w:rsid w:val="42D4120D"/>
    <w:rsid w:val="435671EA"/>
    <w:rsid w:val="436D2697"/>
    <w:rsid w:val="440809E9"/>
    <w:rsid w:val="442407A6"/>
    <w:rsid w:val="44805EA1"/>
    <w:rsid w:val="451A1CB3"/>
    <w:rsid w:val="45710696"/>
    <w:rsid w:val="46142B1B"/>
    <w:rsid w:val="46C14AA3"/>
    <w:rsid w:val="47E60DD0"/>
    <w:rsid w:val="481C151D"/>
    <w:rsid w:val="482A1360"/>
    <w:rsid w:val="48735039"/>
    <w:rsid w:val="492C684B"/>
    <w:rsid w:val="49500594"/>
    <w:rsid w:val="49E7604E"/>
    <w:rsid w:val="4AE964BC"/>
    <w:rsid w:val="4BF67CDD"/>
    <w:rsid w:val="4D603DD6"/>
    <w:rsid w:val="4EBF010F"/>
    <w:rsid w:val="4EF95324"/>
    <w:rsid w:val="4F471EB0"/>
    <w:rsid w:val="51015B9F"/>
    <w:rsid w:val="51331326"/>
    <w:rsid w:val="51740A7F"/>
    <w:rsid w:val="51A5541E"/>
    <w:rsid w:val="51C96242"/>
    <w:rsid w:val="537F55D7"/>
    <w:rsid w:val="54341889"/>
    <w:rsid w:val="54F46F60"/>
    <w:rsid w:val="55A37BEA"/>
    <w:rsid w:val="5784687B"/>
    <w:rsid w:val="57846959"/>
    <w:rsid w:val="578E6A87"/>
    <w:rsid w:val="58907098"/>
    <w:rsid w:val="5A5738FA"/>
    <w:rsid w:val="5AC2203A"/>
    <w:rsid w:val="5CBB3334"/>
    <w:rsid w:val="5D115FAF"/>
    <w:rsid w:val="62811722"/>
    <w:rsid w:val="62E75A72"/>
    <w:rsid w:val="63DC186C"/>
    <w:rsid w:val="63F7026C"/>
    <w:rsid w:val="64571880"/>
    <w:rsid w:val="649125B6"/>
    <w:rsid w:val="652F4C1A"/>
    <w:rsid w:val="666D37F1"/>
    <w:rsid w:val="67087D8F"/>
    <w:rsid w:val="671F687E"/>
    <w:rsid w:val="67F415F8"/>
    <w:rsid w:val="684B73E5"/>
    <w:rsid w:val="6A047A2A"/>
    <w:rsid w:val="6D1D2ABE"/>
    <w:rsid w:val="6D2F538E"/>
    <w:rsid w:val="6F3831C3"/>
    <w:rsid w:val="70417DD1"/>
    <w:rsid w:val="70753482"/>
    <w:rsid w:val="707B522A"/>
    <w:rsid w:val="73194D05"/>
    <w:rsid w:val="736175F0"/>
    <w:rsid w:val="73A83B0E"/>
    <w:rsid w:val="744D3EF9"/>
    <w:rsid w:val="74794411"/>
    <w:rsid w:val="75867C40"/>
    <w:rsid w:val="76432199"/>
    <w:rsid w:val="76F44829"/>
    <w:rsid w:val="77A267C0"/>
    <w:rsid w:val="78205483"/>
    <w:rsid w:val="78882278"/>
    <w:rsid w:val="78B118A6"/>
    <w:rsid w:val="78DE16F4"/>
    <w:rsid w:val="79135044"/>
    <w:rsid w:val="7A644B5B"/>
    <w:rsid w:val="7A7D0F99"/>
    <w:rsid w:val="7B2A08DE"/>
    <w:rsid w:val="7EFD4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Date"/>
    <w:basedOn w:val="1"/>
    <w:next w:val="1"/>
    <w:link w:val="28"/>
    <w:unhideWhenUsed/>
    <w:qFormat/>
    <w:uiPriority w:val="99"/>
    <w:pPr>
      <w:ind w:left="100" w:leftChars="2500"/>
    </w:pPr>
  </w:style>
  <w:style w:type="paragraph" w:styleId="5">
    <w:name w:val="Balloon Text"/>
    <w:basedOn w:val="1"/>
    <w:link w:val="19"/>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99"/>
    <w:pPr>
      <w:snapToGrid w:val="0"/>
      <w:jc w:val="left"/>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unhideWhenUsed/>
    <w:qFormat/>
    <w:uiPriority w:val="99"/>
    <w:rPr>
      <w:color w:val="800080"/>
      <w:u w:val="single"/>
    </w:rPr>
  </w:style>
  <w:style w:type="character" w:styleId="14">
    <w:name w:val="Hyperlink"/>
    <w:unhideWhenUsed/>
    <w:qFormat/>
    <w:uiPriority w:val="99"/>
    <w:rPr>
      <w:color w:val="0000FF"/>
      <w:u w:val="single"/>
    </w:rPr>
  </w:style>
  <w:style w:type="character" w:styleId="15">
    <w:name w:val="annotation reference"/>
    <w:basedOn w:val="12"/>
    <w:unhideWhenUsed/>
    <w:qFormat/>
    <w:uiPriority w:val="99"/>
    <w:rPr>
      <w:sz w:val="21"/>
      <w:szCs w:val="21"/>
    </w:rPr>
  </w:style>
  <w:style w:type="character" w:styleId="16">
    <w:name w:val="footnote reference"/>
    <w:basedOn w:val="12"/>
    <w:unhideWhenUsed/>
    <w:qFormat/>
    <w:uiPriority w:val="99"/>
    <w:rPr>
      <w:vertAlign w:val="superscript"/>
    </w:rPr>
  </w:style>
  <w:style w:type="character" w:customStyle="1" w:styleId="17">
    <w:name w:val="页脚 Char"/>
    <w:link w:val="6"/>
    <w:qFormat/>
    <w:uiPriority w:val="99"/>
    <w:rPr>
      <w:kern w:val="2"/>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批注框文本 Char"/>
    <w:basedOn w:val="12"/>
    <w:link w:val="5"/>
    <w:semiHidden/>
    <w:qFormat/>
    <w:uiPriority w:val="99"/>
    <w:rPr>
      <w:kern w:val="2"/>
      <w:sz w:val="18"/>
      <w:szCs w:val="18"/>
    </w:rPr>
  </w:style>
  <w:style w:type="character" w:customStyle="1" w:styleId="20">
    <w:name w:val="font51"/>
    <w:basedOn w:val="12"/>
    <w:qFormat/>
    <w:uiPriority w:val="0"/>
    <w:rPr>
      <w:rFonts w:hint="eastAsia" w:ascii="宋体" w:hAnsi="宋体" w:eastAsia="宋体" w:cs="宋体"/>
      <w:color w:val="000000"/>
      <w:sz w:val="24"/>
      <w:szCs w:val="24"/>
      <w:u w:val="none"/>
    </w:rPr>
  </w:style>
  <w:style w:type="character" w:customStyle="1" w:styleId="21">
    <w:name w:val="页眉 Char"/>
    <w:link w:val="7"/>
    <w:qFormat/>
    <w:uiPriority w:val="99"/>
    <w:rPr>
      <w:kern w:val="2"/>
      <w:sz w:val="18"/>
      <w:szCs w:val="18"/>
    </w:rPr>
  </w:style>
  <w:style w:type="character" w:customStyle="1" w:styleId="22">
    <w:name w:val="font41"/>
    <w:basedOn w:val="12"/>
    <w:qFormat/>
    <w:uiPriority w:val="0"/>
    <w:rPr>
      <w:rFonts w:hint="eastAsia" w:ascii="宋体" w:hAnsi="宋体" w:eastAsia="宋体" w:cs="宋体"/>
      <w:color w:val="000000"/>
      <w:sz w:val="24"/>
      <w:szCs w:val="24"/>
      <w:u w:val="none"/>
    </w:rPr>
  </w:style>
  <w:style w:type="character" w:customStyle="1" w:styleId="23">
    <w:name w:val="font21"/>
    <w:basedOn w:val="12"/>
    <w:qFormat/>
    <w:uiPriority w:val="0"/>
    <w:rPr>
      <w:rFonts w:hint="eastAsia" w:ascii="宋体" w:hAnsi="宋体" w:eastAsia="宋体" w:cs="宋体"/>
      <w:color w:val="000000"/>
      <w:sz w:val="22"/>
      <w:szCs w:val="22"/>
      <w:u w:val="none"/>
    </w:rPr>
  </w:style>
  <w:style w:type="character" w:customStyle="1" w:styleId="24">
    <w:name w:val="无间隔 Char"/>
    <w:basedOn w:val="12"/>
    <w:link w:val="25"/>
    <w:qFormat/>
    <w:uiPriority w:val="1"/>
    <w:rPr>
      <w:sz w:val="22"/>
      <w:szCs w:val="22"/>
      <w:lang w:val="en-US" w:eastAsia="zh-CN" w:bidi="ar-SA"/>
    </w:rPr>
  </w:style>
  <w:style w:type="paragraph" w:customStyle="1" w:styleId="25">
    <w:name w:val="No Spacing"/>
    <w:link w:val="24"/>
    <w:qFormat/>
    <w:uiPriority w:val="1"/>
    <w:rPr>
      <w:rFonts w:ascii="Calibri" w:hAnsi="Calibri" w:eastAsia="宋体" w:cs="Times New Roman"/>
      <w:sz w:val="22"/>
      <w:szCs w:val="22"/>
      <w:lang w:val="en-US" w:eastAsia="zh-CN" w:bidi="ar-SA"/>
    </w:rPr>
  </w:style>
  <w:style w:type="character" w:customStyle="1" w:styleId="26">
    <w:name w:val="font11"/>
    <w:basedOn w:val="12"/>
    <w:qFormat/>
    <w:uiPriority w:val="0"/>
    <w:rPr>
      <w:rFonts w:hint="eastAsia" w:ascii="宋体" w:hAnsi="宋体" w:eastAsia="宋体" w:cs="宋体"/>
      <w:color w:val="000000"/>
      <w:sz w:val="20"/>
      <w:szCs w:val="20"/>
      <w:u w:val="none"/>
    </w:rPr>
  </w:style>
  <w:style w:type="paragraph" w:customStyle="1" w:styleId="27">
    <w:name w:val="标题1"/>
    <w:basedOn w:val="2"/>
    <w:qFormat/>
    <w:uiPriority w:val="0"/>
    <w:pPr>
      <w:spacing w:before="0" w:after="0" w:line="240" w:lineRule="auto"/>
      <w:jc w:val="center"/>
    </w:pPr>
    <w:rPr>
      <w:rFonts w:ascii="华文中宋" w:hAnsi="华文中宋" w:eastAsia="华文中宋"/>
      <w:sz w:val="36"/>
      <w:szCs w:val="36"/>
    </w:rPr>
  </w:style>
  <w:style w:type="character" w:customStyle="1" w:styleId="28">
    <w:name w:val="日期 Char"/>
    <w:basedOn w:val="12"/>
    <w:link w:val="4"/>
    <w:semiHidden/>
    <w:qFormat/>
    <w:uiPriority w:val="99"/>
    <w:rPr>
      <w:kern w:val="2"/>
      <w:sz w:val="21"/>
      <w:szCs w:val="22"/>
    </w:rPr>
  </w:style>
  <w:style w:type="paragraph" w:customStyle="1"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75171-27DD-4627-93F8-443DEDFE6519}">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1</Pages>
  <Words>2615</Words>
  <Characters>14906</Characters>
  <Lines>124</Lines>
  <Paragraphs>34</Paragraphs>
  <TotalTime>0</TotalTime>
  <ScaleCrop>false</ScaleCrop>
  <LinksUpToDate>false</LinksUpToDate>
  <CharactersWithSpaces>17487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2020-09-07T01:55:00Z</dcterms:created>
  <dc:creator>管理者</dc:creator>
  <cp:lastModifiedBy>Administrator</cp:lastModifiedBy>
  <cp:lastPrinted>2020-09-25T02:17:00Z</cp:lastPrinted>
  <dcterms:modified xsi:type="dcterms:W3CDTF">2020-09-27T12:53:03Z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