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2019年度</w:t>
      </w:r>
    </w:p>
    <w:p>
      <w:pPr>
        <w:jc w:val="center"/>
        <w:rPr>
          <w:rFonts w:ascii="黑体" w:hAnsi="黑体" w:eastAsia="黑体" w:cs="黑体"/>
          <w:sz w:val="52"/>
          <w:szCs w:val="52"/>
        </w:rPr>
      </w:pPr>
      <w:r>
        <w:rPr>
          <w:rFonts w:hint="eastAsia" w:ascii="黑体" w:hAnsi="黑体" w:eastAsia="黑体" w:cs="黑体"/>
          <w:sz w:val="52"/>
          <w:szCs w:val="52"/>
        </w:rPr>
        <w:t>延津县石婆固镇人民政府部门决算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pPr>
      <w:r>
        <w:rPr>
          <w:rFonts w:hint="eastAsia" w:ascii="黑体" w:hAnsi="黑体" w:eastAsia="黑体" w:cs="黑体"/>
          <w:sz w:val="32"/>
          <w:szCs w:val="32"/>
        </w:rPr>
        <w:t>二〇二〇年九月</w:t>
      </w: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延津县石婆固镇人民政府概况</w:t>
      </w:r>
    </w:p>
    <w:p>
      <w:pPr>
        <w:pStyle w:val="29"/>
        <w:numPr>
          <w:ilvl w:val="0"/>
          <w:numId w:val="1"/>
        </w:numPr>
        <w:ind w:firstLineChars="0"/>
        <w:jc w:val="left"/>
        <w:rPr>
          <w:rFonts w:ascii="宋体" w:hAnsi="宋体" w:cs="宋体"/>
          <w:sz w:val="32"/>
          <w:szCs w:val="32"/>
        </w:rPr>
      </w:pPr>
      <w:r>
        <w:rPr>
          <w:rFonts w:hint="eastAsia" w:ascii="宋体" w:hAnsi="宋体" w:cs="宋体"/>
          <w:sz w:val="32"/>
          <w:szCs w:val="32"/>
        </w:rPr>
        <w:t>部门职责</w:t>
      </w:r>
    </w:p>
    <w:p>
      <w:pPr>
        <w:pStyle w:val="29"/>
        <w:numPr>
          <w:ilvl w:val="0"/>
          <w:numId w:val="1"/>
        </w:numPr>
        <w:ind w:firstLineChars="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2019年度部门决算表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2019年度部门决算情况说明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宋体" w:eastAsia="黑体" w:cs="宋体"/>
          <w:kern w:val="0"/>
          <w:sz w:val="28"/>
          <w:szCs w:val="28"/>
        </w:rPr>
      </w:pPr>
    </w:p>
    <w:p>
      <w:pPr>
        <w:widowControl/>
        <w:jc w:val="center"/>
        <w:outlineLvl w:val="0"/>
        <w:rPr>
          <w:rFonts w:ascii="黑体" w:hAnsi="宋体" w:eastAsia="黑体" w:cs="宋体"/>
          <w:kern w:val="0"/>
          <w:sz w:val="28"/>
          <w:szCs w:val="28"/>
        </w:rPr>
      </w:pPr>
    </w:p>
    <w:p>
      <w:pPr>
        <w:widowControl/>
        <w:jc w:val="left"/>
        <w:outlineLvl w:val="0"/>
        <w:rPr>
          <w:rFonts w:ascii="黑体" w:hAnsi="宋体" w:eastAsia="黑体" w:cs="宋体"/>
          <w:kern w:val="0"/>
          <w:sz w:val="48"/>
          <w:szCs w:val="48"/>
        </w:rPr>
      </w:pPr>
    </w:p>
    <w:p>
      <w:pPr>
        <w:widowControl/>
        <w:jc w:val="center"/>
        <w:outlineLvl w:val="0"/>
        <w:rPr>
          <w:rFonts w:ascii="黑体" w:hAnsi="宋体" w:eastAsia="黑体" w:cs="宋体"/>
          <w:kern w:val="0"/>
          <w:sz w:val="48"/>
          <w:szCs w:val="48"/>
        </w:rPr>
      </w:pPr>
    </w:p>
    <w:p>
      <w:pPr>
        <w:widowControl/>
        <w:jc w:val="center"/>
        <w:outlineLvl w:val="0"/>
        <w:rPr>
          <w:rFonts w:ascii="黑体" w:hAnsi="黑体" w:eastAsia="黑体" w:cs="黑体"/>
          <w:sz w:val="48"/>
          <w:szCs w:val="48"/>
        </w:rPr>
      </w:pPr>
      <w:r>
        <w:rPr>
          <w:rFonts w:hint="eastAsia" w:ascii="黑体" w:hAnsi="宋体" w:eastAsia="黑体" w:cs="宋体"/>
          <w:kern w:val="0"/>
          <w:sz w:val="48"/>
          <w:szCs w:val="48"/>
        </w:rPr>
        <w:t xml:space="preserve">第一部分 </w:t>
      </w:r>
      <w:r>
        <w:rPr>
          <w:rFonts w:hint="eastAsia" w:ascii="黑体" w:hAnsi="黑体" w:eastAsia="黑体" w:cs="黑体"/>
          <w:sz w:val="48"/>
          <w:szCs w:val="48"/>
        </w:rPr>
        <w:t>延津县石婆固镇人民政府</w:t>
      </w:r>
    </w:p>
    <w:p>
      <w:pPr>
        <w:widowControl/>
        <w:jc w:val="center"/>
        <w:outlineLvl w:val="0"/>
        <w:rPr>
          <w:rFonts w:ascii="黑体" w:hAnsi="黑体" w:eastAsia="黑体" w:cs="黑体"/>
          <w:sz w:val="48"/>
          <w:szCs w:val="48"/>
        </w:rPr>
      </w:pPr>
      <w:r>
        <w:rPr>
          <w:rFonts w:hint="eastAsia" w:ascii="黑体" w:hAnsi="黑体" w:eastAsia="黑体" w:cs="黑体"/>
          <w:sz w:val="48"/>
          <w:szCs w:val="48"/>
        </w:rPr>
        <w:t xml:space="preserve">     概况</w:t>
      </w:r>
    </w:p>
    <w:p>
      <w:pPr>
        <w:widowControl/>
        <w:jc w:val="left"/>
        <w:outlineLvl w:val="0"/>
        <w:rPr>
          <w:rFonts w:ascii="黑体" w:hAnsi="黑体" w:eastAsia="黑体" w:cs="黑体"/>
          <w:sz w:val="48"/>
          <w:szCs w:val="48"/>
        </w:rPr>
      </w:pPr>
      <w:r>
        <w:rPr>
          <w:rFonts w:hint="eastAsia" w:ascii="黑体" w:hAnsi="黑体" w:eastAsia="黑体" w:cs="黑体"/>
          <w:sz w:val="48"/>
          <w:szCs w:val="48"/>
        </w:rPr>
        <w:t xml:space="preserve">                   </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 xml:space="preserve">职责   </w:t>
      </w:r>
    </w:p>
    <w:p>
      <w:pPr>
        <w:widowControl/>
        <w:ind w:firstLine="640" w:firstLineChars="200"/>
        <w:jc w:val="left"/>
        <w:rPr>
          <w:rFonts w:ascii="仿宋GB2312" w:hAnsi="仿宋" w:eastAsia="仿宋GB2312" w:cs="黑体"/>
          <w:kern w:val="0"/>
          <w:sz w:val="32"/>
          <w:szCs w:val="32"/>
        </w:rPr>
      </w:pPr>
      <w:r>
        <w:rPr>
          <w:rFonts w:hint="eastAsia" w:ascii="仿宋GB2312" w:hAnsi="仿宋" w:eastAsia="仿宋GB2312" w:cs="黑体"/>
          <w:kern w:val="0"/>
          <w:sz w:val="32"/>
          <w:szCs w:val="32"/>
        </w:rPr>
        <w:t>延津县石婆固镇人民政府</w:t>
      </w:r>
      <w:r>
        <w:rPr>
          <w:rFonts w:hint="eastAsia" w:ascii="仿宋GB2312" w:hAnsi="仿宋" w:eastAsia="仿宋GB2312" w:cs="Arial"/>
          <w:kern w:val="0"/>
          <w:sz w:val="32"/>
          <w:szCs w:val="32"/>
        </w:rPr>
        <w:t>是基层国家行政机关，行使本行政区的行政职能，政府职能主要有以下几个方面：</w:t>
      </w:r>
    </w:p>
    <w:p>
      <w:pPr>
        <w:pStyle w:val="9"/>
        <w:spacing w:before="0" w:beforeAutospacing="0" w:after="0" w:afterAutospacing="0" w:line="600" w:lineRule="exact"/>
        <w:ind w:right="74" w:firstLine="316" w:firstLineChars="99"/>
        <w:rPr>
          <w:rFonts w:ascii="仿宋GB2312" w:hAnsi="仿宋" w:eastAsia="仿宋GB2312" w:cs="Arial"/>
          <w:sz w:val="32"/>
          <w:szCs w:val="32"/>
        </w:rPr>
      </w:pPr>
      <w:r>
        <w:rPr>
          <w:rFonts w:hint="eastAsia" w:ascii="仿宋GB2312" w:hAnsi="仿宋" w:eastAsia="仿宋GB2312" w:cs="Arial"/>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hint="eastAsia" w:ascii="仿宋GB2312" w:hAnsi="仿宋" w:eastAsia="仿宋GB2312" w:cs="Arial"/>
          <w:sz w:val="32"/>
          <w:szCs w:val="32"/>
        </w:rPr>
        <w:br w:type="textWrapping"/>
      </w:r>
      <w:r>
        <w:rPr>
          <w:rFonts w:hint="eastAsia" w:ascii="仿宋GB2312" w:hAnsi="仿宋" w:eastAsia="仿宋GB2312" w:cs="Arial"/>
          <w:sz w:val="32"/>
          <w:szCs w:val="32"/>
        </w:rPr>
        <w:t xml:space="preserve">    2、制定并组织实施村镇建设规划，部署重点工程建设，地方道路建设及公共设施，水利设施的管理，负责土地、林木、水等自然资源和生态环境的保护，做好护林防火工作。</w:t>
      </w:r>
      <w:r>
        <w:rPr>
          <w:rFonts w:hint="eastAsia" w:ascii="仿宋GB2312" w:hAnsi="仿宋" w:eastAsia="仿宋GB2312" w:cs="Arial"/>
          <w:sz w:val="32"/>
          <w:szCs w:val="32"/>
        </w:rPr>
        <w:br w:type="textWrapping"/>
      </w:r>
      <w:r>
        <w:rPr>
          <w:rFonts w:hint="eastAsia" w:ascii="仿宋GB2312" w:hAnsi="仿宋" w:eastAsia="仿宋GB2312" w:cs="Arial"/>
          <w:sz w:val="32"/>
          <w:szCs w:val="32"/>
        </w:rPr>
        <w:t xml:space="preserve">    3、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GB2312" w:hAnsi="仿宋" w:eastAsia="仿宋GB2312" w:cs="Arial"/>
          <w:sz w:val="32"/>
          <w:szCs w:val="32"/>
        </w:rPr>
        <w:br w:type="textWrapping"/>
      </w:r>
      <w:r>
        <w:rPr>
          <w:rFonts w:hint="eastAsia" w:ascii="仿宋GB2312" w:hAnsi="仿宋" w:eastAsia="仿宋GB2312" w:cs="Arial"/>
          <w:sz w:val="32"/>
          <w:szCs w:val="32"/>
        </w:rPr>
        <w:t xml:space="preserve">    4、按计划组织本级财政收入和地方税的征收，完成国家财政计划，不断培植税源，管好财政资金，增强财政实力。</w:t>
      </w:r>
      <w:r>
        <w:rPr>
          <w:rFonts w:hint="eastAsia" w:ascii="仿宋GB2312" w:hAnsi="仿宋" w:eastAsia="仿宋GB2312" w:cs="Arial"/>
          <w:sz w:val="32"/>
          <w:szCs w:val="32"/>
        </w:rPr>
        <w:br w:type="textWrapping"/>
      </w:r>
      <w:r>
        <w:rPr>
          <w:rFonts w:hint="eastAsia" w:ascii="仿宋GB2312" w:hAnsi="仿宋" w:eastAsia="仿宋GB2312" w:cs="Arial"/>
          <w:sz w:val="32"/>
          <w:szCs w:val="32"/>
        </w:rPr>
        <w:t xml:space="preserve">    5、抓好精神文明建设，丰富群众文化生活，提倡移风易俗，反对封建迷信，破除陈规陋习，树立社会主义新风尚。</w:t>
      </w:r>
      <w:r>
        <w:rPr>
          <w:rFonts w:hint="eastAsia" w:ascii="仿宋GB2312" w:hAnsi="仿宋" w:eastAsia="仿宋GB2312" w:cs="Arial"/>
          <w:sz w:val="32"/>
          <w:szCs w:val="32"/>
        </w:rPr>
        <w:br w:type="textWrapping"/>
      </w:r>
      <w:r>
        <w:rPr>
          <w:rFonts w:hint="eastAsia" w:ascii="仿宋GB2312" w:hAnsi="仿宋" w:eastAsia="仿宋GB2312" w:cs="Arial"/>
          <w:sz w:val="32"/>
          <w:szCs w:val="32"/>
        </w:rPr>
        <w:t xml:space="preserve">    6、完成上级政府交办的其它事项。</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pStyle w:val="9"/>
        <w:spacing w:before="0" w:beforeAutospacing="0" w:after="0" w:afterAutospacing="0" w:line="600" w:lineRule="exact"/>
        <w:ind w:left="75" w:right="75" w:firstLine="480"/>
        <w:rPr>
          <w:rFonts w:ascii="仿宋_GB2312" w:eastAsia="仿宋_GB2312"/>
          <w:color w:val="333333"/>
          <w:sz w:val="32"/>
          <w:szCs w:val="32"/>
        </w:rPr>
      </w:pPr>
    </w:p>
    <w:p>
      <w:pPr>
        <w:pStyle w:val="9"/>
        <w:spacing w:before="0" w:beforeAutospacing="0" w:after="0" w:afterAutospacing="0" w:line="600" w:lineRule="exact"/>
        <w:ind w:left="75" w:right="75" w:firstLine="480"/>
        <w:rPr>
          <w:color w:val="333333"/>
          <w:sz w:val="32"/>
          <w:szCs w:val="32"/>
        </w:rPr>
      </w:pPr>
    </w:p>
    <w:p>
      <w:pPr>
        <w:ind w:firstLine="643" w:firstLineChars="200"/>
        <w:rPr>
          <w:rFonts w:ascii="仿宋GB2312" w:hAnsi="仿宋" w:eastAsia="仿宋GB2312"/>
          <w:sz w:val="32"/>
          <w:szCs w:val="32"/>
        </w:rPr>
      </w:pPr>
      <w:r>
        <w:rPr>
          <w:rFonts w:hint="eastAsia" w:ascii="仿宋GB2312" w:hAnsi="仿宋" w:eastAsia="仿宋GB2312"/>
          <w:b/>
          <w:sz w:val="32"/>
          <w:szCs w:val="32"/>
        </w:rPr>
        <w:t>延</w:t>
      </w:r>
      <w:r>
        <w:rPr>
          <w:rFonts w:hint="eastAsia" w:ascii="仿宋GB2312" w:hAnsi="仿宋" w:eastAsia="仿宋GB2312"/>
          <w:sz w:val="32"/>
          <w:szCs w:val="32"/>
        </w:rPr>
        <w:t>津县石婆固镇人民政府内设机构12个，包括：党政办公室、党建工作办公室、社会事务办公室、经济发展办公室、农业农村办公室、生态环境和规划建设办公室、综合行政执法协调办公室、便民服务中心、社会治安综合治理中心、文化卫生健康服务中心、综合行政执法大队、退役军人服务站。</w:t>
      </w:r>
    </w:p>
    <w:p>
      <w:pPr>
        <w:widowControl/>
        <w:ind w:firstLine="800" w:firstLineChars="250"/>
        <w:jc w:val="left"/>
        <w:rPr>
          <w:rFonts w:ascii="仿宋GB2312" w:hAnsi="仿宋" w:eastAsia="仿宋GB2312" w:cs="仿宋_GB2312"/>
          <w:kern w:val="0"/>
          <w:sz w:val="32"/>
          <w:szCs w:val="32"/>
        </w:rPr>
      </w:pPr>
      <w:r>
        <w:rPr>
          <w:rFonts w:hint="eastAsia" w:ascii="仿宋GB2312" w:hAnsi="仿宋" w:eastAsia="仿宋GB2312" w:cs="仿宋_GB2312"/>
          <w:kern w:val="0"/>
          <w:sz w:val="32"/>
          <w:szCs w:val="32"/>
        </w:rPr>
        <w:t>从决算单位构成看，延津县石婆固镇人民政府部门决算包括：本级决算。</w:t>
      </w:r>
    </w:p>
    <w:p>
      <w:pPr>
        <w:widowControl/>
        <w:ind w:firstLine="640" w:firstLineChars="200"/>
        <w:jc w:val="left"/>
        <w:rPr>
          <w:rFonts w:ascii="仿宋GB2312" w:hAnsi="仿宋" w:eastAsia="仿宋GB2312" w:cs="仿宋_GB2312"/>
          <w:kern w:val="0"/>
          <w:sz w:val="32"/>
          <w:szCs w:val="32"/>
        </w:rPr>
      </w:pPr>
      <w:r>
        <w:rPr>
          <w:rFonts w:hint="eastAsia" w:ascii="仿宋GB2312" w:hAnsi="仿宋" w:eastAsia="仿宋GB2312" w:cs="仿宋_GB2312"/>
          <w:kern w:val="0"/>
          <w:sz w:val="32"/>
          <w:szCs w:val="32"/>
        </w:rPr>
        <w:t>纳入本部门2019年度部门决算编制范围的单位共1个，具体是：延津县石婆固镇人民政府本级。</w:t>
      </w:r>
    </w:p>
    <w:p>
      <w:pPr>
        <w:widowControl/>
        <w:jc w:val="left"/>
        <w:rPr>
          <w:rFonts w:ascii="宋体" w:hAnsi="宋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2019年度部门决算表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10"/>
        <w:tblW w:w="13846" w:type="dxa"/>
        <w:tblInd w:w="0" w:type="dxa"/>
        <w:tblLayout w:type="fixed"/>
        <w:tblCellMar>
          <w:top w:w="0" w:type="dxa"/>
          <w:left w:w="0" w:type="dxa"/>
          <w:bottom w:w="0" w:type="dxa"/>
          <w:right w:w="0" w:type="dxa"/>
        </w:tblCellMar>
      </w:tblPr>
      <w:tblGrid>
        <w:gridCol w:w="1027"/>
        <w:gridCol w:w="59"/>
        <w:gridCol w:w="2048"/>
        <w:gridCol w:w="776"/>
        <w:gridCol w:w="641"/>
        <w:gridCol w:w="501"/>
        <w:gridCol w:w="411"/>
        <w:gridCol w:w="221"/>
        <w:gridCol w:w="285"/>
        <w:gridCol w:w="816"/>
        <w:gridCol w:w="231"/>
        <w:gridCol w:w="512"/>
        <w:gridCol w:w="1041"/>
        <w:gridCol w:w="352"/>
        <w:gridCol w:w="1201"/>
        <w:gridCol w:w="440"/>
        <w:gridCol w:w="1114"/>
        <w:gridCol w:w="527"/>
        <w:gridCol w:w="105"/>
        <w:gridCol w:w="1513"/>
        <w:gridCol w:w="25"/>
      </w:tblGrid>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收入支出决算总表</w:t>
            </w:r>
          </w:p>
        </w:tc>
      </w:tr>
      <w:tr>
        <w:tblPrEx>
          <w:tblCellMar>
            <w:top w:w="0" w:type="dxa"/>
            <w:left w:w="108" w:type="dxa"/>
            <w:bottom w:w="0" w:type="dxa"/>
            <w:right w:w="108" w:type="dxa"/>
          </w:tblCellMar>
        </w:tblPrEx>
        <w:trPr>
          <w:gridAfter w:val="1"/>
          <w:wAfter w:w="25" w:type="dxa"/>
          <w:trHeight w:val="199" w:hRule="atLeast"/>
        </w:trPr>
        <w:tc>
          <w:tcPr>
            <w:tcW w:w="5052" w:type="dxa"/>
            <w:gridSpan w:val="6"/>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gridAfter w:val="1"/>
          <w:wAfter w:w="25" w:type="dxa"/>
          <w:trHeight w:val="300" w:hRule="atLeast"/>
        </w:trPr>
        <w:tc>
          <w:tcPr>
            <w:tcW w:w="5052" w:type="dxa"/>
            <w:gridSpan w:val="6"/>
            <w:tcBorders>
              <w:top w:val="nil"/>
              <w:left w:val="nil"/>
              <w:bottom w:val="nil"/>
              <w:right w:val="nil"/>
            </w:tcBorders>
            <w:shd w:val="clear" w:color="000000"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部门：延津县石婆固镇人民政府</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4891" w:type="dxa"/>
            <w:gridSpan w:val="7"/>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632" w:type="dxa"/>
            <w:gridSpan w:val="2"/>
            <w:tcBorders>
              <w:top w:val="nil"/>
              <w:left w:val="nil"/>
              <w:bottom w:val="nil"/>
              <w:right w:val="nil"/>
            </w:tcBorders>
            <w:shd w:val="clear" w:color="000000" w:fill="FFFFFF"/>
            <w:noWrap/>
            <w:vAlign w:val="center"/>
          </w:tcPr>
          <w:p>
            <w:pPr>
              <w:widowControl/>
              <w:jc w:val="right"/>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nil"/>
              <w:right w:val="nil"/>
            </w:tcBorders>
            <w:shd w:val="clear" w:color="000000"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1"/>
          <w:wAfter w:w="25" w:type="dxa"/>
          <w:trHeight w:val="375" w:hRule="atLeast"/>
        </w:trPr>
        <w:tc>
          <w:tcPr>
            <w:tcW w:w="6785" w:type="dxa"/>
            <w:gridSpan w:val="10"/>
            <w:tcBorders>
              <w:top w:val="single" w:color="auto" w:sz="8" w:space="0"/>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收入</w:t>
            </w:r>
          </w:p>
        </w:tc>
        <w:tc>
          <w:tcPr>
            <w:tcW w:w="7036" w:type="dxa"/>
            <w:gridSpan w:val="10"/>
            <w:tcBorders>
              <w:top w:val="single" w:color="auto" w:sz="8" w:space="0"/>
              <w:left w:val="nil"/>
              <w:bottom w:val="single" w:color="auto" w:sz="4" w:space="0"/>
              <w:right w:val="single" w:color="000000"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支出</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10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项    目</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决算数</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10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栏    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13" w:type="dxa"/>
            <w:tcBorders>
              <w:top w:val="nil"/>
              <w:left w:val="nil"/>
              <w:bottom w:val="single" w:color="auto" w:sz="4" w:space="0"/>
              <w:right w:val="single" w:color="auto" w:sz="8" w:space="0"/>
            </w:tcBorders>
            <w:shd w:val="clear" w:color="000000" w:fill="FFFFFF"/>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一、一般公共预算财政拨款收入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1545.46</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一、一般公共服务支出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29</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r>
              <w:rPr>
                <w:rFonts w:hint="eastAsia" w:ascii="宋体" w:hAnsi="宋体" w:cs="宋体"/>
                <w:kern w:val="0"/>
                <w:sz w:val="22"/>
              </w:rPr>
              <w:t>280.08</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二、政府性基金预算财政拨款收入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195.26</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二、外交支出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30</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三、上级补助收入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三、国防支出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31</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四、事业收入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1101" w:type="dxa"/>
            <w:gridSpan w:val="2"/>
            <w:tcBorders>
              <w:top w:val="nil"/>
              <w:left w:val="nil"/>
              <w:bottom w:val="single" w:color="auto" w:sz="4" w:space="0"/>
              <w:right w:val="single" w:color="auto" w:sz="4" w:space="0"/>
            </w:tcBorders>
            <w:shd w:val="clear" w:color="auto" w:fill="auto"/>
            <w:noWrap/>
          </w:tcPr>
          <w:p>
            <w:pPr>
              <w:jc w:val="right"/>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四、公共安全支出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32</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五、经营收入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1101" w:type="dxa"/>
            <w:gridSpan w:val="2"/>
            <w:tcBorders>
              <w:top w:val="nil"/>
              <w:left w:val="nil"/>
              <w:bottom w:val="single" w:color="auto" w:sz="4" w:space="0"/>
              <w:right w:val="single" w:color="auto" w:sz="4" w:space="0"/>
            </w:tcBorders>
            <w:shd w:val="clear" w:color="auto" w:fill="auto"/>
            <w:noWrap/>
          </w:tcPr>
          <w:p>
            <w:pPr>
              <w:jc w:val="right"/>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五、教育支出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33</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六、附属单位上缴收入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1101" w:type="dxa"/>
            <w:gridSpan w:val="2"/>
            <w:tcBorders>
              <w:top w:val="nil"/>
              <w:left w:val="nil"/>
              <w:bottom w:val="single" w:color="auto" w:sz="4" w:space="0"/>
              <w:right w:val="single" w:color="auto" w:sz="4" w:space="0"/>
            </w:tcBorders>
            <w:shd w:val="clear" w:color="auto" w:fill="auto"/>
            <w:noWrap/>
          </w:tcPr>
          <w:p>
            <w:pPr>
              <w:jc w:val="right"/>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六、科学技术支出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34</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000000" w:fill="FFFFFF"/>
            <w:noWrap/>
            <w:vAlign w:val="center"/>
          </w:tcPr>
          <w:p>
            <w:pPr>
              <w:widowControl/>
              <w:jc w:val="left"/>
              <w:rPr>
                <w:rFonts w:ascii="宋体" w:hAnsi="宋体" w:cs="宋体"/>
                <w:kern w:val="0"/>
                <w:sz w:val="22"/>
              </w:rPr>
            </w:pPr>
            <w:r>
              <w:rPr>
                <w:rFonts w:hint="eastAsia" w:ascii="宋体" w:hAnsi="宋体" w:cs="宋体"/>
                <w:kern w:val="0"/>
                <w:sz w:val="22"/>
              </w:rPr>
              <w:t>七、其他收入</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1101" w:type="dxa"/>
            <w:gridSpan w:val="2"/>
            <w:tcBorders>
              <w:top w:val="nil"/>
              <w:left w:val="nil"/>
              <w:bottom w:val="single" w:color="auto" w:sz="4" w:space="0"/>
              <w:right w:val="single" w:color="auto" w:sz="4" w:space="0"/>
            </w:tcBorders>
            <w:shd w:val="clear" w:color="auto" w:fill="auto"/>
            <w:noWrap/>
          </w:tcPr>
          <w:p>
            <w:pPr>
              <w:jc w:val="right"/>
            </w:pPr>
            <w:r>
              <w:rPr>
                <w:rFonts w:hint="eastAsia" w:ascii="宋体" w:hAnsi="宋体" w:cs="宋体"/>
                <w:kern w:val="0"/>
                <w:sz w:val="22"/>
              </w:rPr>
              <w:t>0.00</w:t>
            </w:r>
          </w:p>
        </w:tc>
        <w:tc>
          <w:tcPr>
            <w:tcW w:w="489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七、文化旅游体育与传媒支出</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35</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八、社会保障和就业支出　</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36</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r>
              <w:rPr>
                <w:rFonts w:hint="eastAsia" w:ascii="宋体" w:hAnsi="宋体" w:cs="宋体"/>
                <w:kern w:val="0"/>
                <w:sz w:val="22"/>
              </w:rPr>
              <w:t>99.82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九、卫生健康支出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37</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r>
              <w:rPr>
                <w:rFonts w:hint="eastAsia" w:ascii="宋体" w:hAnsi="宋体" w:cs="宋体"/>
                <w:kern w:val="0"/>
                <w:sz w:val="22"/>
              </w:rPr>
              <w:t>57.86</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十、节能环保支出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38</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r>
              <w:rPr>
                <w:rFonts w:hint="eastAsia" w:ascii="宋体" w:hAnsi="宋体" w:cs="宋体"/>
                <w:kern w:val="0"/>
                <w:sz w:val="22"/>
              </w:rPr>
              <w:t>10.36</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十一、城乡社区支出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39</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r>
              <w:rPr>
                <w:rFonts w:hint="eastAsia" w:ascii="宋体" w:hAnsi="宋体" w:cs="宋体"/>
                <w:kern w:val="0"/>
                <w:sz w:val="22"/>
              </w:rPr>
              <w:t>381.51</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十二、农林水支出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40</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r>
              <w:rPr>
                <w:rFonts w:hint="eastAsia" w:ascii="宋体" w:hAnsi="宋体" w:cs="宋体"/>
                <w:kern w:val="0"/>
                <w:sz w:val="22"/>
              </w:rPr>
              <w:t>664.62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十三、交通运输支出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41</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十四、资源勘探信息等支出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42</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十五、商业服务业等支出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43</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十六、金融支出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44</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17</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十七、援助其他地区支出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45</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18</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十八、自然资源海洋气象等支出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46</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19</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十九、住房保障支出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47</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20</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二十、粮油物资储备支出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48</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21</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二十一、灾害防治及应急管理支出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49</w:t>
            </w:r>
          </w:p>
        </w:tc>
        <w:tc>
          <w:tcPr>
            <w:tcW w:w="1513" w:type="dxa"/>
            <w:tcBorders>
              <w:top w:val="nil"/>
              <w:left w:val="nil"/>
              <w:bottom w:val="single" w:color="auto" w:sz="4" w:space="0"/>
              <w:right w:val="single" w:color="auto" w:sz="8" w:space="0"/>
            </w:tcBorders>
            <w:noWrap/>
          </w:tcPr>
          <w:p>
            <w:pPr>
              <w:jc w:val="right"/>
            </w:pPr>
            <w:r>
              <w:rPr>
                <w:rFonts w:hint="eastAsia" w:ascii="宋体" w:hAnsi="宋体" w:cs="宋体"/>
                <w:kern w:val="0"/>
                <w:sz w:val="22"/>
              </w:rPr>
              <w:t>0.00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22</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二十二、其他支出</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50</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r>
              <w:rPr>
                <w:rFonts w:hint="eastAsia" w:ascii="宋体" w:hAnsi="宋体" w:cs="宋体"/>
                <w:kern w:val="0"/>
                <w:sz w:val="22"/>
              </w:rPr>
              <w:t>206.00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23</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51</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本年收入合计</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24</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1740.72</w:t>
            </w:r>
          </w:p>
        </w:tc>
        <w:tc>
          <w:tcPr>
            <w:tcW w:w="4891" w:type="dxa"/>
            <w:gridSpan w:val="7"/>
            <w:tcBorders>
              <w:top w:val="nil"/>
              <w:left w:val="nil"/>
              <w:bottom w:val="single" w:color="auto" w:sz="4" w:space="0"/>
              <w:right w:val="nil"/>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本年支出合计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52</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bCs/>
                <w:kern w:val="0"/>
                <w:sz w:val="22"/>
              </w:rPr>
            </w:pPr>
            <w:r>
              <w:rPr>
                <w:rFonts w:hint="eastAsia" w:ascii="宋体" w:hAnsi="宋体" w:cs="宋体"/>
                <w:bCs/>
                <w:kern w:val="0"/>
                <w:sz w:val="22"/>
              </w:rPr>
              <w:t>1700.25</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用事业基金弥补收支差额</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25</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0.00</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结余分配</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53</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r>
              <w:rPr>
                <w:rFonts w:hint="eastAsia" w:ascii="宋体" w:hAnsi="宋体" w:cs="宋体"/>
                <w:kern w:val="0"/>
                <w:sz w:val="22"/>
              </w:rPr>
              <w:t>0</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年初结转和结余</w:t>
            </w:r>
          </w:p>
        </w:tc>
        <w:tc>
          <w:tcPr>
            <w:tcW w:w="63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26</w:t>
            </w:r>
          </w:p>
        </w:tc>
        <w:tc>
          <w:tcPr>
            <w:tcW w:w="11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626.25</w:t>
            </w:r>
          </w:p>
        </w:tc>
        <w:tc>
          <w:tcPr>
            <w:tcW w:w="4891" w:type="dxa"/>
            <w:gridSpan w:val="7"/>
            <w:tcBorders>
              <w:top w:val="nil"/>
              <w:left w:val="nil"/>
              <w:bottom w:val="single" w:color="auto" w:sz="4" w:space="0"/>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xml:space="preserve">                年末结转和结余</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54</w:t>
            </w:r>
          </w:p>
        </w:tc>
        <w:tc>
          <w:tcPr>
            <w:tcW w:w="1513" w:type="dxa"/>
            <w:tcBorders>
              <w:top w:val="nil"/>
              <w:left w:val="nil"/>
              <w:bottom w:val="single" w:color="auto" w:sz="4" w:space="0"/>
              <w:right w:val="single" w:color="auto" w:sz="8" w:space="0"/>
            </w:tcBorders>
            <w:noWrap/>
            <w:vAlign w:val="center"/>
          </w:tcPr>
          <w:p>
            <w:pPr>
              <w:widowControl/>
              <w:jc w:val="right"/>
              <w:rPr>
                <w:rFonts w:ascii="宋体" w:hAnsi="宋体" w:cs="宋体"/>
                <w:kern w:val="0"/>
                <w:sz w:val="22"/>
              </w:rPr>
            </w:pPr>
            <w:r>
              <w:rPr>
                <w:rFonts w:hint="eastAsia" w:ascii="宋体" w:hAnsi="宋体" w:cs="宋体"/>
                <w:kern w:val="0"/>
                <w:sz w:val="22"/>
              </w:rPr>
              <w:t xml:space="preserve"> 666.72</w:t>
            </w: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nil"/>
              <w:left w:val="single" w:color="auto" w:sz="8" w:space="0"/>
              <w:bottom w:val="nil"/>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27</w:t>
            </w:r>
          </w:p>
        </w:tc>
        <w:tc>
          <w:tcPr>
            <w:tcW w:w="1101" w:type="dxa"/>
            <w:gridSpan w:val="2"/>
            <w:tcBorders>
              <w:top w:val="nil"/>
              <w:left w:val="nil"/>
              <w:bottom w:val="nil"/>
              <w:right w:val="single" w:color="auto" w:sz="4" w:space="0"/>
            </w:tcBorders>
            <w:shd w:val="clear" w:color="auto" w:fill="auto"/>
            <w:noWrap/>
            <w:vAlign w:val="center"/>
          </w:tcPr>
          <w:p>
            <w:pPr>
              <w:widowControl/>
              <w:rPr>
                <w:rFonts w:ascii="宋体" w:hAnsi="宋体" w:cs="宋体"/>
                <w:kern w:val="0"/>
                <w:sz w:val="22"/>
              </w:rPr>
            </w:pPr>
          </w:p>
        </w:tc>
        <w:tc>
          <w:tcPr>
            <w:tcW w:w="4891" w:type="dxa"/>
            <w:gridSpan w:val="7"/>
            <w:tcBorders>
              <w:top w:val="nil"/>
              <w:left w:val="nil"/>
              <w:bottom w:val="nil"/>
              <w:right w:val="nil"/>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　</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55</w:t>
            </w:r>
          </w:p>
        </w:tc>
        <w:tc>
          <w:tcPr>
            <w:tcW w:w="1513" w:type="dxa"/>
            <w:tcBorders>
              <w:top w:val="nil"/>
              <w:left w:val="nil"/>
              <w:bottom w:val="nil"/>
              <w:right w:val="single" w:color="auto" w:sz="8" w:space="0"/>
            </w:tcBorders>
            <w:noWrap/>
            <w:vAlign w:val="center"/>
          </w:tcPr>
          <w:p>
            <w:pPr>
              <w:widowControl/>
              <w:jc w:val="right"/>
              <w:rPr>
                <w:rFonts w:ascii="宋体" w:hAnsi="宋体" w:cs="宋体"/>
                <w:kern w:val="0"/>
                <w:sz w:val="22"/>
              </w:rPr>
            </w:pPr>
          </w:p>
        </w:tc>
      </w:tr>
      <w:tr>
        <w:tblPrEx>
          <w:tblCellMar>
            <w:top w:w="0" w:type="dxa"/>
            <w:left w:w="108" w:type="dxa"/>
            <w:bottom w:w="0" w:type="dxa"/>
            <w:right w:w="108" w:type="dxa"/>
          </w:tblCellMar>
        </w:tblPrEx>
        <w:trPr>
          <w:gridAfter w:val="1"/>
          <w:wAfter w:w="25" w:type="dxa"/>
          <w:trHeight w:val="375" w:hRule="atLeast"/>
        </w:trPr>
        <w:tc>
          <w:tcPr>
            <w:tcW w:w="5052" w:type="dxa"/>
            <w:gridSpan w:val="6"/>
            <w:tcBorders>
              <w:top w:val="single" w:color="auto" w:sz="4" w:space="0"/>
              <w:left w:val="single" w:color="auto" w:sz="8" w:space="0"/>
              <w:bottom w:val="single" w:color="auto" w:sz="8" w:space="0"/>
              <w:right w:val="nil"/>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28</w:t>
            </w:r>
          </w:p>
        </w:tc>
        <w:tc>
          <w:tcPr>
            <w:tcW w:w="1101" w:type="dxa"/>
            <w:gridSpan w:val="2"/>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ascii="宋体" w:hAnsi="宋体" w:cs="宋体"/>
                <w:kern w:val="0"/>
                <w:sz w:val="22"/>
              </w:rPr>
            </w:pPr>
            <w:r>
              <w:rPr>
                <w:rFonts w:hint="eastAsia" w:ascii="宋体" w:hAnsi="宋体" w:cs="宋体"/>
                <w:kern w:val="0"/>
                <w:sz w:val="22"/>
              </w:rPr>
              <w:t>2366.97</w:t>
            </w:r>
          </w:p>
        </w:tc>
        <w:tc>
          <w:tcPr>
            <w:tcW w:w="4891" w:type="dxa"/>
            <w:gridSpan w:val="7"/>
            <w:tcBorders>
              <w:top w:val="single" w:color="auto" w:sz="4" w:space="0"/>
              <w:left w:val="nil"/>
              <w:bottom w:val="single" w:color="auto" w:sz="8" w:space="0"/>
              <w:right w:val="nil"/>
            </w:tcBorders>
            <w:shd w:val="clear" w:color="000000" w:fill="FFFFFF"/>
            <w:noWrap/>
            <w:vAlign w:val="center"/>
          </w:tcPr>
          <w:p>
            <w:pPr>
              <w:widowControl/>
              <w:jc w:val="center"/>
              <w:rPr>
                <w:rFonts w:ascii="宋体" w:hAnsi="宋体" w:cs="宋体"/>
                <w:b/>
                <w:bCs/>
                <w:kern w:val="0"/>
                <w:sz w:val="22"/>
              </w:rPr>
            </w:pPr>
            <w:r>
              <w:rPr>
                <w:rFonts w:hint="eastAsia" w:ascii="宋体" w:hAnsi="宋体" w:cs="宋体"/>
                <w:b/>
                <w:bCs/>
                <w:kern w:val="0"/>
                <w:sz w:val="22"/>
              </w:rPr>
              <w:t>总计</w:t>
            </w:r>
          </w:p>
        </w:tc>
        <w:tc>
          <w:tcPr>
            <w:tcW w:w="632"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kern w:val="0"/>
                <w:sz w:val="22"/>
              </w:rPr>
            </w:pPr>
            <w:r>
              <w:rPr>
                <w:rFonts w:hint="eastAsia" w:ascii="宋体" w:hAnsi="宋体" w:cs="宋体"/>
                <w:kern w:val="0"/>
                <w:sz w:val="22"/>
              </w:rPr>
              <w:t>56</w:t>
            </w:r>
          </w:p>
        </w:tc>
        <w:tc>
          <w:tcPr>
            <w:tcW w:w="1513" w:type="dxa"/>
            <w:tcBorders>
              <w:top w:val="single" w:color="auto" w:sz="4" w:space="0"/>
              <w:left w:val="nil"/>
              <w:bottom w:val="single" w:color="auto" w:sz="8" w:space="0"/>
              <w:right w:val="single" w:color="auto" w:sz="8" w:space="0"/>
            </w:tcBorders>
            <w:noWrap/>
            <w:vAlign w:val="center"/>
          </w:tcPr>
          <w:p>
            <w:pPr>
              <w:widowControl/>
              <w:jc w:val="right"/>
              <w:rPr>
                <w:rFonts w:ascii="宋体" w:hAnsi="宋体" w:cs="宋体"/>
                <w:bCs/>
                <w:kern w:val="0"/>
                <w:sz w:val="22"/>
              </w:rPr>
            </w:pPr>
            <w:r>
              <w:rPr>
                <w:rFonts w:hint="eastAsia" w:ascii="宋体" w:hAnsi="宋体" w:cs="宋体"/>
                <w:bCs/>
                <w:kern w:val="0"/>
                <w:sz w:val="22"/>
              </w:rPr>
              <w:t>2366.97</w:t>
            </w:r>
          </w:p>
        </w:tc>
      </w:tr>
      <w:tr>
        <w:tblPrEx>
          <w:tblCellMar>
            <w:top w:w="0" w:type="dxa"/>
            <w:left w:w="108" w:type="dxa"/>
            <w:bottom w:w="0" w:type="dxa"/>
            <w:right w:w="108" w:type="dxa"/>
          </w:tblCellMar>
        </w:tblPrEx>
        <w:trPr>
          <w:gridAfter w:val="1"/>
          <w:wAfter w:w="25" w:type="dxa"/>
          <w:trHeight w:val="405" w:hRule="atLeast"/>
        </w:trPr>
        <w:tc>
          <w:tcPr>
            <w:tcW w:w="13821" w:type="dxa"/>
            <w:gridSpan w:val="20"/>
            <w:tcBorders>
              <w:top w:val="single" w:color="auto" w:sz="8" w:space="0"/>
              <w:left w:val="nil"/>
              <w:bottom w:val="nil"/>
              <w:right w:val="nil"/>
            </w:tcBorders>
            <w:vAlign w:val="center"/>
          </w:tcPr>
          <w:p>
            <w:pPr>
              <w:widowControl/>
              <w:jc w:val="left"/>
              <w:rPr>
                <w:rFonts w:ascii="宋体" w:hAnsi="宋体" w:cs="宋体"/>
                <w:kern w:val="0"/>
                <w:sz w:val="24"/>
                <w:szCs w:val="24"/>
              </w:rPr>
            </w:pPr>
            <w:r>
              <w:rPr>
                <w:rFonts w:hint="eastAsia" w:ascii="宋体" w:hAnsi="宋体" w:cs="宋体"/>
                <w:kern w:val="0"/>
                <w:sz w:val="24"/>
                <w:szCs w:val="24"/>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trHeight w:val="435" w:hRule="atLeast"/>
        </w:trPr>
        <w:tc>
          <w:tcPr>
            <w:tcW w:w="13846" w:type="dxa"/>
            <w:gridSpan w:val="21"/>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04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76"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0" w:type="dxa"/>
            <w:bottom w:w="0" w:type="dxa"/>
            <w:right w:w="0" w:type="dxa"/>
          </w:tblCellMar>
        </w:tblPrEx>
        <w:trPr>
          <w:trHeight w:val="300" w:hRule="atLeast"/>
        </w:trPr>
        <w:tc>
          <w:tcPr>
            <w:tcW w:w="7016" w:type="dxa"/>
            <w:gridSpan w:val="11"/>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部门：延津县石婆固镇人民政府</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55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2170"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134"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41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本年收入合计</w:t>
            </w:r>
          </w:p>
        </w:tc>
        <w:tc>
          <w:tcPr>
            <w:tcW w:w="1418" w:type="dxa"/>
            <w:gridSpan w:val="4"/>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财政拨款收入</w:t>
            </w:r>
          </w:p>
        </w:tc>
        <w:tc>
          <w:tcPr>
            <w:tcW w:w="1559"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上级补助收入</w:t>
            </w:r>
          </w:p>
        </w:tc>
        <w:tc>
          <w:tcPr>
            <w:tcW w:w="139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附属单位上缴收入</w:t>
            </w:r>
          </w:p>
        </w:tc>
        <w:tc>
          <w:tcPr>
            <w:tcW w:w="1643"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0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5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0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1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5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643"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134"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18"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643" w:type="dxa"/>
            <w:gridSpan w:val="3"/>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r>
      <w:tr>
        <w:tblPrEx>
          <w:tblCellMar>
            <w:top w:w="0" w:type="dxa"/>
            <w:left w:w="0" w:type="dxa"/>
            <w:bottom w:w="0" w:type="dxa"/>
            <w:right w:w="0" w:type="dxa"/>
          </w:tblCellMar>
        </w:tblPrEx>
        <w:trPr>
          <w:trHeight w:val="450" w:hRule="atLeast"/>
        </w:trPr>
        <w:tc>
          <w:tcPr>
            <w:tcW w:w="3134"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1740.72</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1740.72</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一般公共服务支出</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280.23</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280.23</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20103</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政府办公厅（室）及相关机构事务</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239.44</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239.44</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2010301</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行政运行</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239.44</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239.44</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20106</w:t>
            </w:r>
          </w:p>
        </w:tc>
        <w:tc>
          <w:tcPr>
            <w:tcW w:w="2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财政事务</w:t>
            </w:r>
          </w:p>
        </w:tc>
        <w:tc>
          <w:tcPr>
            <w:tcW w:w="141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6.00</w:t>
            </w:r>
          </w:p>
        </w:tc>
        <w:tc>
          <w:tcPr>
            <w:tcW w:w="141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6.00</w:t>
            </w:r>
          </w:p>
        </w:tc>
        <w:tc>
          <w:tcPr>
            <w:tcW w:w="155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2010699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其他财政事务支出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20131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党委办公厅（室）及相关机构事务</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2013101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行政运行</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社会保障和就业支出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99.81</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99.81</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行政事业单位离退休</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2080505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机关事业单位基本养老保险缴费支出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退役安置</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2080901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退役士兵安置</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20811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残疾人事业支出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2081199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其他残疾人事业支出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其他社会保障和就业支出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2089901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其他社会保障和就业支出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卫生健康支出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57.86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57.86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21007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计划生育事务</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2100717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计划生育服务</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21011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行政事业单位医疗</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16.81</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16.81</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2101101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行政单位医疗</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8.38</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8.38</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2101102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事业单位医疗</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8.43</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8.43</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节能环保支出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21104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自然生态保护</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2110402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农村环境保护</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381.51</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381.51</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21203</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城乡社区公共设施</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2120399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其他城乡社区公共设施支出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城乡社区环境卫生</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2120501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城乡社区环境卫生</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21208</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国有土地使用权出让收入及对应专项债务收入安排的支出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26.90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26.90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2120804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农村基础设施建设支出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2120899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其他国有土地使用权出让收入安排的支出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21213</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城市基础设施配套费安排的支出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2121302</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城市环境卫生</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农林水支出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910.95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910.95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农业</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2130104</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事业运行</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农村综合改革</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734.25</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734.25</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对村级一事一议的补助</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298.54</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298.54</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2130705</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对村民委员会和村党支部的补助</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372.21</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372.21</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2130706</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对村集体经济组织的补助</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2130707</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农村综合改革试点的补助</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13.50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13.50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21399</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其他农林水支出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2139901</w:t>
            </w:r>
          </w:p>
        </w:tc>
        <w:tc>
          <w:tcPr>
            <w:tcW w:w="204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化解其他公益性乡村债务支出</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18"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55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643"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615" w:hRule="atLeast"/>
        </w:trPr>
        <w:tc>
          <w:tcPr>
            <w:tcW w:w="13846" w:type="dxa"/>
            <w:gridSpan w:val="2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348" w:type="dxa"/>
        <w:tblInd w:w="15" w:type="dxa"/>
        <w:tblLayout w:type="fixed"/>
        <w:tblCellMar>
          <w:top w:w="0" w:type="dxa"/>
          <w:left w:w="0" w:type="dxa"/>
          <w:bottom w:w="0" w:type="dxa"/>
          <w:right w:w="0" w:type="dxa"/>
        </w:tblCellMar>
      </w:tblPr>
      <w:tblGrid>
        <w:gridCol w:w="1105"/>
        <w:gridCol w:w="63"/>
        <w:gridCol w:w="27"/>
        <w:gridCol w:w="1349"/>
        <w:gridCol w:w="1448"/>
        <w:gridCol w:w="326"/>
        <w:gridCol w:w="950"/>
        <w:gridCol w:w="852"/>
        <w:gridCol w:w="707"/>
        <w:gridCol w:w="1094"/>
        <w:gridCol w:w="324"/>
        <w:gridCol w:w="11"/>
        <w:gridCol w:w="1406"/>
        <w:gridCol w:w="61"/>
        <w:gridCol w:w="1640"/>
        <w:gridCol w:w="161"/>
        <w:gridCol w:w="1824"/>
      </w:tblGrid>
      <w:tr>
        <w:tblPrEx>
          <w:tblCellMar>
            <w:top w:w="0" w:type="dxa"/>
            <w:left w:w="0" w:type="dxa"/>
            <w:bottom w:w="0" w:type="dxa"/>
            <w:right w:w="0" w:type="dxa"/>
          </w:tblCellMar>
        </w:tblPrEx>
        <w:trPr>
          <w:trHeight w:val="435" w:hRule="atLeast"/>
        </w:trPr>
        <w:tc>
          <w:tcPr>
            <w:tcW w:w="13348" w:type="dxa"/>
            <w:gridSpan w:val="17"/>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05"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77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24"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0" w:type="dxa"/>
            <w:bottom w:w="0" w:type="dxa"/>
            <w:right w:w="0" w:type="dxa"/>
          </w:tblCellMar>
        </w:tblPrEx>
        <w:trPr>
          <w:trHeight w:val="300" w:hRule="atLeast"/>
        </w:trPr>
        <w:tc>
          <w:tcPr>
            <w:tcW w:w="6120" w:type="dxa"/>
            <w:gridSpan w:val="8"/>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r>
              <w:rPr>
                <w:rFonts w:hint="eastAsia" w:ascii="宋体" w:hAnsi="宋体" w:cs="宋体"/>
                <w:color w:val="000000"/>
                <w:kern w:val="0"/>
                <w:sz w:val="20"/>
                <w:szCs w:val="20"/>
              </w:rPr>
              <w:t>部门：延津县石婆固镇人民政府</w:t>
            </w: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824"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50" w:hRule="atLeast"/>
        </w:trPr>
        <w:tc>
          <w:tcPr>
            <w:tcW w:w="3992" w:type="dxa"/>
            <w:gridSpan w:val="5"/>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27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本年支出合计</w:t>
            </w:r>
          </w:p>
        </w:tc>
        <w:tc>
          <w:tcPr>
            <w:tcW w:w="155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429"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406"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上缴上级支出</w:t>
            </w:r>
          </w:p>
        </w:tc>
        <w:tc>
          <w:tcPr>
            <w:tcW w:w="170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经营支出</w:t>
            </w:r>
          </w:p>
        </w:tc>
        <w:tc>
          <w:tcPr>
            <w:tcW w:w="1985"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对附属单位补助支出</w:t>
            </w:r>
          </w:p>
        </w:tc>
      </w:tr>
      <w:tr>
        <w:tblPrEx>
          <w:tblCellMar>
            <w:top w:w="0" w:type="dxa"/>
            <w:left w:w="0" w:type="dxa"/>
            <w:bottom w:w="0" w:type="dxa"/>
            <w:right w:w="0" w:type="dxa"/>
          </w:tblCellMar>
        </w:tblPrEx>
        <w:trPr>
          <w:trHeight w:val="450" w:hRule="atLeast"/>
        </w:trPr>
        <w:tc>
          <w:tcPr>
            <w:tcW w:w="1168"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282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06"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85"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68"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82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55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2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406"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70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85"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992"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2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85"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3992" w:type="dxa"/>
            <w:gridSpan w:val="5"/>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1700.25</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1041.14</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659.11</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一般公共服务支出</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280.08</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280.08</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20103</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政府办公厅（室）及相关机构事务</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240.29</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240.29</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2010301</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行政运行</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240.29</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240.29</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20106</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财政事务</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142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2010699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其他财政事务支出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20131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党委办公厅（室）及相关机构事务</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2013101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行政运行</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社会保障和就业支出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99.82</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60.86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行政事业单位离退休</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2080505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机关事业单位基本养老保险缴费支出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退役安置</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2080901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退役士兵安置</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20811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残疾人事业支出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2081199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其他残疾人事业支出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其他社会保障和就业支出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2089901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其他社会保障和就业支出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卫生健康支出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57.86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57.86</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21007</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计划生育事务</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2100717</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计划生育服务</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21011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行政事业单位医疗</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16.81</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16.81</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2101101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行政单位医疗</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8.38</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8.38</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2101102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事业单位医疗</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8.43</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8.43</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节能环保支出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21104</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自然生态保护</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tcPr>
          <w:p>
            <w:pPr>
              <w:rPr>
                <w:rFonts w:ascii="宋体" w:hAnsi="宋体"/>
                <w:sz w:val="20"/>
                <w:szCs w:val="20"/>
              </w:rPr>
            </w:pPr>
            <w:r>
              <w:rPr>
                <w:rFonts w:hint="eastAsia" w:ascii="宋体" w:hAnsi="宋体"/>
                <w:sz w:val="20"/>
                <w:szCs w:val="20"/>
              </w:rPr>
              <w:t xml:space="preserve">       10.36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2110402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农村环境保护</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tcPr>
          <w:p>
            <w:pPr>
              <w:jc w:val="right"/>
              <w:rPr>
                <w:rFonts w:ascii="宋体" w:hAnsi="宋体"/>
                <w:sz w:val="20"/>
                <w:szCs w:val="20"/>
              </w:rPr>
            </w:pPr>
            <w:r>
              <w:rPr>
                <w:rFonts w:hint="eastAsia" w:ascii="宋体" w:hAnsi="宋体"/>
                <w:sz w:val="20"/>
                <w:szCs w:val="20"/>
              </w:rPr>
              <w:t>10.36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381.51</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145.50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236.01</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21203</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城乡社区公共设施</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2120399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其他城乡社区公共设施支出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城乡社区环境卫生</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2120501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城乡社区环境卫生</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21208</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国有土地使用权出让收入及对应专项债务收入安排的支出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26.90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1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2120804</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农村基础设施建设支出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1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2120899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其他国有土地使用权出让收入安排的支出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21213</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城市基础设施配套费安排的支出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2121302</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城市环境卫生</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农林水支出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664.62</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496.84</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167.78</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农业</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2130104</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事业运行</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农村综合改革</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487.92</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320.14</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167.78</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对村级一事一议的补助</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167.78</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167.78</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2130705</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对村民委员会和村党支部的补助</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320.14</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320.14</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其他农林水支出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2139901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化解其他公益性乡村债务支出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229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其他支出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22999</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其他支出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68"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2299901</w:t>
            </w:r>
          </w:p>
        </w:tc>
        <w:tc>
          <w:tcPr>
            <w:tcW w:w="2824"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其他支出</w:t>
            </w:r>
          </w:p>
        </w:tc>
        <w:tc>
          <w:tcPr>
            <w:tcW w:w="127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c>
          <w:tcPr>
            <w:tcW w:w="155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29"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c>
          <w:tcPr>
            <w:tcW w:w="1406"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70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985"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630" w:hRule="atLeast"/>
        </w:trPr>
        <w:tc>
          <w:tcPr>
            <w:tcW w:w="13348" w:type="dxa"/>
            <w:gridSpan w:val="17"/>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注：本表反映部门本年度各项支出情况。本表金额转换为万元时，因四舍五入可能存在尾差。</w:t>
            </w:r>
          </w:p>
        </w:tc>
      </w:tr>
    </w:tbl>
    <w:p>
      <w:pPr>
        <w:rPr>
          <w:rFonts w:ascii="宋体" w:hAnsi="宋体" w:cs="仿宋_GB2312"/>
          <w:sz w:val="20"/>
          <w:szCs w:val="20"/>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750" w:type="dxa"/>
        <w:tblInd w:w="15" w:type="dxa"/>
        <w:tblLayout w:type="fixed"/>
        <w:tblCellMar>
          <w:top w:w="0" w:type="dxa"/>
          <w:left w:w="0" w:type="dxa"/>
          <w:bottom w:w="0" w:type="dxa"/>
          <w:right w:w="0" w:type="dxa"/>
        </w:tblCellMar>
      </w:tblPr>
      <w:tblGrid>
        <w:gridCol w:w="3979"/>
        <w:gridCol w:w="720"/>
        <w:gridCol w:w="1210"/>
        <w:gridCol w:w="3400"/>
        <w:gridCol w:w="597"/>
        <w:gridCol w:w="708"/>
        <w:gridCol w:w="443"/>
        <w:gridCol w:w="900"/>
        <w:gridCol w:w="376"/>
        <w:gridCol w:w="1417"/>
      </w:tblGrid>
      <w:tr>
        <w:tblPrEx>
          <w:tblCellMar>
            <w:top w:w="0" w:type="dxa"/>
            <w:left w:w="0" w:type="dxa"/>
            <w:bottom w:w="0" w:type="dxa"/>
            <w:right w:w="0" w:type="dxa"/>
          </w:tblCellMar>
        </w:tblPrEx>
        <w:trPr>
          <w:trHeight w:val="360" w:hRule="atLeast"/>
        </w:trPr>
        <w:tc>
          <w:tcPr>
            <w:tcW w:w="13750"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97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79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0" w:type="dxa"/>
            <w:bottom w:w="0" w:type="dxa"/>
            <w:right w:w="0" w:type="dxa"/>
          </w:tblCellMar>
        </w:tblPrEx>
        <w:trPr>
          <w:trHeight w:val="300" w:hRule="atLeast"/>
        </w:trPr>
        <w:tc>
          <w:tcPr>
            <w:tcW w:w="39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部门：延津县石婆固镇人民政府</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34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79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2" w:hRule="atLeast"/>
        </w:trPr>
        <w:tc>
          <w:tcPr>
            <w:tcW w:w="5909"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收入</w:t>
            </w:r>
          </w:p>
        </w:tc>
        <w:tc>
          <w:tcPr>
            <w:tcW w:w="7841"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w:t>
            </w:r>
          </w:p>
        </w:tc>
      </w:tr>
      <w:tr>
        <w:tblPrEx>
          <w:tblCellMar>
            <w:top w:w="0" w:type="dxa"/>
            <w:left w:w="0" w:type="dxa"/>
            <w:bottom w:w="0" w:type="dxa"/>
            <w:right w:w="0" w:type="dxa"/>
          </w:tblCellMar>
        </w:tblPrEx>
        <w:trPr>
          <w:trHeight w:val="630"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行次</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一般公共预算财政拨款</w:t>
            </w:r>
          </w:p>
        </w:tc>
        <w:tc>
          <w:tcPr>
            <w:tcW w:w="141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政府性基金预算财政拨款</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0"/>
                <w:szCs w:val="20"/>
              </w:rPr>
            </w:pP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17"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1545.46</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30</w:t>
            </w:r>
          </w:p>
        </w:tc>
        <w:tc>
          <w:tcPr>
            <w:tcW w:w="115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280.08</w:t>
            </w:r>
          </w:p>
        </w:tc>
        <w:tc>
          <w:tcPr>
            <w:tcW w:w="127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280.08</w:t>
            </w:r>
          </w:p>
        </w:tc>
        <w:tc>
          <w:tcPr>
            <w:tcW w:w="141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195.26</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31</w:t>
            </w:r>
          </w:p>
        </w:tc>
        <w:tc>
          <w:tcPr>
            <w:tcW w:w="115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15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15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15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15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七、文化旅游体育与传媒支出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151"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八、社会保障和就业支出　</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99.82</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99.82</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九、卫生健康支出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57.86</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57.86</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十一、城乡社区支出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381.51</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186.25</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195.26</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664.62</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664.62</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十三、交通运输支出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十四、资源勘探信息等支出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十五、商业服务业等支出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十六、金融支出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十七、援助其他地区支出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十八、自然资源海洋气象等支出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二十、粮油物资储备支出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二十一、灾害防治及应急管理支出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二十二、其他支出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1700.25</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1504.99</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 xml:space="preserve">     195.26</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1740.72</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1151" w:type="dxa"/>
            <w:gridSpan w:val="2"/>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666.72</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666.72</w:t>
            </w:r>
          </w:p>
        </w:tc>
        <w:tc>
          <w:tcPr>
            <w:tcW w:w="1417"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一、一般公共预算财政拨款</w:t>
            </w:r>
          </w:p>
        </w:tc>
        <w:tc>
          <w:tcPr>
            <w:tcW w:w="72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26</w:t>
            </w:r>
          </w:p>
        </w:tc>
        <w:tc>
          <w:tcPr>
            <w:tcW w:w="12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626.25</w:t>
            </w:r>
          </w:p>
        </w:tc>
        <w:tc>
          <w:tcPr>
            <w:tcW w:w="3400" w:type="dxa"/>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151" w:type="dxa"/>
            <w:gridSpan w:val="2"/>
            <w:tcBorders>
              <w:top w:val="single" w:color="000000" w:sz="4" w:space="0"/>
              <w:left w:val="nil"/>
              <w:bottom w:val="single" w:color="auto" w:sz="4" w:space="0"/>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417" w:type="dxa"/>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二、政府性基金预算财政拨款</w:t>
            </w:r>
          </w:p>
        </w:tc>
        <w:tc>
          <w:tcPr>
            <w:tcW w:w="72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27</w:t>
            </w:r>
          </w:p>
        </w:tc>
        <w:tc>
          <w:tcPr>
            <w:tcW w:w="12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626.25</w:t>
            </w:r>
          </w:p>
        </w:tc>
        <w:tc>
          <w:tcPr>
            <w:tcW w:w="3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1151"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4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79" w:type="dxa"/>
            <w:tcBorders>
              <w:top w:val="single" w:color="auto" w:sz="4" w:space="0"/>
              <w:left w:val="single" w:color="000000" w:sz="8" w:space="0"/>
              <w:bottom w:val="nil"/>
              <w:right w:val="nil"/>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72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28</w:t>
            </w:r>
          </w:p>
        </w:tc>
        <w:tc>
          <w:tcPr>
            <w:tcW w:w="121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p>
        </w:tc>
        <w:tc>
          <w:tcPr>
            <w:tcW w:w="3400" w:type="dxa"/>
            <w:tcBorders>
              <w:top w:val="single" w:color="auto" w:sz="4" w:space="0"/>
              <w:left w:val="single" w:color="000000" w:sz="4" w:space="0"/>
              <w:bottom w:val="nil"/>
              <w:right w:val="nil"/>
            </w:tcBorders>
            <w:shd w:val="clear" w:color="auto" w:fill="auto"/>
            <w:noWrap/>
            <w:tcMar>
              <w:top w:w="15" w:type="dxa"/>
              <w:left w:w="15" w:type="dxa"/>
              <w:right w:w="15" w:type="dxa"/>
            </w:tcMar>
            <w:vAlign w:val="center"/>
          </w:tcPr>
          <w:p>
            <w:pPr>
              <w:jc w:val="left"/>
              <w:rPr>
                <w:rFonts w:ascii="宋体" w:hAnsi="宋体" w:cs="宋体"/>
                <w:color w:val="000000"/>
                <w:sz w:val="20"/>
                <w:szCs w:val="20"/>
              </w:rPr>
            </w:pPr>
          </w:p>
        </w:tc>
        <w:tc>
          <w:tcPr>
            <w:tcW w:w="59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1151" w:type="dxa"/>
            <w:gridSpan w:val="2"/>
            <w:tcBorders>
              <w:top w:val="single" w:color="auto" w:sz="4" w:space="0"/>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276" w:type="dxa"/>
            <w:gridSpan w:val="2"/>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p>
        </w:tc>
        <w:tc>
          <w:tcPr>
            <w:tcW w:w="1417" w:type="dxa"/>
            <w:tcBorders>
              <w:top w:val="single" w:color="auto" w:sz="4" w:space="0"/>
              <w:left w:val="nil"/>
              <w:bottom w:val="nil"/>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29</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2366.97</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1151" w:type="dxa"/>
            <w:gridSpan w:val="2"/>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2366.97</w:t>
            </w:r>
          </w:p>
        </w:tc>
        <w:tc>
          <w:tcPr>
            <w:tcW w:w="12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2171.71</w:t>
            </w:r>
          </w:p>
        </w:tc>
        <w:tc>
          <w:tcPr>
            <w:tcW w:w="1417"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b/>
                <w:color w:val="000000"/>
                <w:sz w:val="20"/>
                <w:szCs w:val="20"/>
              </w:rPr>
              <w:t xml:space="preserve">      </w:t>
            </w:r>
            <w:r>
              <w:rPr>
                <w:rFonts w:hint="eastAsia" w:ascii="宋体" w:hAnsi="宋体" w:cs="宋体"/>
                <w:color w:val="000000"/>
                <w:sz w:val="20"/>
                <w:szCs w:val="20"/>
              </w:rPr>
              <w:t>195.26</w:t>
            </w:r>
          </w:p>
        </w:tc>
      </w:tr>
      <w:tr>
        <w:tblPrEx>
          <w:tblCellMar>
            <w:top w:w="0" w:type="dxa"/>
            <w:left w:w="0" w:type="dxa"/>
            <w:bottom w:w="0" w:type="dxa"/>
            <w:right w:w="0" w:type="dxa"/>
          </w:tblCellMar>
        </w:tblPrEx>
        <w:trPr>
          <w:trHeight w:val="585" w:hRule="atLeast"/>
        </w:trPr>
        <w:tc>
          <w:tcPr>
            <w:tcW w:w="13750" w:type="dxa"/>
            <w:gridSpan w:val="10"/>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623" w:type="dxa"/>
        <w:tblInd w:w="0" w:type="dxa"/>
        <w:tblLayout w:type="fixed"/>
        <w:tblCellMar>
          <w:top w:w="0" w:type="dxa"/>
          <w:left w:w="0" w:type="dxa"/>
          <w:bottom w:w="0" w:type="dxa"/>
          <w:right w:w="0" w:type="dxa"/>
        </w:tblCellMar>
      </w:tblPr>
      <w:tblGrid>
        <w:gridCol w:w="726"/>
        <w:gridCol w:w="688"/>
        <w:gridCol w:w="3302"/>
        <w:gridCol w:w="1985"/>
        <w:gridCol w:w="387"/>
        <w:gridCol w:w="3015"/>
        <w:gridCol w:w="434"/>
        <w:gridCol w:w="3086"/>
      </w:tblGrid>
      <w:tr>
        <w:tblPrEx>
          <w:tblCellMar>
            <w:top w:w="0" w:type="dxa"/>
            <w:left w:w="0" w:type="dxa"/>
            <w:bottom w:w="0" w:type="dxa"/>
            <w:right w:w="0" w:type="dxa"/>
          </w:tblCellMar>
        </w:tblPrEx>
        <w:trPr>
          <w:trHeight w:val="600" w:hRule="atLeast"/>
        </w:trPr>
        <w:tc>
          <w:tcPr>
            <w:tcW w:w="13623" w:type="dxa"/>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30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2372"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086"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w:t>
            </w:r>
            <w:r>
              <w:rPr>
                <w:rStyle w:val="26"/>
                <w:rFonts w:hint="default"/>
              </w:rPr>
              <w:t>5表</w:t>
            </w:r>
          </w:p>
        </w:tc>
      </w:tr>
      <w:tr>
        <w:tblPrEx>
          <w:tblCellMar>
            <w:top w:w="0" w:type="dxa"/>
            <w:left w:w="0" w:type="dxa"/>
            <w:bottom w:w="0" w:type="dxa"/>
            <w:right w:w="0" w:type="dxa"/>
          </w:tblCellMar>
        </w:tblPrEx>
        <w:trPr>
          <w:trHeight w:val="300" w:hRule="atLeast"/>
        </w:trPr>
        <w:tc>
          <w:tcPr>
            <w:tcW w:w="7088" w:type="dxa"/>
            <w:gridSpan w:val="5"/>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部门：延津县石婆固镇人民政府</w:t>
            </w:r>
          </w:p>
        </w:tc>
        <w:tc>
          <w:tcPr>
            <w:tcW w:w="3449"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086"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4716"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项 </w:t>
            </w:r>
            <w:r>
              <w:rPr>
                <w:rStyle w:val="18"/>
                <w:rFonts w:hint="default"/>
                <w:sz w:val="20"/>
                <w:szCs w:val="20"/>
              </w:rPr>
              <w:t xml:space="preserve">   </w:t>
            </w:r>
            <w:r>
              <w:rPr>
                <w:rStyle w:val="20"/>
                <w:rFonts w:hint="default"/>
                <w:sz w:val="20"/>
                <w:szCs w:val="20"/>
              </w:rPr>
              <w:t>目</w:t>
            </w:r>
          </w:p>
        </w:tc>
        <w:tc>
          <w:tcPr>
            <w:tcW w:w="8907" w:type="dxa"/>
            <w:gridSpan w:val="5"/>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33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8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3402"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3520" w:type="dxa"/>
            <w:gridSpan w:val="2"/>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520" w:type="dxa"/>
            <w:gridSpan w:val="2"/>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3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520" w:type="dxa"/>
            <w:gridSpan w:val="2"/>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471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52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r>
      <w:tr>
        <w:tblPrEx>
          <w:tblCellMar>
            <w:top w:w="0" w:type="dxa"/>
            <w:left w:w="0" w:type="dxa"/>
            <w:bottom w:w="0" w:type="dxa"/>
            <w:right w:w="0" w:type="dxa"/>
          </w:tblCellMar>
        </w:tblPrEx>
        <w:trPr>
          <w:trHeight w:val="450" w:hRule="atLeast"/>
        </w:trPr>
        <w:tc>
          <w:tcPr>
            <w:tcW w:w="4716"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1504.99</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1021.14</w:t>
            </w:r>
          </w:p>
        </w:tc>
        <w:tc>
          <w:tcPr>
            <w:tcW w:w="352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483.85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一般公共服务支出</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280.08</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280.08</w:t>
            </w:r>
          </w:p>
        </w:tc>
        <w:tc>
          <w:tcPr>
            <w:tcW w:w="352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20103</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政府办公厅（室）及相关机构事务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240.29</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240.29</w:t>
            </w:r>
          </w:p>
        </w:tc>
        <w:tc>
          <w:tcPr>
            <w:tcW w:w="352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2010301</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行政运行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240.29</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240.29</w:t>
            </w:r>
          </w:p>
        </w:tc>
        <w:tc>
          <w:tcPr>
            <w:tcW w:w="352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20106</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财政事务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352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2010699</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其他财政事务支出</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34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352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20131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党委办公厅（室）及相关机构事务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2013101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行政运行</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34.79</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99.82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60.86</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行政事业单位离退休</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2080505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机关事业单位基本养老保险缴费支出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退役安置</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2080901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退役士兵安置</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残疾人事业支出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2081199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其他残疾人事业支出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38.96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其他社会保障和就业支出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2089901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其他社会保障和就业支出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卫生健康支出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57.86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57.86</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21007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计划生育事务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2100717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计划生育服务</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41.05</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行政事业单位医疗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16.81</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16.81</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2101101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行政单位医疗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8.38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8.38</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2101102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事业单位医疗</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8.43</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8.43</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节能环保支出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21104</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自然生态保护</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2110402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农村环境保护</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10.36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186.25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21203</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城乡社区公共设施</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2120399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其他城乡社区公共设施支出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60.75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城乡社区环境卫生</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2120501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城乡社区环境卫生</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125.50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农林水支出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664.62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496.84</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167.78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农业</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2130104</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事业运行</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156.70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农村综合改革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487.92</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320.14</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167.78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对村级一事一议的补助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167.78</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167.78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2130705</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对村民委员会和村党支部的补助</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320.14</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320.14</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其他农林水支出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2139901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化解其他公益性乡村债务支出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229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其他支出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206.00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22999</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其他支出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tcPr>
          <w:p>
            <w:pPr>
              <w:jc w:val="right"/>
            </w:pPr>
            <w:r>
              <w:rPr>
                <w:rFonts w:hint="eastAsia" w:ascii="宋体" w:hAnsi="宋体" w:cs="宋体"/>
                <w:color w:val="000000"/>
                <w:sz w:val="20"/>
                <w:szCs w:val="20"/>
              </w:rPr>
              <w:t>206.00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206.00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2299901</w:t>
            </w:r>
          </w:p>
        </w:tc>
        <w:tc>
          <w:tcPr>
            <w:tcW w:w="33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Arial"/>
                <w:color w:val="000000"/>
                <w:sz w:val="20"/>
                <w:szCs w:val="20"/>
              </w:rPr>
            </w:pPr>
            <w:r>
              <w:rPr>
                <w:rFonts w:hint="eastAsia" w:ascii="宋体" w:hAnsi="宋体" w:cs="Arial"/>
                <w:color w:val="000000"/>
                <w:sz w:val="20"/>
                <w:szCs w:val="20"/>
              </w:rPr>
              <w:t xml:space="preserve">  其他支出</w:t>
            </w:r>
          </w:p>
        </w:tc>
        <w:tc>
          <w:tcPr>
            <w:tcW w:w="19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tcPr>
          <w:p>
            <w:pPr>
              <w:jc w:val="right"/>
            </w:pPr>
            <w:r>
              <w:rPr>
                <w:rFonts w:hint="eastAsia" w:ascii="宋体" w:hAnsi="宋体" w:cs="宋体"/>
                <w:color w:val="000000"/>
                <w:sz w:val="20"/>
                <w:szCs w:val="20"/>
              </w:rPr>
              <w:t>206.00</w:t>
            </w:r>
          </w:p>
        </w:tc>
        <w:tc>
          <w:tcPr>
            <w:tcW w:w="3402"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352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tcPr>
          <w:p>
            <w:pPr>
              <w:jc w:val="right"/>
            </w:pPr>
            <w:r>
              <w:rPr>
                <w:rFonts w:hint="eastAsia" w:ascii="宋体" w:hAnsi="宋体" w:cs="宋体"/>
                <w:color w:val="000000"/>
                <w:sz w:val="20"/>
                <w:szCs w:val="20"/>
              </w:rPr>
              <w:t>206.00</w:t>
            </w:r>
          </w:p>
        </w:tc>
      </w:tr>
      <w:tr>
        <w:tblPrEx>
          <w:tblCellMar>
            <w:top w:w="0" w:type="dxa"/>
            <w:left w:w="0" w:type="dxa"/>
            <w:bottom w:w="0" w:type="dxa"/>
            <w:right w:w="0" w:type="dxa"/>
          </w:tblCellMar>
        </w:tblPrEx>
        <w:trPr>
          <w:trHeight w:val="645" w:hRule="atLeast"/>
        </w:trPr>
        <w:tc>
          <w:tcPr>
            <w:tcW w:w="13623"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13988" w:type="dxa"/>
        <w:tblInd w:w="0" w:type="dxa"/>
        <w:tblLayout w:type="fixed"/>
        <w:tblCellMar>
          <w:top w:w="0" w:type="dxa"/>
          <w:left w:w="0" w:type="dxa"/>
          <w:bottom w:w="0" w:type="dxa"/>
          <w:right w:w="0" w:type="dxa"/>
        </w:tblCellMar>
      </w:tblPr>
      <w:tblGrid>
        <w:gridCol w:w="870"/>
        <w:gridCol w:w="3114"/>
        <w:gridCol w:w="747"/>
        <w:gridCol w:w="104"/>
        <w:gridCol w:w="766"/>
        <w:gridCol w:w="2069"/>
        <w:gridCol w:w="935"/>
        <w:gridCol w:w="870"/>
        <w:gridCol w:w="3575"/>
        <w:gridCol w:w="938"/>
      </w:tblGrid>
      <w:tr>
        <w:tblPrEx>
          <w:tblCellMar>
            <w:top w:w="0" w:type="dxa"/>
            <w:left w:w="0" w:type="dxa"/>
            <w:bottom w:w="0" w:type="dxa"/>
            <w:right w:w="0" w:type="dxa"/>
          </w:tblCellMar>
        </w:tblPrEx>
        <w:trPr>
          <w:trHeight w:val="435" w:hRule="atLeast"/>
        </w:trPr>
        <w:tc>
          <w:tcPr>
            <w:tcW w:w="13988" w:type="dxa"/>
            <w:gridSpan w:val="10"/>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114"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747"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870"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06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公开06表</w:t>
            </w:r>
          </w:p>
        </w:tc>
      </w:tr>
      <w:tr>
        <w:tblPrEx>
          <w:tblCellMar>
            <w:top w:w="0" w:type="dxa"/>
            <w:left w:w="0" w:type="dxa"/>
            <w:bottom w:w="0" w:type="dxa"/>
            <w:right w:w="0" w:type="dxa"/>
          </w:tblCellMar>
        </w:tblPrEx>
        <w:trPr>
          <w:trHeight w:val="300" w:hRule="atLeast"/>
        </w:trPr>
        <w:tc>
          <w:tcPr>
            <w:tcW w:w="7670" w:type="dxa"/>
            <w:gridSpan w:val="6"/>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r>
              <w:rPr>
                <w:rFonts w:ascii="Arial" w:hAnsi="Arial" w:cs="Arial"/>
                <w:color w:val="000000"/>
                <w:kern w:val="0"/>
                <w:sz w:val="20"/>
                <w:szCs w:val="20"/>
              </w:rPr>
              <w:t>部门：</w:t>
            </w:r>
            <w:r>
              <w:rPr>
                <w:rFonts w:hint="eastAsia" w:ascii="宋体" w:hAnsi="宋体" w:cs="宋体"/>
                <w:color w:val="000000"/>
                <w:kern w:val="0"/>
                <w:sz w:val="20"/>
                <w:szCs w:val="20"/>
              </w:rPr>
              <w:t>延津县石婆固镇人民政府</w:t>
            </w:r>
          </w:p>
        </w:tc>
        <w:tc>
          <w:tcPr>
            <w:tcW w:w="93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114"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851" w:type="dxa"/>
            <w:gridSpan w:val="2"/>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766"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2069"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工资福利支出</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462.43</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商品和服务支出</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115.72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债务利息及费用支出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基本工资</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224.63</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30201</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54.67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津贴补贴</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59.35</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30202</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印刷费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30702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奖金</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65.52</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30203</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咨询费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right"/>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55.58</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伙食补助费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30204</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手续费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right"/>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绩效工资</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17.97</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30205</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水费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29.18</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机关事业单位基本养老保险缴费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56.12</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30206</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电费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right"/>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1.80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职业年金缴费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0.85</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30207</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邮电费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right"/>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职工基本医疗保险缴费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16.81</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30208</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取暖费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公务员医疗补助缴费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30209</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物业管理费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right"/>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0.53</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其他社会保障缴费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1.50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30211</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差旅费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right"/>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住房公积金</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16.45</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30212</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因公出国（境）费用</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30114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30213</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维修（护）费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right"/>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30199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其他工资福利支出</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3.23</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30214</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租赁费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0.75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对个人和家庭的补助</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387.41</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30215</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会议费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30301</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离休费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right"/>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30216</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培训费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0.51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14.44</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30302</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退休费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right"/>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30217</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公务接待费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30303</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退职（役）费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30218</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专用材料费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30304</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抚恤金</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30224</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被装购置费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30305</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生活补助</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383.64</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30225</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专用燃料费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2.73</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30306</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救济费</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30226</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劳务费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30307</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医疗费补助</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30227</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委托业务费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25.50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30308</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助学金</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30228</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工会经费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30309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奖励金</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30229</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福利费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30310</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个人农业生产补贴</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30231</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公务用车运行维护费</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30399</w:t>
            </w: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其他对个人和家庭的补助</w:t>
            </w: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3.77</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30239</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其他交通费用</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30240</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税金及附加费用</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3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30299</w:t>
            </w: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其他商品和服务支出</w:t>
            </w: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85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20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9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p>
        </w:tc>
      </w:tr>
      <w:tr>
        <w:tblPrEx>
          <w:tblCellMar>
            <w:top w:w="0" w:type="dxa"/>
            <w:left w:w="0" w:type="dxa"/>
            <w:bottom w:w="0" w:type="dxa"/>
            <w:right w:w="0" w:type="dxa"/>
          </w:tblCellMar>
        </w:tblPrEx>
        <w:trPr>
          <w:trHeight w:val="252" w:hRule="atLeast"/>
        </w:trPr>
        <w:tc>
          <w:tcPr>
            <w:tcW w:w="3984"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人员经费合计</w:t>
            </w:r>
          </w:p>
        </w:tc>
        <w:tc>
          <w:tcPr>
            <w:tcW w:w="85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849.84</w:t>
            </w:r>
          </w:p>
        </w:tc>
        <w:tc>
          <w:tcPr>
            <w:tcW w:w="8215"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171.30</w:t>
            </w:r>
          </w:p>
        </w:tc>
      </w:tr>
      <w:tr>
        <w:tblPrEx>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10"/>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rPr>
              <w:t>部门：延津县石婆固镇人民政府</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29.44</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24.44</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14.44</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10.00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5.00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28.73</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24.28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14.44</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9.84</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4.45</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注：本表反映部门本年度“三公”经费支出预决算情况。其中，</w:t>
            </w:r>
            <w:r>
              <w:rPr>
                <w:rStyle w:val="22"/>
                <w:rFonts w:hint="default"/>
                <w:sz w:val="20"/>
                <w:szCs w:val="20"/>
              </w:rPr>
              <w:t>预算数为“三公”经费全年预算数，反映按规定程序调整后的预算数；决算数是包括当年一般公共预算财政拨款和以前年度结转资金安排的实际支出。</w:t>
            </w:r>
            <w:r>
              <w:rPr>
                <w:rFonts w:hint="eastAsia" w:ascii="宋体" w:hAnsi="宋体" w:cs="宋体"/>
                <w:color w:val="000000"/>
                <w:kern w:val="0"/>
                <w:sz w:val="20"/>
                <w:szCs w:val="20"/>
              </w:rPr>
              <w:t>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10"/>
        <w:tblW w:w="13907" w:type="dxa"/>
        <w:tblInd w:w="0" w:type="dxa"/>
        <w:tblLayout w:type="fixed"/>
        <w:tblCellMar>
          <w:top w:w="0" w:type="dxa"/>
          <w:left w:w="0" w:type="dxa"/>
          <w:bottom w:w="0" w:type="dxa"/>
          <w:right w:w="0" w:type="dxa"/>
        </w:tblCellMar>
      </w:tblPr>
      <w:tblGrid>
        <w:gridCol w:w="611"/>
        <w:gridCol w:w="535"/>
        <w:gridCol w:w="3402"/>
        <w:gridCol w:w="1134"/>
        <w:gridCol w:w="1559"/>
        <w:gridCol w:w="992"/>
        <w:gridCol w:w="429"/>
        <w:gridCol w:w="1202"/>
        <w:gridCol w:w="216"/>
        <w:gridCol w:w="1417"/>
        <w:gridCol w:w="2195"/>
        <w:gridCol w:w="215"/>
      </w:tblGrid>
      <w:tr>
        <w:tblPrEx>
          <w:tblCellMar>
            <w:top w:w="0" w:type="dxa"/>
            <w:left w:w="0" w:type="dxa"/>
            <w:bottom w:w="0" w:type="dxa"/>
            <w:right w:w="0" w:type="dxa"/>
          </w:tblCellMar>
        </w:tblPrEx>
        <w:trPr>
          <w:gridAfter w:val="1"/>
          <w:wAfter w:w="215" w:type="dxa"/>
          <w:trHeight w:val="600" w:hRule="atLeast"/>
        </w:trPr>
        <w:tc>
          <w:tcPr>
            <w:tcW w:w="13692" w:type="dxa"/>
            <w:gridSpan w:val="11"/>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1"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5"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340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134"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55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992"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1"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3"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41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300" w:hRule="atLeast"/>
        </w:trPr>
        <w:tc>
          <w:tcPr>
            <w:tcW w:w="7241"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部门：延津县石婆固镇人民政府</w:t>
            </w:r>
          </w:p>
        </w:tc>
        <w:tc>
          <w:tcPr>
            <w:tcW w:w="992"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1"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633"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241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05" w:hRule="atLeast"/>
        </w:trPr>
        <w:tc>
          <w:tcPr>
            <w:tcW w:w="4548"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134"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559"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4256" w:type="dxa"/>
            <w:gridSpan w:val="5"/>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2410"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trHeight w:val="540" w:hRule="atLeast"/>
        </w:trPr>
        <w:tc>
          <w:tcPr>
            <w:tcW w:w="1146"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34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418"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417"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2410"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360" w:hRule="atLeast"/>
        </w:trPr>
        <w:tc>
          <w:tcPr>
            <w:tcW w:w="114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1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17"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2410"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6"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34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34"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559"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21"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1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17"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2410"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4548"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241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trHeight w:val="450" w:hRule="atLeast"/>
        </w:trPr>
        <w:tc>
          <w:tcPr>
            <w:tcW w:w="4548"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195.26</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195.26</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20.00</w:t>
            </w:r>
          </w:p>
        </w:tc>
        <w:tc>
          <w:tcPr>
            <w:tcW w:w="1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175.26</w:t>
            </w:r>
          </w:p>
        </w:tc>
        <w:tc>
          <w:tcPr>
            <w:tcW w:w="241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城乡社区支出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195.26</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195.26</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175.26</w:t>
            </w:r>
          </w:p>
        </w:tc>
        <w:tc>
          <w:tcPr>
            <w:tcW w:w="241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3"/>
                <w:szCs w:val="13"/>
              </w:rPr>
            </w:pPr>
            <w:r>
              <w:rPr>
                <w:rFonts w:hint="eastAsia" w:ascii="宋体" w:hAnsi="宋体" w:cs="宋体"/>
                <w:color w:val="000000"/>
                <w:sz w:val="13"/>
                <w:szCs w:val="13"/>
              </w:rPr>
              <w:t>国有土地使用权出让收入及对应专项债务收入安排的支出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26.90</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26.90</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c>
          <w:tcPr>
            <w:tcW w:w="241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2120804</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 xml:space="preserve">  农村基础设施建设支出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20.00</w:t>
            </w:r>
          </w:p>
        </w:tc>
        <w:tc>
          <w:tcPr>
            <w:tcW w:w="1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241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2120899</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18"/>
                <w:szCs w:val="18"/>
              </w:rPr>
            </w:pPr>
            <w:r>
              <w:rPr>
                <w:rFonts w:hint="eastAsia" w:ascii="宋体" w:hAnsi="宋体" w:cs="宋体"/>
                <w:color w:val="000000"/>
                <w:sz w:val="18"/>
                <w:szCs w:val="18"/>
              </w:rPr>
              <w:t xml:space="preserve">  其他国有土地使用权出让收入安排的支出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6.90</w:t>
            </w:r>
          </w:p>
        </w:tc>
        <w:tc>
          <w:tcPr>
            <w:tcW w:w="241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46"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21213</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城市基础设施配套费安排的支出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4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241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50" w:hRule="atLeast"/>
        </w:trPr>
        <w:tc>
          <w:tcPr>
            <w:tcW w:w="1146"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2121302</w:t>
            </w:r>
          </w:p>
        </w:tc>
        <w:tc>
          <w:tcPr>
            <w:tcW w:w="340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 xml:space="preserve">  城市环境卫生</w:t>
            </w:r>
          </w:p>
        </w:tc>
        <w:tc>
          <w:tcPr>
            <w:tcW w:w="113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55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42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141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c>
          <w:tcPr>
            <w:tcW w:w="1417"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168.36</w:t>
            </w:r>
          </w:p>
        </w:tc>
        <w:tc>
          <w:tcPr>
            <w:tcW w:w="2410"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gridAfter w:val="1"/>
          <w:wAfter w:w="215" w:type="dxa"/>
          <w:trHeight w:val="645" w:hRule="atLeast"/>
        </w:trPr>
        <w:tc>
          <w:tcPr>
            <w:tcW w:w="13692" w:type="dxa"/>
            <w:gridSpan w:val="11"/>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注：本表反映部门本年度政府性基金预算财政拨款收入、支出及结转和结余情况。</w:t>
            </w:r>
          </w:p>
        </w:tc>
      </w:tr>
    </w:tbl>
    <w:p>
      <w:pPr>
        <w:jc w:val="center"/>
        <w:rPr>
          <w:rFonts w:ascii="仿宋_GB2312" w:hAnsi="仿宋_GB2312" w:eastAsia="仿宋_GB2312" w:cs="仿宋_GB2312"/>
          <w:sz w:val="32"/>
          <w:szCs w:val="32"/>
          <w:highlight w:val="yellow"/>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2019年度部门决算情况说明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支总计均为2366.97万元。与上年度相比，收、支总计各减少1019.02万元，下降30.10%。主要原因是城乡社区支出中的征地和拆迁补偿及城市建设支出大大减少，我镇的鲁花集团征地缺口补偿、灌溉电路和机井搬迁征地与补偿、G107改建征地项目及省二建配套项目已完工，补偿款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2019年度收入合计1740.72万元，其中：财政拨款收入1740.72万元，占100%。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2019年度支出合计1700.25万元，其中：基本支出1041.14万元，占61.23%；项目支出659.11万元，占38.7%。</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度财政拨款收、支总计均为2366.97万元。与上年度相比，财政拨款收、支总计各减少1019.02万元，下降30.10%。主要原因是城乡社区支出中的征地和拆迁补偿及城市建设支出支出大大减少，我镇的鲁花集团征地缺口补偿、灌溉电路和机井搬迁征地与补偿、G107改建征地项目及省二建配套项目已完工，补偿款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黑体" w:hAnsi="黑体" w:eastAsia="黑体" w:cs="楷体_GB2312"/>
          <w:b/>
          <w:bCs/>
          <w:sz w:val="32"/>
          <w:szCs w:val="32"/>
        </w:rPr>
      </w:pPr>
      <w:r>
        <w:rPr>
          <w:rFonts w:hint="eastAsia" w:ascii="黑体" w:hAnsi="黑体" w:eastAsia="黑体"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支出1504.99万元，占本年支出合计的88.52%。与上年度相比，一般公共预算财政拨款支出减少43.09万元，下降2.78%。主要原因是因人员调出、压缩经费开支一般公共服务支出减少；社会保障和就业支出中的抚恤义务兵优待支出减少；其他城乡社区公共设施支出中文明城市创建和鲁花集团征地缺口补偿项目减少。</w:t>
      </w:r>
    </w:p>
    <w:p>
      <w:pPr>
        <w:widowControl/>
        <w:spacing w:line="590" w:lineRule="exact"/>
        <w:ind w:firstLine="643" w:firstLineChars="200"/>
        <w:rPr>
          <w:rFonts w:ascii="黑体" w:hAnsi="黑体" w:eastAsia="黑体" w:cs="楷体_GB2312"/>
          <w:b/>
          <w:bCs/>
          <w:sz w:val="32"/>
          <w:szCs w:val="32"/>
        </w:rPr>
      </w:pPr>
      <w:r>
        <w:rPr>
          <w:rFonts w:hint="eastAsia" w:ascii="黑体" w:hAnsi="黑体" w:eastAsia="黑体" w:cs="楷体_GB2312"/>
          <w:b/>
          <w:bCs/>
          <w:sz w:val="32"/>
          <w:szCs w:val="32"/>
        </w:rPr>
        <w:t>（二）结构情况。</w:t>
      </w:r>
    </w:p>
    <w:p>
      <w:pPr>
        <w:autoSpaceDE w:val="0"/>
        <w:autoSpaceDN w:val="0"/>
        <w:adjustRightInd w:val="0"/>
        <w:ind w:firstLine="640"/>
        <w:jc w:val="left"/>
        <w:rPr>
          <w:rFonts w:ascii="仿宋_GB2312" w:eastAsia="仿宋_GB2312" w:cs="仿宋"/>
          <w:color w:val="000000"/>
          <w:sz w:val="32"/>
          <w:szCs w:val="32"/>
        </w:rPr>
      </w:pPr>
      <w:r>
        <w:rPr>
          <w:rFonts w:hint="eastAsia" w:ascii="仿宋_GB2312" w:hAnsi="宋体" w:eastAsia="仿宋_GB2312" w:cs="仿宋"/>
          <w:color w:val="000000"/>
          <w:sz w:val="32"/>
          <w:szCs w:val="32"/>
        </w:rPr>
        <w:t>2019年度一般公共预算财政拨款支出1504.99万元，主要用于以下方面：一般公共服务（类）支出280.08万元，占18.61%；社会保障和就业（类）支出99.82万元，占6.63%；卫生健康（类）支出57.86万元，占3.84%；节能环保（类）支出</w:t>
      </w:r>
      <w:r>
        <w:rPr>
          <w:rFonts w:hint="eastAsia" w:ascii="仿宋_GB2312" w:eastAsia="仿宋_GB2312" w:cs="仿宋"/>
          <w:color w:val="000000"/>
          <w:sz w:val="32"/>
          <w:szCs w:val="32"/>
        </w:rPr>
        <w:t>10.36</w:t>
      </w:r>
      <w:r>
        <w:rPr>
          <w:rFonts w:hint="eastAsia" w:ascii="仿宋_GB2312" w:hAnsi="宋体" w:eastAsia="仿宋_GB2312" w:cs="仿宋"/>
          <w:color w:val="000000"/>
          <w:sz w:val="32"/>
          <w:szCs w:val="32"/>
        </w:rPr>
        <w:t>万元，占0.69%；城乡社区（类）支出186.25万元，占12.38%；农林水（类）支出664.62万元，占44.16%；其他（类）支出</w:t>
      </w:r>
      <w:r>
        <w:rPr>
          <w:rFonts w:hint="eastAsia" w:ascii="仿宋_GB2312" w:eastAsia="仿宋_GB2312" w:cs="仿宋"/>
          <w:color w:val="000000"/>
          <w:sz w:val="32"/>
          <w:szCs w:val="32"/>
        </w:rPr>
        <w:t>206.00</w:t>
      </w:r>
      <w:r>
        <w:rPr>
          <w:rFonts w:hint="eastAsia" w:ascii="仿宋_GB2312" w:hAnsi="宋体" w:eastAsia="仿宋_GB2312" w:cs="仿宋"/>
          <w:color w:val="000000"/>
          <w:sz w:val="32"/>
          <w:szCs w:val="32"/>
        </w:rPr>
        <w:t>万元，占13.69% 。</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黑体" w:hAnsi="黑体" w:eastAsia="黑体" w:cs="楷体_GB2312"/>
          <w:b/>
          <w:bCs/>
          <w:sz w:val="32"/>
          <w:szCs w:val="32"/>
        </w:rPr>
        <w:t>三）具体情况</w:t>
      </w:r>
      <w:r>
        <w:rPr>
          <w:rFonts w:hint="eastAsia" w:ascii="楷体_GB2312" w:hAnsi="楷体_GB2312" w:eastAsia="楷体_GB2312" w:cs="楷体_GB2312"/>
          <w:b/>
          <w:bCs/>
          <w:sz w:val="32"/>
          <w:szCs w:val="32"/>
        </w:rPr>
        <w:t>。</w:t>
      </w:r>
    </w:p>
    <w:p>
      <w:pPr>
        <w:autoSpaceDE w:val="0"/>
        <w:autoSpaceDN w:val="0"/>
        <w:adjustRightInd w:val="0"/>
        <w:ind w:firstLine="640"/>
        <w:rPr>
          <w:rFonts w:ascii="仿宋_GB2312" w:eastAsia="仿宋_GB2312" w:cs="仿宋"/>
          <w:color w:val="000000"/>
          <w:sz w:val="32"/>
          <w:szCs w:val="32"/>
        </w:rPr>
      </w:pPr>
      <w:r>
        <w:rPr>
          <w:rFonts w:ascii="宋体" w:hAnsi="宋体" w:cs="仿宋"/>
          <w:color w:val="000000"/>
          <w:sz w:val="32"/>
          <w:szCs w:val="32"/>
        </w:rPr>
        <w:t>2019</w:t>
      </w:r>
      <w:r>
        <w:rPr>
          <w:rFonts w:hint="eastAsia" w:ascii="仿宋_GB2312" w:hAnsi="宋体" w:eastAsia="仿宋_GB2312" w:cs="仿宋"/>
          <w:color w:val="000000"/>
          <w:sz w:val="32"/>
          <w:szCs w:val="32"/>
        </w:rPr>
        <w:t>年度一般公共预算财政拨款支出年初预算为1504.99万元，支出决算为1504.99万元，完成年初预算的100%。其中：</w:t>
      </w:r>
    </w:p>
    <w:p>
      <w:pPr>
        <w:ind w:firstLine="790" w:firstLineChars="246"/>
        <w:rPr>
          <w:rFonts w:ascii="仿宋_GB2312" w:eastAsia="仿宋_GB2312" w:cs="仿宋"/>
          <w:sz w:val="32"/>
          <w:szCs w:val="32"/>
        </w:rPr>
      </w:pPr>
      <w:r>
        <w:rPr>
          <w:rFonts w:hint="eastAsia" w:ascii="仿宋_GB2312" w:hAnsi="仿宋_GB2312" w:eastAsia="仿宋_GB2312" w:cs="仿宋_GB2312"/>
          <w:b/>
          <w:bCs/>
          <w:sz w:val="32"/>
          <w:szCs w:val="32"/>
        </w:rPr>
        <w:t>1．一般公共服务支出（类）政府办公厅（室）及相关机构事物（款）行政运行（项）。</w:t>
      </w:r>
      <w:r>
        <w:rPr>
          <w:rFonts w:hint="eastAsia" w:ascii="仿宋_GB2312" w:hAnsi="仿宋_GB2312" w:eastAsia="仿宋_GB2312" w:cs="仿宋_GB2312"/>
          <w:sz w:val="32"/>
          <w:szCs w:val="32"/>
        </w:rPr>
        <w:t>年初预算为240.29万元，支出决算为240.29万元，完成年初预算的100%。</w:t>
      </w:r>
      <w:r>
        <w:rPr>
          <w:rFonts w:hint="eastAsia" w:ascii="仿宋_GB2312" w:eastAsia="仿宋_GB2312" w:cs="仿宋"/>
          <w:sz w:val="32"/>
          <w:szCs w:val="32"/>
        </w:rPr>
        <w:t>决算数与年初预算数不存在差异的主要原因：严格执行预算。</w:t>
      </w:r>
    </w:p>
    <w:p>
      <w:pPr>
        <w:ind w:firstLine="790" w:firstLineChars="246"/>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2．一般公共服务支出（类）财政事物（款）其他财政事物支出（项）</w:t>
      </w:r>
      <w:r>
        <w:rPr>
          <w:rFonts w:hint="eastAsia" w:ascii="仿宋_GB2312" w:hAnsi="仿宋_GB2312" w:eastAsia="仿宋_GB2312" w:cs="仿宋_GB2312"/>
          <w:sz w:val="32"/>
          <w:szCs w:val="32"/>
        </w:rPr>
        <w:t>年初预算为5.00万元，支出决算为5.00万元，完成年初预算的100%。</w:t>
      </w:r>
      <w:r>
        <w:rPr>
          <w:rFonts w:hint="eastAsia" w:ascii="仿宋_GB2312" w:eastAsia="仿宋_GB2312" w:cs="仿宋"/>
          <w:sz w:val="32"/>
          <w:szCs w:val="32"/>
        </w:rPr>
        <w:t>决算数与年初预算数不存在差异的主要原因：严格执行预算。</w:t>
      </w:r>
    </w:p>
    <w:p>
      <w:pPr>
        <w:ind w:firstLine="790" w:firstLineChars="246"/>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3．一般公共服务支出（类）党委办公厅（室）及相关机构事物（款）行政运行（项）</w:t>
      </w:r>
      <w:r>
        <w:rPr>
          <w:rFonts w:hint="eastAsia" w:ascii="仿宋_GB2312" w:hAnsi="仿宋_GB2312" w:eastAsia="仿宋_GB2312" w:cs="仿宋_GB2312"/>
          <w:sz w:val="32"/>
          <w:szCs w:val="32"/>
        </w:rPr>
        <w:t>年初预算为34.79万元，支出决算为34.79万元，完成年初预算的100%。</w:t>
      </w:r>
      <w:r>
        <w:rPr>
          <w:rFonts w:hint="eastAsia" w:ascii="仿宋_GB2312" w:eastAsia="仿宋_GB2312" w:cs="仿宋"/>
          <w:sz w:val="32"/>
          <w:szCs w:val="32"/>
        </w:rPr>
        <w:t>决算数与年初预算数不存在差异的主要原因：严格执行预算。</w:t>
      </w:r>
    </w:p>
    <w:p>
      <w:pPr>
        <w:ind w:firstLine="640" w:firstLineChars="200"/>
        <w:rPr>
          <w:rFonts w:ascii="仿宋_GB2312" w:hAnsi="宋体" w:eastAsia="仿宋_GB2312" w:cs="Arial"/>
          <w:color w:val="000000"/>
          <w:kern w:val="0"/>
          <w:sz w:val="32"/>
          <w:szCs w:val="32"/>
        </w:rPr>
      </w:pPr>
      <w:r>
        <w:rPr>
          <w:rFonts w:hint="eastAsia" w:ascii="仿宋_GB2312" w:hAnsi="仿宋_GB2312" w:eastAsia="仿宋_GB2312" w:cs="仿宋_GB2312"/>
          <w:sz w:val="32"/>
          <w:szCs w:val="32"/>
        </w:rPr>
        <w:t>4 .</w:t>
      </w:r>
      <w:r>
        <w:rPr>
          <w:rFonts w:ascii="仿宋_GB2312" w:hAnsi="宋体" w:eastAsia="仿宋_GB2312" w:cs="Arial"/>
          <w:color w:val="000000"/>
          <w:kern w:val="0"/>
          <w:sz w:val="32"/>
          <w:szCs w:val="32"/>
        </w:rPr>
        <w:t xml:space="preserve"> </w:t>
      </w:r>
      <w:r>
        <w:rPr>
          <w:rFonts w:hint="eastAsia" w:ascii="仿宋_GB2312" w:hAnsi="仿宋_GB2312" w:eastAsia="仿宋_GB2312" w:cs="仿宋_GB2312"/>
          <w:b/>
          <w:bCs/>
          <w:sz w:val="32"/>
          <w:szCs w:val="32"/>
        </w:rPr>
        <w:t>社会保障和就业支出（类）行政事业离退休（款）机关事业单位基本养老保险缴费（项）</w:t>
      </w:r>
      <w:r>
        <w:rPr>
          <w:rFonts w:hint="eastAsia" w:ascii="仿宋_GB2312" w:hAnsi="仿宋_GB2312" w:eastAsia="仿宋_GB2312" w:cs="仿宋_GB2312"/>
          <w:sz w:val="32"/>
          <w:szCs w:val="32"/>
        </w:rPr>
        <w:t>年初预算为56.12元，支出决算为56.12万元，完成年初预算的100%。</w:t>
      </w:r>
      <w:r>
        <w:rPr>
          <w:rFonts w:hint="eastAsia" w:ascii="仿宋_GB2312" w:eastAsia="仿宋_GB2312" w:cs="仿宋"/>
          <w:sz w:val="32"/>
          <w:szCs w:val="32"/>
        </w:rPr>
        <w:t>决算数与年初预算数不存在差异的主要原因：严格执行预算。</w:t>
      </w:r>
    </w:p>
    <w:p>
      <w:pPr>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5</w:t>
      </w:r>
      <w:r>
        <w:rPr>
          <w:rFonts w:hint="eastAsia" w:ascii="仿宋_GB2312" w:hAnsi="仿宋_GB2312" w:eastAsia="仿宋_GB2312" w:cs="仿宋_GB2312"/>
          <w:b/>
          <w:bCs/>
          <w:sz w:val="32"/>
          <w:szCs w:val="32"/>
        </w:rPr>
        <w:t>．社会保障和就业支出（类）退役安置（款）退役士兵安置（项）</w:t>
      </w:r>
      <w:r>
        <w:rPr>
          <w:rFonts w:hint="eastAsia" w:ascii="仿宋_GB2312" w:hAnsi="仿宋_GB2312" w:eastAsia="仿宋_GB2312" w:cs="仿宋_GB2312"/>
          <w:sz w:val="32"/>
          <w:szCs w:val="32"/>
        </w:rPr>
        <w:t>年初预算为3.23元，支出决算为3.23万元，完成年初预算的100%。</w:t>
      </w:r>
      <w:r>
        <w:rPr>
          <w:rFonts w:hint="eastAsia" w:ascii="仿宋_GB2312" w:eastAsia="仿宋_GB2312" w:cs="仿宋"/>
          <w:sz w:val="32"/>
          <w:szCs w:val="32"/>
        </w:rPr>
        <w:t>决算数与年初预算数不存在差异的主要原因：严格执行预算。</w:t>
      </w:r>
    </w:p>
    <w:p>
      <w:pPr>
        <w:ind w:firstLine="640" w:firstLineChars="20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6 .</w:t>
      </w:r>
      <w:r>
        <w:rPr>
          <w:rFonts w:hint="eastAsia" w:ascii="仿宋_GB2312" w:hAnsi="仿宋_GB2312" w:eastAsia="仿宋_GB2312" w:cs="仿宋_GB2312"/>
          <w:b/>
          <w:bCs/>
          <w:sz w:val="32"/>
          <w:szCs w:val="32"/>
        </w:rPr>
        <w:t xml:space="preserve"> 社会保障和就业支出（类）残疾人事业（款）其他残疾人事业支出 （项）</w:t>
      </w:r>
      <w:r>
        <w:rPr>
          <w:rFonts w:hint="eastAsia" w:ascii="仿宋_GB2312" w:hAnsi="仿宋_GB2312" w:eastAsia="仿宋_GB2312" w:cs="仿宋_GB2312"/>
          <w:sz w:val="32"/>
          <w:szCs w:val="32"/>
        </w:rPr>
        <w:t>年初预算为38.96元，支出决算为38.96万元，完成年初预算的100%。</w:t>
      </w:r>
      <w:r>
        <w:rPr>
          <w:rFonts w:hint="eastAsia" w:ascii="仿宋_GB2312" w:eastAsia="仿宋_GB2312" w:cs="仿宋"/>
          <w:sz w:val="32"/>
          <w:szCs w:val="32"/>
        </w:rPr>
        <w:t>决算数与年初预算数不存在差异的主要原因：严格执行预算。</w:t>
      </w:r>
    </w:p>
    <w:p>
      <w:pPr>
        <w:rPr>
          <w:rFonts w:ascii="仿宋_GB2312" w:hAnsi="宋体" w:eastAsia="仿宋_GB2312" w:cs="Arial"/>
          <w:color w:val="000000"/>
          <w:kern w:val="0"/>
          <w:sz w:val="32"/>
          <w:szCs w:val="32"/>
        </w:rPr>
      </w:pP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7．社会保障和就业支出（类）其他社会保障和就业（款）其他社会保障和就业支出（项）</w:t>
      </w:r>
      <w:r>
        <w:rPr>
          <w:rFonts w:hint="eastAsia" w:ascii="仿宋_GB2312" w:hAnsi="仿宋_GB2312" w:eastAsia="仿宋_GB2312" w:cs="仿宋_GB2312"/>
          <w:sz w:val="32"/>
          <w:szCs w:val="32"/>
        </w:rPr>
        <w:t>年初预算为1.50元，支出决算为1.50万元，完成年初预算的100%。</w:t>
      </w:r>
      <w:r>
        <w:rPr>
          <w:rFonts w:hint="eastAsia" w:ascii="仿宋_GB2312" w:eastAsia="仿宋_GB2312" w:cs="仿宋"/>
          <w:sz w:val="32"/>
          <w:szCs w:val="32"/>
        </w:rPr>
        <w:t>决算数与年初预算数不存在差异的主要原因：严格执行预算。</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8．卫生与健康支出（类）计划生育事务（款）计划生育服务（项）</w:t>
      </w:r>
      <w:r>
        <w:rPr>
          <w:rFonts w:hint="eastAsia" w:ascii="仿宋_GB2312" w:hAnsi="仿宋_GB2312" w:eastAsia="仿宋_GB2312" w:cs="仿宋_GB2312"/>
          <w:sz w:val="32"/>
          <w:szCs w:val="32"/>
        </w:rPr>
        <w:t>年初预算为41.05万元，支出决算为41.05万元，完成年初预算的100%。</w:t>
      </w:r>
      <w:r>
        <w:rPr>
          <w:rFonts w:hint="eastAsia" w:ascii="仿宋_GB2312" w:eastAsia="仿宋_GB2312" w:cs="仿宋"/>
          <w:sz w:val="32"/>
          <w:szCs w:val="32"/>
        </w:rPr>
        <w:t>决算数与年初预算数不存在差异的主要原因：严格执行预算。</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9．卫生与健康支出（类）行政事业单位医疗（款）行政单位医疗（项）</w:t>
      </w:r>
      <w:r>
        <w:rPr>
          <w:rFonts w:hint="eastAsia" w:ascii="仿宋_GB2312" w:hAnsi="仿宋_GB2312" w:eastAsia="仿宋_GB2312" w:cs="仿宋_GB2312"/>
          <w:sz w:val="32"/>
          <w:szCs w:val="32"/>
        </w:rPr>
        <w:t>年初预算为8.38万元，支出决算为8.38万元，完成年初预算的100%。</w:t>
      </w:r>
      <w:r>
        <w:rPr>
          <w:rFonts w:hint="eastAsia" w:ascii="仿宋_GB2312" w:eastAsia="仿宋_GB2312" w:cs="仿宋"/>
          <w:sz w:val="32"/>
          <w:szCs w:val="32"/>
        </w:rPr>
        <w:t>决算数与年初预算数不存在差异的主要原因：严格执行预算。</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10 . 卫生与健康支出（类）行政事业单位医疗（款）事业单位医疗（项）</w:t>
      </w:r>
      <w:r>
        <w:rPr>
          <w:rFonts w:hint="eastAsia" w:ascii="仿宋_GB2312" w:hAnsi="仿宋_GB2312" w:eastAsia="仿宋_GB2312" w:cs="仿宋_GB2312"/>
          <w:sz w:val="32"/>
          <w:szCs w:val="32"/>
        </w:rPr>
        <w:t>年初预算为8.43万元，支出决算为8.43万元，完成年初预算的100%。</w:t>
      </w:r>
      <w:r>
        <w:rPr>
          <w:rFonts w:hint="eastAsia" w:ascii="仿宋_GB2312" w:eastAsia="仿宋_GB2312" w:cs="仿宋"/>
          <w:sz w:val="32"/>
          <w:szCs w:val="32"/>
        </w:rPr>
        <w:t>决算数与年初预算数不存在差异的主要原因：严格执行预算。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11</w:t>
      </w:r>
      <w:r>
        <w:rPr>
          <w:rFonts w:hint="eastAsia" w:ascii="仿宋_GB2312" w:hAnsi="仿宋_GB2312" w:eastAsia="仿宋_GB2312" w:cs="仿宋_GB2312"/>
          <w:b/>
          <w:bCs/>
          <w:sz w:val="32"/>
          <w:szCs w:val="32"/>
        </w:rPr>
        <w:t>．节能环保支出（类）自然生态保护（款）农村环境保护（项）</w:t>
      </w:r>
      <w:r>
        <w:rPr>
          <w:rFonts w:hint="eastAsia" w:ascii="仿宋_GB2312" w:hAnsi="仿宋_GB2312" w:eastAsia="仿宋_GB2312" w:cs="仿宋_GB2312"/>
          <w:sz w:val="32"/>
          <w:szCs w:val="32"/>
        </w:rPr>
        <w:t>年初预算为10.36万元，支出决算为10.36万元，完成年初预算的100%。</w:t>
      </w:r>
      <w:r>
        <w:rPr>
          <w:rFonts w:hint="eastAsia" w:ascii="仿宋_GB2312" w:eastAsia="仿宋_GB2312" w:cs="仿宋"/>
          <w:sz w:val="32"/>
          <w:szCs w:val="32"/>
        </w:rPr>
        <w:t>决算数与年初预算数不存在差异的主要原因：严格执行预算。</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12．城乡社区支出（类）城乡社区公共设施（款）其他城乡社区公共设施支出（项）</w:t>
      </w:r>
      <w:r>
        <w:rPr>
          <w:rFonts w:hint="eastAsia" w:ascii="仿宋_GB2312" w:hAnsi="仿宋_GB2312" w:eastAsia="仿宋_GB2312" w:cs="仿宋_GB2312"/>
          <w:sz w:val="32"/>
          <w:szCs w:val="32"/>
        </w:rPr>
        <w:t>年初预算为60.75万元，支出决算为60.75万元，完成年初预算的100%。</w:t>
      </w:r>
      <w:r>
        <w:rPr>
          <w:rFonts w:hint="eastAsia" w:ascii="仿宋_GB2312" w:eastAsia="仿宋_GB2312" w:cs="仿宋"/>
          <w:sz w:val="32"/>
          <w:szCs w:val="32"/>
        </w:rPr>
        <w:t>决算数与年初预算数不存在差异的主要原因：严格执行预算。</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13．城乡社区支出（类）城乡社区环境卫生（款）城乡社区环境卫生（项）</w:t>
      </w:r>
      <w:r>
        <w:rPr>
          <w:rFonts w:hint="eastAsia" w:ascii="仿宋_GB2312" w:hAnsi="仿宋_GB2312" w:eastAsia="仿宋_GB2312" w:cs="仿宋_GB2312"/>
          <w:sz w:val="32"/>
          <w:szCs w:val="32"/>
        </w:rPr>
        <w:t>年初预算为125.50万元，支出决算为125.50万元，完成年初预算的100%。</w:t>
      </w:r>
      <w:r>
        <w:rPr>
          <w:rFonts w:hint="eastAsia" w:ascii="仿宋_GB2312" w:eastAsia="仿宋_GB2312" w:cs="仿宋"/>
          <w:sz w:val="32"/>
          <w:szCs w:val="32"/>
        </w:rPr>
        <w:t>决算数与年初预算数不存在差异的主要原因：严格执行预算。</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14．农林水支出（类）农业（款）事业运行（项）</w:t>
      </w:r>
      <w:r>
        <w:rPr>
          <w:rFonts w:hint="eastAsia" w:ascii="仿宋_GB2312" w:hAnsi="仿宋_GB2312" w:eastAsia="仿宋_GB2312" w:cs="仿宋_GB2312"/>
          <w:sz w:val="32"/>
          <w:szCs w:val="32"/>
        </w:rPr>
        <w:t>年初预算为156.70万元，支出决算为156.70万元，完成年初预算的107.63%。</w:t>
      </w:r>
      <w:r>
        <w:rPr>
          <w:rFonts w:hint="eastAsia" w:ascii="仿宋_GB2312" w:eastAsia="仿宋_GB2312" w:cs="仿宋"/>
          <w:sz w:val="32"/>
          <w:szCs w:val="32"/>
        </w:rPr>
        <w:t>决算数与年初预算数不存在差异的主要原因：严格执行预算。</w:t>
      </w:r>
    </w:p>
    <w:p>
      <w:pPr>
        <w:ind w:firstLine="643" w:firstLineChars="20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15．农林水支出（类）农村综合改革（款）对村级一事一议的补助（项）</w:t>
      </w:r>
      <w:r>
        <w:rPr>
          <w:rFonts w:hint="eastAsia" w:ascii="仿宋_GB2312" w:hAnsi="仿宋_GB2312" w:eastAsia="仿宋_GB2312" w:cs="仿宋_GB2312"/>
          <w:sz w:val="32"/>
          <w:szCs w:val="32"/>
        </w:rPr>
        <w:t>年初预算为167.78万元，支出决算为167.78万元，完成年初预算的100%。</w:t>
      </w:r>
      <w:r>
        <w:rPr>
          <w:rFonts w:hint="eastAsia" w:ascii="仿宋_GB2312" w:eastAsia="仿宋_GB2312" w:cs="仿宋"/>
          <w:sz w:val="32"/>
          <w:szCs w:val="32"/>
        </w:rPr>
        <w:t>决算数与年初预算数不存在差异的主要原因：严格执行预算。</w:t>
      </w:r>
    </w:p>
    <w:p>
      <w:pPr>
        <w:ind w:firstLine="482" w:firstLineChars="15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 xml:space="preserve"> 16．农林水支出（类）农村综合改革（款）对村民委员会和党支部的补助（项）</w:t>
      </w:r>
      <w:r>
        <w:rPr>
          <w:rFonts w:hint="eastAsia" w:ascii="仿宋_GB2312" w:hAnsi="仿宋_GB2312" w:eastAsia="仿宋_GB2312" w:cs="仿宋_GB2312"/>
          <w:sz w:val="32"/>
          <w:szCs w:val="32"/>
        </w:rPr>
        <w:t>年初预算为320.14万元，支出决算为320.14万元，完成年初预算的100%。</w:t>
      </w:r>
      <w:r>
        <w:rPr>
          <w:rFonts w:hint="eastAsia" w:ascii="仿宋_GB2312" w:eastAsia="仿宋_GB2312" w:cs="仿宋"/>
          <w:sz w:val="32"/>
          <w:szCs w:val="32"/>
        </w:rPr>
        <w:t>决算数与年初预算数不存在差异的主要原因：严格执行预算。</w:t>
      </w:r>
    </w:p>
    <w:p>
      <w:pPr>
        <w:ind w:firstLine="482" w:firstLineChars="150"/>
        <w:rPr>
          <w:rFonts w:ascii="仿宋_GB2312" w:hAnsi="宋体" w:eastAsia="仿宋_GB2312" w:cs="Arial"/>
          <w:color w:val="000000"/>
          <w:kern w:val="0"/>
          <w:sz w:val="32"/>
          <w:szCs w:val="32"/>
        </w:rPr>
      </w:pPr>
      <w:r>
        <w:rPr>
          <w:rFonts w:hint="eastAsia" w:ascii="仿宋_GB2312" w:hAnsi="仿宋_GB2312" w:eastAsia="仿宋_GB2312" w:cs="仿宋_GB2312"/>
          <w:b/>
          <w:bCs/>
          <w:sz w:val="32"/>
          <w:szCs w:val="32"/>
        </w:rPr>
        <w:t xml:space="preserve"> 17．农林水支出（类）其他农林水支出（款）化解其他公益性乡村债务支出（项）</w:t>
      </w:r>
      <w:r>
        <w:rPr>
          <w:rFonts w:hint="eastAsia" w:ascii="仿宋_GB2312" w:hAnsi="仿宋_GB2312" w:eastAsia="仿宋_GB2312" w:cs="仿宋_GB2312"/>
          <w:sz w:val="32"/>
          <w:szCs w:val="32"/>
        </w:rPr>
        <w:t>年初预算为20.00万元，支出决算为20.00万元，完成年初预算的100%。</w:t>
      </w:r>
      <w:r>
        <w:rPr>
          <w:rFonts w:hint="eastAsia" w:ascii="仿宋_GB2312" w:eastAsia="仿宋_GB2312" w:cs="仿宋"/>
          <w:sz w:val="32"/>
          <w:szCs w:val="32"/>
        </w:rPr>
        <w:t>决算数与年初预算数不存在差异的主要原因：严格执行预算。</w:t>
      </w:r>
      <w:r>
        <w:rPr>
          <w:rFonts w:hint="eastAsia" w:ascii="仿宋_GB2312" w:hAnsi="宋体" w:eastAsia="仿宋_GB2312" w:cs="Arial"/>
          <w:color w:val="000000"/>
          <w:kern w:val="0"/>
          <w:sz w:val="32"/>
          <w:szCs w:val="32"/>
        </w:rPr>
        <w:t xml:space="preserve"> </w:t>
      </w:r>
    </w:p>
    <w:p>
      <w:pPr>
        <w:ind w:firstLine="480" w:firstLineChars="150"/>
        <w:rPr>
          <w:rFonts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 xml:space="preserve"> </w:t>
      </w:r>
      <w:r>
        <w:rPr>
          <w:rFonts w:hint="eastAsia" w:ascii="仿宋_GB2312" w:hAnsi="仿宋_GB2312" w:eastAsia="仿宋_GB2312" w:cs="仿宋_GB2312"/>
          <w:b/>
          <w:bCs/>
          <w:sz w:val="32"/>
          <w:szCs w:val="32"/>
        </w:rPr>
        <w:t>18．其他支出（类）其他支出（款）其他支出（项）</w:t>
      </w:r>
      <w:r>
        <w:rPr>
          <w:rFonts w:hint="eastAsia" w:ascii="仿宋_GB2312" w:hAnsi="仿宋_GB2312" w:eastAsia="仿宋_GB2312" w:cs="仿宋_GB2312"/>
          <w:sz w:val="32"/>
          <w:szCs w:val="32"/>
        </w:rPr>
        <w:t>年初预算为206.00万元，支出决算为206.00万元，完成年初预算的100%。</w:t>
      </w:r>
      <w:r>
        <w:rPr>
          <w:rFonts w:hint="eastAsia" w:ascii="仿宋_GB2312" w:eastAsia="仿宋_GB2312" w:cs="仿宋"/>
          <w:sz w:val="32"/>
          <w:szCs w:val="32"/>
        </w:rPr>
        <w:t>决算数与年初预算数不存在差异的主要原因：严格执行预算。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一般公共预算财政拨款基本支出1021.14万元。其中：人员经费849.84万元，主要包括：基本工资224.63万元、津贴补贴59.35万元、奖金65.52万元、绩效工资17.97万元、机关事业单位基本养老保险缴费56.12万元、职业年金0.85万元，职工基本医疗保险缴费16.81万元、其他社会保障缴费1.50万元、住房公积金16.45万元、其他工资福利支出3.23万元、生活补助383.64万元、其他对个人和家庭的补助3.77万元；公用经费171.30万元，主要包括：办公费54.67万元、租赁费0.75万元、培训费0.51万元、公务接待费4.45万元、委托业务费25.50万元、公务用车运行维护费9.84万元、其他商品和服务支出20.00万元、办公设备购置29.18万元、专用设备购置1.80万元、信息网络及软件购置更新0.53万元、公务用车购置14.44万元、文物和陈列品购置6.90万元、其他资本性支出2.73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黑体" w:hAnsi="黑体" w:eastAsia="黑体" w:cs="楷体_GB2312"/>
          <w:b/>
          <w:bCs/>
          <w:sz w:val="32"/>
          <w:szCs w:val="32"/>
        </w:rPr>
      </w:pPr>
      <w:r>
        <w:rPr>
          <w:rFonts w:hint="eastAsia" w:ascii="黑体" w:hAnsi="黑体" w:eastAsia="黑体"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预算为29.44万元，支出决算为28.73万元，完成预算的97.59%。2019年度“三公”经费支出决算数与预算数存在差异的主要原因是第一在规定的公务接待标准上降低来客接待标准和减少陪餐人数降低公务接待费用。第二在保证工作正常开展的情况下，尽量减少公车的使用次数和频率，减少公车运行费用。</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决算中，因公出国（境）费支出决算0万元，完成预算的0%，占0%；公务用车购置及运行费支出决算24.28万元，完成预算的99.35%，占84.51%；公务接待费支出决算4.45万元，完成预算的89%，占15.49%。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预算为0万元，支出决算为0万元，完成预算的0%。决算数与年初预算数不存在差异。</w:t>
      </w:r>
      <w:r>
        <w:rPr>
          <w:rFonts w:hint="eastAsia" w:ascii="仿宋_GB2312" w:hAnsi="仿宋_GB2312" w:eastAsia="仿宋_GB2312" w:cs="仿宋_GB2312"/>
          <w:sz w:val="32"/>
          <w:szCs w:val="32"/>
          <w:u w:val="wave"/>
        </w:rPr>
        <w:t>全</w:t>
      </w:r>
      <w:r>
        <w:rPr>
          <w:rFonts w:hint="eastAsia" w:ascii="仿宋_GB2312" w:hAnsi="仿宋_GB2312" w:eastAsia="仿宋_GB2312" w:cs="仿宋_GB2312"/>
          <w:sz w:val="32"/>
          <w:szCs w:val="32"/>
        </w:rPr>
        <w:t>年因公出国（境）团组0个，累计0人次。开支内容包括：</w:t>
      </w:r>
    </w:p>
    <w:p>
      <w:pPr>
        <w:widowControl/>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预算为24.44万元，支出决算为24.28万元，完成预算的99.35%。决算数与年初预算数存在差异的主要原因是，压减了公车运行支出。其中：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公务用车购置支出为</w:t>
      </w:r>
      <w:r>
        <w:rPr>
          <w:rFonts w:hint="eastAsia" w:ascii="仿宋_GB2312" w:hAnsi="仿宋_GB2312" w:eastAsia="仿宋_GB2312" w:cs="仿宋_GB2312"/>
          <w:sz w:val="32"/>
          <w:szCs w:val="32"/>
        </w:rPr>
        <w:t>14.44万元，购置车辆1辆，其中一般公务用车1辆。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9.84万元。主要用于2辆一般公务用车的油费和维修。2019年期末，部门开支财政拨款的公务用车保有量为2辆。</w:t>
      </w:r>
      <w:r>
        <w:rPr>
          <w:rFonts w:ascii="仿宋_GB2312" w:hAnsi="仿宋_GB2312" w:eastAsia="仿宋_GB2312" w:cs="仿宋_GB2312"/>
          <w:sz w:val="32"/>
          <w:szCs w:val="32"/>
        </w:rPr>
        <w:t xml:space="preserve"> </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预算为5.00万元，支出决算为4.45万元，完成预算的89%。决算数与年初预算数存在差异的主要原因是在规定的公务接待标准上降低来客接待标准和减少陪餐人数,减少公务接待费用。其中：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0万元。2019年共接待国（境）外来访团组0个、来访外宾0人次（不包括陪同人员）。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4.45万元。主要用于上级部门检查工作和其他单位来客的接待。2019年共接待国内来访团组198个、来宾1535人次（不包括陪同人员）。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（一）预算绩效管理工作开展情况。</w:t>
      </w:r>
    </w:p>
    <w:p>
      <w:pPr>
        <w:widowControl/>
        <w:spacing w:line="590" w:lineRule="exact"/>
        <w:ind w:firstLine="640" w:firstLineChars="200"/>
        <w:outlineLvl w:val="2"/>
        <w:rPr>
          <w:rFonts w:ascii="楷体_GB2312" w:hAnsi="楷体_GB2312" w:eastAsia="楷体_GB2312" w:cs="楷体_GB2312"/>
          <w:b/>
          <w:bCs/>
          <w:sz w:val="32"/>
          <w:szCs w:val="32"/>
        </w:rPr>
      </w:pPr>
      <w:r>
        <w:rPr>
          <w:rFonts w:hint="eastAsia" w:ascii="仿宋_GB2312" w:hAnsi="宋体" w:eastAsia="仿宋_GB2312" w:cs="Courier New"/>
          <w:sz w:val="32"/>
          <w:szCs w:val="32"/>
        </w:rPr>
        <w:t xml:space="preserve"> 根据财政预算管理要求，对2019年度一般公共预算项目支出全面开展绩效自评。项目5个，其中:一级项目2个,共涉及预算资金483.85万元，自评覆盖率达到100%。</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宋体" w:eastAsia="仿宋_GB2312" w:cs="Courier New"/>
          <w:sz w:val="32"/>
          <w:szCs w:val="32"/>
        </w:rPr>
        <w:t>根据2019年年初设定的绩效目标，“农村综合改革”中的“对村级一事一议的补助”项目支出167.78万元，项目自评得分为90分，资金支出主要用于我镇集北美丽乡村槐乡路道路建设； “其他支出”中的“其他支出”项目支出206万元，项目自评得分为90分，用于我镇集北美丽乡村酸枣阁、东岳路建设及扶持村集体经济胡村光伏电站建设。</w:t>
      </w:r>
      <w:r>
        <w:rPr>
          <w:rFonts w:hint="eastAsia" w:ascii="仿宋_GB2312" w:hAnsi="仿宋_GB2312" w:eastAsia="仿宋_GB2312" w:cs="仿宋_GB2312"/>
          <w:sz w:val="32"/>
          <w:szCs w:val="32"/>
        </w:rPr>
        <w:t>严格遵守国家和省制定的有关政策，从项目申报、审批到施工，验收管理到资金支付，严格按规定的程序进行，政策透明，不存在政策落实不到位、程序操作不规范的问题。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2019年度政府性基金预算财政拨款支出年初预算为195.26万元，支出决算为195.26万元，完成年初预算的100%。主要用于乡国土所建设资金，农村人居环境改善奖补及郭庄安全饮水1标、污水管网2标工程建设。</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2019年度机关运行经费</w:t>
      </w:r>
      <w:r>
        <w:rPr>
          <w:rFonts w:hint="eastAsia" w:ascii="仿宋_GB2312" w:hAnsi="仿宋_GB2312" w:eastAsia="仿宋_GB2312" w:cs="仿宋_GB2312"/>
          <w:sz w:val="32"/>
          <w:szCs w:val="32"/>
          <w:u w:val="dotDash"/>
        </w:rPr>
        <w:t>年</w:t>
      </w:r>
      <w:r>
        <w:rPr>
          <w:rFonts w:hint="eastAsia" w:ascii="仿宋_GB2312" w:hAnsi="仿宋_GB2312" w:eastAsia="仿宋_GB2312" w:cs="仿宋_GB2312"/>
          <w:sz w:val="32"/>
          <w:szCs w:val="32"/>
        </w:rPr>
        <w:t>初预算为0万元，支出决算为0万元，完成年初预算的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%，比年初预算数减少0万元，降低</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%。我单位不是行政机关，也不是非参照公务员管理事业单位，没有机关运行经费。</w:t>
      </w:r>
    </w:p>
    <w:p>
      <w:pPr>
        <w:widowControl/>
        <w:spacing w:line="590" w:lineRule="exact"/>
        <w:ind w:firstLine="640" w:firstLineChars="200"/>
        <w:rPr>
          <w:rFonts w:ascii="仿宋_GB2312" w:hAnsi="仿宋_GB2312" w:eastAsia="仿宋_GB2312" w:cs="仿宋_GB2312"/>
          <w:sz w:val="32"/>
          <w:szCs w:val="32"/>
        </w:rPr>
      </w:pPr>
      <w:bookmarkStart w:id="0" w:name="_GoBack"/>
      <w:bookmarkEnd w:id="0"/>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2019年度政府采购支出总额117.97万元，其中：政府采购货物支出20.82万元、政府采购工程支出49.49万元、政府采购服务支出47.67万元。其中：授予中小企业合同金额100.17万元，占政府采购支出总额的84.92% 。</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2019年12月31日，我部门共有车辆5辆，其中：领导干部公务用车2辆、其他用车3辆，其他用车主要是单位执法人员下村巡逻电车，单位价值50万元以上通用设备0台（套），单位价值100万元以上专用设备0台（套）。</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八、年初结转和结余：指以前年度安排、结转到本年仍按原规定用途继续使用的资金。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九、结余分配：指事业单位按照会计制度规定缴纳的所得税以及从非财政拨款结余中提取的职工福利基金、事业基金等。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十、年末结转和结余：指单位本年度或以前年度预算安排、因客观条件发生变化未全部执行或未执行，结转到以后年度继续使用的资金，或项目已完成等产生的结余资金。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十三、经营支出：指事业单位在专业业务活动及其辅助活动之外开展非独立核算经营活动发生的支出。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十七、商品和服务支出：单位购买商品和服务的支出。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十八、对个人和家庭的补助支出：单位用于对个人和家庭的补助支出。</w:t>
      </w:r>
    </w:p>
    <w:sectPr>
      <w:pgSz w:w="11906" w:h="16838"/>
      <w:pgMar w:top="1928" w:right="1474" w:bottom="1701"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GB2312">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74CE0"/>
    <w:multiLevelType w:val="multilevel"/>
    <w:tmpl w:val="78174CE0"/>
    <w:lvl w:ilvl="0" w:tentative="0">
      <w:start w:val="1"/>
      <w:numFmt w:val="japaneseCounting"/>
      <w:lvlText w:val="%1、"/>
      <w:lvlJc w:val="left"/>
      <w:pPr>
        <w:ind w:left="1360" w:hanging="720"/>
      </w:pPr>
      <w:rPr>
        <w:rFonts w:hint="default" w:ascii="黑体" w:hAnsi="黑体" w:eastAsia="黑体" w:cs="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4D53"/>
    <w:rsid w:val="0000599F"/>
    <w:rsid w:val="00011092"/>
    <w:rsid w:val="00017655"/>
    <w:rsid w:val="0002100B"/>
    <w:rsid w:val="000270E8"/>
    <w:rsid w:val="00033481"/>
    <w:rsid w:val="000341E9"/>
    <w:rsid w:val="000452B8"/>
    <w:rsid w:val="00057AFD"/>
    <w:rsid w:val="000647A6"/>
    <w:rsid w:val="00076410"/>
    <w:rsid w:val="000815A1"/>
    <w:rsid w:val="000875A3"/>
    <w:rsid w:val="000942F3"/>
    <w:rsid w:val="00094E62"/>
    <w:rsid w:val="000C073B"/>
    <w:rsid w:val="000C2647"/>
    <w:rsid w:val="001003F8"/>
    <w:rsid w:val="0011150A"/>
    <w:rsid w:val="0011261F"/>
    <w:rsid w:val="00113F4E"/>
    <w:rsid w:val="0011656D"/>
    <w:rsid w:val="00131BAE"/>
    <w:rsid w:val="0013543C"/>
    <w:rsid w:val="00136CD2"/>
    <w:rsid w:val="00136E5F"/>
    <w:rsid w:val="00144159"/>
    <w:rsid w:val="001556B7"/>
    <w:rsid w:val="0015578D"/>
    <w:rsid w:val="00170856"/>
    <w:rsid w:val="001718A8"/>
    <w:rsid w:val="00172A27"/>
    <w:rsid w:val="00182842"/>
    <w:rsid w:val="001905F2"/>
    <w:rsid w:val="00193C10"/>
    <w:rsid w:val="00196F81"/>
    <w:rsid w:val="001D61B1"/>
    <w:rsid w:val="001F5040"/>
    <w:rsid w:val="001F5B9B"/>
    <w:rsid w:val="002006EB"/>
    <w:rsid w:val="00207E45"/>
    <w:rsid w:val="00211806"/>
    <w:rsid w:val="00222595"/>
    <w:rsid w:val="002400A4"/>
    <w:rsid w:val="002406FA"/>
    <w:rsid w:val="00260D70"/>
    <w:rsid w:val="0026175D"/>
    <w:rsid w:val="0026360E"/>
    <w:rsid w:val="00267F81"/>
    <w:rsid w:val="00280B66"/>
    <w:rsid w:val="00282C7F"/>
    <w:rsid w:val="002830B2"/>
    <w:rsid w:val="00286892"/>
    <w:rsid w:val="00287811"/>
    <w:rsid w:val="002903F8"/>
    <w:rsid w:val="002961DB"/>
    <w:rsid w:val="0029718D"/>
    <w:rsid w:val="002A1AA3"/>
    <w:rsid w:val="002A22C4"/>
    <w:rsid w:val="002B0D12"/>
    <w:rsid w:val="002B0E65"/>
    <w:rsid w:val="002B3F94"/>
    <w:rsid w:val="002B4165"/>
    <w:rsid w:val="002B6044"/>
    <w:rsid w:val="002C11DE"/>
    <w:rsid w:val="002D3130"/>
    <w:rsid w:val="002D3E5E"/>
    <w:rsid w:val="002D723B"/>
    <w:rsid w:val="002E6A86"/>
    <w:rsid w:val="002F6731"/>
    <w:rsid w:val="00304326"/>
    <w:rsid w:val="00304D04"/>
    <w:rsid w:val="00305B88"/>
    <w:rsid w:val="00315FEB"/>
    <w:rsid w:val="0032231B"/>
    <w:rsid w:val="0032262B"/>
    <w:rsid w:val="003227C4"/>
    <w:rsid w:val="00327B26"/>
    <w:rsid w:val="00336824"/>
    <w:rsid w:val="00340A6E"/>
    <w:rsid w:val="003578C6"/>
    <w:rsid w:val="00363DEE"/>
    <w:rsid w:val="00384622"/>
    <w:rsid w:val="00390AAA"/>
    <w:rsid w:val="0039179F"/>
    <w:rsid w:val="00395147"/>
    <w:rsid w:val="003A1235"/>
    <w:rsid w:val="003B6571"/>
    <w:rsid w:val="003B66EE"/>
    <w:rsid w:val="003B6EF5"/>
    <w:rsid w:val="003D20EA"/>
    <w:rsid w:val="003D54A6"/>
    <w:rsid w:val="003D5ADD"/>
    <w:rsid w:val="003E0FCC"/>
    <w:rsid w:val="003E34FC"/>
    <w:rsid w:val="003E6B27"/>
    <w:rsid w:val="004054E4"/>
    <w:rsid w:val="00412A39"/>
    <w:rsid w:val="004151E0"/>
    <w:rsid w:val="0041553A"/>
    <w:rsid w:val="0042585F"/>
    <w:rsid w:val="00426A4D"/>
    <w:rsid w:val="00427C53"/>
    <w:rsid w:val="0043587F"/>
    <w:rsid w:val="004425A1"/>
    <w:rsid w:val="00445CAC"/>
    <w:rsid w:val="00454941"/>
    <w:rsid w:val="00457679"/>
    <w:rsid w:val="00465DBD"/>
    <w:rsid w:val="00467642"/>
    <w:rsid w:val="00471484"/>
    <w:rsid w:val="00472E19"/>
    <w:rsid w:val="0047425C"/>
    <w:rsid w:val="0047550C"/>
    <w:rsid w:val="00482D29"/>
    <w:rsid w:val="00487869"/>
    <w:rsid w:val="004A5D61"/>
    <w:rsid w:val="004B12F1"/>
    <w:rsid w:val="004C143F"/>
    <w:rsid w:val="004D0694"/>
    <w:rsid w:val="004D5275"/>
    <w:rsid w:val="004E0D62"/>
    <w:rsid w:val="004F30FA"/>
    <w:rsid w:val="004F6F44"/>
    <w:rsid w:val="00500077"/>
    <w:rsid w:val="00507364"/>
    <w:rsid w:val="00541EE5"/>
    <w:rsid w:val="00546F7C"/>
    <w:rsid w:val="00553A03"/>
    <w:rsid w:val="00566190"/>
    <w:rsid w:val="005A072A"/>
    <w:rsid w:val="005A0C2F"/>
    <w:rsid w:val="005B1AE2"/>
    <w:rsid w:val="005B4A24"/>
    <w:rsid w:val="005B63AB"/>
    <w:rsid w:val="005B6A00"/>
    <w:rsid w:val="005C284D"/>
    <w:rsid w:val="005C288D"/>
    <w:rsid w:val="005E7B35"/>
    <w:rsid w:val="006048C3"/>
    <w:rsid w:val="00605F01"/>
    <w:rsid w:val="006113F3"/>
    <w:rsid w:val="006228C4"/>
    <w:rsid w:val="00625E56"/>
    <w:rsid w:val="0062658C"/>
    <w:rsid w:val="00650BCA"/>
    <w:rsid w:val="006512DD"/>
    <w:rsid w:val="00653B25"/>
    <w:rsid w:val="00654645"/>
    <w:rsid w:val="00656BEF"/>
    <w:rsid w:val="00656D75"/>
    <w:rsid w:val="00657D66"/>
    <w:rsid w:val="00657E86"/>
    <w:rsid w:val="00664226"/>
    <w:rsid w:val="00667F08"/>
    <w:rsid w:val="00673EF7"/>
    <w:rsid w:val="00683A28"/>
    <w:rsid w:val="00684086"/>
    <w:rsid w:val="006910A5"/>
    <w:rsid w:val="0069449E"/>
    <w:rsid w:val="006A073F"/>
    <w:rsid w:val="006A7A01"/>
    <w:rsid w:val="006B0F7D"/>
    <w:rsid w:val="006B6436"/>
    <w:rsid w:val="006C07F0"/>
    <w:rsid w:val="006C644A"/>
    <w:rsid w:val="006C7D84"/>
    <w:rsid w:val="006E0156"/>
    <w:rsid w:val="006F168E"/>
    <w:rsid w:val="0070530F"/>
    <w:rsid w:val="00707BD8"/>
    <w:rsid w:val="007148E8"/>
    <w:rsid w:val="0071781E"/>
    <w:rsid w:val="00726FD4"/>
    <w:rsid w:val="007305F3"/>
    <w:rsid w:val="007330B0"/>
    <w:rsid w:val="00733DAA"/>
    <w:rsid w:val="00736117"/>
    <w:rsid w:val="00740047"/>
    <w:rsid w:val="00742BA0"/>
    <w:rsid w:val="00743BC7"/>
    <w:rsid w:val="007444C8"/>
    <w:rsid w:val="00753545"/>
    <w:rsid w:val="00754D41"/>
    <w:rsid w:val="00757EB7"/>
    <w:rsid w:val="00763AC9"/>
    <w:rsid w:val="00764156"/>
    <w:rsid w:val="007706D7"/>
    <w:rsid w:val="0077280E"/>
    <w:rsid w:val="00776B36"/>
    <w:rsid w:val="007879ED"/>
    <w:rsid w:val="00787E1D"/>
    <w:rsid w:val="007A22AD"/>
    <w:rsid w:val="007A48A3"/>
    <w:rsid w:val="007A550C"/>
    <w:rsid w:val="007B2B76"/>
    <w:rsid w:val="007C029F"/>
    <w:rsid w:val="007C1412"/>
    <w:rsid w:val="007C722F"/>
    <w:rsid w:val="007C76A6"/>
    <w:rsid w:val="007C7F49"/>
    <w:rsid w:val="007D1D18"/>
    <w:rsid w:val="007D2A21"/>
    <w:rsid w:val="007E4ADB"/>
    <w:rsid w:val="007F2E52"/>
    <w:rsid w:val="00817F02"/>
    <w:rsid w:val="008216D9"/>
    <w:rsid w:val="0082526E"/>
    <w:rsid w:val="00826815"/>
    <w:rsid w:val="00833E6F"/>
    <w:rsid w:val="008401EB"/>
    <w:rsid w:val="00842318"/>
    <w:rsid w:val="00843461"/>
    <w:rsid w:val="00853214"/>
    <w:rsid w:val="0085777A"/>
    <w:rsid w:val="0087170F"/>
    <w:rsid w:val="00872946"/>
    <w:rsid w:val="0087378A"/>
    <w:rsid w:val="00873C2B"/>
    <w:rsid w:val="0088023A"/>
    <w:rsid w:val="008818E9"/>
    <w:rsid w:val="0088254D"/>
    <w:rsid w:val="008858FB"/>
    <w:rsid w:val="00894B41"/>
    <w:rsid w:val="008B238B"/>
    <w:rsid w:val="008B3D73"/>
    <w:rsid w:val="008B4EC5"/>
    <w:rsid w:val="008B5427"/>
    <w:rsid w:val="008C6B5C"/>
    <w:rsid w:val="008D0294"/>
    <w:rsid w:val="008D354A"/>
    <w:rsid w:val="008E04F8"/>
    <w:rsid w:val="008E2645"/>
    <w:rsid w:val="008E6DB7"/>
    <w:rsid w:val="008F1C35"/>
    <w:rsid w:val="008F20A2"/>
    <w:rsid w:val="008F21A2"/>
    <w:rsid w:val="008F299F"/>
    <w:rsid w:val="008F5E04"/>
    <w:rsid w:val="00903F6B"/>
    <w:rsid w:val="00912868"/>
    <w:rsid w:val="009158C7"/>
    <w:rsid w:val="009166AC"/>
    <w:rsid w:val="0091738E"/>
    <w:rsid w:val="009173F9"/>
    <w:rsid w:val="009216E4"/>
    <w:rsid w:val="0096087C"/>
    <w:rsid w:val="00961BD6"/>
    <w:rsid w:val="00973FFD"/>
    <w:rsid w:val="00975A04"/>
    <w:rsid w:val="00976DD9"/>
    <w:rsid w:val="009802DA"/>
    <w:rsid w:val="00986958"/>
    <w:rsid w:val="009B04A4"/>
    <w:rsid w:val="009D21CC"/>
    <w:rsid w:val="009D24A4"/>
    <w:rsid w:val="009D3148"/>
    <w:rsid w:val="009D71A9"/>
    <w:rsid w:val="009E4B71"/>
    <w:rsid w:val="009F51E1"/>
    <w:rsid w:val="009F546E"/>
    <w:rsid w:val="00A079F0"/>
    <w:rsid w:val="00A10249"/>
    <w:rsid w:val="00A124B5"/>
    <w:rsid w:val="00A43045"/>
    <w:rsid w:val="00A50CD2"/>
    <w:rsid w:val="00A53AFF"/>
    <w:rsid w:val="00A57BF7"/>
    <w:rsid w:val="00A603E4"/>
    <w:rsid w:val="00A6097F"/>
    <w:rsid w:val="00A60D42"/>
    <w:rsid w:val="00A679EC"/>
    <w:rsid w:val="00A716D8"/>
    <w:rsid w:val="00A72096"/>
    <w:rsid w:val="00A75DCB"/>
    <w:rsid w:val="00A81452"/>
    <w:rsid w:val="00A83D8A"/>
    <w:rsid w:val="00A87DA3"/>
    <w:rsid w:val="00A93E7D"/>
    <w:rsid w:val="00AA260E"/>
    <w:rsid w:val="00AA44CB"/>
    <w:rsid w:val="00AA67CD"/>
    <w:rsid w:val="00AB3C49"/>
    <w:rsid w:val="00AB7481"/>
    <w:rsid w:val="00AC0739"/>
    <w:rsid w:val="00AC2764"/>
    <w:rsid w:val="00AC3715"/>
    <w:rsid w:val="00AC4266"/>
    <w:rsid w:val="00AD6761"/>
    <w:rsid w:val="00AE2184"/>
    <w:rsid w:val="00AE600E"/>
    <w:rsid w:val="00AF3937"/>
    <w:rsid w:val="00B0083B"/>
    <w:rsid w:val="00B1615F"/>
    <w:rsid w:val="00B209B8"/>
    <w:rsid w:val="00B249F3"/>
    <w:rsid w:val="00B24D6A"/>
    <w:rsid w:val="00B24DCD"/>
    <w:rsid w:val="00B27E4D"/>
    <w:rsid w:val="00B34223"/>
    <w:rsid w:val="00B5092A"/>
    <w:rsid w:val="00B53777"/>
    <w:rsid w:val="00B6387B"/>
    <w:rsid w:val="00B676DE"/>
    <w:rsid w:val="00B710DD"/>
    <w:rsid w:val="00B72448"/>
    <w:rsid w:val="00B72D0B"/>
    <w:rsid w:val="00B745C6"/>
    <w:rsid w:val="00B957FC"/>
    <w:rsid w:val="00BA6E7C"/>
    <w:rsid w:val="00BB1504"/>
    <w:rsid w:val="00BB3FD2"/>
    <w:rsid w:val="00BD1040"/>
    <w:rsid w:val="00BE1648"/>
    <w:rsid w:val="00BE3675"/>
    <w:rsid w:val="00BE5238"/>
    <w:rsid w:val="00BE5945"/>
    <w:rsid w:val="00BE5A85"/>
    <w:rsid w:val="00BE79D5"/>
    <w:rsid w:val="00BF5576"/>
    <w:rsid w:val="00BF5718"/>
    <w:rsid w:val="00C01FF5"/>
    <w:rsid w:val="00C1157A"/>
    <w:rsid w:val="00C167BB"/>
    <w:rsid w:val="00C25FAD"/>
    <w:rsid w:val="00C26690"/>
    <w:rsid w:val="00C3106E"/>
    <w:rsid w:val="00C34D4E"/>
    <w:rsid w:val="00C365A8"/>
    <w:rsid w:val="00C455B8"/>
    <w:rsid w:val="00C5049A"/>
    <w:rsid w:val="00C57D1E"/>
    <w:rsid w:val="00C60609"/>
    <w:rsid w:val="00C7391A"/>
    <w:rsid w:val="00C8569E"/>
    <w:rsid w:val="00C927D8"/>
    <w:rsid w:val="00C95CC1"/>
    <w:rsid w:val="00C97266"/>
    <w:rsid w:val="00CA3937"/>
    <w:rsid w:val="00CA3F44"/>
    <w:rsid w:val="00CA63A7"/>
    <w:rsid w:val="00CB2A24"/>
    <w:rsid w:val="00CB3291"/>
    <w:rsid w:val="00CB63B3"/>
    <w:rsid w:val="00CC4F89"/>
    <w:rsid w:val="00CD274F"/>
    <w:rsid w:val="00CD79FE"/>
    <w:rsid w:val="00CE212D"/>
    <w:rsid w:val="00CE2588"/>
    <w:rsid w:val="00CE2EFB"/>
    <w:rsid w:val="00CE4B38"/>
    <w:rsid w:val="00CF55A6"/>
    <w:rsid w:val="00D057C9"/>
    <w:rsid w:val="00D108CD"/>
    <w:rsid w:val="00D1321A"/>
    <w:rsid w:val="00D16863"/>
    <w:rsid w:val="00D177F3"/>
    <w:rsid w:val="00D25D6D"/>
    <w:rsid w:val="00D30ADF"/>
    <w:rsid w:val="00D325B2"/>
    <w:rsid w:val="00D338A3"/>
    <w:rsid w:val="00D346F6"/>
    <w:rsid w:val="00D45C93"/>
    <w:rsid w:val="00D540E4"/>
    <w:rsid w:val="00D6315E"/>
    <w:rsid w:val="00D641BF"/>
    <w:rsid w:val="00D652C2"/>
    <w:rsid w:val="00D72936"/>
    <w:rsid w:val="00D74EE2"/>
    <w:rsid w:val="00D812FD"/>
    <w:rsid w:val="00D81301"/>
    <w:rsid w:val="00D83E19"/>
    <w:rsid w:val="00DA00C9"/>
    <w:rsid w:val="00DB200E"/>
    <w:rsid w:val="00DB65F5"/>
    <w:rsid w:val="00DC6A91"/>
    <w:rsid w:val="00DD4898"/>
    <w:rsid w:val="00DF4CAC"/>
    <w:rsid w:val="00DF6148"/>
    <w:rsid w:val="00E00380"/>
    <w:rsid w:val="00E0106A"/>
    <w:rsid w:val="00E01C3E"/>
    <w:rsid w:val="00E0671B"/>
    <w:rsid w:val="00E13099"/>
    <w:rsid w:val="00E16291"/>
    <w:rsid w:val="00E24448"/>
    <w:rsid w:val="00E31EEA"/>
    <w:rsid w:val="00E4339F"/>
    <w:rsid w:val="00E4545A"/>
    <w:rsid w:val="00E533D3"/>
    <w:rsid w:val="00E629EA"/>
    <w:rsid w:val="00E63E5F"/>
    <w:rsid w:val="00E6777C"/>
    <w:rsid w:val="00E7287E"/>
    <w:rsid w:val="00E74229"/>
    <w:rsid w:val="00E776A1"/>
    <w:rsid w:val="00E84FB8"/>
    <w:rsid w:val="00E95B39"/>
    <w:rsid w:val="00EA17AF"/>
    <w:rsid w:val="00EA3928"/>
    <w:rsid w:val="00EB05A3"/>
    <w:rsid w:val="00EB72A2"/>
    <w:rsid w:val="00ED38B7"/>
    <w:rsid w:val="00ED6798"/>
    <w:rsid w:val="00EE051D"/>
    <w:rsid w:val="00EE078D"/>
    <w:rsid w:val="00EE0A71"/>
    <w:rsid w:val="00EE1694"/>
    <w:rsid w:val="00EE3C4D"/>
    <w:rsid w:val="00EE5979"/>
    <w:rsid w:val="00EE6216"/>
    <w:rsid w:val="00EE7B65"/>
    <w:rsid w:val="00F0131A"/>
    <w:rsid w:val="00F018C0"/>
    <w:rsid w:val="00F066A3"/>
    <w:rsid w:val="00F14C17"/>
    <w:rsid w:val="00F17041"/>
    <w:rsid w:val="00F22F3C"/>
    <w:rsid w:val="00F3772D"/>
    <w:rsid w:val="00F44937"/>
    <w:rsid w:val="00F54970"/>
    <w:rsid w:val="00F61A47"/>
    <w:rsid w:val="00F65A35"/>
    <w:rsid w:val="00F74975"/>
    <w:rsid w:val="00F84422"/>
    <w:rsid w:val="00F95455"/>
    <w:rsid w:val="00FA1F3F"/>
    <w:rsid w:val="00FA574D"/>
    <w:rsid w:val="00FA75C6"/>
    <w:rsid w:val="00FB5074"/>
    <w:rsid w:val="00FC0FE4"/>
    <w:rsid w:val="00FC29FA"/>
    <w:rsid w:val="00FC32A8"/>
    <w:rsid w:val="00FD0910"/>
    <w:rsid w:val="00FE76E7"/>
    <w:rsid w:val="00FE7AD9"/>
    <w:rsid w:val="00FF4333"/>
    <w:rsid w:val="00FF4A0C"/>
    <w:rsid w:val="00FF6A2B"/>
    <w:rsid w:val="00FF710C"/>
    <w:rsid w:val="01322275"/>
    <w:rsid w:val="019B717E"/>
    <w:rsid w:val="01DC6F05"/>
    <w:rsid w:val="02A3489A"/>
    <w:rsid w:val="02CA138D"/>
    <w:rsid w:val="02E238C3"/>
    <w:rsid w:val="033646FC"/>
    <w:rsid w:val="03C75F80"/>
    <w:rsid w:val="0478364D"/>
    <w:rsid w:val="04AF4BA4"/>
    <w:rsid w:val="050E70CD"/>
    <w:rsid w:val="053D4C0D"/>
    <w:rsid w:val="0557532E"/>
    <w:rsid w:val="0799329C"/>
    <w:rsid w:val="086F16A7"/>
    <w:rsid w:val="0A0F7225"/>
    <w:rsid w:val="0A2B7D82"/>
    <w:rsid w:val="0ADC40E9"/>
    <w:rsid w:val="0AE607F4"/>
    <w:rsid w:val="0B451598"/>
    <w:rsid w:val="0BEC73F4"/>
    <w:rsid w:val="0C392698"/>
    <w:rsid w:val="0D224EC2"/>
    <w:rsid w:val="10BD36F6"/>
    <w:rsid w:val="11BF0649"/>
    <w:rsid w:val="123E3E08"/>
    <w:rsid w:val="12F66B4A"/>
    <w:rsid w:val="161C2DFF"/>
    <w:rsid w:val="16373578"/>
    <w:rsid w:val="16D3336B"/>
    <w:rsid w:val="17806C36"/>
    <w:rsid w:val="17A74F62"/>
    <w:rsid w:val="18A47774"/>
    <w:rsid w:val="19352BDA"/>
    <w:rsid w:val="19C13DCF"/>
    <w:rsid w:val="1B2E6FD8"/>
    <w:rsid w:val="1B877D21"/>
    <w:rsid w:val="1C4319A9"/>
    <w:rsid w:val="1E4D68A4"/>
    <w:rsid w:val="1E994F4A"/>
    <w:rsid w:val="1EAF0224"/>
    <w:rsid w:val="1ED74E3A"/>
    <w:rsid w:val="1F2230A4"/>
    <w:rsid w:val="20210932"/>
    <w:rsid w:val="202448E0"/>
    <w:rsid w:val="20BE3E6B"/>
    <w:rsid w:val="21302EEA"/>
    <w:rsid w:val="22376FB5"/>
    <w:rsid w:val="23E152D7"/>
    <w:rsid w:val="255D43C8"/>
    <w:rsid w:val="25FD0CE5"/>
    <w:rsid w:val="26876BDD"/>
    <w:rsid w:val="2714632A"/>
    <w:rsid w:val="27B0539E"/>
    <w:rsid w:val="29365CF8"/>
    <w:rsid w:val="29397105"/>
    <w:rsid w:val="299469B3"/>
    <w:rsid w:val="29BE69C3"/>
    <w:rsid w:val="2A62066E"/>
    <w:rsid w:val="2A805789"/>
    <w:rsid w:val="2B4A0E52"/>
    <w:rsid w:val="2C975890"/>
    <w:rsid w:val="2DEF21BB"/>
    <w:rsid w:val="2E4A2F05"/>
    <w:rsid w:val="2ECC1061"/>
    <w:rsid w:val="2FA476AD"/>
    <w:rsid w:val="303F7540"/>
    <w:rsid w:val="31DD00BF"/>
    <w:rsid w:val="328B2FA1"/>
    <w:rsid w:val="3293174C"/>
    <w:rsid w:val="32936002"/>
    <w:rsid w:val="32BB38D4"/>
    <w:rsid w:val="32C9376D"/>
    <w:rsid w:val="33780472"/>
    <w:rsid w:val="33933F43"/>
    <w:rsid w:val="33AF0905"/>
    <w:rsid w:val="34EB6088"/>
    <w:rsid w:val="355932F4"/>
    <w:rsid w:val="35611882"/>
    <w:rsid w:val="35934FF5"/>
    <w:rsid w:val="35EB0033"/>
    <w:rsid w:val="36746FC3"/>
    <w:rsid w:val="368763AE"/>
    <w:rsid w:val="395D59E7"/>
    <w:rsid w:val="39A93932"/>
    <w:rsid w:val="3A915562"/>
    <w:rsid w:val="3B7265A0"/>
    <w:rsid w:val="3B8D4765"/>
    <w:rsid w:val="3C000DBA"/>
    <w:rsid w:val="3DC045D3"/>
    <w:rsid w:val="3E504FFB"/>
    <w:rsid w:val="3E615CD0"/>
    <w:rsid w:val="3E9C47F6"/>
    <w:rsid w:val="3FAB3095"/>
    <w:rsid w:val="3FE45947"/>
    <w:rsid w:val="412253A8"/>
    <w:rsid w:val="41242965"/>
    <w:rsid w:val="42D4120D"/>
    <w:rsid w:val="435671EA"/>
    <w:rsid w:val="440809E9"/>
    <w:rsid w:val="442407A6"/>
    <w:rsid w:val="44805EA1"/>
    <w:rsid w:val="451A1CB3"/>
    <w:rsid w:val="45710696"/>
    <w:rsid w:val="46142B1B"/>
    <w:rsid w:val="46C14AA3"/>
    <w:rsid w:val="47E60DD0"/>
    <w:rsid w:val="481C151D"/>
    <w:rsid w:val="482A1360"/>
    <w:rsid w:val="48735039"/>
    <w:rsid w:val="492C684B"/>
    <w:rsid w:val="49500594"/>
    <w:rsid w:val="49E7604E"/>
    <w:rsid w:val="4BF67CDD"/>
    <w:rsid w:val="4D603DD6"/>
    <w:rsid w:val="4EBF010F"/>
    <w:rsid w:val="4EF95324"/>
    <w:rsid w:val="4F471EB0"/>
    <w:rsid w:val="51015B9F"/>
    <w:rsid w:val="51331326"/>
    <w:rsid w:val="51740A7F"/>
    <w:rsid w:val="51A5541E"/>
    <w:rsid w:val="51C96242"/>
    <w:rsid w:val="537F55D7"/>
    <w:rsid w:val="54341889"/>
    <w:rsid w:val="54F46F60"/>
    <w:rsid w:val="55A37BEA"/>
    <w:rsid w:val="5784687B"/>
    <w:rsid w:val="57846959"/>
    <w:rsid w:val="578E6A87"/>
    <w:rsid w:val="58907098"/>
    <w:rsid w:val="5A5738FA"/>
    <w:rsid w:val="5AC2203A"/>
    <w:rsid w:val="5CBB3334"/>
    <w:rsid w:val="5D115FAF"/>
    <w:rsid w:val="62811722"/>
    <w:rsid w:val="62E75A72"/>
    <w:rsid w:val="63DC186C"/>
    <w:rsid w:val="63F7026C"/>
    <w:rsid w:val="64571880"/>
    <w:rsid w:val="649125B6"/>
    <w:rsid w:val="652F4C1A"/>
    <w:rsid w:val="666D37F1"/>
    <w:rsid w:val="67087D8F"/>
    <w:rsid w:val="671F687E"/>
    <w:rsid w:val="67F415F8"/>
    <w:rsid w:val="684B73E5"/>
    <w:rsid w:val="6A047A2A"/>
    <w:rsid w:val="6D1D2ABE"/>
    <w:rsid w:val="6F3831C3"/>
    <w:rsid w:val="70417DD1"/>
    <w:rsid w:val="70753482"/>
    <w:rsid w:val="707B522A"/>
    <w:rsid w:val="73194D05"/>
    <w:rsid w:val="736175F0"/>
    <w:rsid w:val="73A83B0E"/>
    <w:rsid w:val="744D3EF9"/>
    <w:rsid w:val="74794411"/>
    <w:rsid w:val="75867C40"/>
    <w:rsid w:val="76432199"/>
    <w:rsid w:val="76F44829"/>
    <w:rsid w:val="77A267C0"/>
    <w:rsid w:val="78205483"/>
    <w:rsid w:val="78882278"/>
    <w:rsid w:val="78B118A6"/>
    <w:rsid w:val="78DE16F4"/>
    <w:rsid w:val="79135044"/>
    <w:rsid w:val="7A644B5B"/>
    <w:rsid w:val="7A7D0F99"/>
    <w:rsid w:val="7B2A08DE"/>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Date"/>
    <w:basedOn w:val="1"/>
    <w:next w:val="1"/>
    <w:link w:val="28"/>
    <w:semiHidden/>
    <w:unhideWhenUsed/>
    <w:qFormat/>
    <w:uiPriority w:val="99"/>
    <w:pPr>
      <w:ind w:left="100" w:leftChars="2500"/>
    </w:pPr>
  </w:style>
  <w:style w:type="paragraph" w:styleId="5">
    <w:name w:val="Balloon Text"/>
    <w:basedOn w:val="1"/>
    <w:link w:val="19"/>
    <w:unhideWhenUsed/>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99"/>
    <w:pPr>
      <w:snapToGrid w:val="0"/>
      <w:jc w:val="left"/>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unhideWhenUsed/>
    <w:uiPriority w:val="99"/>
    <w:rPr>
      <w:color w:val="800080"/>
      <w:u w:val="single"/>
    </w:rPr>
  </w:style>
  <w:style w:type="character" w:styleId="14">
    <w:name w:val="Hyperlink"/>
    <w:unhideWhenUsed/>
    <w:uiPriority w:val="99"/>
    <w:rPr>
      <w:color w:val="0000FF"/>
      <w:u w:val="single"/>
    </w:rPr>
  </w:style>
  <w:style w:type="character" w:styleId="15">
    <w:name w:val="annotation reference"/>
    <w:basedOn w:val="12"/>
    <w:semiHidden/>
    <w:unhideWhenUsed/>
    <w:qFormat/>
    <w:uiPriority w:val="99"/>
    <w:rPr>
      <w:sz w:val="21"/>
      <w:szCs w:val="21"/>
    </w:rPr>
  </w:style>
  <w:style w:type="character" w:styleId="16">
    <w:name w:val="footnote reference"/>
    <w:basedOn w:val="12"/>
    <w:unhideWhenUsed/>
    <w:uiPriority w:val="99"/>
    <w:rPr>
      <w:vertAlign w:val="superscript"/>
    </w:rPr>
  </w:style>
  <w:style w:type="character" w:customStyle="1" w:styleId="17">
    <w:name w:val="页脚 Char"/>
    <w:link w:val="6"/>
    <w:qFormat/>
    <w:uiPriority w:val="99"/>
    <w:rPr>
      <w:kern w:val="2"/>
      <w:sz w:val="18"/>
      <w:szCs w:val="18"/>
    </w:rPr>
  </w:style>
  <w:style w:type="character" w:customStyle="1" w:styleId="18">
    <w:name w:val="font01"/>
    <w:basedOn w:val="12"/>
    <w:uiPriority w:val="0"/>
    <w:rPr>
      <w:rFonts w:hint="eastAsia" w:ascii="宋体" w:hAnsi="宋体" w:eastAsia="宋体" w:cs="宋体"/>
      <w:color w:val="000000"/>
      <w:sz w:val="22"/>
      <w:szCs w:val="22"/>
      <w:u w:val="none"/>
    </w:rPr>
  </w:style>
  <w:style w:type="character" w:customStyle="1" w:styleId="19">
    <w:name w:val="批注框文本 Char"/>
    <w:basedOn w:val="12"/>
    <w:link w:val="5"/>
    <w:semiHidden/>
    <w:uiPriority w:val="99"/>
    <w:rPr>
      <w:kern w:val="2"/>
      <w:sz w:val="18"/>
      <w:szCs w:val="18"/>
    </w:rPr>
  </w:style>
  <w:style w:type="character" w:customStyle="1" w:styleId="20">
    <w:name w:val="font51"/>
    <w:basedOn w:val="12"/>
    <w:uiPriority w:val="0"/>
    <w:rPr>
      <w:rFonts w:hint="eastAsia" w:ascii="宋体" w:hAnsi="宋体" w:eastAsia="宋体" w:cs="宋体"/>
      <w:color w:val="000000"/>
      <w:sz w:val="24"/>
      <w:szCs w:val="24"/>
      <w:u w:val="none"/>
    </w:rPr>
  </w:style>
  <w:style w:type="character" w:customStyle="1" w:styleId="21">
    <w:name w:val="页眉 Char"/>
    <w:link w:val="7"/>
    <w:uiPriority w:val="99"/>
    <w:rPr>
      <w:kern w:val="2"/>
      <w:sz w:val="18"/>
      <w:szCs w:val="18"/>
    </w:rPr>
  </w:style>
  <w:style w:type="character" w:customStyle="1" w:styleId="22">
    <w:name w:val="font41"/>
    <w:basedOn w:val="12"/>
    <w:uiPriority w:val="0"/>
    <w:rPr>
      <w:rFonts w:hint="eastAsia" w:ascii="宋体" w:hAnsi="宋体" w:eastAsia="宋体" w:cs="宋体"/>
      <w:color w:val="000000"/>
      <w:sz w:val="24"/>
      <w:szCs w:val="24"/>
      <w:u w:val="none"/>
    </w:rPr>
  </w:style>
  <w:style w:type="character" w:customStyle="1" w:styleId="23">
    <w:name w:val="font21"/>
    <w:basedOn w:val="12"/>
    <w:uiPriority w:val="0"/>
    <w:rPr>
      <w:rFonts w:hint="eastAsia" w:ascii="宋体" w:hAnsi="宋体" w:eastAsia="宋体" w:cs="宋体"/>
      <w:color w:val="000000"/>
      <w:sz w:val="22"/>
      <w:szCs w:val="22"/>
      <w:u w:val="none"/>
    </w:rPr>
  </w:style>
  <w:style w:type="character" w:customStyle="1" w:styleId="24">
    <w:name w:val="无间隔 Char"/>
    <w:basedOn w:val="12"/>
    <w:link w:val="25"/>
    <w:uiPriority w:val="1"/>
    <w:rPr>
      <w:sz w:val="22"/>
      <w:szCs w:val="22"/>
      <w:lang w:val="en-US" w:eastAsia="zh-CN" w:bidi="ar-SA"/>
    </w:rPr>
  </w:style>
  <w:style w:type="paragraph" w:styleId="25">
    <w:name w:val="No Spacing"/>
    <w:link w:val="24"/>
    <w:qFormat/>
    <w:uiPriority w:val="1"/>
    <w:rPr>
      <w:rFonts w:ascii="Calibri" w:hAnsi="Calibri" w:eastAsia="宋体" w:cs="Times New Roman"/>
      <w:sz w:val="22"/>
      <w:szCs w:val="22"/>
      <w:lang w:val="en-US" w:eastAsia="zh-CN" w:bidi="ar-SA"/>
    </w:rPr>
  </w:style>
  <w:style w:type="character" w:customStyle="1" w:styleId="26">
    <w:name w:val="font11"/>
    <w:basedOn w:val="12"/>
    <w:uiPriority w:val="0"/>
    <w:rPr>
      <w:rFonts w:hint="eastAsia" w:ascii="宋体" w:hAnsi="宋体" w:eastAsia="宋体" w:cs="宋体"/>
      <w:color w:val="000000"/>
      <w:sz w:val="20"/>
      <w:szCs w:val="20"/>
      <w:u w:val="none"/>
    </w:rPr>
  </w:style>
  <w:style w:type="paragraph" w:customStyle="1" w:styleId="27">
    <w:name w:val="标题1"/>
    <w:basedOn w:val="2"/>
    <w:qFormat/>
    <w:uiPriority w:val="0"/>
    <w:pPr>
      <w:spacing w:before="0" w:after="0" w:line="240" w:lineRule="auto"/>
      <w:jc w:val="center"/>
    </w:pPr>
    <w:rPr>
      <w:rFonts w:ascii="华文中宋" w:hAnsi="华文中宋" w:eastAsia="华文中宋"/>
      <w:sz w:val="36"/>
      <w:szCs w:val="36"/>
    </w:rPr>
  </w:style>
  <w:style w:type="character" w:customStyle="1" w:styleId="28">
    <w:name w:val="日期 Char"/>
    <w:basedOn w:val="12"/>
    <w:link w:val="4"/>
    <w:semiHidden/>
    <w:uiPriority w:val="99"/>
    <w:rPr>
      <w:kern w:val="2"/>
      <w:sz w:val="21"/>
      <w:szCs w:val="22"/>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E5AE3-6971-4AC9-A820-3CA963FE6E39}">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41</Pages>
  <Words>2894</Words>
  <Characters>16500</Characters>
  <Lines>137</Lines>
  <Paragraphs>38</Paragraphs>
  <TotalTime>0</TotalTime>
  <ScaleCrop>false</ScaleCrop>
  <LinksUpToDate>false</LinksUpToDate>
  <CharactersWithSpaces>19356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2020-09-07T01:55:00Z</dcterms:created>
  <dc:creator>管理者</dc:creator>
  <cp:lastModifiedBy>Administrator</cp:lastModifiedBy>
  <cp:lastPrinted>2020-09-24T02:24:00Z</cp:lastPrinted>
  <dcterms:modified xsi:type="dcterms:W3CDTF">2020-09-27T02:54:59Z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