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2019年度</w:t>
      </w:r>
    </w:p>
    <w:p>
      <w:pPr>
        <w:jc w:val="center"/>
        <w:rPr>
          <w:rFonts w:ascii="黑体" w:hAnsi="黑体" w:eastAsia="黑体" w:cs="黑体"/>
          <w:sz w:val="52"/>
          <w:szCs w:val="52"/>
        </w:rPr>
      </w:pPr>
      <w:r>
        <w:rPr>
          <w:rFonts w:hint="eastAsia" w:ascii="黑体" w:hAnsi="黑体" w:eastAsia="黑体" w:cs="黑体"/>
          <w:sz w:val="52"/>
          <w:szCs w:val="52"/>
        </w:rPr>
        <w:t>国有延津林场部门决算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二〇二〇年九月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国有延津林场概况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2019年度部门决算表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2019年度部门决算情况说明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ascii="黑体" w:hAnsi="黑体" w:eastAsia="黑体" w:cs="黑体"/>
          <w:sz w:val="32"/>
          <w:szCs w:val="32"/>
        </w:rPr>
        <w:sectPr>
          <w:footerReference r:id="rId5" w:type="default"/>
          <w:footerReference r:id="rId6"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国有延津林场概况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承担保护和培育森林资源，维护国家生态安全和木材安全；编制国有林场发展规划；加强森林防火建设、组织火灾扑救；开展科学验收和技术创新，推广先进技术，保护林业生态文化资源等工作。</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国有延津林场内设机构8个，包括：办公室、人财股、生产技术股、公园管理股、西荒林区、刘庄林区、陶庄林区、汲津浦林区。</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从决算单位构成看，国有延津林场部门决算包括：本级决算、所属单位决算。</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纳入本部门2019年度部门决算编制范围的单位共1个，其中二级预算单位0个，具体是：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1国有延津林场本级</w:t>
      </w: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2019年度部门决算表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027"/>
        <w:gridCol w:w="59"/>
        <w:gridCol w:w="1271"/>
        <w:gridCol w:w="1553"/>
        <w:gridCol w:w="88"/>
        <w:gridCol w:w="1054"/>
        <w:gridCol w:w="411"/>
        <w:gridCol w:w="176"/>
        <w:gridCol w:w="45"/>
        <w:gridCol w:w="1101"/>
        <w:gridCol w:w="231"/>
        <w:gridCol w:w="264"/>
        <w:gridCol w:w="1289"/>
        <w:gridCol w:w="352"/>
        <w:gridCol w:w="1201"/>
        <w:gridCol w:w="440"/>
        <w:gridCol w:w="1114"/>
        <w:gridCol w:w="527"/>
        <w:gridCol w:w="105"/>
        <w:gridCol w:w="1513"/>
        <w:gridCol w:w="25"/>
      </w:tblGrid>
      <w:tr>
        <w:tblPrEx>
          <w:tblCellMar>
            <w:top w:w="0" w:type="dxa"/>
            <w:left w:w="0" w:type="dxa"/>
            <w:bottom w:w="0" w:type="dxa"/>
            <w:right w:w="0" w:type="dxa"/>
          </w:tblCellMar>
        </w:tblPrEx>
        <w:trPr>
          <w:trHeight w:val="435" w:hRule="atLeast"/>
        </w:trPr>
        <w:tc>
          <w:tcPr>
            <w:tcW w:w="13846" w:type="dxa"/>
            <w:gridSpan w:val="21"/>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华文中宋" w:hAnsi="华文中宋" w:eastAsia="华文中宋" w:cs="华文中宋"/>
                <w:color w:val="000000"/>
                <w:kern w:val="0"/>
                <w:sz w:val="32"/>
                <w:szCs w:val="32"/>
              </w:rPr>
              <w:t>收入支出决算总表</w:t>
            </w:r>
          </w:p>
        </w:tc>
      </w:tr>
      <w:tr>
        <w:tblPrEx>
          <w:tblCellMar>
            <w:top w:w="0" w:type="dxa"/>
            <w:left w:w="108" w:type="dxa"/>
            <w:bottom w:w="0" w:type="dxa"/>
            <w:right w:w="108" w:type="dxa"/>
          </w:tblCellMar>
        </w:tblPrEx>
        <w:trPr>
          <w:gridAfter w:val="1"/>
          <w:wAfter w:w="25" w:type="dxa"/>
          <w:trHeight w:val="199" w:hRule="atLeast"/>
        </w:trPr>
        <w:tc>
          <w:tcPr>
            <w:tcW w:w="5052" w:type="dxa"/>
            <w:gridSpan w:val="6"/>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3"/>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101"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891" w:type="dxa"/>
            <w:gridSpan w:val="7"/>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gridAfter w:val="1"/>
          <w:wAfter w:w="25" w:type="dxa"/>
          <w:trHeight w:val="300" w:hRule="atLeast"/>
        </w:trPr>
        <w:tc>
          <w:tcPr>
            <w:tcW w:w="5052" w:type="dxa"/>
            <w:gridSpan w:val="6"/>
            <w:tcBorders>
              <w:top w:val="nil"/>
              <w:left w:val="nil"/>
              <w:bottom w:val="nil"/>
              <w:right w:val="nil"/>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部门：国有延津林场</w:t>
            </w:r>
          </w:p>
        </w:tc>
        <w:tc>
          <w:tcPr>
            <w:tcW w:w="632" w:type="dxa"/>
            <w:gridSpan w:val="3"/>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101"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891" w:type="dxa"/>
            <w:gridSpan w:val="7"/>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gridAfter w:val="1"/>
          <w:wAfter w:w="25" w:type="dxa"/>
          <w:trHeight w:val="375" w:hRule="atLeast"/>
        </w:trPr>
        <w:tc>
          <w:tcPr>
            <w:tcW w:w="6785" w:type="dxa"/>
            <w:gridSpan w:val="10"/>
            <w:tcBorders>
              <w:top w:val="single" w:color="auto" w:sz="8" w:space="0"/>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收入</w:t>
            </w:r>
          </w:p>
        </w:tc>
        <w:tc>
          <w:tcPr>
            <w:tcW w:w="7036" w:type="dxa"/>
            <w:gridSpan w:val="10"/>
            <w:tcBorders>
              <w:top w:val="single" w:color="auto" w:sz="8" w:space="0"/>
              <w:left w:val="nil"/>
              <w:bottom w:val="single" w:color="auto" w:sz="4" w:space="0"/>
              <w:right w:val="single" w:color="000000" w:sz="8"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支出</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10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513" w:type="dxa"/>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10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一、一般公共预算财政拨款收入</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636.51</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一、一般公共服务支出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14</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二、政府性基金预算财政拨款收入</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二、外交支出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15</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三、上级补助收入</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三、国防支出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四、事业收入</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四、公共安全支出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17</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五、经营收入</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五、教育支出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18</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六、附属单位上缴收入</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6</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六、科学技术支出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19</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七、其他收入</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89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p>
        </w:tc>
        <w:tc>
          <w:tcPr>
            <w:tcW w:w="489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74.29</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p>
        </w:tc>
        <w:tc>
          <w:tcPr>
            <w:tcW w:w="489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p>
        </w:tc>
        <w:tc>
          <w:tcPr>
            <w:tcW w:w="489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8</w:t>
            </w:r>
          </w:p>
        </w:tc>
        <w:tc>
          <w:tcPr>
            <w:tcW w:w="11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21</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p>
        </w:tc>
        <w:tc>
          <w:tcPr>
            <w:tcW w:w="11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395.35</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p>
        </w:tc>
        <w:tc>
          <w:tcPr>
            <w:tcW w:w="11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本年收入合计</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9</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636.51</w:t>
            </w:r>
          </w:p>
        </w:tc>
        <w:tc>
          <w:tcPr>
            <w:tcW w:w="4891" w:type="dxa"/>
            <w:gridSpan w:val="7"/>
            <w:tcBorders>
              <w:top w:val="nil"/>
              <w:left w:val="nil"/>
              <w:bottom w:val="single" w:color="auto" w:sz="4" w:space="0"/>
              <w:right w:val="nil"/>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本年支出合计</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22</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659.70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用事业基金弥补收支差额</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结余分配</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23</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年初结转和结余</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11</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72.67</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年末结转和结余</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24</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49.48</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nil"/>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3"/>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12</w:t>
            </w:r>
          </w:p>
        </w:tc>
        <w:tc>
          <w:tcPr>
            <w:tcW w:w="1101" w:type="dxa"/>
            <w:tcBorders>
              <w:top w:val="nil"/>
              <w:left w:val="nil"/>
              <w:bottom w:val="nil"/>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91" w:type="dxa"/>
            <w:gridSpan w:val="7"/>
            <w:tcBorders>
              <w:top w:val="nil"/>
              <w:left w:val="nil"/>
              <w:bottom w:val="nil"/>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25</w:t>
            </w:r>
          </w:p>
        </w:tc>
        <w:tc>
          <w:tcPr>
            <w:tcW w:w="1513" w:type="dxa"/>
            <w:tcBorders>
              <w:top w:val="nil"/>
              <w:left w:val="nil"/>
              <w:bottom w:val="nil"/>
              <w:right w:val="single" w:color="auto" w:sz="8"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8" w:space="0"/>
              <w:bottom w:val="single" w:color="auto" w:sz="8" w:space="0"/>
              <w:right w:val="nil"/>
            </w:tcBorders>
            <w:shd w:val="clear" w:color="000000" w:fill="FFFFFF"/>
            <w:noWrap/>
            <w:vAlign w:val="center"/>
          </w:tcPr>
          <w:p>
            <w:pPr>
              <w:widowControl/>
              <w:jc w:val="center"/>
              <w:rPr>
                <w:rFonts w:ascii="宋体" w:hAnsi="宋体" w:cs="宋体"/>
                <w:b/>
                <w:bCs/>
                <w:kern w:val="0"/>
                <w:sz w:val="22"/>
              </w:rPr>
            </w:pPr>
            <w:r>
              <w:rPr>
                <w:rFonts w:hint="eastAsia" w:ascii="宋体" w:hAnsi="宋体" w:cs="宋体"/>
                <w:b/>
                <w:bCs/>
                <w:kern w:val="0"/>
                <w:sz w:val="22"/>
              </w:rPr>
              <w:t>总计</w:t>
            </w:r>
          </w:p>
        </w:tc>
        <w:tc>
          <w:tcPr>
            <w:tcW w:w="632" w:type="dxa"/>
            <w:gridSpan w:val="3"/>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13</w:t>
            </w:r>
          </w:p>
        </w:tc>
        <w:tc>
          <w:tcPr>
            <w:tcW w:w="1101" w:type="dxa"/>
            <w:tcBorders>
              <w:top w:val="single" w:color="auto" w:sz="4" w:space="0"/>
              <w:left w:val="nil"/>
              <w:bottom w:val="single" w:color="auto" w:sz="8"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709.17</w:t>
            </w:r>
          </w:p>
        </w:tc>
        <w:tc>
          <w:tcPr>
            <w:tcW w:w="4891" w:type="dxa"/>
            <w:gridSpan w:val="7"/>
            <w:tcBorders>
              <w:top w:val="single" w:color="auto" w:sz="4" w:space="0"/>
              <w:left w:val="nil"/>
              <w:bottom w:val="single" w:color="auto" w:sz="8" w:space="0"/>
              <w:right w:val="nil"/>
            </w:tcBorders>
            <w:shd w:val="clear" w:color="000000" w:fill="FFFFFF"/>
            <w:noWrap/>
            <w:vAlign w:val="center"/>
          </w:tcPr>
          <w:p>
            <w:pPr>
              <w:widowControl/>
              <w:jc w:val="center"/>
              <w:rPr>
                <w:rFonts w:ascii="宋体" w:hAnsi="宋体" w:cs="宋体"/>
                <w:b/>
                <w:bCs/>
                <w:kern w:val="0"/>
                <w:sz w:val="22"/>
              </w:rPr>
            </w:pPr>
            <w:r>
              <w:rPr>
                <w:rFonts w:hint="eastAsia" w:ascii="宋体" w:hAnsi="宋体" w:cs="宋体"/>
                <w:b/>
                <w:bCs/>
                <w:kern w:val="0"/>
                <w:sz w:val="22"/>
              </w:rPr>
              <w:t>总计</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26</w:t>
            </w:r>
          </w:p>
        </w:tc>
        <w:tc>
          <w:tcPr>
            <w:tcW w:w="1513" w:type="dxa"/>
            <w:tcBorders>
              <w:top w:val="single" w:color="auto" w:sz="4" w:space="0"/>
              <w:left w:val="nil"/>
              <w:bottom w:val="single" w:color="auto" w:sz="8"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709.17</w:t>
            </w:r>
          </w:p>
        </w:tc>
      </w:tr>
      <w:tr>
        <w:tblPrEx>
          <w:tblCellMar>
            <w:top w:w="0" w:type="dxa"/>
            <w:left w:w="108" w:type="dxa"/>
            <w:bottom w:w="0" w:type="dxa"/>
            <w:right w:w="108" w:type="dxa"/>
          </w:tblCellMar>
        </w:tblPrEx>
        <w:trPr>
          <w:gridAfter w:val="1"/>
          <w:wAfter w:w="25" w:type="dxa"/>
          <w:trHeight w:val="405" w:hRule="atLeast"/>
        </w:trPr>
        <w:tc>
          <w:tcPr>
            <w:tcW w:w="13821" w:type="dxa"/>
            <w:gridSpan w:val="20"/>
            <w:tcBorders>
              <w:top w:val="single" w:color="auto" w:sz="8" w:space="0"/>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注：本表反映部门本年度的总收支和年末结转结余情况。本表金额转换为万元时，因四舍五入可能存在尾差。</w:t>
            </w:r>
          </w:p>
        </w:tc>
      </w:tr>
      <w:tr>
        <w:tblPrEx>
          <w:tblCellMar>
            <w:top w:w="0" w:type="dxa"/>
            <w:left w:w="0" w:type="dxa"/>
            <w:bottom w:w="0" w:type="dxa"/>
            <w:right w:w="0" w:type="dxa"/>
          </w:tblCellMar>
        </w:tblPrEx>
        <w:trPr>
          <w:trHeight w:val="435" w:hRule="atLeast"/>
        </w:trPr>
        <w:tc>
          <w:tcPr>
            <w:tcW w:w="13846" w:type="dxa"/>
            <w:gridSpan w:val="21"/>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7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170" w:type="dxa"/>
            <w:gridSpan w:val="4"/>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公开02表</w:t>
            </w:r>
          </w:p>
        </w:tc>
      </w:tr>
      <w:tr>
        <w:tblPrEx>
          <w:tblCellMar>
            <w:top w:w="0" w:type="dxa"/>
            <w:left w:w="0" w:type="dxa"/>
            <w:bottom w:w="0" w:type="dxa"/>
            <w:right w:w="0" w:type="dxa"/>
          </w:tblCellMar>
        </w:tblPrEx>
        <w:trPr>
          <w:trHeight w:val="300"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部门：国有延津林场</w:t>
            </w: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7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170" w:type="dxa"/>
            <w:gridSpan w:val="4"/>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50" w:hRule="atLeast"/>
        </w:trPr>
        <w:tc>
          <w:tcPr>
            <w:tcW w:w="2357"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本年收入合计</w:t>
            </w:r>
          </w:p>
        </w:tc>
        <w:tc>
          <w:tcPr>
            <w:tcW w:w="1641" w:type="dxa"/>
            <w:gridSpan w:val="3"/>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财政拨款收入</w:t>
            </w:r>
          </w:p>
        </w:tc>
        <w:tc>
          <w:tcPr>
            <w:tcW w:w="1641"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附属单位上缴收入</w:t>
            </w:r>
          </w:p>
        </w:tc>
        <w:tc>
          <w:tcPr>
            <w:tcW w:w="1643" w:type="dxa"/>
            <w:gridSpan w:val="3"/>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641"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3"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641"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3"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35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641"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641"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643" w:type="dxa"/>
            <w:gridSpan w:val="3"/>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r>
      <w:tr>
        <w:tblPrEx>
          <w:tblCellMar>
            <w:top w:w="0" w:type="dxa"/>
            <w:left w:w="0" w:type="dxa"/>
            <w:bottom w:w="0" w:type="dxa"/>
            <w:right w:w="0" w:type="dxa"/>
          </w:tblCellMar>
        </w:tblPrEx>
        <w:trPr>
          <w:trHeight w:val="450" w:hRule="atLeast"/>
        </w:trPr>
        <w:tc>
          <w:tcPr>
            <w:tcW w:w="2357"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636.51</w:t>
            </w:r>
          </w:p>
        </w:tc>
        <w:tc>
          <w:tcPr>
            <w:tcW w:w="16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636.51</w:t>
            </w: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74.29</w:t>
            </w:r>
          </w:p>
        </w:tc>
        <w:tc>
          <w:tcPr>
            <w:tcW w:w="16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74.29</w:t>
            </w: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行政事业单位离退休</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74.28</w:t>
            </w:r>
          </w:p>
        </w:tc>
        <w:tc>
          <w:tcPr>
            <w:tcW w:w="16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74.28</w:t>
            </w: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74.28</w:t>
            </w:r>
          </w:p>
        </w:tc>
        <w:tc>
          <w:tcPr>
            <w:tcW w:w="16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74.28</w:t>
            </w: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其他社会保障和就业支出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0.01</w:t>
            </w:r>
          </w:p>
        </w:tc>
        <w:tc>
          <w:tcPr>
            <w:tcW w:w="16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0.01</w:t>
            </w: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2089901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其他社会保障和就业支出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0.01</w:t>
            </w:r>
          </w:p>
        </w:tc>
        <w:tc>
          <w:tcPr>
            <w:tcW w:w="16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0.01</w:t>
            </w: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农林水支出</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372.16</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372.16</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21302</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林业和草原</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372.16</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372.16</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2130204</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事业机构</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366.46</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366.46</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2130209</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森林生态效益补偿</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4.70</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4.70</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2130234</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防灾减灾</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1.00</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1.00</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615" w:hRule="atLeast"/>
        </w:trPr>
        <w:tc>
          <w:tcPr>
            <w:tcW w:w="13846" w:type="dxa"/>
            <w:gridSpan w:val="21"/>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120"/>
        <w:gridCol w:w="63"/>
        <w:gridCol w:w="27"/>
        <w:gridCol w:w="1349"/>
        <w:gridCol w:w="1774"/>
        <w:gridCol w:w="130"/>
        <w:gridCol w:w="1672"/>
        <w:gridCol w:w="232"/>
        <w:gridCol w:w="1569"/>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0" w:type="dxa"/>
            <w:bottom w:w="0" w:type="dxa"/>
            <w:right w:w="0" w:type="dxa"/>
          </w:tblCellMar>
        </w:tblPrEx>
        <w:trPr>
          <w:trHeight w:val="300"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部门：国有延津林场</w:t>
            </w: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659.70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633.92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25.78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行政事业单位离退休</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其他社会保障和就业支出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2089901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其他社会保障和就业支出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农林水支出</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395.35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369.58</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25.78</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21302</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林业和草原</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395.35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369.58</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25.78</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2130204</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事业机构</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322.68</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322.68</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2130206</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技术推广与转化</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17.00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17.00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2130234</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防灾减灾</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8.78</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8.78</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2130299</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其他林业和草原支出</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46.89</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46.89</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3994"/>
        <w:gridCol w:w="720"/>
        <w:gridCol w:w="1210"/>
        <w:gridCol w:w="3400"/>
        <w:gridCol w:w="597"/>
        <w:gridCol w:w="708"/>
        <w:gridCol w:w="1343"/>
        <w:gridCol w:w="336"/>
        <w:gridCol w:w="1680"/>
      </w:tblGrid>
      <w:tr>
        <w:tblPrEx>
          <w:tblCellMar>
            <w:top w:w="0" w:type="dxa"/>
            <w:left w:w="0" w:type="dxa"/>
            <w:bottom w:w="0" w:type="dxa"/>
            <w:right w:w="0" w:type="dxa"/>
          </w:tblCellMar>
        </w:tblPrEx>
        <w:trPr>
          <w:trHeight w:val="36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财政拨款收入支出决算总表</w:t>
            </w:r>
          </w:p>
        </w:tc>
      </w:tr>
      <w:tr>
        <w:tblPrEx>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部门：国有延津林场</w:t>
            </w: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收入</w:t>
            </w:r>
          </w:p>
        </w:tc>
        <w:tc>
          <w:tcPr>
            <w:tcW w:w="8064" w:type="dxa"/>
            <w:gridSpan w:val="6"/>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w:t>
            </w:r>
          </w:p>
        </w:tc>
      </w:tr>
      <w:tr>
        <w:tblPrEx>
          <w:tblCellMar>
            <w:top w:w="0" w:type="dxa"/>
            <w:left w:w="0" w:type="dxa"/>
            <w:bottom w:w="0" w:type="dxa"/>
            <w:right w:w="0" w:type="dxa"/>
          </w:tblCellMar>
        </w:tblPrEx>
        <w:trPr>
          <w:trHeight w:val="630"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6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一般公共预算财政拨款</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政府性基金预算财政拨款</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636.51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五、教育支出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六、科学技术支出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七、文化旅游体育与传媒支出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八、社会保障和就业支出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74.29</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74.29</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九、卫生健康支出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十、节能环保支出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十一、城乡社区支出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十二、农林水支出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395.35</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395.35</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636.51</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659.70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659.70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72.67</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49.48</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49.48</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一、一般公共预算财政拨款</w:t>
            </w:r>
          </w:p>
        </w:tc>
        <w:tc>
          <w:tcPr>
            <w:tcW w:w="72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21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72.67</w:t>
            </w:r>
          </w:p>
        </w:tc>
        <w:tc>
          <w:tcPr>
            <w:tcW w:w="3400" w:type="dxa"/>
            <w:tcBorders>
              <w:top w:val="single" w:color="000000" w:sz="4" w:space="0"/>
              <w:left w:val="single" w:color="000000" w:sz="4" w:space="0"/>
              <w:bottom w:val="single" w:color="auto" w:sz="4" w:space="0"/>
              <w:right w:val="nil"/>
            </w:tcBorders>
            <w:shd w:val="clear" w:color="auto" w:fill="auto"/>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7"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708" w:type="dxa"/>
            <w:tcBorders>
              <w:top w:val="single" w:color="000000" w:sz="4" w:space="0"/>
              <w:left w:val="nil"/>
              <w:bottom w:val="single" w:color="auto"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79" w:type="dxa"/>
            <w:gridSpan w:val="2"/>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80" w:type="dxa"/>
            <w:tcBorders>
              <w:top w:val="single" w:color="000000" w:sz="4" w:space="0"/>
              <w:left w:val="nil"/>
              <w:bottom w:val="single" w:color="auto"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0" w:type="dxa"/>
            <w:bottom w:w="0" w:type="dxa"/>
            <w:right w:w="0" w:type="dxa"/>
          </w:tblCellMar>
        </w:tblPrEx>
        <w:trPr>
          <w:trHeight w:val="402" w:hRule="atLeast"/>
        </w:trPr>
        <w:tc>
          <w:tcPr>
            <w:tcW w:w="39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二、政府性基金预算财政拨款</w:t>
            </w:r>
          </w:p>
        </w:tc>
        <w:tc>
          <w:tcPr>
            <w:tcW w:w="7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2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70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79"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0" w:type="dxa"/>
            <w:bottom w:w="0" w:type="dxa"/>
            <w:right w:w="0" w:type="dxa"/>
          </w:tblCellMar>
        </w:tblPrEx>
        <w:trPr>
          <w:trHeight w:val="402" w:hRule="atLeast"/>
        </w:trPr>
        <w:tc>
          <w:tcPr>
            <w:tcW w:w="3994" w:type="dxa"/>
            <w:tcBorders>
              <w:top w:val="single" w:color="auto" w:sz="4" w:space="0"/>
              <w:left w:val="single" w:color="000000" w:sz="8" w:space="0"/>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72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210"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00" w:type="dxa"/>
            <w:tcBorders>
              <w:top w:val="single" w:color="auto" w:sz="4" w:space="0"/>
              <w:left w:val="single" w:color="000000" w:sz="4" w:space="0"/>
              <w:bottom w:val="nil"/>
              <w:right w:val="nil"/>
            </w:tcBorders>
            <w:shd w:val="clear" w:color="auto" w:fill="auto"/>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7"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708" w:type="dxa"/>
            <w:tcBorders>
              <w:top w:val="single" w:color="auto" w:sz="4" w:space="0"/>
              <w:left w:val="nil"/>
              <w:bottom w:val="nil"/>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79" w:type="dxa"/>
            <w:gridSpan w:val="2"/>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80" w:type="dxa"/>
            <w:tcBorders>
              <w:top w:val="single" w:color="auto" w:sz="4" w:space="0"/>
              <w:left w:val="nil"/>
              <w:bottom w:val="nil"/>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709.17</w:t>
            </w:r>
          </w:p>
        </w:tc>
        <w:tc>
          <w:tcPr>
            <w:tcW w:w="3400"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709.17</w:t>
            </w:r>
          </w:p>
        </w:tc>
        <w:tc>
          <w:tcPr>
            <w:tcW w:w="167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709.17</w:t>
            </w:r>
          </w:p>
        </w:tc>
        <w:tc>
          <w:tcPr>
            <w:tcW w:w="1680"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58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注：本表反映部门本年度一般公共预算财政拨款和政府性基金预算财政拨款的总收支和年末结转结余情况。本表金额转换为万元时，因四舍五入可能存在尾差。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726"/>
        <w:gridCol w:w="688"/>
        <w:gridCol w:w="2225"/>
        <w:gridCol w:w="3449"/>
        <w:gridCol w:w="3449"/>
        <w:gridCol w:w="345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w:t>
            </w:r>
            <w:r>
              <w:rPr>
                <w:rStyle w:val="24"/>
                <w:rFonts w:hint="default"/>
              </w:rPr>
              <w:t>5表</w:t>
            </w:r>
          </w:p>
        </w:tc>
      </w:tr>
      <w:tr>
        <w:tblPrEx>
          <w:tblCellMar>
            <w:top w:w="0" w:type="dxa"/>
            <w:left w:w="0" w:type="dxa"/>
            <w:bottom w:w="0" w:type="dxa"/>
            <w:right w:w="0" w:type="dxa"/>
          </w:tblCellMar>
        </w:tblPrEx>
        <w:trPr>
          <w:trHeight w:val="300" w:hRule="atLeast"/>
        </w:trPr>
        <w:tc>
          <w:tcPr>
            <w:tcW w:w="726"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部门：国有延津林场</w:t>
            </w: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项 </w:t>
            </w:r>
            <w:r>
              <w:rPr>
                <w:rStyle w:val="16"/>
                <w:rFonts w:hint="default"/>
                <w:sz w:val="20"/>
                <w:szCs w:val="20"/>
              </w:rPr>
              <w:t xml:space="preserve">   </w:t>
            </w:r>
            <w:r>
              <w:rPr>
                <w:rStyle w:val="18"/>
                <w:rFonts w:hint="default"/>
                <w:sz w:val="20"/>
                <w:szCs w:val="20"/>
              </w:rPr>
              <w:t>目</w:t>
            </w:r>
          </w:p>
        </w:tc>
        <w:tc>
          <w:tcPr>
            <w:tcW w:w="10349"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659.</w:t>
            </w:r>
            <w:r>
              <w:rPr>
                <w:rFonts w:hint="eastAsia" w:ascii="宋体" w:hAnsi="宋体" w:cs="Arial"/>
                <w:b/>
                <w:bCs/>
                <w:color w:val="000000"/>
                <w:kern w:val="0"/>
                <w:sz w:val="22"/>
                <w:lang w:val="en-US" w:eastAsia="zh-CN"/>
              </w:rPr>
              <w:t>69</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633.92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25.78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74.29</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74.29</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行政事业单位离退休</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74.28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20899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其他社会保障和就业支出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2089901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190.05</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农林水支出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395.35</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hint="eastAsia" w:ascii="宋体" w:hAnsi="宋体" w:eastAsia="宋体" w:cs="Arial"/>
                <w:color w:val="000000"/>
                <w:kern w:val="0"/>
                <w:sz w:val="22"/>
                <w:lang w:eastAsia="zh-CN"/>
              </w:rPr>
            </w:pPr>
            <w:r>
              <w:rPr>
                <w:rFonts w:hint="eastAsia" w:ascii="宋体" w:hAnsi="宋体" w:cs="Arial"/>
                <w:color w:val="000000"/>
                <w:kern w:val="0"/>
                <w:sz w:val="22"/>
              </w:rPr>
              <w:t>369.5</w:t>
            </w:r>
            <w:r>
              <w:rPr>
                <w:rFonts w:hint="eastAsia" w:ascii="宋体" w:hAnsi="宋体" w:cs="Arial"/>
                <w:color w:val="000000"/>
                <w:kern w:val="0"/>
                <w:sz w:val="22"/>
                <w:lang w:val="en-US" w:eastAsia="zh-CN"/>
              </w:rPr>
              <w:t>7</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25.78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林业和草原</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395.35</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369.5</w:t>
            </w:r>
            <w:r>
              <w:rPr>
                <w:rFonts w:hint="eastAsia" w:ascii="宋体" w:hAnsi="宋体" w:cs="Arial"/>
                <w:color w:val="000000"/>
                <w:kern w:val="0"/>
                <w:sz w:val="22"/>
                <w:lang w:val="en-US" w:eastAsia="zh-CN"/>
              </w:rPr>
              <w:t>7</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25.78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2130204</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事业机构</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322.68</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322.68</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2130206</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技术推广与转化</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17.00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17.00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2130234</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防灾减灾</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8.78</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8.78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2130299</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其他林业和草原支出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46.89</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46.89</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870"/>
        <w:gridCol w:w="3114"/>
        <w:gridCol w:w="747"/>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一般公共预算财政拨款基本支出决算表</w:t>
            </w:r>
          </w:p>
        </w:tc>
      </w:tr>
      <w:tr>
        <w:tblPrEx>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114"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47"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公开06表</w:t>
            </w:r>
          </w:p>
        </w:tc>
      </w:tr>
      <w:tr>
        <w:tblPrEx>
          <w:tblCellMar>
            <w:top w:w="0" w:type="dxa"/>
            <w:left w:w="0" w:type="dxa"/>
            <w:bottom w:w="0" w:type="dxa"/>
            <w:right w:w="0" w:type="dxa"/>
          </w:tblCellMar>
        </w:tblPrEx>
        <w:trPr>
          <w:trHeight w:val="300" w:hRule="atLeast"/>
        </w:trPr>
        <w:tc>
          <w:tcPr>
            <w:tcW w:w="870" w:type="dxa"/>
            <w:tcBorders>
              <w:top w:val="nil"/>
              <w:left w:val="nil"/>
              <w:bottom w:val="nil"/>
              <w:right w:val="nil"/>
            </w:tcBorders>
            <w:noWrap/>
            <w:tcMar>
              <w:top w:w="15" w:type="dxa"/>
              <w:left w:w="15" w:type="dxa"/>
              <w:right w:w="15" w:type="dxa"/>
            </w:tcMar>
            <w:vAlign w:val="center"/>
          </w:tcPr>
          <w:p>
            <w:pPr>
              <w:widowControl/>
              <w:jc w:val="left"/>
              <w:textAlignment w:val="center"/>
              <w:rPr>
                <w:rFonts w:ascii="Arial" w:hAnsi="Arial" w:cs="Arial"/>
                <w:color w:val="000000"/>
                <w:sz w:val="20"/>
                <w:szCs w:val="20"/>
              </w:rPr>
            </w:pPr>
            <w:r>
              <w:rPr>
                <w:rFonts w:ascii="Arial" w:hAnsi="Arial" w:cs="Arial"/>
                <w:color w:val="000000"/>
                <w:kern w:val="0"/>
                <w:sz w:val="20"/>
                <w:szCs w:val="20"/>
              </w:rPr>
              <w:t>部门：</w:t>
            </w:r>
            <w:r>
              <w:rPr>
                <w:rFonts w:hint="eastAsia" w:ascii="宋体" w:hAnsi="宋体" w:cs="宋体"/>
                <w:color w:val="000000"/>
                <w:kern w:val="0"/>
                <w:sz w:val="20"/>
                <w:szCs w:val="20"/>
              </w:rPr>
              <w:t>国有延津林场</w:t>
            </w:r>
          </w:p>
        </w:tc>
        <w:tc>
          <w:tcPr>
            <w:tcW w:w="3114"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747"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3114"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747"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工资福利支出</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513.53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120.00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债务利息及费用支出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基本工资</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172.88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14.20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国内债务付息</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津贴补贴</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国外债务付息</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奖金</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30106</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伙食补助费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14.20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30107</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绩效工资</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19.32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30108</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机关事业单位基本养老保险缴费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91.25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8.50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职业年金缴费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30110</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职工基本医疗保险缴费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173.10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公务员医疗补助缴费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其他社会保障缴费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住房公积金</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42.79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30114</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75.99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30199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其他工资福利支出</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对个人和家庭的补助</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0.39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离休费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退休费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公务接待费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退职（役）费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30304</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抚恤金</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30305</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生活补助</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0.39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30306</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救济费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16.99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30307</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医疗费补助</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30308</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助学金</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奖励金</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30310</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个人农业生产补贴</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30399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其他对个人和家庭的补助</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0.52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人员经费合计</w:t>
            </w:r>
          </w:p>
        </w:tc>
        <w:tc>
          <w:tcPr>
            <w:tcW w:w="747"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Arial"/>
                <w:color w:val="000000"/>
                <w:kern w:val="0"/>
                <w:sz w:val="22"/>
              </w:rPr>
              <w:t>513.92</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120.00</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300" w:hRule="atLeast"/>
        </w:trPr>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部门：国有延津林场</w:t>
            </w:r>
          </w:p>
        </w:tc>
        <w:tc>
          <w:tcPr>
            <w:tcW w:w="1149"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12.8</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12.8</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10.8</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rPr>
              <w:t>2</w:t>
            </w: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注：本表反映部门本年度“三公”经费支出预决算情况。其中，</w:t>
            </w:r>
            <w:r>
              <w:rPr>
                <w:rStyle w:val="20"/>
                <w:rFonts w:hint="default"/>
                <w:sz w:val="20"/>
                <w:szCs w:val="20"/>
              </w:rPr>
              <w:t>预算数为“三公”经费全年预算数，反映按规定程序调整后的预算数；决算数是包括当年一般公共预算财政拨款和以前年度结转资金安排的实际支出。</w:t>
            </w:r>
            <w:r>
              <w:rPr>
                <w:rFonts w:hint="eastAsia" w:ascii="宋体" w:hAnsi="宋体" w:cs="宋体"/>
                <w:color w:val="000000"/>
                <w:kern w:val="0"/>
                <w:sz w:val="20"/>
                <w:szCs w:val="20"/>
              </w:rPr>
              <w:t>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0" w:type="dxa"/>
            <w:bottom w:w="0" w:type="dxa"/>
            <w:right w:w="0" w:type="dxa"/>
          </w:tblCellMar>
        </w:tblPrEx>
        <w:trPr>
          <w:trHeight w:val="300" w:hRule="atLeast"/>
        </w:trPr>
        <w:tc>
          <w:tcPr>
            <w:tcW w:w="612"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kern w:val="0"/>
                <w:sz w:val="20"/>
                <w:szCs w:val="20"/>
              </w:rPr>
              <w:t>国有延津林场</w:t>
            </w: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c>
          <w:tcPr>
            <w:tcW w:w="5779"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926"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0</w:t>
            </w: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注：本表反映部门本年度政府性基金预算财政拨款收入、支出及结转和结余情况。</w:t>
            </w:r>
          </w:p>
        </w:tc>
      </w:tr>
    </w:tbl>
    <w:p>
      <w:pPr>
        <w:jc w:val="center"/>
        <w:rPr>
          <w:rFonts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rPr>
        <w:t>说明：我部门没有政府性基金收入，也没有使用政府性基金安排的支出，故本表无数据。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2019年度部门决算情况说明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autoSpaceDE w:val="0"/>
        <w:autoSpaceDN w:val="0"/>
        <w:adjustRightIn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年度收、支总计均为</w:t>
      </w:r>
      <w:r>
        <w:rPr>
          <w:rFonts w:ascii="仿宋_GB2312" w:hAnsi="仿宋_GB2312" w:eastAsia="仿宋_GB2312" w:cs="仿宋_GB2312"/>
          <w:sz w:val="32"/>
          <w:szCs w:val="32"/>
        </w:rPr>
        <w:t>709.17</w:t>
      </w:r>
      <w:r>
        <w:rPr>
          <w:rFonts w:hint="eastAsia" w:ascii="仿宋_GB2312" w:hAnsi="仿宋_GB2312" w:eastAsia="仿宋_GB2312" w:cs="仿宋_GB2312"/>
          <w:sz w:val="32"/>
          <w:szCs w:val="32"/>
        </w:rPr>
        <w:t>万元。与上年度相比，收、支总计各增加</w:t>
      </w:r>
      <w:r>
        <w:rPr>
          <w:rFonts w:ascii="仿宋_GB2312" w:hAnsi="仿宋_GB2312" w:eastAsia="仿宋_GB2312" w:cs="仿宋_GB2312"/>
          <w:sz w:val="32"/>
          <w:szCs w:val="32"/>
        </w:rPr>
        <w:t>75.14</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11.85%</w:t>
      </w:r>
      <w:r>
        <w:rPr>
          <w:rFonts w:hint="eastAsia" w:ascii="仿宋_GB2312" w:hAnsi="仿宋_GB2312" w:eastAsia="仿宋_GB2312" w:cs="仿宋_GB2312"/>
          <w:sz w:val="32"/>
          <w:szCs w:val="32"/>
        </w:rPr>
        <w:t>。主要原因是压减公用经费支出。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年度收入合计</w:t>
      </w:r>
      <w:r>
        <w:rPr>
          <w:rFonts w:ascii="仿宋_GB2312" w:hAnsi="仿宋_GB2312" w:eastAsia="仿宋_GB2312" w:cs="仿宋_GB2312"/>
          <w:sz w:val="32"/>
          <w:szCs w:val="32"/>
        </w:rPr>
        <w:t>636.51</w:t>
      </w:r>
      <w:r>
        <w:rPr>
          <w:rFonts w:hint="eastAsia" w:ascii="仿宋_GB2312" w:hAnsi="仿宋_GB2312" w:eastAsia="仿宋_GB2312" w:cs="仿宋_GB2312"/>
          <w:sz w:val="32"/>
          <w:szCs w:val="32"/>
        </w:rPr>
        <w:t>万元，其中：财政拨款收入</w:t>
      </w:r>
      <w:r>
        <w:rPr>
          <w:rFonts w:ascii="仿宋_GB2312" w:hAnsi="仿宋_GB2312" w:eastAsia="仿宋_GB2312" w:cs="仿宋_GB2312"/>
          <w:sz w:val="32"/>
          <w:szCs w:val="32"/>
        </w:rPr>
        <w:t>636.51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年度支出合计</w:t>
      </w:r>
      <w:r>
        <w:rPr>
          <w:rFonts w:ascii="仿宋_GB2312" w:hAnsi="仿宋_GB2312" w:eastAsia="仿宋_GB2312" w:cs="仿宋_GB2312"/>
          <w:sz w:val="32"/>
          <w:szCs w:val="32"/>
        </w:rPr>
        <w:t>659.7</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633.92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96.09%</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25.78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3.91%</w:t>
      </w:r>
      <w:r>
        <w:rPr>
          <w:rFonts w:hint="eastAsia" w:ascii="仿宋_GB2312" w:hAnsi="仿宋_GB2312" w:eastAsia="仿宋_GB2312" w:cs="仿宋_GB2312"/>
          <w:sz w:val="32"/>
          <w:szCs w:val="32"/>
        </w:rPr>
        <w:t xml:space="preserve">。 </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年度财政拨款收、支总计均为</w:t>
      </w:r>
      <w:r>
        <w:rPr>
          <w:rFonts w:ascii="仿宋_GB2312" w:hAnsi="仿宋_GB2312" w:eastAsia="仿宋_GB2312" w:cs="仿宋_GB2312"/>
          <w:sz w:val="32"/>
          <w:szCs w:val="32"/>
        </w:rPr>
        <w:t>709.17</w:t>
      </w:r>
      <w:r>
        <w:rPr>
          <w:rFonts w:hint="eastAsia" w:ascii="仿宋_GB2312" w:hAnsi="仿宋_GB2312" w:eastAsia="仿宋_GB2312" w:cs="仿宋_GB2312"/>
          <w:sz w:val="32"/>
          <w:szCs w:val="32"/>
        </w:rPr>
        <w:t>万元。与上年度相比，财政拨款收、支总计各增加</w:t>
      </w:r>
      <w:r>
        <w:rPr>
          <w:rFonts w:ascii="仿宋_GB2312" w:hAnsi="仿宋_GB2312" w:eastAsia="仿宋_GB2312" w:cs="仿宋_GB2312"/>
          <w:sz w:val="32"/>
          <w:szCs w:val="32"/>
        </w:rPr>
        <w:t>75.14</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11.85%</w:t>
      </w:r>
      <w:r>
        <w:rPr>
          <w:rFonts w:hint="eastAsia" w:ascii="仿宋_GB2312" w:hAnsi="仿宋_GB2312" w:eastAsia="仿宋_GB2312" w:cs="仿宋_GB2312"/>
          <w:sz w:val="32"/>
          <w:szCs w:val="32"/>
        </w:rPr>
        <w:t>。主要原因是压减公用经费支出。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（一）总体情况。</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659.7</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。与上年度相比，一般公共预算财政拨款支出增加</w:t>
      </w:r>
      <w:r>
        <w:rPr>
          <w:rFonts w:ascii="仿宋_GB2312" w:hAnsi="仿宋_GB2312" w:eastAsia="仿宋_GB2312" w:cs="仿宋_GB2312"/>
          <w:sz w:val="32"/>
          <w:szCs w:val="32"/>
        </w:rPr>
        <w:t>98.33</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17.51%</w:t>
      </w:r>
      <w:r>
        <w:rPr>
          <w:rFonts w:hint="eastAsia" w:ascii="仿宋_GB2312" w:hAnsi="仿宋_GB2312" w:eastAsia="仿宋_GB2312" w:cs="仿宋_GB2312"/>
          <w:sz w:val="32"/>
          <w:szCs w:val="32"/>
        </w:rPr>
        <w:t>。主要原因是压减公用经费支出。</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2019年度一般公共预算财政拨款支出659.7万元，主要用于以下方面：社会保障和就业支出（类）支出74.29万元，占11.26%；卫生健康支出（类）支出190.05万元，占28.80%；卫农林水支出（类）支出395.35万元，占59.94%。</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2019年度一般公共预算财政拨款支出年初预算为637.53万元，支出决算为659.7万元，完成年初预算的103.47%。其中：</w:t>
      </w:r>
    </w:p>
    <w:p>
      <w:pPr>
        <w:widowControl/>
        <w:spacing w:line="59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社会保障和就业（类）行政事业单位离退休（款）机关事业单位基本养老保险缴费支出（项）。年初预算为257.30万元，支出决算为74.28万元，完成年初预算的28.86%。决算数与年初预算数存在差异的主要原因是本年调整使用事业单位医疗款项。</w:t>
      </w:r>
    </w:p>
    <w:p>
      <w:pPr>
        <w:widowControl/>
        <w:spacing w:line="59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社会保障和就业（类）其他社会保障和就业支出（款）其他社会保障和就业支出（项）。年初预算为2.56万元，支出决算为0.01万元，完成年初预算的3.90%。决算数与年初预算数存在差异的主要原因是本年调整使用事业单位医疗金款项。</w:t>
      </w:r>
    </w:p>
    <w:p>
      <w:pPr>
        <w:widowControl/>
        <w:spacing w:line="59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3．卫生健康指出（类）行政事业单位医疗（款）事业单位医疗（项）。年初预算为16.99万元，支出决算为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90.05万元，完成年初预算的</w:t>
      </w:r>
      <w:r>
        <w:rPr>
          <w:rFonts w:hint="eastAsia" w:ascii="仿宋_GB2312" w:hAnsi="仿宋_GB2312" w:eastAsia="仿宋_GB2312" w:cs="仿宋_GB2312"/>
          <w:sz w:val="32"/>
          <w:szCs w:val="32"/>
          <w:lang w:val="en-US" w:eastAsia="zh-CN"/>
        </w:rPr>
        <w:t>1118</w:t>
      </w:r>
      <w:r>
        <w:rPr>
          <w:rFonts w:hint="eastAsia" w:ascii="仿宋_GB2312" w:hAnsi="仿宋_GB2312" w:eastAsia="仿宋_GB2312" w:cs="仿宋_GB2312"/>
          <w:sz w:val="32"/>
          <w:szCs w:val="32"/>
        </w:rPr>
        <w:t>.01%。决算数与年初预算数存在差异的主要原因是本年补缴以往年度职工养老医疗金。</w:t>
      </w:r>
    </w:p>
    <w:p>
      <w:pPr>
        <w:widowControl/>
        <w:spacing w:line="59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4．农林水支出（类）林业和草原（款）事业机构（项）。年初预算为360.68万元，支出决算为3</w:t>
      </w:r>
      <w:r>
        <w:rPr>
          <w:rFonts w:hint="eastAsia" w:ascii="仿宋_GB2312" w:hAnsi="仿宋_GB2312" w:eastAsia="仿宋_GB2312" w:cs="仿宋_GB2312"/>
          <w:sz w:val="32"/>
          <w:szCs w:val="32"/>
          <w:lang w:val="en-US" w:eastAsia="zh-CN"/>
        </w:rPr>
        <w:t>22.68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89.46</w:t>
      </w:r>
      <w:r>
        <w:rPr>
          <w:rFonts w:hint="eastAsia" w:ascii="仿宋_GB2312" w:hAnsi="仿宋_GB2312" w:eastAsia="仿宋_GB2312" w:cs="仿宋_GB2312"/>
          <w:sz w:val="32"/>
          <w:szCs w:val="32"/>
        </w:rPr>
        <w:t>%。决算数与年初预算数存在差异的主要原因是人员增资原因</w:t>
      </w:r>
      <w:r>
        <w:rPr>
          <w:rFonts w:hint="eastAsia" w:ascii="仿宋_GB2312" w:hAnsi="仿宋_GB2312" w:eastAsia="仿宋_GB2312" w:cs="仿宋_GB2312"/>
          <w:sz w:val="32"/>
          <w:szCs w:val="32"/>
          <w:lang w:eastAsia="zh-CN"/>
        </w:rPr>
        <w:t>，本期使用</w:t>
      </w:r>
      <w:r>
        <w:rPr>
          <w:rFonts w:hint="eastAsia" w:ascii="仿宋_GB2312" w:hAnsi="仿宋_GB2312" w:eastAsia="仿宋_GB2312" w:cs="仿宋_GB2312"/>
          <w:sz w:val="32"/>
          <w:szCs w:val="32"/>
          <w:lang w:val="en-US" w:eastAsia="zh-CN"/>
        </w:rPr>
        <w:t>2130299其他林业和草原支出科目</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5．农林水支出（类）林业和草原（款）</w:t>
      </w:r>
      <w:r>
        <w:rPr>
          <w:rFonts w:hint="eastAsia" w:ascii="仿宋_GB2312" w:hAnsi="仿宋_GB2312" w:eastAsia="仿宋_GB2312" w:cs="仿宋_GB2312"/>
          <w:sz w:val="32"/>
          <w:szCs w:val="32"/>
          <w:lang w:eastAsia="zh-CN"/>
        </w:rPr>
        <w:t>技术推广与转化</w:t>
      </w:r>
      <w:r>
        <w:rPr>
          <w:rFonts w:hint="eastAsia" w:ascii="仿宋_GB2312" w:hAnsi="仿宋_GB2312" w:eastAsia="仿宋_GB2312" w:cs="仿宋_GB2312"/>
          <w:sz w:val="32"/>
          <w:szCs w:val="32"/>
        </w:rPr>
        <w:t>（项）。年初预算为0万元，支出决算为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万元，完成年初预算的100%。决算数与年初预算数存在差异的主要原因是上级下达，本年年初未纳入预算。</w:t>
      </w:r>
    </w:p>
    <w:p>
      <w:pPr>
        <w:widowControl/>
        <w:spacing w:line="59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6．农林水支出（类）林业和草原（款）防灾减灾（项）。年初预算为0万元，支出决算为</w:t>
      </w:r>
      <w:r>
        <w:rPr>
          <w:rFonts w:hint="eastAsia" w:ascii="仿宋_GB2312" w:hAnsi="仿宋_GB2312" w:eastAsia="仿宋_GB2312" w:cs="仿宋_GB2312"/>
          <w:sz w:val="32"/>
          <w:szCs w:val="32"/>
          <w:lang w:val="en-US" w:eastAsia="zh-CN"/>
        </w:rPr>
        <w:t>8.78</w:t>
      </w:r>
      <w:r>
        <w:rPr>
          <w:rFonts w:hint="eastAsia" w:ascii="仿宋_GB2312" w:hAnsi="仿宋_GB2312" w:eastAsia="仿宋_GB2312" w:cs="仿宋_GB2312"/>
          <w:sz w:val="32"/>
          <w:szCs w:val="32"/>
        </w:rPr>
        <w:t>万元，完成年初预算的100%。决算数与年初预算数存在差异的主要原因是上级下达，本年年初未纳入预算。</w:t>
      </w:r>
    </w:p>
    <w:p>
      <w:pPr>
        <w:widowControl/>
        <w:spacing w:line="59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．农林水支出（类）林业和草原（款）</w:t>
      </w:r>
      <w:r>
        <w:rPr>
          <w:rFonts w:hint="eastAsia" w:ascii="仿宋_GB2312" w:hAnsi="仿宋_GB2312" w:eastAsia="仿宋_GB2312" w:cs="仿宋_GB2312"/>
          <w:sz w:val="32"/>
          <w:szCs w:val="32"/>
          <w:lang w:eastAsia="zh-CN"/>
        </w:rPr>
        <w:t>其他林业和草原</w:t>
      </w:r>
      <w:r>
        <w:rPr>
          <w:rFonts w:hint="eastAsia" w:ascii="仿宋_GB2312" w:hAnsi="仿宋_GB2312" w:eastAsia="仿宋_GB2312" w:cs="仿宋_GB2312"/>
          <w:sz w:val="32"/>
          <w:szCs w:val="32"/>
        </w:rPr>
        <w:t>（项）。年初预算为0万元，支出决算为</w:t>
      </w:r>
      <w:r>
        <w:rPr>
          <w:rFonts w:hint="eastAsia" w:ascii="仿宋_GB2312" w:hAnsi="仿宋_GB2312" w:eastAsia="仿宋_GB2312" w:cs="仿宋_GB2312"/>
          <w:sz w:val="32"/>
          <w:szCs w:val="32"/>
          <w:lang w:val="en-US" w:eastAsia="zh-CN"/>
        </w:rPr>
        <w:t>46.89</w:t>
      </w:r>
      <w:r>
        <w:rPr>
          <w:rFonts w:hint="eastAsia" w:ascii="仿宋_GB2312" w:hAnsi="仿宋_GB2312" w:eastAsia="仿宋_GB2312" w:cs="仿宋_GB2312"/>
          <w:sz w:val="32"/>
          <w:szCs w:val="32"/>
        </w:rPr>
        <w:t>万元，完成年初预算的100%。决算数与年初预算数存在差异的主要原因是上级下达，本年年初未纳入预人员增资原因。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一般公共预算财政拨款基本支出633.92万元。其中：人员经费513.92万元，主要包括：基本工资、伙食补助费、绩效工资、机关事业单位基本养老保险缴费、职工基本医疗保险缴费、住房公积金、其他工资福利支出、生活补助；公用经费120万元，主要包括：办公费、电费、取暖费、差旅费、维修（护）费、劳务费、其他交通费用。</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三公</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经费财政拨款支出预算为12.8万元，支出决算为0万元0。</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三公</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经费支出决算数与预算数存在差异的主要原因是本年度压减三公经费支出。</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三公</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经费财政拨款支出决算中，因公出国（境）费支出决算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万元;公务用车购置及运行费支出决算0万元；公务接待费支出决算0万元。具体情况如下：</w:t>
      </w:r>
    </w:p>
    <w:p>
      <w:pPr>
        <w:autoSpaceDE w:val="0"/>
        <w:autoSpaceDN w:val="0"/>
        <w:adjustRightInd w:val="0"/>
        <w:jc w:val="left"/>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bCs/>
          <w:sz w:val="32"/>
          <w:szCs w:val="32"/>
        </w:rPr>
        <w:t>预算为</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万元，支出决算为</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万元，完成预算的</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。决算数与预算数存在差异的主要原因是本年度压减三公经费支出。全年因公出国（境）团组</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个，累计</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人次。开支内容包括：</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w:t>
      </w:r>
    </w:p>
    <w:p>
      <w:pPr>
        <w:widowControl/>
        <w:spacing w:line="59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w:t>
      </w:r>
      <w:r>
        <w:rPr>
          <w:rFonts w:hint="eastAsia" w:ascii="仿宋_GB2312" w:hAnsi="仿宋_GB2312" w:eastAsia="仿宋_GB2312" w:cs="仿宋_GB2312"/>
          <w:bCs/>
          <w:sz w:val="32"/>
          <w:szCs w:val="32"/>
        </w:rPr>
        <w:t>算为</w:t>
      </w:r>
      <w:r>
        <w:rPr>
          <w:rFonts w:ascii="仿宋_GB2312" w:hAnsi="仿宋_GB2312" w:eastAsia="仿宋_GB2312" w:cs="仿宋_GB2312"/>
          <w:bCs/>
          <w:sz w:val="32"/>
          <w:szCs w:val="32"/>
        </w:rPr>
        <w:t>10.8</w:t>
      </w:r>
      <w:r>
        <w:rPr>
          <w:rFonts w:hint="eastAsia" w:ascii="仿宋_GB2312" w:hAnsi="仿宋_GB2312" w:eastAsia="仿宋_GB2312" w:cs="仿宋_GB2312"/>
          <w:bCs/>
          <w:sz w:val="32"/>
          <w:szCs w:val="32"/>
        </w:rPr>
        <w:t>万元，支出决算为</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万元，完成预算的</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。决算数与预算数存在差异的主要原因是本年度压减三公经费支出。其中：：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为0元，购置车辆0辆。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0元。2019年期末，部门开支财政拨款的公务用车保有量为0辆。</w:t>
      </w:r>
    </w:p>
    <w:p>
      <w:pPr>
        <w:autoSpaceDE w:val="0"/>
        <w:autoSpaceDN w:val="0"/>
        <w:adjustRightInd w:val="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bCs/>
          <w:sz w:val="32"/>
          <w:szCs w:val="32"/>
        </w:rPr>
        <w:t>预</w:t>
      </w:r>
      <w:r>
        <w:rPr>
          <w:rFonts w:hint="eastAsia" w:ascii="仿宋_GB2312" w:hAnsi="仿宋_GB2312" w:eastAsia="仿宋_GB2312" w:cs="仿宋_GB2312"/>
          <w:sz w:val="32"/>
          <w:szCs w:val="32"/>
        </w:rPr>
        <w:t>算为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。决算数与预算数存在差异的主要原因是本年度压减三公经费支出。其中：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外宾接待支出0.00</w:t>
      </w:r>
      <w:r>
        <w:rPr>
          <w:rFonts w:hint="eastAsia" w:ascii="仿宋_GB2312" w:hAnsi="仿宋_GB2312" w:eastAsia="仿宋_GB2312" w:cs="仿宋_GB2312"/>
          <w:sz w:val="32"/>
          <w:szCs w:val="32"/>
        </w:rPr>
        <w:t>万元。 2019年共接待国（境）外来访团组0个、来访外宾0次（不包括陪同人员）。来访人员主要包括：无。</w:t>
      </w:r>
    </w:p>
    <w:p>
      <w:pPr>
        <w:autoSpaceDE w:val="0"/>
        <w:autoSpaceDN w:val="0"/>
        <w:adjustRightInd w:val="0"/>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万元。主要用于无。</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年共接待国内来访团组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个、来宾</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人次（不包括陪同人员）。</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（一）预算绩效管理工作开展情况。</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年，我单位按照延津县财政局的要求，对预算项目资金认真开展了绩效评价。通过对项目资金开展绩效评价，使我单位近一步认清了资金使用中存在的薄弱环节，加快了资金的支出进度，提高了资金的使用效率。</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autoSpaceDE w:val="0"/>
        <w:autoSpaceDN w:val="0"/>
        <w:adjustRightIn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通过绩效评价促进了我单位正常项目工作的正常开展，服务工作得到正常运转，维护了全县正常的扶贫秩序，使政府、企业、广大群众对我单位项目工作的社会满意度得到了明显提高。</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（三）以部门为主体开展的重点绩效评价结果。</w:t>
      </w:r>
    </w:p>
    <w:p>
      <w:pPr>
        <w:autoSpaceDE w:val="0"/>
        <w:autoSpaceDN w:val="0"/>
        <w:adjustRightInd w:val="0"/>
        <w:ind w:firstLine="640" w:firstLineChars="200"/>
        <w:jc w:val="left"/>
        <w:rPr>
          <w:rFonts w:ascii="宋体" w:cs="宋体"/>
          <w:kern w:val="0"/>
          <w:sz w:val="18"/>
          <w:szCs w:val="18"/>
          <w:lang w:val="zh-CN"/>
        </w:rPr>
      </w:pPr>
      <w:r>
        <w:rPr>
          <w:rFonts w:hint="eastAsia" w:ascii="仿宋_GB2312" w:hAnsi="仿宋_GB2312" w:eastAsia="仿宋_GB2312" w:cs="仿宋_GB2312"/>
          <w:sz w:val="32"/>
          <w:szCs w:val="32"/>
        </w:rPr>
        <w:t>通过绩效评价促进了我单位正常项目工作的正常开展，服务工作得到正常运转，维护了全县正常的扶贫秩序，使政府、企业、广大群众对我单位项目工作的社会满意度得到了明显提高。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2019年度政府性基金预算财政拨款支出年初预算为0万元，支出决算为0万元。主要用于</w:t>
      </w:r>
      <w:r>
        <w:rPr>
          <w:rFonts w:hint="eastAsia" w:ascii="仿宋_GB2312" w:hAnsi="仿宋_GB2312" w:eastAsia="仿宋_GB2312" w:cs="仿宋_GB2312"/>
          <w:sz w:val="32"/>
          <w:szCs w:val="32"/>
          <w:highlight w:val="none"/>
        </w:rPr>
        <w:t>我部门没有政府性基金收入，也没有使用政府性基金安排的支出。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highlight w:val="none"/>
        </w:rPr>
      </w:pPr>
      <w:r>
        <w:rPr>
          <w:rFonts w:hint="eastAsia" w:ascii="黑体" w:hAnsi="黑体" w:eastAsia="黑体" w:cs="黑体"/>
          <w:sz w:val="32"/>
          <w:szCs w:val="32"/>
          <w:highlight w:val="none"/>
        </w:rPr>
        <w:t>十、机关运行经费支出情况说明</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2019年度机关运行经费</w:t>
      </w:r>
      <w:r>
        <w:rPr>
          <w:rFonts w:hint="eastAsia" w:ascii="仿宋_GB2312" w:hAnsi="仿宋_GB2312" w:eastAsia="仿宋_GB2312" w:cs="仿宋_GB2312"/>
          <w:sz w:val="32"/>
          <w:szCs w:val="32"/>
          <w:u w:val="dotDash"/>
        </w:rPr>
        <w:t>年</w:t>
      </w:r>
      <w:r>
        <w:rPr>
          <w:rFonts w:hint="eastAsia" w:ascii="仿宋_GB2312" w:hAnsi="仿宋_GB2312" w:eastAsia="仿宋_GB2312" w:cs="仿宋_GB2312"/>
          <w:sz w:val="32"/>
          <w:szCs w:val="32"/>
        </w:rPr>
        <w:t>初预算为0万元，支出决算为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%，比年初预算数增加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我单位不是行政机关，也不是参照公务员管</w:t>
      </w:r>
      <w:bookmarkStart w:id="0" w:name="_GoBack"/>
      <w:bookmarkEnd w:id="0"/>
      <w:r>
        <w:rPr>
          <w:rFonts w:hint="eastAsia" w:ascii="仿宋_GB2312" w:hAnsi="仿宋_GB2312" w:eastAsia="仿宋_GB2312" w:cs="仿宋_GB2312"/>
          <w:sz w:val="32"/>
          <w:szCs w:val="32"/>
          <w:lang w:eastAsia="zh-CN"/>
        </w:rPr>
        <w:t>理单位，没有机关运行经费。</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政府采购支出总额50万元，其中：政府采购货物支出20万元、政府采购工程支出10万元、政府采购服务支出20万元。授予中小企业合同金额40万元，占政府采购支出总额的80%，其中：授予小微企业合同金额30万元，占政府采购支出总额的60%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截止2019年12月31日，我部门共有车辆0辆，其中：；单位价值50万元以上通用设备0台（套），单位价值100万元以上专用设备0台（套）。</w:t>
      </w:r>
    </w:p>
    <w:p>
      <w:pPr>
        <w:widowControl/>
        <w:jc w:val="left"/>
        <w:rPr>
          <w:rFonts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八、年初结转和结余：指以前年度安排、结转到本年仍按原规定用途继续使用的资金。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九、结余分配：指事业单位按照会计制度规定缴纳的所得税以及从非财政拨款结余中提取的职工福利基金、事业基金等。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十、年末结转和结余：指单位本年度或以前年度预算安排、因客观条件发生变化未全部执行或未执行，结转到以后年度继续使用的资金，或项目已完成等产生的结余资金。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十三、经营支出：指事业单位在专业业务活动及其辅助活动之外开展非独立核算经营活动发生的支出。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十七、商品和服务支出：单位购买商品和服务的支出。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十八、对个人和家庭的补助支出：单位用于对个人和家庭的补助支出。</w:t>
      </w:r>
    </w:p>
    <w:sectPr>
      <w:pgSz w:w="11906" w:h="16838"/>
      <w:pgMar w:top="1928" w:right="1474" w:bottom="1701" w:left="1588"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599F"/>
    <w:rsid w:val="000270E8"/>
    <w:rsid w:val="00057AFD"/>
    <w:rsid w:val="00076410"/>
    <w:rsid w:val="000875A3"/>
    <w:rsid w:val="00094E62"/>
    <w:rsid w:val="000C073B"/>
    <w:rsid w:val="000C2647"/>
    <w:rsid w:val="001003F8"/>
    <w:rsid w:val="00131BAE"/>
    <w:rsid w:val="00144159"/>
    <w:rsid w:val="0015578D"/>
    <w:rsid w:val="001718A8"/>
    <w:rsid w:val="00172A27"/>
    <w:rsid w:val="00182842"/>
    <w:rsid w:val="001905F2"/>
    <w:rsid w:val="001D61B1"/>
    <w:rsid w:val="001F5040"/>
    <w:rsid w:val="002006EB"/>
    <w:rsid w:val="002406FA"/>
    <w:rsid w:val="00260D70"/>
    <w:rsid w:val="00282C7F"/>
    <w:rsid w:val="00287811"/>
    <w:rsid w:val="002903F8"/>
    <w:rsid w:val="002961DB"/>
    <w:rsid w:val="002A22C4"/>
    <w:rsid w:val="002B0D12"/>
    <w:rsid w:val="002B3F94"/>
    <w:rsid w:val="002D3E5E"/>
    <w:rsid w:val="002E2DC6"/>
    <w:rsid w:val="002E6A86"/>
    <w:rsid w:val="00304326"/>
    <w:rsid w:val="00304D04"/>
    <w:rsid w:val="00305B88"/>
    <w:rsid w:val="00315FEB"/>
    <w:rsid w:val="003578C6"/>
    <w:rsid w:val="0039179F"/>
    <w:rsid w:val="003B0430"/>
    <w:rsid w:val="003B6571"/>
    <w:rsid w:val="003B6EF5"/>
    <w:rsid w:val="00405081"/>
    <w:rsid w:val="004054E4"/>
    <w:rsid w:val="00410700"/>
    <w:rsid w:val="0042585F"/>
    <w:rsid w:val="00427C53"/>
    <w:rsid w:val="0043677E"/>
    <w:rsid w:val="00445CAC"/>
    <w:rsid w:val="00454941"/>
    <w:rsid w:val="00472E19"/>
    <w:rsid w:val="00487869"/>
    <w:rsid w:val="004D5275"/>
    <w:rsid w:val="004F4038"/>
    <w:rsid w:val="00507364"/>
    <w:rsid w:val="00546F7C"/>
    <w:rsid w:val="005A0C2F"/>
    <w:rsid w:val="005B1AE2"/>
    <w:rsid w:val="005B4A24"/>
    <w:rsid w:val="006228C4"/>
    <w:rsid w:val="006512DD"/>
    <w:rsid w:val="00656BEF"/>
    <w:rsid w:val="00656D75"/>
    <w:rsid w:val="00657D66"/>
    <w:rsid w:val="00657E86"/>
    <w:rsid w:val="00673EF7"/>
    <w:rsid w:val="00674CAF"/>
    <w:rsid w:val="00685446"/>
    <w:rsid w:val="0069449E"/>
    <w:rsid w:val="006B0F7D"/>
    <w:rsid w:val="006B6436"/>
    <w:rsid w:val="006C07F0"/>
    <w:rsid w:val="006C644A"/>
    <w:rsid w:val="006C7D84"/>
    <w:rsid w:val="00707BD8"/>
    <w:rsid w:val="007148E8"/>
    <w:rsid w:val="00724863"/>
    <w:rsid w:val="00733DAA"/>
    <w:rsid w:val="00742BA0"/>
    <w:rsid w:val="00753545"/>
    <w:rsid w:val="00764156"/>
    <w:rsid w:val="007652D8"/>
    <w:rsid w:val="007706D7"/>
    <w:rsid w:val="0077280E"/>
    <w:rsid w:val="007879ED"/>
    <w:rsid w:val="007A48A3"/>
    <w:rsid w:val="007A550C"/>
    <w:rsid w:val="007C029F"/>
    <w:rsid w:val="007C7F49"/>
    <w:rsid w:val="007D2A21"/>
    <w:rsid w:val="0082526E"/>
    <w:rsid w:val="00826815"/>
    <w:rsid w:val="00843461"/>
    <w:rsid w:val="00872946"/>
    <w:rsid w:val="0088023A"/>
    <w:rsid w:val="008818E9"/>
    <w:rsid w:val="0088254D"/>
    <w:rsid w:val="008858FB"/>
    <w:rsid w:val="00894B41"/>
    <w:rsid w:val="008B5427"/>
    <w:rsid w:val="008D354A"/>
    <w:rsid w:val="008F1C35"/>
    <w:rsid w:val="00903F6B"/>
    <w:rsid w:val="009173F9"/>
    <w:rsid w:val="00975A04"/>
    <w:rsid w:val="009B04A4"/>
    <w:rsid w:val="009C58AC"/>
    <w:rsid w:val="009E2462"/>
    <w:rsid w:val="009F546E"/>
    <w:rsid w:val="00A079F0"/>
    <w:rsid w:val="00A1772D"/>
    <w:rsid w:val="00A57BF7"/>
    <w:rsid w:val="00A81452"/>
    <w:rsid w:val="00A83D8A"/>
    <w:rsid w:val="00A93E7D"/>
    <w:rsid w:val="00AA260E"/>
    <w:rsid w:val="00AA44CB"/>
    <w:rsid w:val="00AA67CD"/>
    <w:rsid w:val="00AC2764"/>
    <w:rsid w:val="00AC4266"/>
    <w:rsid w:val="00AD6761"/>
    <w:rsid w:val="00AE600E"/>
    <w:rsid w:val="00B0083B"/>
    <w:rsid w:val="00B209B8"/>
    <w:rsid w:val="00B249F3"/>
    <w:rsid w:val="00B27C18"/>
    <w:rsid w:val="00B5529C"/>
    <w:rsid w:val="00B57116"/>
    <w:rsid w:val="00B710DD"/>
    <w:rsid w:val="00B72A30"/>
    <w:rsid w:val="00B8209B"/>
    <w:rsid w:val="00BB3FD2"/>
    <w:rsid w:val="00BE5A85"/>
    <w:rsid w:val="00BF5718"/>
    <w:rsid w:val="00C1157A"/>
    <w:rsid w:val="00C25FAD"/>
    <w:rsid w:val="00C3106E"/>
    <w:rsid w:val="00C60609"/>
    <w:rsid w:val="00C95CC1"/>
    <w:rsid w:val="00C97266"/>
    <w:rsid w:val="00CA3F44"/>
    <w:rsid w:val="00CB136F"/>
    <w:rsid w:val="00CE212D"/>
    <w:rsid w:val="00CE2EFB"/>
    <w:rsid w:val="00CE4B38"/>
    <w:rsid w:val="00CF55A6"/>
    <w:rsid w:val="00D1321A"/>
    <w:rsid w:val="00D30ADF"/>
    <w:rsid w:val="00D338A3"/>
    <w:rsid w:val="00D6315E"/>
    <w:rsid w:val="00D652C2"/>
    <w:rsid w:val="00D74EE2"/>
    <w:rsid w:val="00D81301"/>
    <w:rsid w:val="00D83E19"/>
    <w:rsid w:val="00DA00C9"/>
    <w:rsid w:val="00DB200E"/>
    <w:rsid w:val="00DB65F5"/>
    <w:rsid w:val="00E0106A"/>
    <w:rsid w:val="00E01C3E"/>
    <w:rsid w:val="00E13099"/>
    <w:rsid w:val="00E24448"/>
    <w:rsid w:val="00E33103"/>
    <w:rsid w:val="00E4339F"/>
    <w:rsid w:val="00E533D3"/>
    <w:rsid w:val="00E629EA"/>
    <w:rsid w:val="00E63E5F"/>
    <w:rsid w:val="00E6777C"/>
    <w:rsid w:val="00EB05A3"/>
    <w:rsid w:val="00ED38B7"/>
    <w:rsid w:val="00EE051D"/>
    <w:rsid w:val="00EE078D"/>
    <w:rsid w:val="00EE3C4D"/>
    <w:rsid w:val="00F0131A"/>
    <w:rsid w:val="00F14C17"/>
    <w:rsid w:val="00F17041"/>
    <w:rsid w:val="00F44937"/>
    <w:rsid w:val="00F61A47"/>
    <w:rsid w:val="00F84422"/>
    <w:rsid w:val="00F8532E"/>
    <w:rsid w:val="00F91B61"/>
    <w:rsid w:val="00F95455"/>
    <w:rsid w:val="00FA574D"/>
    <w:rsid w:val="00FE7AD9"/>
    <w:rsid w:val="00FF3F8A"/>
    <w:rsid w:val="00FF710C"/>
    <w:rsid w:val="01322275"/>
    <w:rsid w:val="019B717E"/>
    <w:rsid w:val="01DC6F05"/>
    <w:rsid w:val="026D3274"/>
    <w:rsid w:val="02A3489A"/>
    <w:rsid w:val="02CA138D"/>
    <w:rsid w:val="02E238C3"/>
    <w:rsid w:val="033646FC"/>
    <w:rsid w:val="03C75F80"/>
    <w:rsid w:val="0478364D"/>
    <w:rsid w:val="04AF4BA4"/>
    <w:rsid w:val="050E70CD"/>
    <w:rsid w:val="053D4C0D"/>
    <w:rsid w:val="0557532E"/>
    <w:rsid w:val="0799329C"/>
    <w:rsid w:val="086F16A7"/>
    <w:rsid w:val="0A0F7225"/>
    <w:rsid w:val="0A2B7D82"/>
    <w:rsid w:val="0ADC40E9"/>
    <w:rsid w:val="0AE607F4"/>
    <w:rsid w:val="0B451598"/>
    <w:rsid w:val="0BEC73F4"/>
    <w:rsid w:val="0C392698"/>
    <w:rsid w:val="0D224EC2"/>
    <w:rsid w:val="10BD36F6"/>
    <w:rsid w:val="11BF0649"/>
    <w:rsid w:val="123E3E08"/>
    <w:rsid w:val="12F66B4A"/>
    <w:rsid w:val="161C2DFF"/>
    <w:rsid w:val="16373578"/>
    <w:rsid w:val="16D3336B"/>
    <w:rsid w:val="17806C36"/>
    <w:rsid w:val="17A74F62"/>
    <w:rsid w:val="18A47774"/>
    <w:rsid w:val="19352BDA"/>
    <w:rsid w:val="19C13DCF"/>
    <w:rsid w:val="1B2E6FD8"/>
    <w:rsid w:val="1B877D21"/>
    <w:rsid w:val="1C4319A9"/>
    <w:rsid w:val="1E4D68A4"/>
    <w:rsid w:val="1E994F4A"/>
    <w:rsid w:val="1EAF0224"/>
    <w:rsid w:val="1ED74E3A"/>
    <w:rsid w:val="1F2230A4"/>
    <w:rsid w:val="20210932"/>
    <w:rsid w:val="202448E0"/>
    <w:rsid w:val="20BE3E6B"/>
    <w:rsid w:val="21302EEA"/>
    <w:rsid w:val="22376FB5"/>
    <w:rsid w:val="23E152D7"/>
    <w:rsid w:val="255D43C8"/>
    <w:rsid w:val="25FD0CE5"/>
    <w:rsid w:val="26876BDD"/>
    <w:rsid w:val="2714632A"/>
    <w:rsid w:val="27B0539E"/>
    <w:rsid w:val="29365CF8"/>
    <w:rsid w:val="29397105"/>
    <w:rsid w:val="299469B3"/>
    <w:rsid w:val="29BE69C3"/>
    <w:rsid w:val="2A805789"/>
    <w:rsid w:val="2B4A0E52"/>
    <w:rsid w:val="2C975890"/>
    <w:rsid w:val="2DEF21BB"/>
    <w:rsid w:val="2E4A2F05"/>
    <w:rsid w:val="2ECC1061"/>
    <w:rsid w:val="2FA476AD"/>
    <w:rsid w:val="303F7540"/>
    <w:rsid w:val="31DD00BF"/>
    <w:rsid w:val="328B2FA1"/>
    <w:rsid w:val="3293174C"/>
    <w:rsid w:val="32936002"/>
    <w:rsid w:val="32BB38D4"/>
    <w:rsid w:val="32C9376D"/>
    <w:rsid w:val="33780472"/>
    <w:rsid w:val="33933F43"/>
    <w:rsid w:val="33AF0905"/>
    <w:rsid w:val="34EB6088"/>
    <w:rsid w:val="355932F4"/>
    <w:rsid w:val="35611882"/>
    <w:rsid w:val="35934FF5"/>
    <w:rsid w:val="35EB0033"/>
    <w:rsid w:val="36746FC3"/>
    <w:rsid w:val="368763AE"/>
    <w:rsid w:val="395D59E7"/>
    <w:rsid w:val="39A93932"/>
    <w:rsid w:val="3A503D67"/>
    <w:rsid w:val="3A915562"/>
    <w:rsid w:val="3B7265A0"/>
    <w:rsid w:val="3B8D4765"/>
    <w:rsid w:val="3C000DBA"/>
    <w:rsid w:val="3DC045D3"/>
    <w:rsid w:val="3E504FFB"/>
    <w:rsid w:val="3E615CD0"/>
    <w:rsid w:val="3E9C47F6"/>
    <w:rsid w:val="3FAB3095"/>
    <w:rsid w:val="3FE45947"/>
    <w:rsid w:val="412253A8"/>
    <w:rsid w:val="41242965"/>
    <w:rsid w:val="42D4120D"/>
    <w:rsid w:val="435671EA"/>
    <w:rsid w:val="440809E9"/>
    <w:rsid w:val="442407A6"/>
    <w:rsid w:val="44805EA1"/>
    <w:rsid w:val="451A1CB3"/>
    <w:rsid w:val="45710696"/>
    <w:rsid w:val="46142B1B"/>
    <w:rsid w:val="46C14AA3"/>
    <w:rsid w:val="47E60DD0"/>
    <w:rsid w:val="481C151D"/>
    <w:rsid w:val="482A1360"/>
    <w:rsid w:val="48735039"/>
    <w:rsid w:val="4895532B"/>
    <w:rsid w:val="492C684B"/>
    <w:rsid w:val="49500594"/>
    <w:rsid w:val="49E7604E"/>
    <w:rsid w:val="4BF67CDD"/>
    <w:rsid w:val="4D603DD6"/>
    <w:rsid w:val="4EBF010F"/>
    <w:rsid w:val="4EF95324"/>
    <w:rsid w:val="4F471EB0"/>
    <w:rsid w:val="51015B9F"/>
    <w:rsid w:val="51331326"/>
    <w:rsid w:val="51740A7F"/>
    <w:rsid w:val="51A5541E"/>
    <w:rsid w:val="51C96242"/>
    <w:rsid w:val="537F55D7"/>
    <w:rsid w:val="54341889"/>
    <w:rsid w:val="54F46F60"/>
    <w:rsid w:val="55A37BEA"/>
    <w:rsid w:val="5784687B"/>
    <w:rsid w:val="57846959"/>
    <w:rsid w:val="578E6A87"/>
    <w:rsid w:val="58907098"/>
    <w:rsid w:val="5A5738FA"/>
    <w:rsid w:val="5AC2203A"/>
    <w:rsid w:val="5CBB3334"/>
    <w:rsid w:val="5D115FAF"/>
    <w:rsid w:val="62621EDA"/>
    <w:rsid w:val="62811722"/>
    <w:rsid w:val="62E75A72"/>
    <w:rsid w:val="63DC186C"/>
    <w:rsid w:val="63F7026C"/>
    <w:rsid w:val="64571880"/>
    <w:rsid w:val="649125B6"/>
    <w:rsid w:val="652F4C1A"/>
    <w:rsid w:val="666D37F1"/>
    <w:rsid w:val="67087D8F"/>
    <w:rsid w:val="671F687E"/>
    <w:rsid w:val="67F415F8"/>
    <w:rsid w:val="684B73E5"/>
    <w:rsid w:val="6A047A2A"/>
    <w:rsid w:val="6BF62A83"/>
    <w:rsid w:val="6D1D2ABE"/>
    <w:rsid w:val="6F3831C3"/>
    <w:rsid w:val="70417DD1"/>
    <w:rsid w:val="70753482"/>
    <w:rsid w:val="707B522A"/>
    <w:rsid w:val="70CD1469"/>
    <w:rsid w:val="73194D05"/>
    <w:rsid w:val="736175F0"/>
    <w:rsid w:val="73A83B0E"/>
    <w:rsid w:val="744D3EF9"/>
    <w:rsid w:val="74794411"/>
    <w:rsid w:val="75867C40"/>
    <w:rsid w:val="76432199"/>
    <w:rsid w:val="76F44829"/>
    <w:rsid w:val="77A267C0"/>
    <w:rsid w:val="78205483"/>
    <w:rsid w:val="78882278"/>
    <w:rsid w:val="78B118A6"/>
    <w:rsid w:val="78DE16F4"/>
    <w:rsid w:val="79135044"/>
    <w:rsid w:val="7A644B5B"/>
    <w:rsid w:val="7A7D0F99"/>
    <w:rsid w:val="7B2A08DE"/>
    <w:rsid w:val="7EFD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7"/>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qFormat/>
    <w:uiPriority w:val="99"/>
    <w:pPr>
      <w:snapToGrid w:val="0"/>
      <w:jc w:val="left"/>
    </w:pPr>
    <w:rPr>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styleId="14">
    <w:name w:val="footnote reference"/>
    <w:basedOn w:val="10"/>
    <w:unhideWhenUsed/>
    <w:qFormat/>
    <w:uiPriority w:val="99"/>
    <w:rPr>
      <w:vertAlign w:val="superscript"/>
    </w:rPr>
  </w:style>
  <w:style w:type="character" w:customStyle="1" w:styleId="15">
    <w:name w:val="页脚 Char"/>
    <w:link w:val="5"/>
    <w:qFormat/>
    <w:uiPriority w:val="99"/>
    <w:rPr>
      <w:kern w:val="2"/>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批注框文本 Char"/>
    <w:basedOn w:val="10"/>
    <w:link w:val="4"/>
    <w:semiHidden/>
    <w:qFormat/>
    <w:uiPriority w:val="99"/>
    <w:rPr>
      <w:kern w:val="2"/>
      <w:sz w:val="18"/>
      <w:szCs w:val="18"/>
    </w:rPr>
  </w:style>
  <w:style w:type="character" w:customStyle="1" w:styleId="18">
    <w:name w:val="font51"/>
    <w:basedOn w:val="10"/>
    <w:qFormat/>
    <w:uiPriority w:val="0"/>
    <w:rPr>
      <w:rFonts w:hint="eastAsia" w:ascii="宋体" w:hAnsi="宋体" w:eastAsia="宋体" w:cs="宋体"/>
      <w:color w:val="000000"/>
      <w:sz w:val="24"/>
      <w:szCs w:val="24"/>
      <w:u w:val="none"/>
    </w:rPr>
  </w:style>
  <w:style w:type="character" w:customStyle="1" w:styleId="19">
    <w:name w:val="页眉 Char"/>
    <w:link w:val="6"/>
    <w:qFormat/>
    <w:uiPriority w:val="99"/>
    <w:rPr>
      <w:kern w:val="2"/>
      <w:sz w:val="18"/>
      <w:szCs w:val="18"/>
    </w:rPr>
  </w:style>
  <w:style w:type="character" w:customStyle="1" w:styleId="20">
    <w:name w:val="font41"/>
    <w:basedOn w:val="10"/>
    <w:qFormat/>
    <w:uiPriority w:val="0"/>
    <w:rPr>
      <w:rFonts w:hint="eastAsia" w:ascii="宋体" w:hAnsi="宋体" w:eastAsia="宋体" w:cs="宋体"/>
      <w:color w:val="000000"/>
      <w:sz w:val="24"/>
      <w:szCs w:val="24"/>
      <w:u w:val="none"/>
    </w:rPr>
  </w:style>
  <w:style w:type="character" w:customStyle="1" w:styleId="21">
    <w:name w:val="font21"/>
    <w:basedOn w:val="10"/>
    <w:qFormat/>
    <w:uiPriority w:val="0"/>
    <w:rPr>
      <w:rFonts w:hint="eastAsia" w:ascii="宋体" w:hAnsi="宋体" w:eastAsia="宋体" w:cs="宋体"/>
      <w:color w:val="000000"/>
      <w:sz w:val="22"/>
      <w:szCs w:val="22"/>
      <w:u w:val="none"/>
    </w:rPr>
  </w:style>
  <w:style w:type="character" w:customStyle="1" w:styleId="22">
    <w:name w:val="无间隔 Char"/>
    <w:basedOn w:val="10"/>
    <w:link w:val="23"/>
    <w:qFormat/>
    <w:uiPriority w:val="1"/>
    <w:rPr>
      <w:sz w:val="22"/>
      <w:szCs w:val="22"/>
      <w:lang w:val="en-US" w:eastAsia="zh-CN" w:bidi="ar-SA"/>
    </w:rPr>
  </w:style>
  <w:style w:type="paragraph" w:styleId="23">
    <w:name w:val="No Spacing"/>
    <w:link w:val="22"/>
    <w:qFormat/>
    <w:uiPriority w:val="1"/>
    <w:rPr>
      <w:rFonts w:ascii="Calibri" w:hAnsi="Calibri" w:eastAsia="宋体" w:cs="Times New Roman"/>
      <w:sz w:val="22"/>
      <w:szCs w:val="22"/>
      <w:lang w:val="en-US" w:eastAsia="zh-CN" w:bidi="ar-SA"/>
    </w:rPr>
  </w:style>
  <w:style w:type="character" w:customStyle="1" w:styleId="24">
    <w:name w:val="font11"/>
    <w:basedOn w:val="10"/>
    <w:qFormat/>
    <w:uiPriority w:val="0"/>
    <w:rPr>
      <w:rFonts w:hint="eastAsia" w:ascii="宋体" w:hAnsi="宋体" w:eastAsia="宋体" w:cs="宋体"/>
      <w:color w:val="000000"/>
      <w:sz w:val="20"/>
      <w:szCs w:val="20"/>
      <w:u w:val="none"/>
    </w:rPr>
  </w:style>
  <w:style w:type="paragraph" w:customStyle="1" w:styleId="25">
    <w:name w:val="标题1"/>
    <w:basedOn w:val="2"/>
    <w:qFormat/>
    <w:uiPriority w:val="0"/>
    <w:pPr>
      <w:spacing w:before="0" w:after="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1700</Words>
  <Characters>9694</Characters>
  <Lines>80</Lines>
  <Paragraphs>22</Paragraphs>
  <TotalTime>7</TotalTime>
  <ScaleCrop>false</ScaleCrop>
  <LinksUpToDate>false</LinksUpToDate>
  <CharactersWithSpaces>11372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2020-09-13T09:42:00Z</dcterms:created>
  <dc:creator>管理者</dc:creator>
  <cp:lastModifiedBy>Administrator</cp:lastModifiedBy>
  <cp:lastPrinted>2020-09-26T01:37:00Z</cp:lastPrinted>
  <dcterms:modified xsi:type="dcterms:W3CDTF">2020-09-27T12:37:54Z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