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560" w:lineRule="exact"/>
        <w:jc w:val="center"/>
        <w:rPr>
          <w:rFonts w:ascii="仿宋_GB2312" w:eastAsia="仿宋_GB2312"/>
          <w:sz w:val="32"/>
          <w:szCs w:val="32"/>
        </w:rPr>
      </w:pPr>
      <w:bookmarkStart w:id="0" w:name="_Toc530259513_WPSOffice_Level1"/>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r>
        <w:rPr>
          <w:rFonts w:hint="eastAsia" w:ascii="仿宋_GB2312" w:eastAsia="仿宋_GB2312" w:cs="仿宋_GB2312"/>
          <w:sz w:val="32"/>
          <w:szCs w:val="32"/>
        </w:rPr>
        <w:t>延政办〔</w:t>
      </w:r>
      <w:r>
        <w:rPr>
          <w:rFonts w:ascii="仿宋_GB2312" w:eastAsia="仿宋_GB2312" w:cs="仿宋_GB2312"/>
          <w:sz w:val="32"/>
          <w:szCs w:val="32"/>
        </w:rPr>
        <w:t>202</w:t>
      </w:r>
      <w:r>
        <w:rPr>
          <w:rFonts w:hint="default" w:ascii="仿宋_GB2312" w:eastAsia="仿宋_GB2312" w:cs="仿宋_GB2312"/>
          <w:sz w:val="32"/>
          <w:szCs w:val="32"/>
          <w:lang w:val="en"/>
        </w:rPr>
        <w:t>2</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26</w:t>
      </w:r>
      <w:bookmarkStart w:id="71" w:name="_GoBack"/>
      <w:bookmarkEnd w:id="71"/>
      <w:r>
        <w:rPr>
          <w:rFonts w:hint="eastAsia" w:ascii="仿宋_GB2312" w:eastAsia="仿宋_GB2312" w:cs="仿宋_GB2312"/>
          <w:sz w:val="32"/>
          <w:szCs w:val="32"/>
        </w:rPr>
        <w:t>号</w:t>
      </w:r>
    </w:p>
    <w:p>
      <w:pPr>
        <w:spacing w:line="560" w:lineRule="exact"/>
        <w:jc w:val="center"/>
        <w:rPr>
          <w:rFonts w:ascii="文星标宋" w:eastAsia="文星标宋"/>
          <w:sz w:val="44"/>
          <w:szCs w:val="44"/>
        </w:rPr>
      </w:pPr>
    </w:p>
    <w:p>
      <w:pPr>
        <w:spacing w:line="560" w:lineRule="exact"/>
        <w:jc w:val="center"/>
        <w:rPr>
          <w:rFonts w:ascii="文星标宋" w:eastAsia="文星标宋"/>
          <w:sz w:val="44"/>
          <w:szCs w:val="44"/>
        </w:rPr>
      </w:pPr>
    </w:p>
    <w:p>
      <w:pPr>
        <w:keepNext w:val="0"/>
        <w:keepLines w:val="0"/>
        <w:pageBreakBefore w:val="0"/>
        <w:widowControl w:val="0"/>
        <w:kinsoku/>
        <w:wordWrap/>
        <w:overflowPunct/>
        <w:topLinePunct w:val="0"/>
        <w:bidi w:val="0"/>
        <w:adjustRightInd/>
        <w:spacing w:line="560" w:lineRule="exact"/>
        <w:ind w:right="0" w:rightChars="0"/>
        <w:jc w:val="center"/>
        <w:textAlignment w:val="auto"/>
        <w:outlineLvl w:val="9"/>
        <w:rPr>
          <w:rFonts w:hint="eastAsia" w:ascii="文星标宋" w:hAnsi="文星标宋" w:eastAsia="文星标宋" w:cs="文星标宋"/>
          <w:b w:val="0"/>
          <w:bCs w:val="0"/>
          <w:spacing w:val="0"/>
          <w:kern w:val="2"/>
          <w:sz w:val="44"/>
          <w:szCs w:val="44"/>
          <w:lang w:val="en-US" w:eastAsia="zh-CN" w:bidi="ar-SA"/>
        </w:rPr>
      </w:pPr>
      <w:r>
        <w:rPr>
          <w:rFonts w:hint="eastAsia" w:ascii="文星标宋" w:hAnsi="文星标宋" w:eastAsia="文星标宋" w:cs="文星标宋"/>
          <w:b w:val="0"/>
          <w:bCs w:val="0"/>
          <w:spacing w:val="0"/>
          <w:kern w:val="2"/>
          <w:sz w:val="44"/>
          <w:szCs w:val="44"/>
          <w:lang w:val="en-US" w:eastAsia="zh-CN" w:bidi="ar-SA"/>
        </w:rPr>
        <w:t>延津县人民政府办公室</w:t>
      </w:r>
    </w:p>
    <w:p>
      <w:pPr>
        <w:keepNext w:val="0"/>
        <w:keepLines w:val="0"/>
        <w:pageBreakBefore w:val="0"/>
        <w:widowControl w:val="0"/>
        <w:kinsoku/>
        <w:wordWrap/>
        <w:overflowPunct/>
        <w:topLinePunct w:val="0"/>
        <w:bidi w:val="0"/>
        <w:adjustRightInd/>
        <w:spacing w:line="560" w:lineRule="exact"/>
        <w:ind w:right="0" w:rightChars="0"/>
        <w:jc w:val="center"/>
        <w:textAlignment w:val="auto"/>
        <w:outlineLvl w:val="9"/>
        <w:rPr>
          <w:rFonts w:hint="eastAsia" w:ascii="文星标宋" w:hAnsi="文星标宋" w:eastAsia="文星标宋" w:cs="文星标宋"/>
          <w:b w:val="0"/>
          <w:bCs w:val="0"/>
          <w:spacing w:val="-6"/>
          <w:kern w:val="2"/>
          <w:sz w:val="44"/>
          <w:szCs w:val="44"/>
          <w:lang w:val="en-US" w:eastAsia="zh-CN" w:bidi="ar-SA"/>
        </w:rPr>
      </w:pPr>
      <w:r>
        <w:rPr>
          <w:rFonts w:hint="eastAsia" w:ascii="文星标宋" w:hAnsi="文星标宋" w:eastAsia="文星标宋" w:cs="文星标宋"/>
          <w:b w:val="0"/>
          <w:bCs w:val="0"/>
          <w:spacing w:val="-6"/>
          <w:kern w:val="2"/>
          <w:sz w:val="44"/>
          <w:szCs w:val="44"/>
          <w:lang w:val="en-US" w:eastAsia="zh-CN" w:bidi="ar-SA"/>
        </w:rPr>
        <w:t>关于印发《</w:t>
      </w:r>
      <w:r>
        <w:rPr>
          <w:rFonts w:hint="eastAsia" w:ascii="文星标宋" w:hAnsi="文星标宋" w:eastAsia="文星标宋" w:cs="文星标宋"/>
          <w:color w:val="auto"/>
          <w:spacing w:val="-6"/>
          <w:sz w:val="44"/>
          <w:szCs w:val="44"/>
        </w:rPr>
        <w:t>延津县“十四五”质量强县建设规划</w:t>
      </w:r>
      <w:r>
        <w:rPr>
          <w:rFonts w:hint="eastAsia" w:ascii="文星标宋" w:hAnsi="文星标宋" w:eastAsia="文星标宋" w:cs="文星标宋"/>
          <w:b w:val="0"/>
          <w:bCs w:val="0"/>
          <w:spacing w:val="-6"/>
          <w:kern w:val="2"/>
          <w:sz w:val="44"/>
          <w:szCs w:val="44"/>
          <w:lang w:val="en-US" w:eastAsia="zh-CN" w:bidi="ar-SA"/>
        </w:rPr>
        <w:t>》</w:t>
      </w:r>
    </w:p>
    <w:p>
      <w:pPr>
        <w:keepNext w:val="0"/>
        <w:keepLines w:val="0"/>
        <w:pageBreakBefore w:val="0"/>
        <w:widowControl w:val="0"/>
        <w:kinsoku/>
        <w:wordWrap/>
        <w:overflowPunct/>
        <w:topLinePunct w:val="0"/>
        <w:bidi w:val="0"/>
        <w:adjustRightInd/>
        <w:spacing w:line="560" w:lineRule="exact"/>
        <w:ind w:right="0" w:rightChars="0"/>
        <w:jc w:val="center"/>
        <w:textAlignment w:val="auto"/>
        <w:outlineLvl w:val="9"/>
        <w:rPr>
          <w:rFonts w:hint="eastAsia" w:ascii="文星标宋" w:hAnsi="文星标宋" w:eastAsia="文星标宋" w:cs="文星标宋"/>
          <w:b w:val="0"/>
          <w:bCs w:val="0"/>
          <w:spacing w:val="-11"/>
          <w:kern w:val="2"/>
          <w:sz w:val="44"/>
          <w:szCs w:val="44"/>
          <w:lang w:val="en-US" w:eastAsia="zh-CN" w:bidi="ar-SA"/>
        </w:rPr>
      </w:pPr>
      <w:r>
        <w:rPr>
          <w:rFonts w:hint="eastAsia" w:ascii="文星标宋" w:hAnsi="文星标宋" w:eastAsia="文星标宋" w:cs="文星标宋"/>
          <w:b w:val="0"/>
          <w:bCs w:val="0"/>
          <w:spacing w:val="-11"/>
          <w:kern w:val="2"/>
          <w:sz w:val="44"/>
          <w:szCs w:val="44"/>
          <w:lang w:val="en-US" w:eastAsia="zh-CN" w:bidi="ar-SA"/>
        </w:rPr>
        <w:t>的通知</w:t>
      </w:r>
    </w:p>
    <w:p>
      <w:pPr>
        <w:keepNext w:val="0"/>
        <w:keepLines w:val="0"/>
        <w:pageBreakBefore w:val="0"/>
        <w:widowControl w:val="0"/>
        <w:kinsoku/>
        <w:wordWrap/>
        <w:overflowPunct/>
        <w:topLinePunct w:val="0"/>
        <w:autoSpaceDE/>
        <w:autoSpaceDN/>
        <w:bidi w:val="0"/>
        <w:adjustRightInd/>
        <w:snapToGrid/>
        <w:spacing w:line="540" w:lineRule="exact"/>
        <w:ind w:left="0"/>
        <w:jc w:val="both"/>
        <w:textAlignment w:val="auto"/>
        <w:outlineLvl w:val="9"/>
        <w:rPr>
          <w:rFonts w:hint="eastAsia" w:ascii="仿宋_GB2312" w:eastAsia="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outlineLvl w:val="9"/>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各乡（镇）人民政府、街道办事处，县产业集聚区，县直</w:t>
      </w:r>
      <w:r>
        <w:rPr>
          <w:rFonts w:hint="eastAsia" w:ascii="仿宋_GB2312" w:hAnsi="仿宋_GB2312" w:eastAsia="仿宋_GB2312" w:cs="仿宋_GB2312"/>
          <w:spacing w:val="-11"/>
          <w:sz w:val="32"/>
          <w:szCs w:val="32"/>
          <w:lang w:eastAsia="zh-CN"/>
        </w:rPr>
        <w:t>各</w:t>
      </w:r>
      <w:r>
        <w:rPr>
          <w:rFonts w:hint="eastAsia" w:ascii="仿宋_GB2312" w:hAnsi="仿宋_GB2312" w:eastAsia="仿宋_GB2312" w:cs="仿宋_GB2312"/>
          <w:spacing w:val="-11"/>
          <w:sz w:val="32"/>
          <w:szCs w:val="32"/>
        </w:rPr>
        <w:t>单位：</w:t>
      </w:r>
    </w:p>
    <w:p>
      <w:pPr>
        <w:keepNext w:val="0"/>
        <w:keepLines w:val="0"/>
        <w:pageBreakBefore w:val="0"/>
        <w:widowControl w:val="0"/>
        <w:kinsoku/>
        <w:wordWrap/>
        <w:overflowPunct/>
        <w:topLinePunct w:val="0"/>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10"/>
          <w:sz w:val="32"/>
          <w:szCs w:val="32"/>
          <w:lang w:eastAsia="zh-CN"/>
        </w:rPr>
      </w:pPr>
      <w:r>
        <w:rPr>
          <w:rFonts w:hint="eastAsia" w:ascii="仿宋_GB2312" w:hAnsi="仿宋_GB2312" w:eastAsia="仿宋_GB2312" w:cs="仿宋_GB2312"/>
          <w:color w:val="auto"/>
          <w:spacing w:val="0"/>
          <w:sz w:val="32"/>
          <w:szCs w:val="32"/>
        </w:rPr>
        <w:t>《延津县“十四五”质量强县建设规划》</w:t>
      </w:r>
      <w:r>
        <w:rPr>
          <w:rFonts w:hint="eastAsia" w:ascii="仿宋_GB2312" w:hAnsi="仿宋_GB2312" w:eastAsia="仿宋_GB2312" w:cs="仿宋_GB2312"/>
          <w:color w:val="auto"/>
          <w:spacing w:val="0"/>
          <w:sz w:val="32"/>
          <w:szCs w:val="32"/>
          <w:lang w:eastAsia="zh-CN"/>
        </w:rPr>
        <w:t>已经县政府研究同意，现印发给你们，请认真贯彻落实。</w:t>
      </w:r>
    </w:p>
    <w:p>
      <w:pPr>
        <w:keepNext w:val="0"/>
        <w:keepLines w:val="0"/>
        <w:pageBreakBefore w:val="0"/>
        <w:widowControl w:val="0"/>
        <w:kinsoku/>
        <w:wordWrap/>
        <w:overflowPunct/>
        <w:topLinePunct w:val="0"/>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 xml:space="preserve">                        </w:t>
      </w:r>
    </w:p>
    <w:p>
      <w:pPr>
        <w:keepNext w:val="0"/>
        <w:keepLines w:val="0"/>
        <w:pageBreakBefore w:val="0"/>
        <w:widowControl w:val="0"/>
        <w:kinsoku/>
        <w:wordWrap/>
        <w:overflowPunct/>
        <w:topLinePunct w:val="0"/>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kern w:val="2"/>
          <w:sz w:val="32"/>
          <w:szCs w:val="32"/>
          <w:lang w:val="en-US" w:eastAsia="zh-CN" w:bidi="ar-SA"/>
        </w:rPr>
      </w:pPr>
    </w:p>
    <w:p>
      <w:pPr>
        <w:keepNext w:val="0"/>
        <w:keepLines w:val="0"/>
        <w:pageBreakBefore w:val="0"/>
        <w:widowControl w:val="0"/>
        <w:kinsoku/>
        <w:wordWrap/>
        <w:overflowPunct/>
        <w:topLinePunct w:val="0"/>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 xml:space="preserve">                          延津县人民政府办公室</w:t>
      </w:r>
    </w:p>
    <w:p>
      <w:pPr>
        <w:keepNext w:val="0"/>
        <w:keepLines w:val="0"/>
        <w:pageBreakBefore w:val="0"/>
        <w:widowControl w:val="0"/>
        <w:kinsoku/>
        <w:wordWrap/>
        <w:overflowPunct/>
        <w:topLinePunct w:val="0"/>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 xml:space="preserve">                              2022 年5月16日</w:t>
      </w:r>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80" w:firstLineChars="200"/>
        <w:jc w:val="both"/>
        <w:textAlignment w:val="auto"/>
        <w:outlineLvl w:val="9"/>
        <w:rPr>
          <w:rFonts w:hint="eastAsia" w:ascii="仿宋_GB2312" w:hAnsi="仿宋_GB2312" w:eastAsia="仿宋_GB2312" w:cs="仿宋_GB2312"/>
          <w:spacing w:val="10"/>
          <w:sz w:val="32"/>
          <w:szCs w:val="32"/>
          <w:lang w:val="en-US" w:eastAsia="zh-CN"/>
        </w:rPr>
      </w:pPr>
      <w:r>
        <w:rPr>
          <w:rFonts w:hint="eastAsia" w:ascii="仿宋_GB2312" w:hAnsi="仿宋_GB2312" w:eastAsia="仿宋_GB2312" w:cs="仿宋_GB2312"/>
          <w:spacing w:val="10"/>
          <w:sz w:val="32"/>
          <w:szCs w:val="32"/>
          <w:lang w:val="en-US" w:eastAsia="zh-CN"/>
        </w:rPr>
        <w:t xml:space="preserve">     </w:t>
      </w:r>
    </w:p>
    <w:p>
      <w:pPr>
        <w:pStyle w:val="18"/>
        <w:keepNext w:val="0"/>
        <w:keepLines w:val="0"/>
        <w:pageBreakBefore w:val="0"/>
        <w:widowControl w:val="0"/>
        <w:kinsoku/>
        <w:wordWrap/>
        <w:overflowPunct/>
        <w:bidi w:val="0"/>
        <w:spacing w:line="560" w:lineRule="exact"/>
        <w:jc w:val="both"/>
        <w:textAlignment w:val="auto"/>
        <w:rPr>
          <w:rFonts w:hint="eastAsia"/>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jc w:val="center"/>
        <w:textAlignment w:val="baseline"/>
        <w:outlineLvl w:val="9"/>
        <w:rPr>
          <w:rFonts w:hint="eastAsia" w:ascii="文星标宋" w:hAnsi="文星标宋" w:eastAsia="文星标宋" w:cs="文星标宋"/>
          <w:color w:val="auto"/>
          <w:spacing w:val="-15"/>
          <w:sz w:val="44"/>
          <w:szCs w:val="44"/>
        </w:rPr>
      </w:pP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jc w:val="center"/>
        <w:textAlignment w:val="baseline"/>
        <w:outlineLvl w:val="9"/>
        <w:rPr>
          <w:rFonts w:hint="eastAsia" w:ascii="文星标宋" w:hAnsi="文星标宋" w:eastAsia="文星标宋" w:cs="文星标宋"/>
          <w:color w:val="auto"/>
          <w:spacing w:val="-15"/>
          <w:sz w:val="44"/>
          <w:szCs w:val="44"/>
        </w:rPr>
      </w:pPr>
      <w:r>
        <w:rPr>
          <w:rFonts w:hint="eastAsia" w:ascii="文星标宋" w:hAnsi="文星标宋" w:eastAsia="文星标宋" w:cs="文星标宋"/>
          <w:color w:val="auto"/>
          <w:spacing w:val="-15"/>
          <w:sz w:val="44"/>
          <w:szCs w:val="44"/>
        </w:rPr>
        <w:t>延津县“十四五”质量强县建设规划</w:t>
      </w:r>
      <w:bookmarkEnd w:id="0"/>
    </w:p>
    <w:p>
      <w:pPr>
        <w:pStyle w:val="18"/>
        <w:rPr>
          <w:rFonts w:hint="eastAsia"/>
        </w:rPr>
      </w:pPr>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为深入贯彻党的十九大和十九届二中、三中</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四中、五中、六中全会精神，认真落实习近平总书记关于河南系列高质量发展重要讲话指示精神，推动质量强国</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质量强</w:t>
      </w:r>
      <w:r>
        <w:rPr>
          <w:rFonts w:hint="eastAsia" w:ascii="仿宋_GB2312" w:hAnsi="仿宋_GB2312" w:eastAsia="仿宋_GB2312" w:cs="仿宋_GB2312"/>
          <w:color w:val="auto"/>
          <w:spacing w:val="0"/>
          <w:sz w:val="32"/>
          <w:szCs w:val="32"/>
          <w:lang w:eastAsia="zh-CN"/>
        </w:rPr>
        <w:t>县</w:t>
      </w:r>
      <w:r>
        <w:rPr>
          <w:rFonts w:hint="eastAsia" w:ascii="仿宋_GB2312" w:hAnsi="仿宋_GB2312" w:eastAsia="仿宋_GB2312" w:cs="仿宋_GB2312"/>
          <w:color w:val="auto"/>
          <w:spacing w:val="0"/>
          <w:sz w:val="32"/>
          <w:szCs w:val="32"/>
        </w:rPr>
        <w:t>建设</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按照《河南省人民政府关于推动三个转变建设质量强省的实施意见》（豫政 〔2015〕29号）及《</w:t>
      </w:r>
      <w:r>
        <w:rPr>
          <w:rFonts w:hint="eastAsia" w:ascii="仿宋_GB2312" w:hAnsi="仿宋_GB2312" w:eastAsia="仿宋_GB2312" w:cs="仿宋_GB2312"/>
          <w:color w:val="auto"/>
          <w:spacing w:val="0"/>
          <w:sz w:val="32"/>
          <w:szCs w:val="32"/>
          <w:lang w:eastAsia="zh-CN"/>
        </w:rPr>
        <w:t>新乡市委  新乡市人民政府关于开展质量提升行动的实施意见》(新发〔2018〕11号</w:t>
      </w:r>
      <w:r>
        <w:rPr>
          <w:rFonts w:hint="eastAsia" w:ascii="仿宋_GB2312" w:hAnsi="仿宋_GB2312" w:eastAsia="仿宋_GB2312" w:cs="仿宋_GB2312"/>
          <w:color w:val="auto"/>
          <w:spacing w:val="0"/>
          <w:sz w:val="32"/>
          <w:szCs w:val="32"/>
        </w:rPr>
        <w:t>）工作要求，依据</w:t>
      </w:r>
      <w:r>
        <w:rPr>
          <w:rFonts w:hint="eastAsia" w:ascii="仿宋_GB2312" w:hAnsi="仿宋_GB2312" w:eastAsia="仿宋_GB2312" w:cs="仿宋_GB2312"/>
          <w:color w:val="auto"/>
          <w:spacing w:val="0"/>
          <w:sz w:val="32"/>
          <w:szCs w:val="32"/>
          <w:lang w:val="en-US" w:eastAsia="zh-CN"/>
        </w:rPr>
        <w:t>《延津县国民经济和社会发展第十四个五年规划和二〇三五年远景目标纲要》，</w:t>
      </w:r>
      <w:r>
        <w:rPr>
          <w:rFonts w:hint="eastAsia" w:ascii="仿宋_GB2312" w:hAnsi="仿宋_GB2312" w:eastAsia="仿宋_GB2312" w:cs="仿宋_GB2312"/>
          <w:color w:val="auto"/>
          <w:spacing w:val="0"/>
          <w:sz w:val="32"/>
          <w:szCs w:val="32"/>
        </w:rPr>
        <w:t>立足我</w:t>
      </w:r>
      <w:r>
        <w:rPr>
          <w:rFonts w:hint="eastAsia" w:ascii="仿宋_GB2312" w:hAnsi="仿宋_GB2312" w:eastAsia="仿宋_GB2312" w:cs="仿宋_GB2312"/>
          <w:color w:val="auto"/>
          <w:spacing w:val="0"/>
          <w:sz w:val="32"/>
          <w:szCs w:val="32"/>
          <w:lang w:eastAsia="zh-CN"/>
        </w:rPr>
        <w:t>县</w:t>
      </w:r>
      <w:r>
        <w:rPr>
          <w:rFonts w:hint="eastAsia" w:ascii="仿宋_GB2312" w:hAnsi="仿宋_GB2312" w:eastAsia="仿宋_GB2312" w:cs="仿宋_GB2312"/>
          <w:color w:val="auto"/>
          <w:spacing w:val="0"/>
          <w:sz w:val="32"/>
          <w:szCs w:val="32"/>
        </w:rPr>
        <w:t>实际，制定了本规划。</w:t>
      </w:r>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黑体" w:hAnsi="黑体" w:eastAsia="黑体" w:cs="黑体"/>
          <w:b w:val="0"/>
          <w:bCs w:val="0"/>
          <w:color w:val="auto"/>
          <w:spacing w:val="0"/>
          <w:sz w:val="32"/>
          <w:szCs w:val="32"/>
        </w:rPr>
      </w:pPr>
      <w:bookmarkStart w:id="1" w:name="_Toc1842966121_WPSOffice_Level1"/>
      <w:bookmarkStart w:id="2" w:name="_Toc8137"/>
      <w:r>
        <w:rPr>
          <w:rFonts w:hint="eastAsia" w:ascii="黑体" w:hAnsi="黑体" w:eastAsia="黑体" w:cs="黑体"/>
          <w:b w:val="0"/>
          <w:bCs w:val="0"/>
          <w:color w:val="auto"/>
          <w:spacing w:val="0"/>
          <w:sz w:val="32"/>
          <w:szCs w:val="32"/>
        </w:rPr>
        <w:t>一、“十</w:t>
      </w:r>
      <w:r>
        <w:rPr>
          <w:rFonts w:hint="eastAsia" w:ascii="黑体" w:hAnsi="黑体" w:eastAsia="黑体" w:cs="黑体"/>
          <w:b w:val="0"/>
          <w:bCs w:val="0"/>
          <w:color w:val="auto"/>
          <w:spacing w:val="0"/>
          <w:sz w:val="32"/>
          <w:szCs w:val="32"/>
          <w:lang w:eastAsia="zh-CN"/>
        </w:rPr>
        <w:t>三</w:t>
      </w:r>
      <w:r>
        <w:rPr>
          <w:rFonts w:hint="eastAsia" w:ascii="黑体" w:hAnsi="黑体" w:eastAsia="黑体" w:cs="黑体"/>
          <w:b w:val="0"/>
          <w:bCs w:val="0"/>
          <w:color w:val="auto"/>
          <w:spacing w:val="0"/>
          <w:sz w:val="32"/>
          <w:szCs w:val="32"/>
        </w:rPr>
        <w:t>五”</w:t>
      </w:r>
      <w:r>
        <w:rPr>
          <w:rFonts w:hint="eastAsia" w:ascii="黑体" w:hAnsi="黑体" w:eastAsia="黑体" w:cs="黑体"/>
          <w:b w:val="0"/>
          <w:bCs w:val="0"/>
          <w:color w:val="auto"/>
          <w:spacing w:val="0"/>
          <w:sz w:val="32"/>
          <w:szCs w:val="32"/>
          <w:lang w:val="en-US" w:eastAsia="zh-CN"/>
        </w:rPr>
        <w:t>延津</w:t>
      </w:r>
      <w:r>
        <w:rPr>
          <w:rFonts w:hint="eastAsia" w:ascii="黑体" w:hAnsi="黑体" w:eastAsia="黑体" w:cs="黑体"/>
          <w:b w:val="0"/>
          <w:bCs w:val="0"/>
          <w:color w:val="auto"/>
          <w:spacing w:val="0"/>
          <w:sz w:val="32"/>
          <w:szCs w:val="32"/>
          <w:lang w:eastAsia="zh-CN"/>
        </w:rPr>
        <w:t>县质量强县</w:t>
      </w:r>
      <w:r>
        <w:rPr>
          <w:rFonts w:hint="eastAsia" w:ascii="黑体" w:hAnsi="黑体" w:eastAsia="黑体" w:cs="黑体"/>
          <w:b w:val="0"/>
          <w:bCs w:val="0"/>
          <w:color w:val="auto"/>
          <w:spacing w:val="0"/>
          <w:sz w:val="32"/>
          <w:szCs w:val="32"/>
        </w:rPr>
        <w:t>工作成效</w:t>
      </w:r>
      <w:bookmarkEnd w:id="1"/>
      <w:bookmarkEnd w:id="2"/>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“十三五”期间</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pacing w:val="0"/>
          <w:sz w:val="32"/>
          <w:szCs w:val="32"/>
        </w:rPr>
        <w:t>坚持以习近平新时代中国特色社会主义思想为指导，在</w:t>
      </w:r>
      <w:r>
        <w:rPr>
          <w:rFonts w:hint="eastAsia" w:ascii="仿宋_GB2312" w:hAnsi="仿宋_GB2312" w:eastAsia="仿宋_GB2312" w:cs="仿宋_GB2312"/>
          <w:color w:val="auto"/>
          <w:spacing w:val="0"/>
          <w:sz w:val="32"/>
          <w:szCs w:val="32"/>
          <w:lang w:val="en-US" w:eastAsia="zh-CN"/>
        </w:rPr>
        <w:t>新乡</w:t>
      </w:r>
      <w:r>
        <w:rPr>
          <w:rFonts w:hint="eastAsia" w:ascii="仿宋_GB2312" w:hAnsi="仿宋_GB2312" w:eastAsia="仿宋_GB2312" w:cs="仿宋_GB2312"/>
          <w:color w:val="auto"/>
          <w:spacing w:val="0"/>
          <w:sz w:val="32"/>
          <w:szCs w:val="32"/>
        </w:rPr>
        <w:t>市委市政府的坚强领导下，</w:t>
      </w:r>
      <w:r>
        <w:rPr>
          <w:rFonts w:hint="eastAsia" w:ascii="仿宋_GB2312" w:hAnsi="仿宋_GB2312" w:eastAsia="仿宋_GB2312" w:cs="仿宋_GB2312"/>
          <w:color w:val="auto"/>
          <w:spacing w:val="0"/>
          <w:sz w:val="32"/>
          <w:szCs w:val="32"/>
          <w:lang w:val="en-US" w:eastAsia="zh-CN"/>
        </w:rPr>
        <w:t>延津</w:t>
      </w:r>
      <w:r>
        <w:rPr>
          <w:rFonts w:hint="eastAsia" w:ascii="仿宋_GB2312" w:hAnsi="仿宋_GB2312" w:eastAsia="仿宋_GB2312" w:cs="仿宋_GB2312"/>
          <w:color w:val="auto"/>
          <w:spacing w:val="0"/>
          <w:sz w:val="32"/>
          <w:szCs w:val="32"/>
          <w:lang w:eastAsia="zh-CN"/>
        </w:rPr>
        <w:t>县</w:t>
      </w:r>
      <w:r>
        <w:rPr>
          <w:rFonts w:hint="eastAsia" w:ascii="仿宋_GB2312" w:hAnsi="仿宋_GB2312" w:eastAsia="仿宋_GB2312" w:cs="仿宋_GB2312"/>
          <w:color w:val="auto"/>
          <w:spacing w:val="0"/>
          <w:sz w:val="32"/>
          <w:szCs w:val="32"/>
        </w:rPr>
        <w:t>委、</w:t>
      </w:r>
      <w:r>
        <w:rPr>
          <w:rFonts w:hint="eastAsia" w:ascii="仿宋_GB2312" w:hAnsi="仿宋_GB2312" w:eastAsia="仿宋_GB2312" w:cs="仿宋_GB2312"/>
          <w:color w:val="auto"/>
          <w:spacing w:val="0"/>
          <w:sz w:val="32"/>
          <w:szCs w:val="32"/>
          <w:lang w:eastAsia="zh-CN"/>
        </w:rPr>
        <w:t>县</w:t>
      </w:r>
      <w:r>
        <w:rPr>
          <w:rFonts w:hint="eastAsia" w:ascii="仿宋_GB2312" w:hAnsi="仿宋_GB2312" w:eastAsia="仿宋_GB2312" w:cs="仿宋_GB2312"/>
          <w:color w:val="auto"/>
          <w:spacing w:val="0"/>
          <w:sz w:val="32"/>
          <w:szCs w:val="32"/>
        </w:rPr>
        <w:t>政府高度重视质量工作，围绕质量强</w:t>
      </w:r>
      <w:r>
        <w:rPr>
          <w:rFonts w:hint="eastAsia" w:ascii="仿宋_GB2312" w:hAnsi="仿宋_GB2312" w:eastAsia="仿宋_GB2312" w:cs="仿宋_GB2312"/>
          <w:color w:val="auto"/>
          <w:spacing w:val="0"/>
          <w:sz w:val="32"/>
          <w:szCs w:val="32"/>
          <w:lang w:eastAsia="zh-CN"/>
        </w:rPr>
        <w:t>县</w:t>
      </w:r>
      <w:r>
        <w:rPr>
          <w:rFonts w:hint="eastAsia" w:ascii="仿宋_GB2312" w:hAnsi="仿宋_GB2312" w:eastAsia="仿宋_GB2312" w:cs="仿宋_GB2312"/>
          <w:color w:val="auto"/>
          <w:spacing w:val="0"/>
          <w:sz w:val="32"/>
          <w:szCs w:val="32"/>
        </w:rPr>
        <w:t>建设责任目标，大力实施质量强</w:t>
      </w:r>
      <w:r>
        <w:rPr>
          <w:rFonts w:hint="eastAsia" w:ascii="仿宋_GB2312" w:hAnsi="仿宋_GB2312" w:eastAsia="仿宋_GB2312" w:cs="仿宋_GB2312"/>
          <w:color w:val="auto"/>
          <w:spacing w:val="0"/>
          <w:sz w:val="32"/>
          <w:szCs w:val="32"/>
          <w:lang w:eastAsia="zh-CN"/>
        </w:rPr>
        <w:t>县</w:t>
      </w:r>
      <w:r>
        <w:rPr>
          <w:rFonts w:hint="eastAsia" w:ascii="仿宋_GB2312" w:hAnsi="仿宋_GB2312" w:eastAsia="仿宋_GB2312" w:cs="仿宋_GB2312"/>
          <w:color w:val="auto"/>
          <w:spacing w:val="0"/>
          <w:sz w:val="32"/>
          <w:szCs w:val="32"/>
        </w:rPr>
        <w:t>战略，从多个层面加强质量工作规划部署</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圆满完成“十三五”期间确定的各项目标任务，全面建成小康社会</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正向着建设社会主义现代化标杆县（市）的目标大步迈进。</w:t>
      </w:r>
      <w:r>
        <w:rPr>
          <w:rFonts w:hint="eastAsia" w:ascii="仿宋_GB2312" w:hAnsi="仿宋_GB2312" w:eastAsia="仿宋_GB2312" w:cs="仿宋_GB2312"/>
          <w:color w:val="auto"/>
          <w:spacing w:val="0"/>
          <w:sz w:val="32"/>
          <w:szCs w:val="32"/>
          <w:lang w:val="en-US" w:eastAsia="zh-CN"/>
        </w:rPr>
        <w:t>先后荣获全国优质小麦产业化示范县、全国绿色食品原料标准化生产基地、全国食品工业强县、国家优质小麦现代农业产业园、国家农产品质量安全县、河南省农产品电商十强县等荣誉。</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楷体_GB2312" w:hAnsi="楷体_GB2312" w:eastAsia="楷体_GB2312" w:cs="楷体_GB2312"/>
          <w:b w:val="0"/>
          <w:bCs w:val="0"/>
          <w:color w:val="auto"/>
          <w:spacing w:val="0"/>
          <w:sz w:val="32"/>
          <w:szCs w:val="32"/>
          <w:lang w:val="en-US" w:eastAsia="zh-CN"/>
        </w:rPr>
      </w:pPr>
      <w:bookmarkStart w:id="3" w:name="_Toc9578"/>
      <w:bookmarkStart w:id="4" w:name="_Toc1842966121_WPSOffice_Level2"/>
      <w:r>
        <w:rPr>
          <w:rFonts w:hint="eastAsia" w:ascii="楷体_GB2312" w:hAnsi="楷体_GB2312" w:eastAsia="楷体_GB2312" w:cs="楷体_GB2312"/>
          <w:b w:val="0"/>
          <w:bCs w:val="0"/>
          <w:color w:val="auto"/>
          <w:spacing w:val="0"/>
          <w:sz w:val="32"/>
          <w:szCs w:val="32"/>
        </w:rPr>
        <w:t>（一）主要工作成绩</w:t>
      </w:r>
      <w:bookmarkEnd w:id="3"/>
      <w:bookmarkEnd w:id="4"/>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bookmarkStart w:id="5" w:name="_Toc1842966121_WPSOffice_Level3"/>
      <w:r>
        <w:rPr>
          <w:rFonts w:hint="eastAsia" w:ascii="仿宋_GB2312" w:hAnsi="仿宋_GB2312" w:eastAsia="仿宋_GB2312" w:cs="仿宋_GB2312"/>
          <w:color w:val="auto"/>
          <w:spacing w:val="0"/>
          <w:sz w:val="32"/>
          <w:szCs w:val="32"/>
        </w:rPr>
        <w:t>1.质量水平持续提升</w:t>
      </w:r>
      <w:bookmarkEnd w:id="5"/>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全县</w:t>
      </w:r>
      <w:r>
        <w:rPr>
          <w:rFonts w:hint="eastAsia" w:ascii="仿宋_GB2312" w:hAnsi="仿宋_GB2312" w:eastAsia="仿宋_GB2312" w:cs="仿宋_GB2312"/>
          <w:color w:val="auto"/>
          <w:spacing w:val="0"/>
          <w:sz w:val="32"/>
          <w:szCs w:val="32"/>
        </w:rPr>
        <w:t>重点工业产品质量监督抽查合格率达到 95%以上</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重点产品质量监督抽查合格率达到 98%以上，农产品质量监督抽检合格率达到 97%以上</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工程质量取得新进展，全</w:t>
      </w:r>
      <w:r>
        <w:rPr>
          <w:rFonts w:hint="eastAsia" w:ascii="仿宋_GB2312" w:hAnsi="仿宋_GB2312" w:eastAsia="仿宋_GB2312" w:cs="仿宋_GB2312"/>
          <w:color w:val="auto"/>
          <w:spacing w:val="0"/>
          <w:sz w:val="32"/>
          <w:szCs w:val="32"/>
          <w:lang w:eastAsia="zh-CN"/>
        </w:rPr>
        <w:t>县</w:t>
      </w:r>
      <w:r>
        <w:rPr>
          <w:rFonts w:hint="eastAsia" w:ascii="仿宋_GB2312" w:hAnsi="仿宋_GB2312" w:eastAsia="仿宋_GB2312" w:cs="仿宋_GB2312"/>
          <w:color w:val="auto"/>
          <w:spacing w:val="0"/>
          <w:sz w:val="32"/>
          <w:szCs w:val="32"/>
        </w:rPr>
        <w:t>报建工程监督覆盖率、受监工程竣工合格率、新开工工程节能标准执行率、“两书 一牌”制度推行覆盖率均达100%。群众质量满意度逐年提高。</w:t>
      </w:r>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bookmarkStart w:id="6" w:name="_Toc530259513_WPSOffice_Level3"/>
      <w:r>
        <w:rPr>
          <w:rFonts w:hint="eastAsia" w:ascii="仿宋_GB2312" w:hAnsi="仿宋_GB2312" w:eastAsia="仿宋_GB2312" w:cs="仿宋_GB2312"/>
          <w:color w:val="auto"/>
          <w:spacing w:val="0"/>
          <w:sz w:val="32"/>
          <w:szCs w:val="32"/>
        </w:rPr>
        <w:t>2.质量安全形势稳定</w:t>
      </w:r>
      <w:bookmarkEnd w:id="6"/>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坚持依法行政，优化市场监管环境，深入开展安全生产“四大攻坚”</w:t>
      </w:r>
      <w:r>
        <w:rPr>
          <w:rFonts w:hint="eastAsia" w:ascii="仿宋_GB2312" w:hAnsi="仿宋_GB2312" w:eastAsia="仿宋_GB2312" w:cs="仿宋_GB2312"/>
          <w:color w:val="auto"/>
          <w:spacing w:val="0"/>
          <w:sz w:val="32"/>
          <w:szCs w:val="32"/>
          <w:lang w:eastAsia="zh-CN"/>
        </w:rPr>
        <w:t>和“</w:t>
      </w:r>
      <w:r>
        <w:rPr>
          <w:rFonts w:hint="eastAsia" w:ascii="仿宋_GB2312" w:hAnsi="仿宋_GB2312" w:eastAsia="仿宋_GB2312" w:cs="仿宋_GB2312"/>
          <w:color w:val="auto"/>
          <w:spacing w:val="0"/>
          <w:sz w:val="32"/>
          <w:szCs w:val="32"/>
          <w:lang w:val="en-US" w:eastAsia="zh-CN"/>
        </w:rPr>
        <w:t>3.15</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执法打假</w:t>
      </w:r>
      <w:r>
        <w:rPr>
          <w:rFonts w:hint="eastAsia" w:ascii="仿宋_GB2312" w:hAnsi="仿宋_GB2312" w:eastAsia="仿宋_GB2312" w:cs="仿宋_GB2312"/>
          <w:color w:val="auto"/>
          <w:spacing w:val="0"/>
          <w:sz w:val="32"/>
          <w:szCs w:val="32"/>
          <w:lang w:eastAsia="zh-CN"/>
        </w:rPr>
        <w:t>以及</w:t>
      </w:r>
      <w:r>
        <w:rPr>
          <w:rFonts w:hint="eastAsia" w:ascii="仿宋_GB2312" w:hAnsi="仿宋_GB2312" w:eastAsia="仿宋_GB2312" w:cs="仿宋_GB2312"/>
          <w:color w:val="auto"/>
          <w:spacing w:val="0"/>
          <w:sz w:val="32"/>
          <w:szCs w:val="32"/>
        </w:rPr>
        <w:t>知识产权执法维权等专项行动，强化知识产权保护</w:t>
      </w:r>
      <w:r>
        <w:rPr>
          <w:rFonts w:hint="eastAsia" w:ascii="仿宋_GB2312" w:hAnsi="仿宋_GB2312" w:eastAsia="仿宋_GB2312" w:cs="仿宋_GB2312"/>
          <w:color w:val="auto"/>
          <w:spacing w:val="0"/>
          <w:sz w:val="32"/>
          <w:szCs w:val="32"/>
          <w:lang w:eastAsia="zh-CN"/>
        </w:rPr>
        <w:t>和质量安全监管</w:t>
      </w:r>
      <w:r>
        <w:rPr>
          <w:rFonts w:hint="eastAsia" w:ascii="仿宋_GB2312" w:hAnsi="仿宋_GB2312" w:eastAsia="仿宋_GB2312" w:cs="仿宋_GB2312"/>
          <w:color w:val="auto"/>
          <w:spacing w:val="0"/>
          <w:sz w:val="32"/>
          <w:szCs w:val="32"/>
        </w:rPr>
        <w:t>，以最大力度打造最优准入环境、竞争环境、服务环境、消费环境和法治环境。</w:t>
      </w:r>
      <w:r>
        <w:rPr>
          <w:rFonts w:hint="eastAsia" w:ascii="仿宋_GB2312" w:hAnsi="仿宋_GB2312" w:eastAsia="仿宋_GB2312" w:cs="仿宋_GB2312"/>
          <w:color w:val="auto"/>
          <w:spacing w:val="0"/>
          <w:sz w:val="32"/>
          <w:szCs w:val="32"/>
          <w:lang w:val="en-US" w:eastAsia="zh-CN"/>
        </w:rPr>
        <w:t>至今</w:t>
      </w:r>
      <w:r>
        <w:rPr>
          <w:rFonts w:hint="eastAsia" w:ascii="仿宋_GB2312" w:hAnsi="仿宋_GB2312" w:eastAsia="仿宋_GB2312" w:cs="仿宋_GB2312"/>
          <w:color w:val="auto"/>
          <w:spacing w:val="0"/>
          <w:sz w:val="32"/>
          <w:szCs w:val="32"/>
        </w:rPr>
        <w:t>未发生重大产品、工程、服务质量安全责任事故。被评为国家农产品质量安全县、省级食品安全示范县</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是</w:t>
      </w:r>
      <w:r>
        <w:rPr>
          <w:rFonts w:hint="eastAsia" w:ascii="仿宋_GB2312" w:hAnsi="仿宋_GB2312" w:eastAsia="仿宋_GB2312" w:cs="仿宋_GB2312"/>
          <w:color w:val="auto"/>
          <w:spacing w:val="0"/>
          <w:sz w:val="32"/>
          <w:szCs w:val="32"/>
        </w:rPr>
        <w:t>全市唯一的河南省百城建设提质工程工作先进县</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连续五年被市政府评为食品安全工作先进县</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bookmarkStart w:id="7" w:name="_Toc1304140623_WPSOffice_Level3"/>
      <w:r>
        <w:rPr>
          <w:rFonts w:hint="eastAsia" w:ascii="仿宋_GB2312" w:hAnsi="仿宋_GB2312" w:eastAsia="仿宋_GB2312" w:cs="仿宋_GB2312"/>
          <w:color w:val="auto"/>
          <w:spacing w:val="0"/>
          <w:sz w:val="32"/>
          <w:szCs w:val="32"/>
          <w:lang w:val="en-US" w:eastAsia="zh-CN"/>
        </w:rPr>
        <w:t>3.</w:t>
      </w:r>
      <w:r>
        <w:rPr>
          <w:rFonts w:hint="eastAsia" w:ascii="仿宋_GB2312" w:hAnsi="仿宋_GB2312" w:eastAsia="仿宋_GB2312" w:cs="仿宋_GB2312"/>
          <w:color w:val="auto"/>
          <w:spacing w:val="0"/>
          <w:sz w:val="32"/>
          <w:szCs w:val="32"/>
        </w:rPr>
        <w:t>质量基础更加坚实</w:t>
      </w:r>
      <w:bookmarkEnd w:id="7"/>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全县新增高新技术企业</w:t>
      </w:r>
      <w:r>
        <w:rPr>
          <w:rFonts w:hint="eastAsia" w:ascii="仿宋_GB2312" w:hAnsi="仿宋_GB2312" w:eastAsia="仿宋_GB2312" w:cs="仿宋_GB2312"/>
          <w:color w:val="auto"/>
          <w:spacing w:val="0"/>
          <w:sz w:val="32"/>
          <w:szCs w:val="32"/>
          <w:lang w:val="en-US" w:eastAsia="zh-CN"/>
        </w:rPr>
        <w:t>7</w:t>
      </w:r>
      <w:r>
        <w:rPr>
          <w:rFonts w:hint="eastAsia" w:ascii="仿宋_GB2312" w:hAnsi="仿宋_GB2312" w:eastAsia="仿宋_GB2312" w:cs="仿宋_GB2312"/>
          <w:color w:val="auto"/>
          <w:spacing w:val="0"/>
          <w:sz w:val="32"/>
          <w:szCs w:val="32"/>
        </w:rPr>
        <w:t>家，总量达到1</w:t>
      </w: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rPr>
        <w:t>家；新增国家科技型中小企业6家，总量达到</w:t>
      </w:r>
      <w:r>
        <w:rPr>
          <w:rFonts w:hint="eastAsia" w:ascii="仿宋_GB2312" w:hAnsi="仿宋_GB2312" w:eastAsia="仿宋_GB2312" w:cs="仿宋_GB2312"/>
          <w:color w:val="auto"/>
          <w:spacing w:val="0"/>
          <w:sz w:val="32"/>
          <w:szCs w:val="32"/>
          <w:lang w:val="en-US" w:eastAsia="zh-CN"/>
        </w:rPr>
        <w:t>21</w:t>
      </w:r>
      <w:r>
        <w:rPr>
          <w:rFonts w:hint="eastAsia" w:ascii="仿宋_GB2312" w:hAnsi="仿宋_GB2312" w:eastAsia="仿宋_GB2312" w:cs="仿宋_GB2312"/>
          <w:color w:val="auto"/>
          <w:spacing w:val="0"/>
          <w:sz w:val="32"/>
          <w:szCs w:val="32"/>
        </w:rPr>
        <w:t>家；新增科技小巨人培育企业2家，总量达到5家；新增省级工程技术研发中心5家，新增市级工程技术研发中心11家。获批省级质量标杆企业3家，获批河南省“专精特新”企业</w:t>
      </w:r>
      <w:r>
        <w:rPr>
          <w:rFonts w:hint="eastAsia" w:ascii="仿宋_GB2312" w:hAnsi="仿宋_GB2312" w:eastAsia="仿宋_GB2312" w:cs="仿宋_GB2312"/>
          <w:color w:val="auto"/>
          <w:spacing w:val="0"/>
          <w:sz w:val="32"/>
          <w:szCs w:val="32"/>
          <w:lang w:val="en-US" w:eastAsia="zh-CN"/>
        </w:rPr>
        <w:t>8</w:t>
      </w:r>
      <w:r>
        <w:rPr>
          <w:rFonts w:hint="eastAsia" w:ascii="仿宋_GB2312" w:hAnsi="仿宋_GB2312" w:eastAsia="仿宋_GB2312" w:cs="仿宋_GB2312"/>
          <w:color w:val="auto"/>
          <w:spacing w:val="0"/>
          <w:sz w:val="32"/>
          <w:szCs w:val="32"/>
        </w:rPr>
        <w:t>家，获市星级企业1</w:t>
      </w:r>
      <w:r>
        <w:rPr>
          <w:rFonts w:hint="eastAsia" w:ascii="仿宋_GB2312" w:hAnsi="仿宋_GB2312" w:eastAsia="仿宋_GB2312" w:cs="仿宋_GB2312"/>
          <w:color w:val="auto"/>
          <w:spacing w:val="0"/>
          <w:sz w:val="32"/>
          <w:szCs w:val="32"/>
          <w:lang w:val="en-US" w:eastAsia="zh-CN"/>
        </w:rPr>
        <w:t>7</w:t>
      </w:r>
      <w:r>
        <w:rPr>
          <w:rFonts w:hint="eastAsia" w:ascii="仿宋_GB2312" w:hAnsi="仿宋_GB2312" w:eastAsia="仿宋_GB2312" w:cs="仿宋_GB2312"/>
          <w:color w:val="auto"/>
          <w:spacing w:val="0"/>
          <w:sz w:val="32"/>
          <w:szCs w:val="32"/>
        </w:rPr>
        <w:t>家次。成功获批创建全国唯一以小麦为主题的国家级现代农业产业园</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“中国第一麦”品牌效应持续提升。食品加工、医药化工、节能环保</w:t>
      </w:r>
      <w:r>
        <w:rPr>
          <w:rFonts w:hint="eastAsia" w:ascii="仿宋_GB2312" w:hAnsi="仿宋_GB2312" w:eastAsia="仿宋_GB2312" w:cs="仿宋_GB2312"/>
          <w:color w:val="auto"/>
          <w:spacing w:val="0"/>
          <w:sz w:val="32"/>
          <w:szCs w:val="32"/>
          <w:lang w:val="en-US" w:eastAsia="zh-CN"/>
        </w:rPr>
        <w:t>三大</w:t>
      </w:r>
      <w:r>
        <w:rPr>
          <w:rFonts w:hint="eastAsia" w:ascii="仿宋_GB2312" w:hAnsi="仿宋_GB2312" w:eastAsia="仿宋_GB2312" w:cs="仿宋_GB2312"/>
          <w:color w:val="auto"/>
          <w:spacing w:val="0"/>
          <w:sz w:val="32"/>
          <w:szCs w:val="32"/>
        </w:rPr>
        <w:t>主导产业和战略性新兴产业持续提升和壮大。</w:t>
      </w:r>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bookmarkStart w:id="8" w:name="_Toc1784884044_WPSOffice_Level3"/>
      <w:r>
        <w:rPr>
          <w:rFonts w:hint="eastAsia" w:ascii="仿宋_GB2312" w:hAnsi="仿宋_GB2312" w:eastAsia="仿宋_GB2312" w:cs="仿宋_GB2312"/>
          <w:color w:val="auto"/>
          <w:spacing w:val="0"/>
          <w:sz w:val="32"/>
          <w:szCs w:val="32"/>
        </w:rPr>
        <w:t>4.品牌建设推向纵深</w:t>
      </w:r>
      <w:bookmarkEnd w:id="8"/>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拥有中国驰名商标5件、省著名商标34件。延津县克明面业公司是全国最大的挂面生产基地；“精益珍”品牌是全国沙琪玛类第二大品牌；“新良”品牌是专用面粉类三大品牌之一；云鹤公司冷冻熟面和微波面是国内首创；百川公司是全国规模最大的大豆拉丝蛋白生产基地；雄塑管道是中国塑料管道行业首家五星品牌；以“延津小麦”为主的“新乡小麦”品牌价值97亿元，荣登2016年中国品牌价值评价榜单；“延津胡萝卜”“延津黑豆”被农业农村部确认为“中国农产品地理标志保护产品”。“延津小麦”“延津菠菜”“延津黑豆”“延津红花”“小潭乡胡萝卜”先后取得国家知识产权局认定的“国家地理标志集体商标”和“国家地理标志证明商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楷体_GB2312" w:hAnsi="楷体_GB2312" w:eastAsia="楷体_GB2312" w:cs="楷体_GB2312"/>
          <w:b w:val="0"/>
          <w:bCs w:val="0"/>
          <w:color w:val="auto"/>
          <w:spacing w:val="0"/>
          <w:sz w:val="32"/>
          <w:szCs w:val="32"/>
        </w:rPr>
      </w:pPr>
      <w:bookmarkStart w:id="9" w:name="_Toc15003"/>
      <w:bookmarkStart w:id="10" w:name="_Toc530259513_WPSOffice_Level2"/>
      <w:r>
        <w:rPr>
          <w:rFonts w:hint="eastAsia" w:ascii="楷体_GB2312" w:hAnsi="楷体_GB2312" w:eastAsia="楷体_GB2312" w:cs="楷体_GB2312"/>
          <w:b w:val="0"/>
          <w:bCs w:val="0"/>
          <w:color w:val="auto"/>
          <w:spacing w:val="0"/>
          <w:sz w:val="32"/>
          <w:szCs w:val="32"/>
        </w:rPr>
        <w:t>（二）经验与亮点</w:t>
      </w:r>
      <w:bookmarkEnd w:id="9"/>
      <w:bookmarkEnd w:id="10"/>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bookmarkStart w:id="11" w:name="_Toc1004224948_WPSOffice_Level3"/>
      <w:r>
        <w:rPr>
          <w:rFonts w:hint="eastAsia" w:ascii="仿宋_GB2312" w:hAnsi="仿宋_GB2312" w:eastAsia="仿宋_GB2312" w:cs="仿宋_GB2312"/>
          <w:color w:val="auto"/>
          <w:spacing w:val="0"/>
          <w:sz w:val="32"/>
          <w:szCs w:val="32"/>
          <w:lang w:val="en-US" w:eastAsia="zh-CN"/>
        </w:rPr>
        <w:t>1.</w:t>
      </w:r>
      <w:r>
        <w:rPr>
          <w:rFonts w:hint="eastAsia" w:ascii="仿宋_GB2312" w:hAnsi="仿宋_GB2312" w:eastAsia="仿宋_GB2312" w:cs="仿宋_GB2312"/>
          <w:color w:val="auto"/>
          <w:spacing w:val="0"/>
          <w:sz w:val="32"/>
          <w:szCs w:val="32"/>
        </w:rPr>
        <w:t>推动标准化战略</w:t>
      </w:r>
      <w:bookmarkEnd w:id="11"/>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rPr>
        <w:t>建立健全“延津小麦”区域标准和质量安全管理体系，形成独立或共享的知识产权，增强延津小麦的核心竞争力和影响力。</w:t>
      </w:r>
      <w:r>
        <w:rPr>
          <w:rFonts w:hint="eastAsia" w:ascii="仿宋_GB2312" w:hAnsi="仿宋_GB2312" w:eastAsia="仿宋_GB2312" w:cs="仿宋_GB2312"/>
          <w:color w:val="auto"/>
          <w:spacing w:val="0"/>
          <w:sz w:val="32"/>
          <w:szCs w:val="32"/>
          <w:lang w:val="en-US" w:eastAsia="zh-CN"/>
        </w:rPr>
        <w:t>累计投资16.9亿元打造优质小麦国家现代农业产业园，“延津麦·强筋面”品牌叫响全国。获批“新乡小麦”地理标志农产品保护工程项目。农产品线上销售额全市第一，荣获“河南省农产品电商十强县”。</w:t>
      </w:r>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bookmarkStart w:id="12" w:name="_Toc1960710189_WPSOffice_Level3"/>
      <w:r>
        <w:rPr>
          <w:rFonts w:hint="eastAsia" w:ascii="仿宋_GB2312" w:hAnsi="仿宋_GB2312" w:eastAsia="仿宋_GB2312" w:cs="仿宋_GB2312"/>
          <w:color w:val="auto"/>
          <w:spacing w:val="0"/>
          <w:sz w:val="32"/>
          <w:szCs w:val="32"/>
          <w:lang w:val="en-US" w:eastAsia="zh-CN"/>
        </w:rPr>
        <w:t>2</w:t>
      </w:r>
      <w:r>
        <w:rPr>
          <w:rFonts w:hint="eastAsia" w:ascii="仿宋_GB2312" w:hAnsi="仿宋_GB2312" w:eastAsia="仿宋_GB2312" w:cs="仿宋_GB2312"/>
          <w:color w:val="auto"/>
          <w:spacing w:val="0"/>
          <w:sz w:val="32"/>
          <w:szCs w:val="32"/>
        </w:rPr>
        <w:t>.出台</w:t>
      </w:r>
      <w:r>
        <w:rPr>
          <w:rFonts w:hint="eastAsia" w:ascii="仿宋_GB2312" w:hAnsi="仿宋_GB2312" w:eastAsia="仿宋_GB2312" w:cs="仿宋_GB2312"/>
          <w:color w:val="auto"/>
          <w:spacing w:val="0"/>
          <w:sz w:val="32"/>
          <w:szCs w:val="32"/>
          <w:lang w:eastAsia="zh-CN"/>
        </w:rPr>
        <w:t>激励</w:t>
      </w:r>
      <w:r>
        <w:rPr>
          <w:rFonts w:hint="eastAsia" w:ascii="仿宋_GB2312" w:hAnsi="仿宋_GB2312" w:eastAsia="仿宋_GB2312" w:cs="仿宋_GB2312"/>
          <w:color w:val="auto"/>
          <w:spacing w:val="0"/>
          <w:sz w:val="32"/>
          <w:szCs w:val="32"/>
        </w:rPr>
        <w:t>政策</w:t>
      </w:r>
      <w:bookmarkEnd w:id="12"/>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eastAsia="zh-CN"/>
        </w:rPr>
        <w:t>出台《延津县落实全省新兴产业链工作意见》，</w:t>
      </w:r>
      <w:r>
        <w:rPr>
          <w:rFonts w:hint="eastAsia" w:ascii="仿宋_GB2312" w:hAnsi="仿宋_GB2312" w:eastAsia="仿宋_GB2312" w:cs="仿宋_GB2312"/>
          <w:color w:val="auto"/>
          <w:spacing w:val="0"/>
          <w:sz w:val="32"/>
          <w:szCs w:val="32"/>
          <w:lang w:val="en-US" w:eastAsia="zh-CN"/>
        </w:rPr>
        <w:t>针对9个新兴产业，按照“一个产业、四个清单、一套班子、一抓到底”原则，成立工作专班，对重点事项、重点园区、重点企业、重点项目实行清单管理，</w:t>
      </w:r>
      <w:r>
        <w:rPr>
          <w:rFonts w:hint="eastAsia" w:ascii="仿宋_GB2312" w:hAnsi="仿宋_GB2312" w:eastAsia="仿宋_GB2312" w:cs="仿宋_GB2312"/>
          <w:color w:val="auto"/>
          <w:spacing w:val="0"/>
          <w:sz w:val="32"/>
          <w:szCs w:val="32"/>
        </w:rPr>
        <w:t>涵盖了质量品牌、标准化、计量、 检验检测、认证认可、商标、专利等市场监管业务范围。对获得省长、市长和县长质量奖的企业给予重奖。</w:t>
      </w:r>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bookmarkStart w:id="13" w:name="_Toc161292746_WPSOffice_Level3"/>
      <w:r>
        <w:rPr>
          <w:rFonts w:hint="eastAsia" w:ascii="仿宋_GB2312" w:hAnsi="仿宋_GB2312" w:eastAsia="仿宋_GB2312" w:cs="仿宋_GB2312"/>
          <w:color w:val="auto"/>
          <w:spacing w:val="0"/>
          <w:sz w:val="32"/>
          <w:szCs w:val="32"/>
          <w:lang w:val="en-US" w:eastAsia="zh-CN"/>
        </w:rPr>
        <w:t>3.</w:t>
      </w:r>
      <w:r>
        <w:rPr>
          <w:rFonts w:hint="eastAsia" w:ascii="仿宋_GB2312" w:hAnsi="仿宋_GB2312" w:eastAsia="仿宋_GB2312" w:cs="仿宋_GB2312"/>
          <w:color w:val="auto"/>
          <w:spacing w:val="0"/>
          <w:sz w:val="32"/>
          <w:szCs w:val="32"/>
        </w:rPr>
        <w:t>城乡发展</w:t>
      </w:r>
      <w:r>
        <w:rPr>
          <w:rFonts w:hint="eastAsia" w:ascii="仿宋_GB2312" w:hAnsi="仿宋_GB2312" w:eastAsia="仿宋_GB2312" w:cs="仿宋_GB2312"/>
          <w:color w:val="auto"/>
          <w:spacing w:val="0"/>
          <w:sz w:val="32"/>
          <w:szCs w:val="32"/>
          <w:lang w:val="en-US" w:eastAsia="zh-CN"/>
        </w:rPr>
        <w:t>扩容提质</w:t>
      </w:r>
      <w:bookmarkEnd w:id="13"/>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eastAsia="zh-CN"/>
        </w:rPr>
      </w:pPr>
      <w:bookmarkStart w:id="14" w:name="_Toc2682"/>
      <w:r>
        <w:rPr>
          <w:rFonts w:hint="eastAsia" w:ascii="仿宋_GB2312" w:hAnsi="仿宋_GB2312" w:eastAsia="仿宋_GB2312" w:cs="仿宋_GB2312"/>
          <w:color w:val="auto"/>
          <w:spacing w:val="0"/>
          <w:sz w:val="32"/>
          <w:szCs w:val="32"/>
        </w:rPr>
        <w:t>积极融入郑新一体化发展，全面启动新延一体化发展。</w:t>
      </w:r>
      <w:r>
        <w:rPr>
          <w:rFonts w:hint="eastAsia" w:ascii="仿宋_GB2312" w:hAnsi="仿宋_GB2312" w:eastAsia="仿宋_GB2312" w:cs="仿宋_GB2312"/>
          <w:color w:val="auto"/>
          <w:spacing w:val="0"/>
          <w:sz w:val="32"/>
          <w:szCs w:val="32"/>
          <w:lang w:val="en-US" w:eastAsia="zh-CN"/>
        </w:rPr>
        <w:t>坚持以水润城、以绿荫城、以文化城、以业兴城，</w:t>
      </w:r>
      <w:r>
        <w:rPr>
          <w:rFonts w:hint="eastAsia" w:ascii="仿宋_GB2312" w:hAnsi="仿宋_GB2312" w:eastAsia="仿宋_GB2312" w:cs="仿宋_GB2312"/>
          <w:color w:val="auto"/>
          <w:spacing w:val="0"/>
          <w:sz w:val="32"/>
          <w:szCs w:val="32"/>
        </w:rPr>
        <w:t>成功创建省级文明城市、省级卫生城市、省级园林县城，被评为全市唯一的河南省百城提质工作先进县。</w:t>
      </w:r>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黑体" w:hAnsi="黑体" w:eastAsia="黑体" w:cs="黑体"/>
          <w:b w:val="0"/>
          <w:bCs w:val="0"/>
          <w:color w:val="auto"/>
          <w:spacing w:val="0"/>
          <w:sz w:val="32"/>
          <w:szCs w:val="32"/>
          <w:lang w:val="en-US" w:eastAsia="zh-CN"/>
        </w:rPr>
      </w:pPr>
      <w:bookmarkStart w:id="15" w:name="_Toc1304140623_WPSOffice_Level1"/>
      <w:r>
        <w:rPr>
          <w:rFonts w:hint="eastAsia" w:ascii="黑体" w:hAnsi="黑体" w:eastAsia="黑体" w:cs="黑体"/>
          <w:b w:val="0"/>
          <w:bCs w:val="0"/>
          <w:color w:val="auto"/>
          <w:spacing w:val="0"/>
          <w:sz w:val="32"/>
          <w:szCs w:val="32"/>
          <w:lang w:eastAsia="zh-CN"/>
        </w:rPr>
        <w:t>二、</w:t>
      </w:r>
      <w:r>
        <w:rPr>
          <w:rFonts w:hint="eastAsia" w:ascii="黑体" w:hAnsi="黑体" w:eastAsia="黑体" w:cs="黑体"/>
          <w:b w:val="0"/>
          <w:bCs w:val="0"/>
          <w:color w:val="auto"/>
          <w:spacing w:val="0"/>
          <w:sz w:val="32"/>
          <w:szCs w:val="32"/>
        </w:rPr>
        <w:t>挑战与机遇</w:t>
      </w:r>
      <w:bookmarkEnd w:id="14"/>
      <w:bookmarkEnd w:id="15"/>
      <w:r>
        <w:rPr>
          <w:rFonts w:hint="eastAsia" w:ascii="黑体" w:hAnsi="黑体" w:eastAsia="黑体" w:cs="黑体"/>
          <w:b w:val="0"/>
          <w:bCs w:val="0"/>
          <w:color w:val="auto"/>
          <w:spacing w:val="0"/>
          <w:sz w:val="32"/>
          <w:szCs w:val="32"/>
          <w:lang w:val="en-US" w:eastAsia="zh-CN"/>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楷体_GB2312" w:hAnsi="楷体_GB2312" w:eastAsia="楷体_GB2312" w:cs="楷体_GB2312"/>
          <w:b w:val="0"/>
          <w:bCs w:val="0"/>
          <w:color w:val="auto"/>
          <w:spacing w:val="0"/>
          <w:sz w:val="32"/>
          <w:szCs w:val="32"/>
        </w:rPr>
      </w:pPr>
      <w:bookmarkStart w:id="16" w:name="_Toc1304140623_WPSOffice_Level2"/>
      <w:r>
        <w:rPr>
          <w:rFonts w:hint="eastAsia" w:ascii="楷体_GB2312" w:hAnsi="楷体_GB2312" w:eastAsia="楷体_GB2312" w:cs="楷体_GB2312"/>
          <w:b w:val="0"/>
          <w:bCs w:val="0"/>
          <w:color w:val="auto"/>
          <w:spacing w:val="0"/>
          <w:sz w:val="32"/>
          <w:szCs w:val="32"/>
        </w:rPr>
        <w:t>（一）面临的挑战</w:t>
      </w:r>
      <w:bookmarkEnd w:id="16"/>
    </w:p>
    <w:p>
      <w:pPr>
        <w:keepNext w:val="0"/>
        <w:keepLines w:val="0"/>
        <w:pageBreakBefore w:val="0"/>
        <w:widowControl w:val="0"/>
        <w:kinsoku/>
        <w:wordWrap/>
        <w:overflowPunct/>
        <w:topLinePunct/>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当前，世界正经历百年未有之大变局，新一轮科技革命和产业变革深入推进，全球疫情仍在持续演变</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b/>
          <w:bCs/>
          <w:color w:val="auto"/>
          <w:spacing w:val="0"/>
          <w:sz w:val="32"/>
          <w:szCs w:val="32"/>
        </w:rPr>
        <w:t>一是</w:t>
      </w:r>
      <w:r>
        <w:rPr>
          <w:rFonts w:hint="eastAsia" w:ascii="仿宋_GB2312" w:hAnsi="仿宋_GB2312" w:eastAsia="仿宋_GB2312" w:cs="仿宋_GB2312"/>
          <w:color w:val="auto"/>
          <w:spacing w:val="0"/>
          <w:sz w:val="32"/>
          <w:szCs w:val="32"/>
        </w:rPr>
        <w:t>从国际形势来看，数字化、治理重构等力量推动经济社会加速变革，世界经济格局将深刻调整。</w:t>
      </w:r>
      <w:r>
        <w:rPr>
          <w:rFonts w:hint="eastAsia" w:ascii="仿宋_GB2312" w:hAnsi="仿宋_GB2312" w:eastAsia="仿宋_GB2312" w:cs="仿宋_GB2312"/>
          <w:b/>
          <w:bCs/>
          <w:color w:val="auto"/>
          <w:spacing w:val="0"/>
          <w:sz w:val="32"/>
          <w:szCs w:val="32"/>
        </w:rPr>
        <w:t>二是</w:t>
      </w:r>
      <w:r>
        <w:rPr>
          <w:rFonts w:hint="eastAsia" w:ascii="仿宋_GB2312" w:hAnsi="仿宋_GB2312" w:eastAsia="仿宋_GB2312" w:cs="仿宋_GB2312"/>
          <w:color w:val="auto"/>
          <w:spacing w:val="0"/>
          <w:sz w:val="32"/>
          <w:szCs w:val="32"/>
        </w:rPr>
        <w:t>从国内形势来看，在质量效益明显提升的基础上实现经济持续健康发展，要求加快建设高标准市场体系，形成高效规范、公平竞争、质量安全、消费满意的强大国内市场</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在此基础上持续深化对外开放，拓展国际市场</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构建国内国际双循环相互促进的新发展格局。</w:t>
      </w:r>
      <w:r>
        <w:rPr>
          <w:rFonts w:hint="eastAsia" w:ascii="仿宋_GB2312" w:hAnsi="仿宋_GB2312" w:eastAsia="仿宋_GB2312" w:cs="仿宋_GB2312"/>
          <w:b/>
          <w:bCs/>
          <w:color w:val="auto"/>
          <w:spacing w:val="0"/>
          <w:sz w:val="32"/>
          <w:szCs w:val="32"/>
        </w:rPr>
        <w:t>三是</w:t>
      </w:r>
      <w:r>
        <w:rPr>
          <w:rFonts w:hint="eastAsia" w:ascii="仿宋_GB2312" w:hAnsi="仿宋_GB2312" w:eastAsia="仿宋_GB2312" w:cs="仿宋_GB2312"/>
          <w:color w:val="auto"/>
          <w:spacing w:val="0"/>
          <w:sz w:val="32"/>
          <w:szCs w:val="32"/>
        </w:rPr>
        <w:t>品牌引领工作</w:t>
      </w:r>
      <w:r>
        <w:rPr>
          <w:rFonts w:hint="eastAsia" w:ascii="仿宋_GB2312" w:hAnsi="仿宋_GB2312" w:eastAsia="仿宋_GB2312" w:cs="仿宋_GB2312"/>
          <w:color w:val="auto"/>
          <w:spacing w:val="0"/>
          <w:sz w:val="32"/>
          <w:szCs w:val="32"/>
          <w:lang w:eastAsia="zh-CN"/>
        </w:rPr>
        <w:t>需</w:t>
      </w:r>
      <w:r>
        <w:rPr>
          <w:rFonts w:hint="eastAsia" w:ascii="仿宋_GB2312" w:hAnsi="仿宋_GB2312" w:eastAsia="仿宋_GB2312" w:cs="仿宋_GB2312"/>
          <w:color w:val="auto"/>
          <w:spacing w:val="0"/>
          <w:sz w:val="32"/>
          <w:szCs w:val="32"/>
        </w:rPr>
        <w:t>进一步加强，中小企业品牌意识薄弱，品牌发展不均衡，质量发展创新能力不够。四是质量基础建设有缺口。从供给侧需要看，质量技术基础仍存在不匹配推动高质量发展的问题，</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新增长点支持力仍然不强，高新技术产业比重和现代服务业比重不高，科技和人才支撑能力不强，</w:t>
      </w:r>
      <w:r>
        <w:rPr>
          <w:rFonts w:hint="eastAsia" w:ascii="仿宋_GB2312" w:hAnsi="仿宋_GB2312" w:eastAsia="仿宋_GB2312" w:cs="仿宋_GB2312"/>
          <w:color w:val="auto"/>
          <w:spacing w:val="0"/>
          <w:sz w:val="32"/>
          <w:szCs w:val="32"/>
        </w:rPr>
        <w:t>龙头企业、战略性新兴产业少，</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自主创新能力较弱，核心技术和关键环节的研发、储备不足，</w:t>
      </w:r>
      <w:r>
        <w:rPr>
          <w:rFonts w:hint="eastAsia" w:ascii="仿宋_GB2312" w:hAnsi="仿宋_GB2312" w:eastAsia="仿宋_GB2312" w:cs="仿宋_GB2312"/>
          <w:color w:val="auto"/>
          <w:spacing w:val="0"/>
          <w:sz w:val="32"/>
          <w:szCs w:val="32"/>
        </w:rPr>
        <w:t>狠抓质量提升和质量基础的任务仍然艰巨繁重。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楷体_GB2312" w:hAnsi="楷体_GB2312" w:eastAsia="楷体_GB2312" w:cs="楷体_GB2312"/>
          <w:b w:val="0"/>
          <w:bCs w:val="0"/>
          <w:color w:val="auto"/>
          <w:spacing w:val="0"/>
          <w:sz w:val="32"/>
          <w:szCs w:val="32"/>
        </w:rPr>
      </w:pPr>
      <w:bookmarkStart w:id="17" w:name="_Toc1784884044_WPSOffice_Level2"/>
      <w:r>
        <w:rPr>
          <w:rFonts w:hint="eastAsia" w:ascii="楷体_GB2312" w:hAnsi="楷体_GB2312" w:eastAsia="楷体_GB2312" w:cs="楷体_GB2312"/>
          <w:b w:val="0"/>
          <w:bCs w:val="0"/>
          <w:color w:val="auto"/>
          <w:spacing w:val="0"/>
          <w:sz w:val="32"/>
          <w:szCs w:val="32"/>
        </w:rPr>
        <w:t>（二）抢抓高质量发展机遇</w:t>
      </w:r>
      <w:bookmarkEnd w:id="17"/>
    </w:p>
    <w:p>
      <w:pPr>
        <w:pStyle w:val="3"/>
        <w:keepNext w:val="0"/>
        <w:keepLines w:val="0"/>
        <w:pageBreakBefore w:val="0"/>
        <w:widowControl w:val="0"/>
        <w:kinsoku/>
        <w:wordWrap/>
        <w:overflowPunct/>
        <w:topLinePunct/>
        <w:autoSpaceDE/>
        <w:autoSpaceDN/>
        <w:bidi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highlight w:val="none"/>
        </w:rPr>
        <w:t>我国进入新发展阶段，人民日益增长美好生活需要的满足对质量、品牌、标准建设提出更高要求。人民对优质产品和服务的需求增加</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对加快转变经济发展方式、提高发展质量与效益提出迫切要求。</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国家发布“中国制造2025”行动纲领，全面实施制造强国战略，加快推进“互联网+”行动计划，促进大众创新万众创业，一系列稳增长调结构促改革新举措密集出台，为延津加快科技创新、优化产业结构、培育新兴业态、拓展增长空间提供了前所未有的机遇。</w:t>
      </w:r>
      <w:r>
        <w:rPr>
          <w:rFonts w:hint="eastAsia" w:ascii="仿宋_GB2312" w:hAnsi="仿宋_GB2312" w:eastAsia="仿宋_GB2312" w:cs="仿宋_GB2312"/>
          <w:color w:val="auto"/>
          <w:spacing w:val="0"/>
          <w:kern w:val="0"/>
          <w:sz w:val="32"/>
          <w:szCs w:val="32"/>
          <w:lang w:val="en-US" w:eastAsia="zh-CN" w:bidi="ar"/>
        </w:rPr>
        <w:t>随着供给侧结构性改革、国家级战略（平台）“三区一群”（郑州航空港经济综合实验区、郑洛新国家自主创新示范区、中国（河南）自由贸易试验区，中原城市群）和黄河流域生态保护和高质量发展建设深入推进，新乡大东区聚力开发，郑延融合、新延一体等发展潜能加速释放，延津凭借优越的区位交通优势及延津小麦、土地、生态和黄河故道文化等“比较优势”，享有的战略政策红利更加明显，为对外开放、承接转移，创新发展、产业升级注入了强劲动力。</w:t>
      </w:r>
      <w:r>
        <w:rPr>
          <w:rFonts w:hint="eastAsia" w:ascii="仿宋_GB2312" w:hAnsi="仿宋_GB2312" w:eastAsia="仿宋_GB2312" w:cs="仿宋_GB2312"/>
          <w:color w:val="auto"/>
          <w:spacing w:val="0"/>
          <w:sz w:val="32"/>
          <w:szCs w:val="32"/>
        </w:rPr>
        <w:t>随着鲁花食品、克明面业、桂柳牧业等农业产业化国家重点龙头企业入驻延津，使我县在全面推进乡村振兴过程中延伸农业产业链条、建立联农带农机制、促进乡村集体经济发展、促进农民增收致富等方面更加大有可为、大有作为。</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综合经济实力及</w:t>
      </w:r>
      <w:r>
        <w:rPr>
          <w:rFonts w:hint="eastAsia" w:ascii="仿宋_GB2312" w:hAnsi="仿宋_GB2312" w:eastAsia="仿宋_GB2312" w:cs="仿宋_GB2312"/>
          <w:i w:val="0"/>
          <w:iCs w:val="0"/>
          <w:caps w:val="0"/>
          <w:color w:val="auto"/>
          <w:spacing w:val="0"/>
          <w:sz w:val="32"/>
          <w:szCs w:val="32"/>
          <w:highlight w:val="none"/>
          <w:shd w:val="clear" w:fill="FFFFFF"/>
        </w:rPr>
        <w:t>打造延津“优质小麦”和“优质花生”两大主导产业区域品牌，</w:t>
      </w:r>
      <w:r>
        <w:rPr>
          <w:rFonts w:hint="eastAsia" w:ascii="仿宋_GB2312" w:hAnsi="仿宋_GB2312" w:eastAsia="仿宋_GB2312" w:cs="仿宋_GB2312"/>
          <w:color w:val="auto"/>
          <w:spacing w:val="0"/>
          <w:kern w:val="0"/>
          <w:sz w:val="32"/>
          <w:szCs w:val="32"/>
          <w:highlight w:val="none"/>
          <w:lang w:val="en-US" w:eastAsia="zh-CN" w:bidi="ar"/>
        </w:rPr>
        <w:t>形成食品加工、医药化工和节能环保三大主导产业</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的辐射力、影响力不断增强。</w:t>
      </w:r>
      <w:r>
        <w:rPr>
          <w:rFonts w:hint="eastAsia" w:ascii="仿宋_GB2312" w:hAnsi="仿宋_GB2312" w:eastAsia="仿宋_GB2312" w:cs="仿宋_GB2312"/>
          <w:color w:val="auto"/>
          <w:spacing w:val="0"/>
          <w:sz w:val="32"/>
          <w:szCs w:val="32"/>
        </w:rPr>
        <w:t>“十四五”时期，也是</w:t>
      </w:r>
      <w:r>
        <w:rPr>
          <w:rFonts w:hint="eastAsia" w:ascii="仿宋_GB2312" w:hAnsi="仿宋_GB2312" w:eastAsia="仿宋_GB2312" w:cs="仿宋_GB2312"/>
          <w:color w:val="auto"/>
          <w:spacing w:val="0"/>
          <w:sz w:val="32"/>
          <w:szCs w:val="32"/>
          <w:lang w:val="en-US" w:eastAsia="zh-CN"/>
        </w:rPr>
        <w:t>延津</w:t>
      </w:r>
      <w:r>
        <w:rPr>
          <w:rFonts w:hint="eastAsia" w:ascii="仿宋_GB2312" w:hAnsi="仿宋_GB2312" w:eastAsia="仿宋_GB2312" w:cs="仿宋_GB2312"/>
          <w:color w:val="auto"/>
          <w:spacing w:val="0"/>
          <w:sz w:val="32"/>
          <w:szCs w:val="32"/>
        </w:rPr>
        <w:t>步入城市蝶变的关键期、能级提升的突破期、新经济发展的追赶期、治理现代化的攻坚期、人民幸福感持续提升的考验期。</w:t>
      </w:r>
      <w:r>
        <w:rPr>
          <w:rFonts w:hint="eastAsia" w:ascii="仿宋_GB2312" w:hAnsi="仿宋_GB2312" w:eastAsia="仿宋_GB2312" w:cs="仿宋_GB2312"/>
          <w:color w:val="auto"/>
          <w:spacing w:val="0"/>
          <w:sz w:val="32"/>
          <w:szCs w:val="32"/>
          <w:lang w:val="en-US" w:eastAsia="zh-CN"/>
        </w:rPr>
        <w:t>延津</w:t>
      </w:r>
      <w:r>
        <w:rPr>
          <w:rFonts w:hint="eastAsia" w:ascii="仿宋_GB2312" w:hAnsi="仿宋_GB2312" w:eastAsia="仿宋_GB2312" w:cs="仿宋_GB2312"/>
          <w:color w:val="auto"/>
          <w:spacing w:val="0"/>
          <w:sz w:val="32"/>
          <w:szCs w:val="32"/>
        </w:rPr>
        <w:t>需坚定高质量发展之路，在产品、服务、工程领域全面深化质量变革、标准变革、品牌变革。坚持质量第一，以品牌的力量激发新的增长动力，以高质量供给创造更多市场需求，以标准提档、品牌增效融入和引领价值链重塑，形成具有</w:t>
      </w:r>
      <w:r>
        <w:rPr>
          <w:rFonts w:hint="eastAsia" w:ascii="仿宋_GB2312" w:hAnsi="仿宋_GB2312" w:eastAsia="仿宋_GB2312" w:cs="仿宋_GB2312"/>
          <w:color w:val="auto"/>
          <w:spacing w:val="0"/>
          <w:sz w:val="32"/>
          <w:szCs w:val="32"/>
          <w:lang w:val="en-US" w:eastAsia="zh-CN"/>
        </w:rPr>
        <w:t>延津</w:t>
      </w:r>
      <w:r>
        <w:rPr>
          <w:rFonts w:hint="eastAsia" w:ascii="仿宋_GB2312" w:hAnsi="仿宋_GB2312" w:eastAsia="仿宋_GB2312" w:cs="仿宋_GB2312"/>
          <w:color w:val="auto"/>
          <w:spacing w:val="0"/>
          <w:sz w:val="32"/>
          <w:szCs w:val="32"/>
        </w:rPr>
        <w:t>特色的质量发展道路。</w:t>
      </w:r>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黑体" w:hAnsi="黑体" w:eastAsia="黑体" w:cs="黑体"/>
          <w:b w:val="0"/>
          <w:bCs w:val="0"/>
          <w:color w:val="auto"/>
          <w:spacing w:val="0"/>
          <w:sz w:val="32"/>
          <w:szCs w:val="32"/>
        </w:rPr>
      </w:pPr>
      <w:bookmarkStart w:id="18" w:name="_Toc10102"/>
      <w:bookmarkStart w:id="19" w:name="_Toc1784884044_WPSOffice_Level1"/>
      <w:r>
        <w:rPr>
          <w:rFonts w:hint="eastAsia" w:ascii="黑体" w:hAnsi="黑体" w:eastAsia="黑体" w:cs="黑体"/>
          <w:b w:val="0"/>
          <w:bCs w:val="0"/>
          <w:color w:val="auto"/>
          <w:spacing w:val="0"/>
          <w:sz w:val="32"/>
          <w:szCs w:val="32"/>
          <w:lang w:eastAsia="zh-CN"/>
        </w:rPr>
        <w:t>三</w:t>
      </w:r>
      <w:r>
        <w:rPr>
          <w:rFonts w:hint="eastAsia" w:ascii="黑体" w:hAnsi="黑体" w:eastAsia="黑体" w:cs="黑体"/>
          <w:b w:val="0"/>
          <w:bCs w:val="0"/>
          <w:color w:val="auto"/>
          <w:spacing w:val="0"/>
          <w:sz w:val="32"/>
          <w:szCs w:val="32"/>
        </w:rPr>
        <w:t>、十四五规划指导思想、基本原则和发展目标</w:t>
      </w:r>
      <w:bookmarkEnd w:id="18"/>
      <w:bookmarkEnd w:id="19"/>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楷体_GB2312" w:hAnsi="楷体_GB2312" w:eastAsia="楷体_GB2312" w:cs="楷体_GB2312"/>
          <w:b w:val="0"/>
          <w:bCs w:val="0"/>
          <w:color w:val="auto"/>
          <w:spacing w:val="0"/>
          <w:sz w:val="32"/>
          <w:szCs w:val="32"/>
        </w:rPr>
      </w:pPr>
      <w:bookmarkStart w:id="20" w:name="_Toc1004224948_WPSOffice_Level2"/>
      <w:bookmarkStart w:id="21" w:name="_Toc14821"/>
      <w:r>
        <w:rPr>
          <w:rFonts w:hint="eastAsia" w:ascii="楷体_GB2312" w:hAnsi="楷体_GB2312" w:eastAsia="楷体_GB2312" w:cs="楷体_GB2312"/>
          <w:b w:val="0"/>
          <w:bCs w:val="0"/>
          <w:color w:val="auto"/>
          <w:spacing w:val="0"/>
          <w:sz w:val="32"/>
          <w:szCs w:val="32"/>
        </w:rPr>
        <w:t>（一）指导思想</w:t>
      </w:r>
      <w:bookmarkEnd w:id="20"/>
      <w:bookmarkEnd w:id="21"/>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Cs/>
          <w:color w:val="auto"/>
          <w:spacing w:val="0"/>
          <w:sz w:val="32"/>
          <w:szCs w:val="32"/>
          <w:lang w:val="en-US" w:eastAsia="zh-CN"/>
        </w:rPr>
        <w:t>认真贯彻党的十九大和十九届二中、三中、四中、五中、六中全会精神，以习近平新时代中国特色社会主义思想为指导，紧紧围绕高质量发展要求，坚定不移走高质量发展之路，牢固树立和贯彻落实新发展理念，贯彻落实习近平总书记视察河南重要讲话精神和省委、市委、县委有关精神，始终坚持质量第一、效益优先方针，发挥县域资源优势和比较优势，大力开展质量提升行动，以质量管理、品牌带动、标准引领、认证认可为手段，聚集全县资金、技术、标准、商标、专利等质量发展要素，实施质量共治，全力提升特色农业产业发展水平，推动“三个转变”，建设质量强县，努力把延津特色农业产业打造成质量标准先进、产业发展高端、品牌带动力强的制造产业，</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“延津麦·强筋面”品牌叫响全国。</w:t>
      </w:r>
      <w:r>
        <w:rPr>
          <w:rFonts w:hint="eastAsia" w:ascii="仿宋_GB2312" w:hAnsi="仿宋_GB2312" w:eastAsia="仿宋_GB2312" w:cs="仿宋_GB2312"/>
          <w:bCs/>
          <w:color w:val="auto"/>
          <w:spacing w:val="0"/>
          <w:sz w:val="32"/>
          <w:szCs w:val="32"/>
          <w:lang w:val="en-US" w:eastAsia="zh-CN"/>
        </w:rPr>
        <w:t>为开启延津现代化建设新征</w:t>
      </w:r>
      <w:r>
        <w:rPr>
          <w:rFonts w:hint="eastAsia" w:ascii="仿宋_GB2312" w:hAnsi="仿宋_GB2312" w:eastAsia="仿宋_GB2312" w:cs="仿宋_GB2312"/>
          <w:bCs/>
          <w:color w:val="auto"/>
          <w:spacing w:val="6"/>
          <w:sz w:val="32"/>
          <w:szCs w:val="32"/>
          <w:lang w:val="en-US" w:eastAsia="zh-CN"/>
        </w:rPr>
        <w:t>程奠定基础，</w:t>
      </w:r>
      <w:r>
        <w:rPr>
          <w:rFonts w:hint="eastAsia" w:ascii="仿宋_GB2312" w:hAnsi="仿宋_GB2312" w:eastAsia="仿宋_GB2312" w:cs="仿宋_GB2312"/>
          <w:color w:val="auto"/>
          <w:spacing w:val="6"/>
          <w:kern w:val="0"/>
          <w:sz w:val="32"/>
          <w:szCs w:val="32"/>
          <w:lang w:val="en-US" w:eastAsia="zh-CN" w:bidi="ar"/>
        </w:rPr>
        <w:t>在谱写新时代中原更加出彩绚丽篇章中贡献延津力量。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楷体_GB2312" w:hAnsi="楷体_GB2312" w:eastAsia="楷体_GB2312" w:cs="楷体_GB2312"/>
          <w:b w:val="0"/>
          <w:bCs w:val="0"/>
          <w:color w:val="auto"/>
          <w:spacing w:val="0"/>
          <w:sz w:val="32"/>
          <w:szCs w:val="32"/>
        </w:rPr>
      </w:pPr>
      <w:bookmarkStart w:id="22" w:name="_Toc1960710189_WPSOffice_Level2"/>
      <w:bookmarkStart w:id="23" w:name="_Toc22756"/>
      <w:r>
        <w:rPr>
          <w:rFonts w:hint="eastAsia" w:ascii="楷体_GB2312" w:hAnsi="楷体_GB2312" w:eastAsia="楷体_GB2312" w:cs="楷体_GB2312"/>
          <w:b w:val="0"/>
          <w:bCs w:val="0"/>
          <w:color w:val="auto"/>
          <w:spacing w:val="0"/>
          <w:sz w:val="32"/>
          <w:szCs w:val="32"/>
          <w:lang w:eastAsia="zh-CN"/>
        </w:rPr>
        <w:t>（二）</w:t>
      </w:r>
      <w:r>
        <w:rPr>
          <w:rFonts w:hint="eastAsia" w:ascii="楷体_GB2312" w:hAnsi="楷体_GB2312" w:eastAsia="楷体_GB2312" w:cs="楷体_GB2312"/>
          <w:b w:val="0"/>
          <w:bCs w:val="0"/>
          <w:color w:val="auto"/>
          <w:spacing w:val="0"/>
          <w:sz w:val="32"/>
          <w:szCs w:val="32"/>
        </w:rPr>
        <w:t>基本原则</w:t>
      </w:r>
      <w:bookmarkEnd w:id="22"/>
      <w:bookmarkEnd w:id="23"/>
    </w:p>
    <w:p>
      <w:pPr>
        <w:keepNext w:val="0"/>
        <w:keepLines w:val="0"/>
        <w:pageBreakBefore w:val="0"/>
        <w:widowControl w:val="0"/>
        <w:kinsoku/>
        <w:wordWrap/>
        <w:overflowPunct/>
        <w:topLinePunct/>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b w:val="0"/>
          <w:bCs/>
          <w:color w:val="auto"/>
          <w:spacing w:val="0"/>
          <w:sz w:val="32"/>
          <w:szCs w:val="32"/>
        </w:rPr>
      </w:pPr>
      <w:bookmarkStart w:id="24" w:name="_Toc274466605"/>
      <w:bookmarkStart w:id="25" w:name="_Toc1316208003"/>
      <w:bookmarkStart w:id="26" w:name="_Toc439"/>
      <w:r>
        <w:rPr>
          <w:rFonts w:hint="eastAsia" w:ascii="仿宋_GB2312" w:hAnsi="仿宋_GB2312" w:eastAsia="仿宋_GB2312" w:cs="仿宋_GB2312"/>
          <w:b w:val="0"/>
          <w:bCs/>
          <w:color w:val="auto"/>
          <w:spacing w:val="0"/>
          <w:sz w:val="32"/>
          <w:szCs w:val="32"/>
          <w:lang w:val="en-US" w:eastAsia="zh-CN"/>
        </w:rPr>
        <w:t>1.</w:t>
      </w:r>
      <w:r>
        <w:rPr>
          <w:rFonts w:hint="eastAsia" w:ascii="仿宋_GB2312" w:hAnsi="仿宋_GB2312" w:eastAsia="仿宋_GB2312" w:cs="仿宋_GB2312"/>
          <w:b w:val="0"/>
          <w:bCs/>
          <w:color w:val="auto"/>
          <w:spacing w:val="0"/>
          <w:sz w:val="32"/>
          <w:szCs w:val="32"/>
        </w:rPr>
        <w:t>以质取胜</w:t>
      </w:r>
      <w:r>
        <w:rPr>
          <w:rFonts w:hint="eastAsia" w:ascii="仿宋_GB2312" w:hAnsi="仿宋_GB2312" w:eastAsia="仿宋_GB2312" w:cs="仿宋_GB2312"/>
          <w:b w:val="0"/>
          <w:bCs/>
          <w:color w:val="auto"/>
          <w:spacing w:val="0"/>
          <w:sz w:val="32"/>
          <w:szCs w:val="32"/>
          <w:lang w:eastAsia="zh-CN"/>
        </w:rPr>
        <w:t>。</w:t>
      </w:r>
      <w:r>
        <w:rPr>
          <w:rFonts w:hint="eastAsia" w:ascii="仿宋_GB2312" w:hAnsi="仿宋_GB2312" w:eastAsia="仿宋_GB2312" w:cs="仿宋_GB2312"/>
          <w:b w:val="0"/>
          <w:bCs/>
          <w:color w:val="auto"/>
          <w:spacing w:val="0"/>
          <w:sz w:val="32"/>
          <w:szCs w:val="32"/>
        </w:rPr>
        <w:t>始终把质量第一作为发展的价值取向和判断标准，突出需求牵引、结果导向，找准改革创新与转型升级的切入点、内生增长和开放发展的结合点、社会建设与民生改善的着力点，打造健康可持续经济社会系统，促进各领域高水平发展，实质性增加社会总福利。</w:t>
      </w:r>
      <w:bookmarkEnd w:id="24"/>
      <w:bookmarkEnd w:id="25"/>
    </w:p>
    <w:p>
      <w:pPr>
        <w:keepNext w:val="0"/>
        <w:keepLines w:val="0"/>
        <w:pageBreakBefore w:val="0"/>
        <w:widowControl w:val="0"/>
        <w:kinsoku/>
        <w:wordWrap/>
        <w:overflowPunct/>
        <w:topLinePunct/>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b w:val="0"/>
          <w:bCs/>
          <w:color w:val="auto"/>
          <w:spacing w:val="0"/>
          <w:sz w:val="32"/>
          <w:szCs w:val="32"/>
        </w:rPr>
      </w:pPr>
      <w:r>
        <w:rPr>
          <w:rFonts w:hint="eastAsia" w:ascii="仿宋_GB2312" w:hAnsi="仿宋_GB2312" w:eastAsia="仿宋_GB2312" w:cs="仿宋_GB2312"/>
          <w:b w:val="0"/>
          <w:bCs/>
          <w:color w:val="auto"/>
          <w:spacing w:val="0"/>
          <w:sz w:val="32"/>
          <w:szCs w:val="32"/>
          <w:lang w:val="en-US" w:eastAsia="zh-CN"/>
        </w:rPr>
        <w:t>2.</w:t>
      </w:r>
      <w:r>
        <w:rPr>
          <w:rFonts w:hint="eastAsia" w:ascii="仿宋_GB2312" w:hAnsi="仿宋_GB2312" w:eastAsia="仿宋_GB2312" w:cs="仿宋_GB2312"/>
          <w:b w:val="0"/>
          <w:bCs/>
          <w:color w:val="auto"/>
          <w:spacing w:val="0"/>
          <w:sz w:val="32"/>
          <w:szCs w:val="32"/>
        </w:rPr>
        <w:t>创新突破。把创新摆在质量发展全局的核心位置，持续建立完善综合创新生态体系，创新质量管理机制体制、方式方法，提升政府服务水平，强化质量宏观管理，保持质量发展新常态。既注重技术、管理、产业创新，也重视理念、文化和制度创新，以强大的创新推动质量、计量、标准的提升形成以创新为支撑的质量发展模式，创造更多领域引领式发展的新优势。</w:t>
      </w:r>
    </w:p>
    <w:p>
      <w:pPr>
        <w:keepNext w:val="0"/>
        <w:keepLines w:val="0"/>
        <w:pageBreakBefore w:val="0"/>
        <w:widowControl w:val="0"/>
        <w:kinsoku/>
        <w:wordWrap/>
        <w:overflowPunct/>
        <w:topLinePunct/>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b w:val="0"/>
          <w:bCs/>
          <w:color w:val="auto"/>
          <w:spacing w:val="0"/>
          <w:sz w:val="32"/>
          <w:szCs w:val="32"/>
        </w:rPr>
      </w:pPr>
      <w:bookmarkStart w:id="27" w:name="_Toc24251"/>
      <w:r>
        <w:rPr>
          <w:rFonts w:hint="eastAsia" w:ascii="仿宋_GB2312" w:hAnsi="仿宋_GB2312" w:eastAsia="仿宋_GB2312" w:cs="仿宋_GB2312"/>
          <w:b w:val="0"/>
          <w:bCs/>
          <w:color w:val="auto"/>
          <w:spacing w:val="0"/>
          <w:sz w:val="32"/>
          <w:szCs w:val="32"/>
        </w:rPr>
        <w:t>3</w:t>
      </w:r>
      <w:r>
        <w:rPr>
          <w:rFonts w:hint="eastAsia" w:ascii="仿宋_GB2312" w:hAnsi="仿宋_GB2312" w:eastAsia="仿宋_GB2312" w:cs="仿宋_GB2312"/>
          <w:b w:val="0"/>
          <w:bCs/>
          <w:color w:val="auto"/>
          <w:spacing w:val="0"/>
          <w:sz w:val="32"/>
          <w:szCs w:val="32"/>
          <w:lang w:val="en-US" w:eastAsia="zh-CN"/>
        </w:rPr>
        <w:t>.</w:t>
      </w:r>
      <w:r>
        <w:rPr>
          <w:rFonts w:hint="eastAsia" w:ascii="仿宋_GB2312" w:hAnsi="仿宋_GB2312" w:eastAsia="仿宋_GB2312" w:cs="仿宋_GB2312"/>
          <w:b w:val="0"/>
          <w:bCs/>
          <w:color w:val="auto"/>
          <w:spacing w:val="0"/>
          <w:sz w:val="32"/>
          <w:szCs w:val="32"/>
        </w:rPr>
        <w:t>标准先行。瞄准国际一流，立足基线提升，建立覆盖经济社会发展各领域的标准规则体系和评价机制，以高标准引领高质量，促进产业发展、公共管理、社会治理的科学化、规范化和精细化，加快现代治理体系建设，打造宜居宜业城市，在更高层次提升城市竞争力。</w:t>
      </w:r>
    </w:p>
    <w:p>
      <w:pPr>
        <w:keepNext w:val="0"/>
        <w:keepLines w:val="0"/>
        <w:pageBreakBefore w:val="0"/>
        <w:widowControl w:val="0"/>
        <w:numPr>
          <w:ilvl w:val="0"/>
          <w:numId w:val="0"/>
        </w:numPr>
        <w:kinsoku/>
        <w:wordWrap/>
        <w:overflowPunct/>
        <w:topLinePunct/>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b w:val="0"/>
          <w:bCs/>
          <w:color w:val="auto"/>
          <w:spacing w:val="0"/>
          <w:sz w:val="32"/>
          <w:szCs w:val="32"/>
          <w:lang w:val="en-US" w:eastAsia="zh-CN"/>
        </w:rPr>
      </w:pPr>
      <w:r>
        <w:rPr>
          <w:rFonts w:hint="eastAsia" w:ascii="仿宋_GB2312" w:hAnsi="仿宋_GB2312" w:eastAsia="仿宋_GB2312" w:cs="仿宋_GB2312"/>
          <w:b w:val="0"/>
          <w:bCs/>
          <w:color w:val="auto"/>
          <w:spacing w:val="0"/>
          <w:sz w:val="32"/>
          <w:szCs w:val="32"/>
        </w:rPr>
        <w:t>4</w:t>
      </w:r>
      <w:r>
        <w:rPr>
          <w:rFonts w:hint="eastAsia" w:ascii="仿宋_GB2312" w:hAnsi="仿宋_GB2312" w:eastAsia="仿宋_GB2312" w:cs="仿宋_GB2312"/>
          <w:b w:val="0"/>
          <w:bCs/>
          <w:color w:val="auto"/>
          <w:spacing w:val="0"/>
          <w:sz w:val="32"/>
          <w:szCs w:val="32"/>
          <w:lang w:val="en-US" w:eastAsia="zh-CN"/>
        </w:rPr>
        <w:t>.</w:t>
      </w:r>
      <w:r>
        <w:rPr>
          <w:rFonts w:hint="eastAsia" w:ascii="仿宋_GB2312" w:hAnsi="仿宋_GB2312" w:eastAsia="仿宋_GB2312" w:cs="仿宋_GB2312"/>
          <w:b w:val="0"/>
          <w:bCs/>
          <w:color w:val="auto"/>
          <w:spacing w:val="0"/>
          <w:sz w:val="32"/>
          <w:szCs w:val="32"/>
        </w:rPr>
        <w:t>共治共享。把社会共治作为质量发展的有效途径。建立并完善大质量工作机制，形成“党委领导、政府监管、市场调节、企业主体、行业自律、社会参与”的质量共治格局，落实企业主体责任。加快社会信用体系建设，支持社会组织引导行业规范发展。探索建立质量安全多元救济机制。加强群众监督和舆论监督。发动社会力量开展质量安全志愿服务，形成质量多元共治格局。</w:t>
      </w:r>
    </w:p>
    <w:bookmarkEnd w:id="27"/>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楷体_GB2312" w:hAnsi="楷体_GB2312" w:eastAsia="楷体_GB2312" w:cs="楷体_GB2312"/>
          <w:b w:val="0"/>
          <w:bCs w:val="0"/>
          <w:color w:val="auto"/>
          <w:spacing w:val="0"/>
          <w:sz w:val="32"/>
          <w:szCs w:val="32"/>
        </w:rPr>
      </w:pPr>
      <w:bookmarkStart w:id="28" w:name="_Toc161292746_WPSOffice_Level2"/>
      <w:r>
        <w:rPr>
          <w:rFonts w:hint="eastAsia" w:ascii="楷体_GB2312" w:hAnsi="楷体_GB2312" w:eastAsia="楷体_GB2312" w:cs="楷体_GB2312"/>
          <w:b w:val="0"/>
          <w:bCs w:val="0"/>
          <w:color w:val="auto"/>
          <w:spacing w:val="0"/>
          <w:sz w:val="32"/>
          <w:szCs w:val="32"/>
          <w:lang w:eastAsia="zh-CN"/>
        </w:rPr>
        <w:t>（三）</w:t>
      </w:r>
      <w:r>
        <w:rPr>
          <w:rFonts w:hint="eastAsia" w:ascii="楷体_GB2312" w:hAnsi="楷体_GB2312" w:eastAsia="楷体_GB2312" w:cs="楷体_GB2312"/>
          <w:b w:val="0"/>
          <w:bCs w:val="0"/>
          <w:color w:val="auto"/>
          <w:spacing w:val="0"/>
          <w:sz w:val="32"/>
          <w:szCs w:val="32"/>
        </w:rPr>
        <w:t>发展目标</w:t>
      </w:r>
      <w:bookmarkEnd w:id="26"/>
      <w:bookmarkEnd w:id="28"/>
      <w:r>
        <w:rPr>
          <w:rFonts w:hint="eastAsia" w:ascii="楷体_GB2312" w:hAnsi="楷体_GB2312" w:eastAsia="楷体_GB2312" w:cs="楷体_GB2312"/>
          <w:b w:val="0"/>
          <w:bCs w:val="0"/>
          <w:color w:val="auto"/>
          <w:spacing w:val="0"/>
          <w:sz w:val="32"/>
          <w:szCs w:val="32"/>
        </w:rPr>
        <w:tab/>
      </w:r>
    </w:p>
    <w:p>
      <w:pPr>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b/>
          <w:color w:val="auto"/>
          <w:spacing w:val="0"/>
          <w:sz w:val="32"/>
          <w:szCs w:val="32"/>
          <w:highlight w:val="none"/>
        </w:rPr>
      </w:pPr>
      <w:bookmarkStart w:id="29" w:name="_Toc770633923_WPSOffice_Level3"/>
      <w:r>
        <w:rPr>
          <w:rFonts w:hint="eastAsia" w:ascii="仿宋_GB2312" w:hAnsi="仿宋_GB2312" w:eastAsia="仿宋_GB2312" w:cs="仿宋_GB2312"/>
          <w:color w:val="auto"/>
          <w:spacing w:val="0"/>
          <w:sz w:val="32"/>
          <w:szCs w:val="32"/>
          <w:highlight w:val="none"/>
        </w:rPr>
        <w:t>1</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总体目标</w:t>
      </w:r>
      <w:bookmarkEnd w:id="29"/>
      <w:r>
        <w:rPr>
          <w:rFonts w:hint="eastAsia" w:ascii="仿宋_GB2312" w:hAnsi="仿宋_GB2312" w:eastAsia="仿宋_GB2312" w:cs="仿宋_GB2312"/>
          <w:color w:val="auto"/>
          <w:spacing w:val="0"/>
          <w:sz w:val="32"/>
          <w:szCs w:val="32"/>
          <w:highlight w:val="none"/>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十四五期间</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延津</w:t>
      </w:r>
      <w:r>
        <w:rPr>
          <w:rFonts w:hint="eastAsia" w:ascii="仿宋_GB2312" w:hAnsi="仿宋_GB2312" w:eastAsia="仿宋_GB2312" w:cs="仿宋_GB2312"/>
          <w:color w:val="auto"/>
          <w:spacing w:val="0"/>
          <w:sz w:val="32"/>
          <w:szCs w:val="32"/>
          <w:lang w:eastAsia="zh-CN"/>
        </w:rPr>
        <w:t>县</w:t>
      </w:r>
      <w:r>
        <w:rPr>
          <w:rFonts w:hint="eastAsia" w:ascii="仿宋_GB2312" w:hAnsi="仿宋_GB2312" w:eastAsia="仿宋_GB2312" w:cs="仿宋_GB2312"/>
          <w:color w:val="auto"/>
          <w:spacing w:val="0"/>
          <w:sz w:val="32"/>
          <w:szCs w:val="32"/>
        </w:rPr>
        <w:t>将以加快建设社会主义现代化标杆县（市）为目标，大力实施质量强市战略，产品质量、服务质量、工程质量实现新突破，质量技术基础支撑能力不断加强，构建多元共治的质量发展格局，区域质量水平实现整体跃升，努力打造</w:t>
      </w:r>
      <w:r>
        <w:rPr>
          <w:rFonts w:hint="eastAsia" w:ascii="仿宋_GB2312" w:hAnsi="仿宋_GB2312" w:eastAsia="仿宋_GB2312" w:cs="仿宋_GB2312"/>
          <w:color w:val="auto"/>
          <w:spacing w:val="0"/>
          <w:sz w:val="32"/>
          <w:szCs w:val="32"/>
          <w:lang w:eastAsia="zh-CN"/>
        </w:rPr>
        <w:t>延津</w:t>
      </w:r>
      <w:r>
        <w:rPr>
          <w:rFonts w:hint="eastAsia" w:ascii="仿宋_GB2312" w:hAnsi="仿宋_GB2312" w:eastAsia="仿宋_GB2312" w:cs="仿宋_GB2312"/>
          <w:color w:val="auto"/>
          <w:spacing w:val="0"/>
          <w:sz w:val="32"/>
          <w:szCs w:val="32"/>
        </w:rPr>
        <w:t>质量新高地</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坚持</w:t>
      </w:r>
      <w:r>
        <w:rPr>
          <w:rFonts w:hint="eastAsia" w:ascii="仿宋_GB2312" w:hAnsi="仿宋_GB2312" w:eastAsia="仿宋_GB2312" w:cs="仿宋_GB2312"/>
          <w:b/>
          <w:bCs/>
          <w:color w:val="auto"/>
          <w:spacing w:val="0"/>
          <w:sz w:val="32"/>
          <w:szCs w:val="32"/>
          <w:highlight w:val="none"/>
        </w:rPr>
        <w:t>“打造中部地区先进制造业基地”“打造现代化农业农村示范基地”</w:t>
      </w:r>
      <w:r>
        <w:rPr>
          <w:rFonts w:hint="eastAsia" w:ascii="仿宋_GB2312" w:hAnsi="仿宋_GB2312" w:eastAsia="仿宋_GB2312" w:cs="仿宋_GB2312"/>
          <w:color w:val="auto"/>
          <w:spacing w:val="0"/>
          <w:sz w:val="32"/>
          <w:szCs w:val="32"/>
        </w:rPr>
        <w:t>的战略定位，深度融入黄河流域生态保护和高质量发展、淮河生态经济带等国家战略加快建设国家区域中心城市</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继续保持又好又快高质量发展态势。</w:t>
      </w:r>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展望2035年，形成覆盖全域、技术先进、国际接轨的先进标准体系，制造、服务、工程各领域质量达到国内领先水平，全面实现质量治理体系和治理能力现代化，成为具有影响力的品牌经济发展高地和先进标准引领高质量发展典范，质量强</w:t>
      </w:r>
      <w:r>
        <w:rPr>
          <w:rFonts w:hint="eastAsia" w:ascii="仿宋_GB2312" w:hAnsi="仿宋_GB2312" w:eastAsia="仿宋_GB2312" w:cs="仿宋_GB2312"/>
          <w:color w:val="auto"/>
          <w:spacing w:val="0"/>
          <w:sz w:val="32"/>
          <w:szCs w:val="32"/>
          <w:lang w:eastAsia="zh-CN"/>
        </w:rPr>
        <w:t>县</w:t>
      </w:r>
      <w:r>
        <w:rPr>
          <w:rFonts w:hint="eastAsia" w:ascii="仿宋_GB2312" w:hAnsi="仿宋_GB2312" w:eastAsia="仿宋_GB2312" w:cs="仿宋_GB2312"/>
          <w:color w:val="auto"/>
          <w:spacing w:val="0"/>
          <w:sz w:val="32"/>
          <w:szCs w:val="32"/>
        </w:rPr>
        <w:t>、标准强</w:t>
      </w:r>
      <w:r>
        <w:rPr>
          <w:rFonts w:hint="eastAsia" w:ascii="仿宋_GB2312" w:hAnsi="仿宋_GB2312" w:eastAsia="仿宋_GB2312" w:cs="仿宋_GB2312"/>
          <w:color w:val="auto"/>
          <w:spacing w:val="0"/>
          <w:sz w:val="32"/>
          <w:szCs w:val="32"/>
          <w:lang w:eastAsia="zh-CN"/>
        </w:rPr>
        <w:t>县</w:t>
      </w:r>
      <w:r>
        <w:rPr>
          <w:rFonts w:hint="eastAsia" w:ascii="仿宋_GB2312" w:hAnsi="仿宋_GB2312" w:eastAsia="仿宋_GB2312" w:cs="仿宋_GB2312"/>
          <w:color w:val="auto"/>
          <w:spacing w:val="0"/>
          <w:sz w:val="32"/>
          <w:szCs w:val="32"/>
        </w:rPr>
        <w:t>、品牌强</w:t>
      </w:r>
      <w:r>
        <w:rPr>
          <w:rFonts w:hint="eastAsia" w:ascii="仿宋_GB2312" w:hAnsi="仿宋_GB2312" w:eastAsia="仿宋_GB2312" w:cs="仿宋_GB2312"/>
          <w:color w:val="auto"/>
          <w:spacing w:val="0"/>
          <w:sz w:val="32"/>
          <w:szCs w:val="32"/>
          <w:lang w:eastAsia="zh-CN"/>
        </w:rPr>
        <w:t>县</w:t>
      </w:r>
      <w:r>
        <w:rPr>
          <w:rFonts w:hint="eastAsia" w:ascii="仿宋_GB2312" w:hAnsi="仿宋_GB2312" w:eastAsia="仿宋_GB2312" w:cs="仿宋_GB2312"/>
          <w:color w:val="auto"/>
          <w:spacing w:val="0"/>
          <w:sz w:val="32"/>
          <w:szCs w:val="32"/>
        </w:rPr>
        <w:t>、文旅强</w:t>
      </w:r>
      <w:r>
        <w:rPr>
          <w:rFonts w:hint="eastAsia" w:ascii="仿宋_GB2312" w:hAnsi="仿宋_GB2312" w:eastAsia="仿宋_GB2312" w:cs="仿宋_GB2312"/>
          <w:color w:val="auto"/>
          <w:spacing w:val="0"/>
          <w:sz w:val="32"/>
          <w:szCs w:val="32"/>
          <w:lang w:eastAsia="zh-CN"/>
        </w:rPr>
        <w:t>县</w:t>
      </w:r>
      <w:r>
        <w:rPr>
          <w:rFonts w:hint="eastAsia" w:ascii="仿宋_GB2312" w:hAnsi="仿宋_GB2312" w:eastAsia="仿宋_GB2312" w:cs="仿宋_GB2312"/>
          <w:color w:val="auto"/>
          <w:spacing w:val="0"/>
          <w:sz w:val="32"/>
          <w:szCs w:val="32"/>
        </w:rPr>
        <w:t>、生态强</w:t>
      </w:r>
      <w:r>
        <w:rPr>
          <w:rFonts w:hint="eastAsia" w:ascii="仿宋_GB2312" w:hAnsi="仿宋_GB2312" w:eastAsia="仿宋_GB2312" w:cs="仿宋_GB2312"/>
          <w:color w:val="auto"/>
          <w:spacing w:val="0"/>
          <w:sz w:val="32"/>
          <w:szCs w:val="32"/>
          <w:lang w:eastAsia="zh-CN"/>
        </w:rPr>
        <w:t>县</w:t>
      </w:r>
      <w:r>
        <w:rPr>
          <w:rFonts w:hint="eastAsia" w:ascii="仿宋_GB2312" w:hAnsi="仿宋_GB2312" w:eastAsia="仿宋_GB2312" w:cs="仿宋_GB2312"/>
          <w:color w:val="auto"/>
          <w:spacing w:val="0"/>
          <w:sz w:val="32"/>
          <w:szCs w:val="32"/>
        </w:rPr>
        <w:t>成为基本实现高水平现代化的重要标志。</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楷体_GB2312" w:hAnsi="楷体_GB2312" w:eastAsia="楷体_GB2312" w:cs="楷体_GB2312"/>
          <w:b w:val="0"/>
          <w:bCs w:val="0"/>
          <w:color w:val="auto"/>
          <w:spacing w:val="0"/>
          <w:sz w:val="32"/>
          <w:szCs w:val="32"/>
          <w:lang w:val="en-US" w:eastAsia="zh-CN"/>
        </w:rPr>
      </w:pPr>
      <w:bookmarkStart w:id="30" w:name="_Toc812297435_WPSOffice_Level3"/>
      <w:r>
        <w:rPr>
          <w:rFonts w:hint="eastAsia" w:ascii="仿宋_GB2312" w:hAnsi="仿宋_GB2312" w:eastAsia="仿宋_GB2312" w:cs="仿宋_GB2312"/>
          <w:color w:val="auto"/>
          <w:spacing w:val="0"/>
          <w:sz w:val="32"/>
          <w:szCs w:val="32"/>
        </w:rPr>
        <w:t>2</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具体目标</w:t>
      </w:r>
      <w:bookmarkEnd w:id="30"/>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（1）产品质量目标。到2025年，产品质量保障体系更加完善，产品质量安全指标全面达到国家强制性标准要求，质量创新能力和自有品牌市场竞争力明显提高，品种、质量、效益显著改善，节能环保性能大幅提升 基本满足人民群众日益增长的质量需求。</w:t>
      </w:r>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（2）工程质量目标。到2025年，工程质量稳定提高，建筑工程节能效率和工业化建造比重不断提升，绿色建筑发展迅速，住宅性能改善明显。人民群众对工程质量满意度明显提高，建设工程质量投诉率逐年下降。</w:t>
      </w:r>
    </w:p>
    <w:p>
      <w:pPr>
        <w:keepNext w:val="0"/>
        <w:keepLines w:val="0"/>
        <w:pageBreakBefore w:val="0"/>
        <w:widowControl w:val="0"/>
        <w:shd w:val="clear" w:fill="FFFFFF"/>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3）服务质量目标。到2025年，基本实现服务标准化、规范化和品牌化，服务质量稳步提升，建成一批省级、市级综合服务业标准化示范点，骨干服务企业品牌价值进一步显现。生产性服务领域服务体系健全、运行规范，与先进制造业融合价值充分体现</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生活性服务领域标准覆盖率和服务规范性大幅提升，服务质量满意度稳步提升。建成一批服务业标准化示范项目，培育一批地方特色鲜明的服务品牌和项目，行业自律和诚信意识明显增强。</w:t>
      </w:r>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4）品牌和知识产权目标。到2025年，全市品牌建设取得明显成效，品牌建设基础进一步夯实，品牌发展环境不断优化，品牌培育能力显著增强，自主品牌数量和知名品牌数量显著增加，品牌价值显著提高，品牌培育成果有效支撑经济和社会发展。</w:t>
      </w:r>
    </w:p>
    <w:p>
      <w:pPr>
        <w:keepNext w:val="0"/>
        <w:keepLines w:val="0"/>
        <w:pageBreakBefore w:val="0"/>
        <w:widowControl w:val="0"/>
        <w:kinsoku w:val="0"/>
        <w:wordWrap/>
        <w:overflowPunct w:val="0"/>
        <w:topLinePunct w:val="0"/>
        <w:autoSpaceDE w:val="0"/>
        <w:autoSpaceDN/>
        <w:bidi w:val="0"/>
        <w:adjustRightInd w:val="0"/>
        <w:snapToGrid w:val="0"/>
        <w:spacing w:beforeAutospacing="0" w:afterAutospacing="0" w:line="560" w:lineRule="exact"/>
        <w:ind w:right="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rPr>
        <w:t>（5）质量基础发展能力目标。到2025年，质量基础发展能力整体跃升。计量、标准、检验检测、认证认可等质量基础设施系统完整、高效运行，技术水平和服务能力进一步增强，对科技进步、产业升级和社会治理的支撑更加有力。</w:t>
      </w:r>
    </w:p>
    <w:p>
      <w:pPr>
        <w:keepNext w:val="0"/>
        <w:keepLines w:val="0"/>
        <w:pageBreakBefore w:val="0"/>
        <w:widowControl w:val="0"/>
        <w:kinsoku w:val="0"/>
        <w:wordWrap/>
        <w:overflowPunct w:val="0"/>
        <w:topLinePunct w:val="0"/>
        <w:autoSpaceDE w:val="0"/>
        <w:autoSpaceDN/>
        <w:bidi w:val="0"/>
        <w:adjustRightInd w:val="0"/>
        <w:snapToGrid w:val="0"/>
        <w:spacing w:beforeAutospacing="0" w:afterAutospacing="0" w:line="560" w:lineRule="exact"/>
        <w:ind w:left="0" w:right="0" w:firstLine="640" w:firstLineChars="200"/>
        <w:jc w:val="center"/>
        <w:textAlignment w:val="auto"/>
        <w:outlineLvl w:val="9"/>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延津县“十四五”质量发展</w:t>
      </w:r>
      <w:r>
        <w:rPr>
          <w:rFonts w:hint="eastAsia" w:ascii="楷体_GB2312" w:hAnsi="楷体_GB2312" w:eastAsia="楷体_GB2312" w:cs="楷体_GB2312"/>
          <w:color w:val="auto"/>
          <w:spacing w:val="0"/>
          <w:sz w:val="32"/>
          <w:szCs w:val="32"/>
        </w:rPr>
        <w:t>具体目标</w:t>
      </w:r>
      <w:r>
        <w:rPr>
          <w:rFonts w:hint="eastAsia" w:ascii="楷体_GB2312" w:hAnsi="楷体_GB2312" w:eastAsia="楷体_GB2312" w:cs="楷体_GB2312"/>
          <w:color w:val="auto"/>
          <w:spacing w:val="0"/>
          <w:sz w:val="32"/>
          <w:szCs w:val="32"/>
          <w:lang w:eastAsia="zh-CN"/>
        </w:rPr>
        <w:t>值</w:t>
      </w:r>
    </w:p>
    <w:tbl>
      <w:tblPr>
        <w:tblStyle w:val="17"/>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5752"/>
        <w:gridCol w:w="2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8931" w:type="dxa"/>
            <w:gridSpan w:val="3"/>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left="0" w:right="0" w:firstLine="560" w:firstLineChars="200"/>
              <w:jc w:val="center"/>
              <w:textAlignment w:val="auto"/>
              <w:outlineLvl w:val="9"/>
              <w:rPr>
                <w:rFonts w:hint="eastAsia" w:ascii="仿宋_GB2312" w:hAnsi="仿宋_GB2312" w:eastAsia="仿宋_GB2312" w:cs="仿宋_GB2312"/>
                <w:color w:val="auto"/>
                <w:spacing w:val="0"/>
                <w:sz w:val="28"/>
                <w:szCs w:val="28"/>
                <w:lang w:val="en-US" w:eastAsia="zh-CN"/>
              </w:rPr>
            </w:pPr>
            <w:bookmarkStart w:id="31" w:name="_Toc7101"/>
            <w:r>
              <w:rPr>
                <w:rFonts w:hint="eastAsia" w:ascii="仿宋_GB2312" w:hAnsi="仿宋_GB2312" w:eastAsia="仿宋_GB2312" w:cs="仿宋_GB2312"/>
                <w:color w:val="auto"/>
                <w:spacing w:val="0"/>
                <w:sz w:val="28"/>
                <w:szCs w:val="28"/>
                <w:lang w:val="en-US" w:eastAsia="zh-CN"/>
              </w:rPr>
              <w:t>延津县“十四五”质量发展具体目标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86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right="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序号</w:t>
            </w:r>
          </w:p>
        </w:tc>
        <w:tc>
          <w:tcPr>
            <w:tcW w:w="575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left="0" w:right="0" w:firstLine="560" w:firstLineChars="20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项  目</w:t>
            </w:r>
          </w:p>
        </w:tc>
        <w:tc>
          <w:tcPr>
            <w:tcW w:w="2317"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left="0" w:right="0" w:firstLine="560" w:firstLineChars="200"/>
              <w:jc w:val="both"/>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量化指标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 w:hRule="atLeast"/>
        </w:trPr>
        <w:tc>
          <w:tcPr>
            <w:tcW w:w="86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right="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1</w:t>
            </w:r>
          </w:p>
        </w:tc>
        <w:tc>
          <w:tcPr>
            <w:tcW w:w="575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left="0" w:right="0" w:firstLine="560" w:firstLineChars="20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工业产品量监督抽查合格率</w:t>
            </w:r>
          </w:p>
        </w:tc>
        <w:tc>
          <w:tcPr>
            <w:tcW w:w="2317"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left="0" w:right="0" w:firstLine="560" w:firstLineChars="200"/>
              <w:jc w:val="both"/>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不低于</w:t>
            </w:r>
            <w:r>
              <w:rPr>
                <w:rFonts w:hint="eastAsia" w:ascii="仿宋_GB2312" w:hAnsi="仿宋_GB2312" w:eastAsia="仿宋_GB2312" w:cs="仿宋_GB2312"/>
                <w:color w:val="auto"/>
                <w:spacing w:val="0"/>
                <w:sz w:val="28"/>
                <w:szCs w:val="28"/>
                <w:lang w:val="en-US" w:eastAsia="zh-CN"/>
              </w:rPr>
              <w:t>95</w:t>
            </w:r>
            <w:r>
              <w:rPr>
                <w:rFonts w:hint="eastAsia" w:ascii="仿宋_GB2312" w:hAnsi="仿宋_GB2312" w:eastAsia="仿宋_GB2312" w:cs="仿宋_GB2312"/>
                <w:color w:val="auto"/>
                <w:spacing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 w:hRule="atLeast"/>
        </w:trPr>
        <w:tc>
          <w:tcPr>
            <w:tcW w:w="86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right="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2</w:t>
            </w:r>
          </w:p>
        </w:tc>
        <w:tc>
          <w:tcPr>
            <w:tcW w:w="575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left="0" w:right="0" w:firstLine="560" w:firstLineChars="20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农产品抽检合格率</w:t>
            </w:r>
          </w:p>
        </w:tc>
        <w:tc>
          <w:tcPr>
            <w:tcW w:w="2317"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left="0" w:right="0" w:firstLine="560" w:firstLineChars="200"/>
              <w:jc w:val="both"/>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不低于9</w:t>
            </w:r>
            <w:r>
              <w:rPr>
                <w:rFonts w:hint="eastAsia" w:ascii="仿宋_GB2312" w:hAnsi="仿宋_GB2312" w:eastAsia="仿宋_GB2312" w:cs="仿宋_GB2312"/>
                <w:color w:val="auto"/>
                <w:spacing w:val="0"/>
                <w:sz w:val="28"/>
                <w:szCs w:val="28"/>
                <w:lang w:val="en-US" w:eastAsia="zh-CN"/>
              </w:rPr>
              <w:t>8</w:t>
            </w:r>
            <w:r>
              <w:rPr>
                <w:rFonts w:hint="eastAsia" w:ascii="仿宋_GB2312" w:hAnsi="仿宋_GB2312" w:eastAsia="仿宋_GB2312" w:cs="仿宋_GB2312"/>
                <w:color w:val="auto"/>
                <w:spacing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 w:hRule="atLeast"/>
        </w:trPr>
        <w:tc>
          <w:tcPr>
            <w:tcW w:w="86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right="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3</w:t>
            </w:r>
          </w:p>
        </w:tc>
        <w:tc>
          <w:tcPr>
            <w:tcW w:w="575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left="0" w:right="0" w:firstLine="560" w:firstLineChars="20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食品加工业产品质量合格率</w:t>
            </w:r>
          </w:p>
        </w:tc>
        <w:tc>
          <w:tcPr>
            <w:tcW w:w="2317"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right="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不低于9</w:t>
            </w:r>
            <w:r>
              <w:rPr>
                <w:rFonts w:hint="eastAsia" w:ascii="仿宋_GB2312" w:hAnsi="仿宋_GB2312" w:eastAsia="仿宋_GB2312" w:cs="仿宋_GB2312"/>
                <w:color w:val="auto"/>
                <w:spacing w:val="0"/>
                <w:sz w:val="28"/>
                <w:szCs w:val="28"/>
                <w:lang w:val="en-US" w:eastAsia="zh-CN"/>
              </w:rPr>
              <w:t>8.5</w:t>
            </w:r>
            <w:r>
              <w:rPr>
                <w:rFonts w:hint="eastAsia" w:ascii="仿宋_GB2312" w:hAnsi="仿宋_GB2312" w:eastAsia="仿宋_GB2312" w:cs="仿宋_GB2312"/>
                <w:color w:val="auto"/>
                <w:spacing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 w:hRule="atLeast"/>
        </w:trPr>
        <w:tc>
          <w:tcPr>
            <w:tcW w:w="86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right="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4</w:t>
            </w:r>
          </w:p>
        </w:tc>
        <w:tc>
          <w:tcPr>
            <w:tcW w:w="575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left="0" w:right="0" w:firstLine="560" w:firstLineChars="20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重点食品省级质量监督抽检合格率</w:t>
            </w:r>
          </w:p>
        </w:tc>
        <w:tc>
          <w:tcPr>
            <w:tcW w:w="2317"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right="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不低于99%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 w:hRule="atLeast"/>
        </w:trPr>
        <w:tc>
          <w:tcPr>
            <w:tcW w:w="86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right="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5</w:t>
            </w:r>
          </w:p>
        </w:tc>
        <w:tc>
          <w:tcPr>
            <w:tcW w:w="575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left="0" w:right="0" w:firstLine="560" w:firstLineChars="20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食品行业新增绿色食品认证</w:t>
            </w:r>
          </w:p>
        </w:tc>
        <w:tc>
          <w:tcPr>
            <w:tcW w:w="2317"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right="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不低于</w:t>
            </w:r>
            <w:r>
              <w:rPr>
                <w:rFonts w:hint="eastAsia" w:ascii="仿宋_GB2312" w:hAnsi="仿宋_GB2312" w:eastAsia="仿宋_GB2312" w:cs="仿宋_GB2312"/>
                <w:color w:val="auto"/>
                <w:spacing w:val="0"/>
                <w:sz w:val="28"/>
                <w:szCs w:val="28"/>
                <w:lang w:val="en-US" w:eastAsia="zh-CN"/>
              </w:rPr>
              <w:t>9个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 w:hRule="atLeast"/>
        </w:trPr>
        <w:tc>
          <w:tcPr>
            <w:tcW w:w="86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right="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6</w:t>
            </w:r>
          </w:p>
        </w:tc>
        <w:tc>
          <w:tcPr>
            <w:tcW w:w="575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left="0" w:right="0" w:firstLine="560" w:firstLineChars="20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药品经营企业100%通过GSP认证率</w:t>
            </w:r>
          </w:p>
        </w:tc>
        <w:tc>
          <w:tcPr>
            <w:tcW w:w="2317"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right="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 w:hRule="atLeast"/>
        </w:trPr>
        <w:tc>
          <w:tcPr>
            <w:tcW w:w="86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right="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7</w:t>
            </w:r>
          </w:p>
        </w:tc>
        <w:tc>
          <w:tcPr>
            <w:tcW w:w="575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left="0" w:right="0" w:firstLine="560" w:firstLineChars="20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消费品行业国家纳入重点领域消费品监督抽查合格率</w:t>
            </w:r>
          </w:p>
        </w:tc>
        <w:tc>
          <w:tcPr>
            <w:tcW w:w="2317"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right="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 w:hRule="atLeast"/>
        </w:trPr>
        <w:tc>
          <w:tcPr>
            <w:tcW w:w="86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right="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8</w:t>
            </w:r>
          </w:p>
        </w:tc>
        <w:tc>
          <w:tcPr>
            <w:tcW w:w="575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left="0" w:right="0" w:firstLine="560" w:firstLineChars="20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大中型工程项目一次验收合格率</w:t>
            </w:r>
          </w:p>
        </w:tc>
        <w:tc>
          <w:tcPr>
            <w:tcW w:w="2317"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left="0" w:right="0" w:firstLine="560" w:firstLineChars="20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达到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 w:hRule="atLeast"/>
        </w:trPr>
        <w:tc>
          <w:tcPr>
            <w:tcW w:w="86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right="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9</w:t>
            </w:r>
          </w:p>
        </w:tc>
        <w:tc>
          <w:tcPr>
            <w:tcW w:w="575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left="0" w:right="0" w:firstLine="560" w:firstLineChars="20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其他工程一次验收合格率</w:t>
            </w:r>
          </w:p>
        </w:tc>
        <w:tc>
          <w:tcPr>
            <w:tcW w:w="2317"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left="0" w:right="0" w:firstLine="560" w:firstLineChars="200"/>
              <w:jc w:val="both"/>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不低于9</w:t>
            </w:r>
            <w:r>
              <w:rPr>
                <w:rFonts w:hint="eastAsia" w:ascii="仿宋_GB2312" w:hAnsi="仿宋_GB2312" w:eastAsia="仿宋_GB2312" w:cs="仿宋_GB2312"/>
                <w:color w:val="auto"/>
                <w:spacing w:val="0"/>
                <w:sz w:val="28"/>
                <w:szCs w:val="28"/>
                <w:lang w:val="en-US" w:eastAsia="zh-CN"/>
              </w:rPr>
              <w:t>8</w:t>
            </w:r>
            <w:r>
              <w:rPr>
                <w:rFonts w:hint="eastAsia" w:ascii="仿宋_GB2312" w:hAnsi="仿宋_GB2312" w:eastAsia="仿宋_GB2312" w:cs="仿宋_GB2312"/>
                <w:color w:val="auto"/>
                <w:spacing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 w:hRule="atLeast"/>
        </w:trPr>
        <w:tc>
          <w:tcPr>
            <w:tcW w:w="86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right="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10</w:t>
            </w:r>
          </w:p>
        </w:tc>
        <w:tc>
          <w:tcPr>
            <w:tcW w:w="575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left="0" w:right="0" w:firstLine="560" w:firstLineChars="20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工程项目国家标准和要求执行率</w:t>
            </w:r>
          </w:p>
        </w:tc>
        <w:tc>
          <w:tcPr>
            <w:tcW w:w="2317"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left="0" w:right="0" w:firstLine="560" w:firstLineChars="200"/>
              <w:jc w:val="both"/>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达到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 w:hRule="atLeast"/>
        </w:trPr>
        <w:tc>
          <w:tcPr>
            <w:tcW w:w="86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right="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11</w:t>
            </w:r>
          </w:p>
        </w:tc>
        <w:tc>
          <w:tcPr>
            <w:tcW w:w="575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left="0" w:right="0" w:firstLine="560" w:firstLineChars="20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新开工建筑节能设计标准执行率</w:t>
            </w:r>
          </w:p>
        </w:tc>
        <w:tc>
          <w:tcPr>
            <w:tcW w:w="2317"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left="0" w:right="0" w:firstLine="560" w:firstLineChars="200"/>
              <w:jc w:val="both"/>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达到 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 w:hRule="atLeast"/>
        </w:trPr>
        <w:tc>
          <w:tcPr>
            <w:tcW w:w="86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right="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12</w:t>
            </w:r>
          </w:p>
        </w:tc>
        <w:tc>
          <w:tcPr>
            <w:tcW w:w="575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left="0" w:right="0" w:firstLine="560" w:firstLineChars="20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城市行政区域内房屋建筑与市政工程质量监督覆盖率</w:t>
            </w:r>
          </w:p>
        </w:tc>
        <w:tc>
          <w:tcPr>
            <w:tcW w:w="2317"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left="0" w:right="0" w:firstLine="560" w:firstLineChars="200"/>
              <w:jc w:val="both"/>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达到100%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 w:hRule="atLeast"/>
        </w:trPr>
        <w:tc>
          <w:tcPr>
            <w:tcW w:w="86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right="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13</w:t>
            </w:r>
          </w:p>
        </w:tc>
        <w:tc>
          <w:tcPr>
            <w:tcW w:w="575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left="0" w:right="0" w:firstLine="560" w:firstLineChars="20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服务业顾客满意度测评分值</w:t>
            </w:r>
          </w:p>
        </w:tc>
        <w:tc>
          <w:tcPr>
            <w:tcW w:w="2317"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left="0" w:right="0" w:firstLine="560" w:firstLineChars="200"/>
              <w:jc w:val="both"/>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达到</w:t>
            </w:r>
            <w:r>
              <w:rPr>
                <w:rFonts w:hint="eastAsia" w:ascii="仿宋_GB2312" w:hAnsi="仿宋_GB2312" w:eastAsia="仿宋_GB2312" w:cs="仿宋_GB2312"/>
                <w:color w:val="auto"/>
                <w:spacing w:val="0"/>
                <w:sz w:val="28"/>
                <w:szCs w:val="28"/>
                <w:lang w:val="en-US" w:eastAsia="zh-CN"/>
              </w:rPr>
              <w:t>86分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 w:hRule="atLeast"/>
        </w:trPr>
        <w:tc>
          <w:tcPr>
            <w:tcW w:w="86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right="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14</w:t>
            </w:r>
          </w:p>
        </w:tc>
        <w:tc>
          <w:tcPr>
            <w:tcW w:w="575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left="0" w:right="0" w:firstLine="560" w:firstLineChars="20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县内企业获得省长质量奖</w:t>
            </w:r>
          </w:p>
        </w:tc>
        <w:tc>
          <w:tcPr>
            <w:tcW w:w="2317"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right="0"/>
              <w:jc w:val="both"/>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2</w:t>
            </w:r>
            <w:r>
              <w:rPr>
                <w:rFonts w:hint="eastAsia" w:ascii="仿宋_GB2312" w:hAnsi="仿宋_GB2312" w:eastAsia="仿宋_GB2312" w:cs="仿宋_GB2312"/>
                <w:color w:val="auto"/>
                <w:spacing w:val="0"/>
                <w:sz w:val="28"/>
                <w:szCs w:val="28"/>
                <w:lang w:eastAsia="zh-CN"/>
              </w:rPr>
              <w:t>项（含提名奖）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 w:hRule="atLeast"/>
        </w:trPr>
        <w:tc>
          <w:tcPr>
            <w:tcW w:w="86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right="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15</w:t>
            </w:r>
          </w:p>
        </w:tc>
        <w:tc>
          <w:tcPr>
            <w:tcW w:w="575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left="0" w:right="0" w:firstLine="560" w:firstLineChars="20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县内企业获得市长质量奖</w:t>
            </w:r>
          </w:p>
        </w:tc>
        <w:tc>
          <w:tcPr>
            <w:tcW w:w="2317"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left="0" w:right="0" w:firstLine="560" w:firstLineChars="200"/>
              <w:jc w:val="both"/>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10</w:t>
            </w:r>
            <w:r>
              <w:rPr>
                <w:rFonts w:hint="eastAsia" w:ascii="仿宋_GB2312" w:hAnsi="仿宋_GB2312" w:eastAsia="仿宋_GB2312" w:cs="仿宋_GB2312"/>
                <w:color w:val="auto"/>
                <w:spacing w:val="0"/>
                <w:sz w:val="28"/>
                <w:szCs w:val="28"/>
                <w:lang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 w:hRule="atLeast"/>
        </w:trPr>
        <w:tc>
          <w:tcPr>
            <w:tcW w:w="86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right="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16</w:t>
            </w:r>
          </w:p>
        </w:tc>
        <w:tc>
          <w:tcPr>
            <w:tcW w:w="575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left="0" w:right="0" w:firstLine="560" w:firstLineChars="20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培育知名商标</w:t>
            </w:r>
          </w:p>
        </w:tc>
        <w:tc>
          <w:tcPr>
            <w:tcW w:w="2317"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left="0" w:right="0" w:firstLine="560" w:firstLineChars="200"/>
              <w:jc w:val="both"/>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28个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 w:hRule="atLeast"/>
        </w:trPr>
        <w:tc>
          <w:tcPr>
            <w:tcW w:w="86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right="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17</w:t>
            </w:r>
          </w:p>
        </w:tc>
        <w:tc>
          <w:tcPr>
            <w:tcW w:w="575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left="0" w:right="0" w:firstLine="560" w:firstLineChars="20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新增</w:t>
            </w:r>
            <w:r>
              <w:rPr>
                <w:rFonts w:hint="eastAsia" w:ascii="仿宋_GB2312" w:hAnsi="仿宋_GB2312" w:eastAsia="仿宋_GB2312" w:cs="仿宋_GB2312"/>
                <w:color w:val="auto"/>
                <w:spacing w:val="0"/>
                <w:sz w:val="28"/>
                <w:szCs w:val="28"/>
                <w:lang w:eastAsia="zh-CN"/>
              </w:rPr>
              <w:t>省级检验检测服务中心</w:t>
            </w:r>
          </w:p>
        </w:tc>
        <w:tc>
          <w:tcPr>
            <w:tcW w:w="2317"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left="0" w:right="0" w:firstLine="560" w:firstLineChars="200"/>
              <w:jc w:val="both"/>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 w:hRule="atLeast"/>
        </w:trPr>
        <w:tc>
          <w:tcPr>
            <w:tcW w:w="86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right="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18</w:t>
            </w:r>
          </w:p>
        </w:tc>
        <w:tc>
          <w:tcPr>
            <w:tcW w:w="575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left="0" w:right="0" w:firstLine="560" w:firstLineChars="20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每万人发明专利拥有量</w:t>
            </w:r>
          </w:p>
        </w:tc>
        <w:tc>
          <w:tcPr>
            <w:tcW w:w="2317"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right="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达到</w:t>
            </w:r>
            <w:r>
              <w:rPr>
                <w:rFonts w:hint="eastAsia" w:ascii="仿宋_GB2312" w:hAnsi="仿宋_GB2312" w:eastAsia="仿宋_GB2312" w:cs="仿宋_GB2312"/>
                <w:color w:val="auto"/>
                <w:spacing w:val="0"/>
                <w:sz w:val="28"/>
                <w:szCs w:val="28"/>
                <w:lang w:val="en-US" w:eastAsia="zh-CN"/>
              </w:rPr>
              <w:t>7</w:t>
            </w:r>
            <w:r>
              <w:rPr>
                <w:rFonts w:hint="eastAsia" w:ascii="仿宋_GB2312" w:hAnsi="仿宋_GB2312" w:eastAsia="仿宋_GB2312" w:cs="仿宋_GB2312"/>
                <w:color w:val="auto"/>
                <w:spacing w:val="0"/>
                <w:sz w:val="28"/>
                <w:szCs w:val="28"/>
                <w:lang w:eastAsia="zh-CN"/>
              </w:rPr>
              <w:t>件以上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trPr>
        <w:tc>
          <w:tcPr>
            <w:tcW w:w="86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right="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19</w:t>
            </w:r>
          </w:p>
        </w:tc>
        <w:tc>
          <w:tcPr>
            <w:tcW w:w="575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left="0" w:right="0" w:firstLine="560" w:firstLineChars="20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新增</w:t>
            </w:r>
            <w:r>
              <w:rPr>
                <w:rFonts w:hint="eastAsia" w:ascii="仿宋_GB2312" w:hAnsi="仿宋_GB2312" w:eastAsia="仿宋_GB2312" w:cs="仿宋_GB2312"/>
                <w:color w:val="auto"/>
                <w:spacing w:val="0"/>
                <w:sz w:val="28"/>
                <w:szCs w:val="28"/>
                <w:lang w:eastAsia="zh-CN"/>
              </w:rPr>
              <w:t>地理标志商标和地理标志保护产品</w:t>
            </w:r>
          </w:p>
        </w:tc>
        <w:tc>
          <w:tcPr>
            <w:tcW w:w="2317"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left="0" w:right="0" w:firstLine="560" w:firstLineChars="200"/>
              <w:jc w:val="both"/>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2～3件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 w:hRule="atLeast"/>
        </w:trPr>
        <w:tc>
          <w:tcPr>
            <w:tcW w:w="86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right="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20</w:t>
            </w:r>
          </w:p>
        </w:tc>
        <w:tc>
          <w:tcPr>
            <w:tcW w:w="575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right="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新增</w:t>
            </w:r>
            <w:r>
              <w:rPr>
                <w:rFonts w:hint="eastAsia" w:ascii="仿宋_GB2312" w:hAnsi="仿宋_GB2312" w:eastAsia="仿宋_GB2312" w:cs="仿宋_GB2312"/>
                <w:color w:val="auto"/>
                <w:spacing w:val="0"/>
                <w:sz w:val="28"/>
                <w:szCs w:val="28"/>
                <w:lang w:eastAsia="zh-CN"/>
              </w:rPr>
              <w:t>企业制修订国家标准、行业标准、地方标准、团体标准</w:t>
            </w:r>
          </w:p>
        </w:tc>
        <w:tc>
          <w:tcPr>
            <w:tcW w:w="2317"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left="0" w:right="0" w:firstLine="560" w:firstLineChars="200"/>
              <w:jc w:val="both"/>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2</w:t>
            </w:r>
            <w:r>
              <w:rPr>
                <w:rFonts w:hint="eastAsia" w:ascii="仿宋_GB2312" w:hAnsi="仿宋_GB2312" w:eastAsia="仿宋_GB2312" w:cs="仿宋_GB2312"/>
                <w:color w:val="auto"/>
                <w:spacing w:val="0"/>
                <w:sz w:val="28"/>
                <w:szCs w:val="28"/>
                <w:lang w:eastAsia="zh-CN"/>
              </w:rPr>
              <w:t>-</w:t>
            </w:r>
            <w:r>
              <w:rPr>
                <w:rFonts w:hint="eastAsia" w:ascii="仿宋_GB2312" w:hAnsi="仿宋_GB2312" w:eastAsia="仿宋_GB2312" w:cs="仿宋_GB2312"/>
                <w:color w:val="auto"/>
                <w:spacing w:val="0"/>
                <w:sz w:val="28"/>
                <w:szCs w:val="28"/>
                <w:lang w:val="en-US" w:eastAsia="zh-CN"/>
              </w:rPr>
              <w:t>3</w:t>
            </w:r>
            <w:r>
              <w:rPr>
                <w:rFonts w:hint="eastAsia" w:ascii="仿宋_GB2312" w:hAnsi="仿宋_GB2312" w:eastAsia="仿宋_GB2312" w:cs="仿宋_GB2312"/>
                <w:color w:val="auto"/>
                <w:spacing w:val="0"/>
                <w:sz w:val="28"/>
                <w:szCs w:val="28"/>
                <w:lang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trPr>
        <w:tc>
          <w:tcPr>
            <w:tcW w:w="86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right="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21</w:t>
            </w:r>
          </w:p>
        </w:tc>
        <w:tc>
          <w:tcPr>
            <w:tcW w:w="575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left="0" w:right="0" w:firstLine="560" w:firstLineChars="20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省级标准化试点</w:t>
            </w:r>
          </w:p>
        </w:tc>
        <w:tc>
          <w:tcPr>
            <w:tcW w:w="2317"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left="0" w:right="0" w:firstLine="560" w:firstLineChars="200"/>
              <w:jc w:val="both"/>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5-6个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trPr>
        <w:tc>
          <w:tcPr>
            <w:tcW w:w="86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right="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22</w:t>
            </w:r>
          </w:p>
        </w:tc>
        <w:tc>
          <w:tcPr>
            <w:tcW w:w="575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left="0" w:right="0" w:firstLine="560" w:firstLineChars="20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新增</w:t>
            </w:r>
            <w:r>
              <w:rPr>
                <w:rFonts w:hint="eastAsia" w:ascii="仿宋_GB2312" w:hAnsi="仿宋_GB2312" w:eastAsia="仿宋_GB2312" w:cs="仿宋_GB2312"/>
                <w:color w:val="auto"/>
                <w:spacing w:val="0"/>
                <w:sz w:val="28"/>
                <w:szCs w:val="28"/>
                <w:lang w:eastAsia="zh-CN"/>
              </w:rPr>
              <w:t>社会公用计量标准数</w:t>
            </w:r>
          </w:p>
        </w:tc>
        <w:tc>
          <w:tcPr>
            <w:tcW w:w="2317"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left="0" w:right="0" w:firstLine="560" w:firstLineChars="200"/>
              <w:jc w:val="both"/>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1</w:t>
            </w:r>
            <w:r>
              <w:rPr>
                <w:rFonts w:hint="eastAsia" w:ascii="仿宋_GB2312" w:hAnsi="仿宋_GB2312" w:eastAsia="仿宋_GB2312" w:cs="仿宋_GB2312"/>
                <w:color w:val="auto"/>
                <w:spacing w:val="0"/>
                <w:sz w:val="28"/>
                <w:szCs w:val="28"/>
                <w:lang w:eastAsia="zh-CN"/>
              </w:rPr>
              <w:t>0-</w:t>
            </w:r>
            <w:r>
              <w:rPr>
                <w:rFonts w:hint="eastAsia" w:ascii="仿宋_GB2312" w:hAnsi="仿宋_GB2312" w:eastAsia="仿宋_GB2312" w:cs="仿宋_GB2312"/>
                <w:color w:val="auto"/>
                <w:spacing w:val="0"/>
                <w:sz w:val="28"/>
                <w:szCs w:val="28"/>
                <w:lang w:val="en-US" w:eastAsia="zh-CN"/>
              </w:rPr>
              <w:t>2</w:t>
            </w:r>
            <w:r>
              <w:rPr>
                <w:rFonts w:hint="eastAsia" w:ascii="仿宋_GB2312" w:hAnsi="仿宋_GB2312" w:eastAsia="仿宋_GB2312" w:cs="仿宋_GB2312"/>
                <w:color w:val="auto"/>
                <w:spacing w:val="0"/>
                <w:sz w:val="28"/>
                <w:szCs w:val="28"/>
                <w:lang w:eastAsia="zh-CN"/>
              </w:rPr>
              <w:t>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trPr>
        <w:tc>
          <w:tcPr>
            <w:tcW w:w="86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right="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23</w:t>
            </w:r>
          </w:p>
        </w:tc>
        <w:tc>
          <w:tcPr>
            <w:tcW w:w="575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left="0" w:right="0" w:firstLine="560" w:firstLineChars="20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新增</w:t>
            </w:r>
            <w:r>
              <w:rPr>
                <w:rFonts w:hint="eastAsia" w:ascii="仿宋_GB2312" w:hAnsi="仿宋_GB2312" w:eastAsia="仿宋_GB2312" w:cs="仿宋_GB2312"/>
                <w:color w:val="auto"/>
                <w:spacing w:val="0"/>
                <w:sz w:val="28"/>
                <w:szCs w:val="28"/>
                <w:lang w:eastAsia="zh-CN"/>
              </w:rPr>
              <w:t>注册在本</w:t>
            </w:r>
            <w:r>
              <w:rPr>
                <w:rFonts w:hint="eastAsia" w:ascii="仿宋_GB2312" w:hAnsi="仿宋_GB2312" w:eastAsia="仿宋_GB2312" w:cs="仿宋_GB2312"/>
                <w:color w:val="auto"/>
                <w:spacing w:val="0"/>
                <w:sz w:val="28"/>
                <w:szCs w:val="28"/>
                <w:lang w:val="en-US" w:eastAsia="zh-CN"/>
              </w:rPr>
              <w:t>地</w:t>
            </w:r>
            <w:r>
              <w:rPr>
                <w:rFonts w:hint="eastAsia" w:ascii="仿宋_GB2312" w:hAnsi="仿宋_GB2312" w:eastAsia="仿宋_GB2312" w:cs="仿宋_GB2312"/>
                <w:color w:val="auto"/>
                <w:spacing w:val="0"/>
                <w:sz w:val="28"/>
                <w:szCs w:val="28"/>
                <w:lang w:eastAsia="zh-CN"/>
              </w:rPr>
              <w:t>的检验检测机构数量</w:t>
            </w:r>
          </w:p>
        </w:tc>
        <w:tc>
          <w:tcPr>
            <w:tcW w:w="2317"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left="0" w:right="0" w:firstLine="560" w:firstLineChars="200"/>
              <w:jc w:val="both"/>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1-2家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trPr>
        <w:tc>
          <w:tcPr>
            <w:tcW w:w="86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right="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24</w:t>
            </w:r>
          </w:p>
        </w:tc>
        <w:tc>
          <w:tcPr>
            <w:tcW w:w="575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left="0" w:right="0" w:firstLine="560" w:firstLineChars="20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认证管理体系培训人数</w:t>
            </w:r>
          </w:p>
        </w:tc>
        <w:tc>
          <w:tcPr>
            <w:tcW w:w="2317"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left="0" w:right="0" w:firstLine="560" w:firstLineChars="200"/>
              <w:jc w:val="both"/>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1</w:t>
            </w:r>
            <w:r>
              <w:rPr>
                <w:rFonts w:hint="eastAsia" w:ascii="仿宋_GB2312" w:hAnsi="仿宋_GB2312" w:eastAsia="仿宋_GB2312" w:cs="仿宋_GB2312"/>
                <w:color w:val="auto"/>
                <w:spacing w:val="0"/>
                <w:sz w:val="28"/>
                <w:szCs w:val="28"/>
                <w:lang w:val="en-US" w:eastAsia="zh-CN"/>
              </w:rPr>
              <w:t>2</w:t>
            </w:r>
            <w:r>
              <w:rPr>
                <w:rFonts w:hint="eastAsia" w:ascii="仿宋_GB2312" w:hAnsi="仿宋_GB2312" w:eastAsia="仿宋_GB2312" w:cs="仿宋_GB2312"/>
                <w:color w:val="auto"/>
                <w:spacing w:val="0"/>
                <w:sz w:val="28"/>
                <w:szCs w:val="28"/>
                <w:lang w:eastAsia="zh-CN"/>
              </w:rPr>
              <w:t>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86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right="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25</w:t>
            </w:r>
          </w:p>
        </w:tc>
        <w:tc>
          <w:tcPr>
            <w:tcW w:w="5752"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left="0" w:right="0" w:firstLine="560" w:firstLineChars="200"/>
              <w:jc w:val="center"/>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新增</w:t>
            </w:r>
            <w:r>
              <w:rPr>
                <w:rFonts w:hint="eastAsia" w:ascii="仿宋_GB2312" w:hAnsi="仿宋_GB2312" w:eastAsia="仿宋_GB2312" w:cs="仿宋_GB2312"/>
                <w:color w:val="auto"/>
                <w:spacing w:val="0"/>
                <w:sz w:val="28"/>
                <w:szCs w:val="28"/>
                <w:lang w:eastAsia="zh-CN"/>
              </w:rPr>
              <w:t>认证证书总数达到</w:t>
            </w:r>
          </w:p>
        </w:tc>
        <w:tc>
          <w:tcPr>
            <w:tcW w:w="2317" w:type="dxa"/>
            <w:vAlign w:val="center"/>
          </w:tcPr>
          <w:p>
            <w:pPr>
              <w:keepNext w:val="0"/>
              <w:keepLines w:val="0"/>
              <w:pageBreakBefore w:val="0"/>
              <w:widowControl w:val="0"/>
              <w:kinsoku w:val="0"/>
              <w:wordWrap/>
              <w:overflowPunct w:val="0"/>
              <w:topLinePunct w:val="0"/>
              <w:autoSpaceDE w:val="0"/>
              <w:autoSpaceDN/>
              <w:bidi w:val="0"/>
              <w:adjustRightInd/>
              <w:snapToGrid/>
              <w:spacing w:beforeAutospacing="0" w:afterAutospacing="0" w:line="560" w:lineRule="exact"/>
              <w:ind w:left="0" w:right="0" w:firstLine="560" w:firstLineChars="200"/>
              <w:jc w:val="both"/>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60-10</w:t>
            </w:r>
            <w:r>
              <w:rPr>
                <w:rFonts w:hint="eastAsia" w:ascii="仿宋_GB2312" w:hAnsi="仿宋_GB2312" w:eastAsia="仿宋_GB2312" w:cs="仿宋_GB2312"/>
                <w:color w:val="auto"/>
                <w:spacing w:val="0"/>
                <w:sz w:val="28"/>
                <w:szCs w:val="28"/>
                <w:lang w:eastAsia="zh-CN"/>
              </w:rPr>
              <w:t>0张</w:t>
            </w:r>
          </w:p>
        </w:tc>
      </w:tr>
    </w:tbl>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黑体" w:hAnsi="黑体" w:eastAsia="黑体" w:cs="黑体"/>
          <w:b w:val="0"/>
          <w:bCs w:val="0"/>
          <w:color w:val="auto"/>
          <w:spacing w:val="0"/>
          <w:sz w:val="32"/>
          <w:szCs w:val="32"/>
          <w:lang w:eastAsia="zh-CN"/>
        </w:rPr>
      </w:pPr>
      <w:bookmarkStart w:id="32" w:name="_Toc1004224948_WPSOffice_Level1"/>
      <w:r>
        <w:rPr>
          <w:rFonts w:hint="eastAsia" w:ascii="黑体" w:hAnsi="黑体" w:eastAsia="黑体" w:cs="黑体"/>
          <w:b w:val="0"/>
          <w:bCs w:val="0"/>
          <w:color w:val="auto"/>
          <w:spacing w:val="0"/>
          <w:sz w:val="32"/>
          <w:szCs w:val="32"/>
          <w:lang w:eastAsia="zh-CN"/>
        </w:rPr>
        <w:t>四、重点工作任务和推进措施</w:t>
      </w:r>
      <w:bookmarkEnd w:id="31"/>
      <w:bookmarkEnd w:id="32"/>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楷体_GB2312" w:hAnsi="楷体_GB2312" w:eastAsia="楷体_GB2312" w:cs="楷体_GB2312"/>
          <w:b w:val="0"/>
          <w:bCs w:val="0"/>
          <w:color w:val="auto"/>
          <w:spacing w:val="0"/>
          <w:sz w:val="32"/>
          <w:szCs w:val="32"/>
        </w:rPr>
      </w:pPr>
      <w:bookmarkStart w:id="33" w:name="_Toc770633923_WPSOffice_Level2"/>
      <w:r>
        <w:rPr>
          <w:rFonts w:hint="eastAsia" w:ascii="楷体_GB2312" w:hAnsi="楷体_GB2312" w:eastAsia="楷体_GB2312" w:cs="楷体_GB2312"/>
          <w:b w:val="0"/>
          <w:bCs w:val="0"/>
          <w:color w:val="auto"/>
          <w:spacing w:val="0"/>
          <w:sz w:val="32"/>
          <w:szCs w:val="32"/>
        </w:rPr>
        <w:t>（一）建立四大机制，保障质量强</w:t>
      </w:r>
      <w:r>
        <w:rPr>
          <w:rFonts w:hint="eastAsia" w:ascii="楷体_GB2312" w:hAnsi="楷体_GB2312" w:eastAsia="楷体_GB2312" w:cs="楷体_GB2312"/>
          <w:b w:val="0"/>
          <w:bCs w:val="0"/>
          <w:color w:val="auto"/>
          <w:spacing w:val="0"/>
          <w:sz w:val="32"/>
          <w:szCs w:val="32"/>
          <w:lang w:eastAsia="zh-CN"/>
        </w:rPr>
        <w:t>县</w:t>
      </w:r>
      <w:r>
        <w:rPr>
          <w:rFonts w:hint="eastAsia" w:ascii="楷体_GB2312" w:hAnsi="楷体_GB2312" w:eastAsia="楷体_GB2312" w:cs="楷体_GB2312"/>
          <w:b w:val="0"/>
          <w:bCs w:val="0"/>
          <w:color w:val="auto"/>
          <w:spacing w:val="0"/>
          <w:sz w:val="32"/>
          <w:szCs w:val="32"/>
        </w:rPr>
        <w:t>稳健运行</w:t>
      </w:r>
      <w:bookmarkEnd w:id="33"/>
    </w:p>
    <w:p>
      <w:pPr>
        <w:keepNext w:val="0"/>
        <w:keepLines w:val="0"/>
        <w:pageBreakBefore w:val="0"/>
        <w:widowControl w:val="0"/>
        <w:numPr>
          <w:ilvl w:val="0"/>
          <w:numId w:val="0"/>
        </w:numPr>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highlight w:val="none"/>
        </w:rPr>
      </w:pPr>
      <w:bookmarkStart w:id="34" w:name="_Toc676198418_WPSOffice_Level3"/>
      <w:r>
        <w:rPr>
          <w:rFonts w:hint="eastAsia" w:ascii="仿宋_GB2312" w:hAnsi="仿宋_GB2312" w:eastAsia="仿宋_GB2312" w:cs="仿宋_GB2312"/>
          <w:color w:val="auto"/>
          <w:spacing w:val="0"/>
          <w:sz w:val="32"/>
          <w:szCs w:val="32"/>
          <w:highlight w:val="none"/>
          <w:lang w:val="en-US" w:eastAsia="zh-CN"/>
        </w:rPr>
        <w:t>1.</w:t>
      </w:r>
      <w:r>
        <w:rPr>
          <w:rFonts w:hint="eastAsia" w:ascii="仿宋_GB2312" w:hAnsi="仿宋_GB2312" w:eastAsia="仿宋_GB2312" w:cs="仿宋_GB2312"/>
          <w:color w:val="auto"/>
          <w:spacing w:val="0"/>
          <w:sz w:val="32"/>
          <w:szCs w:val="32"/>
          <w:highlight w:val="none"/>
        </w:rPr>
        <w:t>完善“大质量”工作机制</w:t>
      </w:r>
      <w:bookmarkEnd w:id="34"/>
    </w:p>
    <w:p>
      <w:pPr>
        <w:keepNext w:val="0"/>
        <w:keepLines w:val="0"/>
        <w:pageBreakBefore w:val="0"/>
        <w:widowControl w:val="0"/>
        <w:numPr>
          <w:ilvl w:val="0"/>
          <w:numId w:val="0"/>
        </w:numPr>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highlight w:val="none"/>
        </w:rPr>
        <w:t>大力实施质量强</w:t>
      </w:r>
      <w:r>
        <w:rPr>
          <w:rFonts w:hint="eastAsia" w:ascii="仿宋_GB2312" w:hAnsi="仿宋_GB2312" w:eastAsia="仿宋_GB2312" w:cs="仿宋_GB2312"/>
          <w:color w:val="auto"/>
          <w:spacing w:val="0"/>
          <w:sz w:val="32"/>
          <w:szCs w:val="32"/>
          <w:highlight w:val="none"/>
          <w:lang w:eastAsia="zh-CN"/>
        </w:rPr>
        <w:t>县</w:t>
      </w:r>
      <w:r>
        <w:rPr>
          <w:rFonts w:hint="eastAsia" w:ascii="仿宋_GB2312" w:hAnsi="仿宋_GB2312" w:eastAsia="仿宋_GB2312" w:cs="仿宋_GB2312"/>
          <w:color w:val="auto"/>
          <w:spacing w:val="0"/>
          <w:sz w:val="32"/>
          <w:szCs w:val="32"/>
          <w:highlight w:val="none"/>
        </w:rPr>
        <w:t>、标准化引领和品牌带动战略。将质量工作放在经济社会发展的重要位置来谋划，作为提升市民生活品质的第一要务来落实</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b/>
          <w:bCs/>
          <w:color w:val="auto"/>
          <w:spacing w:val="0"/>
          <w:sz w:val="32"/>
          <w:szCs w:val="32"/>
          <w:highlight w:val="none"/>
        </w:rPr>
        <w:t>一是</w:t>
      </w:r>
      <w:r>
        <w:rPr>
          <w:rFonts w:hint="eastAsia" w:ascii="仿宋_GB2312" w:hAnsi="仿宋_GB2312" w:eastAsia="仿宋_GB2312" w:cs="仿宋_GB2312"/>
          <w:color w:val="auto"/>
          <w:spacing w:val="0"/>
          <w:sz w:val="32"/>
          <w:szCs w:val="32"/>
        </w:rPr>
        <w:t>强化大质量责任体制建立。</w:t>
      </w:r>
      <w:r>
        <w:rPr>
          <w:rFonts w:hint="eastAsia" w:ascii="仿宋_GB2312" w:hAnsi="仿宋_GB2312" w:eastAsia="仿宋_GB2312" w:cs="仿宋_GB2312"/>
          <w:color w:val="auto"/>
          <w:spacing w:val="0"/>
          <w:sz w:val="32"/>
          <w:szCs w:val="32"/>
          <w:highlight w:val="none"/>
        </w:rPr>
        <w:t>以创建河南省质量强县示范县为抓手，加强部门联动，强化会商研究，注</w:t>
      </w:r>
      <w:r>
        <w:rPr>
          <w:rFonts w:hint="eastAsia" w:ascii="仿宋_GB2312" w:hAnsi="仿宋_GB2312" w:eastAsia="仿宋_GB2312" w:cs="仿宋_GB2312"/>
          <w:color w:val="auto"/>
          <w:spacing w:val="0"/>
          <w:sz w:val="32"/>
          <w:szCs w:val="32"/>
        </w:rPr>
        <w:t>重总结提升。建立党委领导、政府负责、部门监管、企业主责、社会共治的“大质量”格局。建立健全质量引领、市场化改革、生态文明、文化建设、城市规划、社会治理和公共安全保障等领域联动机制，并进一步细化形成制度、标准和规范加以保障落实，完善符合社会主义现代化市场经济发展要求，具有</w:t>
      </w:r>
      <w:r>
        <w:rPr>
          <w:rFonts w:hint="eastAsia" w:ascii="仿宋_GB2312" w:hAnsi="仿宋_GB2312" w:eastAsia="仿宋_GB2312" w:cs="仿宋_GB2312"/>
          <w:color w:val="auto"/>
          <w:spacing w:val="0"/>
          <w:sz w:val="32"/>
          <w:szCs w:val="32"/>
          <w:lang w:eastAsia="zh-CN"/>
        </w:rPr>
        <w:t>延津县城市</w:t>
      </w:r>
      <w:r>
        <w:rPr>
          <w:rFonts w:hint="eastAsia" w:ascii="仿宋_GB2312" w:hAnsi="仿宋_GB2312" w:eastAsia="仿宋_GB2312" w:cs="仿宋_GB2312"/>
          <w:color w:val="auto"/>
          <w:spacing w:val="0"/>
          <w:sz w:val="32"/>
          <w:szCs w:val="32"/>
        </w:rPr>
        <w:t>特点和产业特色的质量管理体制。</w:t>
      </w:r>
      <w:r>
        <w:rPr>
          <w:rFonts w:hint="eastAsia" w:ascii="仿宋_GB2312" w:hAnsi="仿宋_GB2312" w:eastAsia="仿宋_GB2312" w:cs="仿宋_GB2312"/>
          <w:b/>
          <w:bCs/>
          <w:color w:val="auto"/>
          <w:spacing w:val="0"/>
          <w:sz w:val="32"/>
          <w:szCs w:val="32"/>
          <w:highlight w:val="none"/>
        </w:rPr>
        <w:t>二是</w:t>
      </w:r>
      <w:r>
        <w:rPr>
          <w:rFonts w:hint="eastAsia" w:ascii="仿宋_GB2312" w:hAnsi="仿宋_GB2312" w:eastAsia="仿宋_GB2312" w:cs="仿宋_GB2312"/>
          <w:color w:val="auto"/>
          <w:spacing w:val="0"/>
          <w:sz w:val="32"/>
          <w:szCs w:val="32"/>
        </w:rPr>
        <w:t>强化企业质量主体责任意识。引导企业实施“质量强企”战略，强化全员质量管理，通过推进建立首席质量官制度、推行先进质量管理模式、卓越绩效孵化基地建设，定期分析座谈交流及质量安全约谈制度，开展诚信宣传、质量提升、加大执法力度等多项措施，推进部门监管和企业自律相结合，将发挥企业质量责任主体作用和市场配置资源的决定性作用放在突出位置。</w:t>
      </w:r>
      <w:r>
        <w:rPr>
          <w:rFonts w:hint="eastAsia" w:ascii="仿宋_GB2312" w:hAnsi="仿宋_GB2312" w:eastAsia="仿宋_GB2312" w:cs="仿宋_GB2312"/>
          <w:b/>
          <w:bCs/>
          <w:color w:val="auto"/>
          <w:spacing w:val="0"/>
          <w:sz w:val="32"/>
          <w:szCs w:val="32"/>
          <w:highlight w:val="none"/>
        </w:rPr>
        <w:t>三是</w:t>
      </w:r>
      <w:r>
        <w:rPr>
          <w:rFonts w:hint="eastAsia" w:ascii="仿宋_GB2312" w:hAnsi="仿宋_GB2312" w:eastAsia="仿宋_GB2312" w:cs="仿宋_GB2312"/>
          <w:color w:val="auto"/>
          <w:spacing w:val="0"/>
          <w:sz w:val="32"/>
          <w:szCs w:val="32"/>
        </w:rPr>
        <w:t>强化大质量共治格局。进一步明确企业、社会中介组织、政府部门各自的质量责任，充分运用经济、法律、行政等手段维护质量安全，深入开展质量强县示范县创建活动，建立大质量社会共治格局，推进质量强市建设和发展。</w:t>
      </w:r>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bookmarkStart w:id="35" w:name="_Toc202286846_WPSOffice_Level3"/>
      <w:r>
        <w:rPr>
          <w:rFonts w:hint="eastAsia" w:ascii="仿宋_GB2312" w:hAnsi="仿宋_GB2312" w:eastAsia="仿宋_GB2312" w:cs="仿宋_GB2312"/>
          <w:color w:val="auto"/>
          <w:spacing w:val="0"/>
          <w:sz w:val="32"/>
          <w:szCs w:val="32"/>
        </w:rPr>
        <w:t>2.建立现代化“大监管”机制</w:t>
      </w:r>
      <w:bookmarkEnd w:id="35"/>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2"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rPr>
        <w:t>一是</w:t>
      </w:r>
      <w:r>
        <w:rPr>
          <w:rFonts w:hint="eastAsia" w:ascii="仿宋_GB2312" w:hAnsi="仿宋_GB2312" w:eastAsia="仿宋_GB2312" w:cs="仿宋_GB2312"/>
          <w:color w:val="auto"/>
          <w:spacing w:val="0"/>
          <w:sz w:val="32"/>
          <w:szCs w:val="32"/>
        </w:rPr>
        <w:t>积极转变监管理念、方式方法，持续深化“放管服”制度改革及商事制度改革，不断创新监管理念，探索行政审批与监管有效衔接机制；紧紧围绕人民群众健康、生命和财产安全，统筹布局强化对产品、 服务和工程质量的监管，按照属地管辖原则，构建行政执法队伍快速反应机制，严厉打击扰乱市场秩序违法行为，依法维护和保护消费者的合法权益。</w:t>
      </w:r>
      <w:r>
        <w:rPr>
          <w:rFonts w:hint="eastAsia" w:ascii="仿宋_GB2312" w:hAnsi="仿宋_GB2312" w:eastAsia="仿宋_GB2312" w:cs="仿宋_GB2312"/>
          <w:b/>
          <w:bCs/>
          <w:color w:val="auto"/>
          <w:spacing w:val="0"/>
          <w:sz w:val="32"/>
          <w:szCs w:val="32"/>
        </w:rPr>
        <w:t>二是</w:t>
      </w:r>
      <w:r>
        <w:rPr>
          <w:rFonts w:hint="eastAsia" w:ascii="仿宋_GB2312" w:hAnsi="仿宋_GB2312" w:eastAsia="仿宋_GB2312" w:cs="仿宋_GB2312"/>
          <w:color w:val="auto"/>
          <w:spacing w:val="0"/>
          <w:sz w:val="32"/>
          <w:szCs w:val="32"/>
        </w:rPr>
        <w:t>通过加快质量法治建设、强化质量安全监管、推进质量诚信体系建设、依法严厉打击质量违法行为，进一步为企业升级发展提供了优良的质量发展环境。</w:t>
      </w:r>
      <w:r>
        <w:rPr>
          <w:rFonts w:hint="eastAsia" w:ascii="仿宋_GB2312" w:hAnsi="仿宋_GB2312" w:eastAsia="仿宋_GB2312" w:cs="仿宋_GB2312"/>
          <w:b/>
          <w:bCs/>
          <w:color w:val="auto"/>
          <w:spacing w:val="0"/>
          <w:sz w:val="32"/>
          <w:szCs w:val="32"/>
        </w:rPr>
        <w:t>三是</w:t>
      </w:r>
      <w:r>
        <w:rPr>
          <w:rFonts w:hint="eastAsia" w:ascii="仿宋_GB2312" w:hAnsi="仿宋_GB2312" w:eastAsia="仿宋_GB2312" w:cs="仿宋_GB2312"/>
          <w:color w:val="auto"/>
          <w:spacing w:val="0"/>
          <w:sz w:val="32"/>
          <w:szCs w:val="32"/>
        </w:rPr>
        <w:t>建立信用监管、大数据监管、综合监管、协同监管、审慎监管、包容监管、分类监管 、信息公开监管、标准公开监管以及多元共治等新型监管的方法和工具，不断适应现代市场经济发展的要求，从而有效和高效实施监管。</w:t>
      </w:r>
      <w:r>
        <w:rPr>
          <w:rFonts w:hint="eastAsia" w:ascii="仿宋_GB2312" w:hAnsi="仿宋_GB2312" w:eastAsia="仿宋_GB2312" w:cs="仿宋_GB2312"/>
          <w:b/>
          <w:bCs/>
          <w:color w:val="auto"/>
          <w:spacing w:val="0"/>
          <w:sz w:val="32"/>
          <w:szCs w:val="32"/>
        </w:rPr>
        <w:t>四是</w:t>
      </w:r>
      <w:r>
        <w:rPr>
          <w:rFonts w:hint="eastAsia" w:ascii="仿宋_GB2312" w:hAnsi="仿宋_GB2312" w:eastAsia="仿宋_GB2312" w:cs="仿宋_GB2312"/>
          <w:color w:val="auto"/>
          <w:spacing w:val="0"/>
          <w:sz w:val="32"/>
          <w:szCs w:val="32"/>
        </w:rPr>
        <w:t>努力实现“监管程序规范化、监管证据视频化、监管结果数据化、全程监管智慧化”的现代化监管模式。</w:t>
      </w:r>
      <w:r>
        <w:rPr>
          <w:rFonts w:hint="eastAsia" w:ascii="仿宋_GB2312" w:hAnsi="仿宋_GB2312" w:eastAsia="仿宋_GB2312" w:cs="仿宋_GB2312"/>
          <w:b/>
          <w:bCs/>
          <w:color w:val="auto"/>
          <w:spacing w:val="0"/>
          <w:sz w:val="32"/>
          <w:szCs w:val="32"/>
        </w:rPr>
        <w:t>五是</w:t>
      </w:r>
      <w:r>
        <w:rPr>
          <w:rFonts w:hint="eastAsia" w:ascii="仿宋_GB2312" w:hAnsi="仿宋_GB2312" w:eastAsia="仿宋_GB2312" w:cs="仿宋_GB2312"/>
          <w:color w:val="auto"/>
          <w:spacing w:val="0"/>
          <w:sz w:val="32"/>
          <w:szCs w:val="32"/>
        </w:rPr>
        <w:t>加强质量安全监管，严格落实企业质量安全主体责任，建立健全覆盖全社会的质量守信激励和失信惩戒机制。完善消费者投诉处理机制</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落实消费维权信息机制和投诉公示制度，激发消费主动维权意识。</w:t>
      </w:r>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bookmarkStart w:id="36" w:name="_Toc79273047_WPSOffice_Level3"/>
      <w:r>
        <w:rPr>
          <w:rFonts w:hint="eastAsia" w:ascii="仿宋_GB2312" w:hAnsi="仿宋_GB2312" w:eastAsia="仿宋_GB2312" w:cs="仿宋_GB2312"/>
          <w:color w:val="auto"/>
          <w:spacing w:val="0"/>
          <w:sz w:val="32"/>
          <w:szCs w:val="32"/>
        </w:rPr>
        <w:t>3.创新“大市场”共建共治共享机制</w:t>
      </w:r>
      <w:bookmarkEnd w:id="36"/>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完善政府、行业协会、企业、消费者多方参与的质量共建共治共享机制。深入推行“放管服”改革，降低准入门槛，培育更多的市场主体。优化营商环境，建立公平的市场竞争环境，加快建设现代化经济体系，加快构建以国内大循环为主体、国内国际双循环相互促进的大市场消费体系，推动建设行业竞争性质量指标数据库，引导企业对标提质增效，充分发挥行业组织、新闻媒体、消费者等社会监督作用，推动质量监管社会共治。</w:t>
      </w:r>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bookmarkStart w:id="37" w:name="_Toc78064606_WPSOffice_Level3"/>
      <w:r>
        <w:rPr>
          <w:rFonts w:hint="eastAsia" w:ascii="仿宋_GB2312" w:hAnsi="仿宋_GB2312" w:eastAsia="仿宋_GB2312" w:cs="仿宋_GB2312"/>
          <w:color w:val="auto"/>
          <w:spacing w:val="0"/>
          <w:sz w:val="32"/>
          <w:szCs w:val="32"/>
        </w:rPr>
        <w:t>4.探索高质量发展评价机制</w:t>
      </w:r>
      <w:bookmarkEnd w:id="37"/>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加强宏观质量统计分析，积极防范质量、安全、金融、环境、生态、文化、城市建设、民生福祉等方面的风险。应用质量大数据、质量风险分析模型、消费安全分析模型、产品检验检测、服务质量评价、顾客消费体验等方法和工具开展质量水平评价。积极开展全要素生产效率评价、制造业竞争力指数、质量状况分析报告、公共服务满意度测评、区域或行业经济发展质量评价等，定期开展质量强</w:t>
      </w:r>
      <w:r>
        <w:rPr>
          <w:rFonts w:hint="eastAsia" w:ascii="仿宋_GB2312" w:hAnsi="仿宋_GB2312" w:eastAsia="仿宋_GB2312" w:cs="仿宋_GB2312"/>
          <w:color w:val="auto"/>
          <w:spacing w:val="0"/>
          <w:sz w:val="32"/>
          <w:szCs w:val="32"/>
          <w:lang w:val="en-US" w:eastAsia="zh-CN"/>
        </w:rPr>
        <w:t>县</w:t>
      </w:r>
      <w:r>
        <w:rPr>
          <w:rFonts w:hint="eastAsia" w:ascii="仿宋_GB2312" w:hAnsi="仿宋_GB2312" w:eastAsia="仿宋_GB2312" w:cs="仿宋_GB2312"/>
          <w:color w:val="auto"/>
          <w:spacing w:val="0"/>
          <w:sz w:val="32"/>
          <w:szCs w:val="32"/>
        </w:rPr>
        <w:t>效果评估工作，以评估促进质量提升工作的落地和执行。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楷体_GB2312" w:hAnsi="楷体_GB2312" w:eastAsia="楷体_GB2312" w:cs="楷体_GB2312"/>
          <w:b w:val="0"/>
          <w:bCs w:val="0"/>
          <w:color w:val="auto"/>
          <w:spacing w:val="0"/>
          <w:sz w:val="32"/>
          <w:szCs w:val="32"/>
        </w:rPr>
      </w:pPr>
      <w:bookmarkStart w:id="38" w:name="_Toc812297435_WPSOffice_Level2"/>
      <w:r>
        <w:rPr>
          <w:rFonts w:hint="eastAsia" w:ascii="楷体_GB2312" w:hAnsi="楷体_GB2312" w:eastAsia="楷体_GB2312" w:cs="楷体_GB2312"/>
          <w:b w:val="0"/>
          <w:bCs w:val="0"/>
          <w:color w:val="auto"/>
          <w:spacing w:val="0"/>
          <w:sz w:val="32"/>
          <w:szCs w:val="32"/>
        </w:rPr>
        <w:t>（二）严守质量底线，完善质量监管体系</w:t>
      </w:r>
      <w:bookmarkEnd w:id="38"/>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bookmarkStart w:id="39" w:name="_Toc2043124464_WPSOffice_Level3"/>
      <w:r>
        <w:rPr>
          <w:rFonts w:hint="eastAsia" w:ascii="仿宋_GB2312" w:hAnsi="仿宋_GB2312" w:eastAsia="仿宋_GB2312" w:cs="仿宋_GB2312"/>
          <w:color w:val="auto"/>
          <w:spacing w:val="0"/>
          <w:sz w:val="32"/>
          <w:szCs w:val="32"/>
        </w:rPr>
        <w:t>1.建立健全质量安全责任体系</w:t>
      </w:r>
      <w:bookmarkEnd w:id="39"/>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进一步提高政治意识、风险意识，及时发现问题和处理问题。落实各级安全监管责任，加强督导检查，优化营商环境，守住安全底线，保障人民群众身体健康和财产安全。建立健全企业质量自我声明、质量追溯、质量安全事故报告、缺陷产品召回等制度，全面推行质量安全责任制。 推进政府负总责、监管部门各负其责、生产经营者为第一责任人的质量安全责任体系建设，全面落实产品生产、流通等环节企业质量安全主体责任和建设、勘察、设计、施工、监理等主体项目负责人质量终身责任，为质量安全监管提供保障。</w:t>
      </w:r>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bookmarkStart w:id="40" w:name="_Toc1722595405_WPSOffice_Level3"/>
      <w:r>
        <w:rPr>
          <w:rFonts w:hint="eastAsia" w:ascii="仿宋_GB2312" w:hAnsi="仿宋_GB2312" w:eastAsia="仿宋_GB2312" w:cs="仿宋_GB2312"/>
          <w:color w:val="auto"/>
          <w:spacing w:val="0"/>
          <w:sz w:val="32"/>
          <w:szCs w:val="32"/>
        </w:rPr>
        <w:t>2.加大质量监管和执法力度</w:t>
      </w:r>
      <w:bookmarkEnd w:id="40"/>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始终坚持把质量工作作为一项基础性、长期性、战略性任务来抓。严厉打击质量违法行为，综合运用各种监督手段，加强质量监督，扶优治劣，规范市场秩序。深入开展重点产品、重点行业、重点领域执法打假，严厉查办制假售假和利用高科技手段从事质量违法活动，严厉打击危害公共安全、人身健康以及生命财产安全等质量违法行为。在工程建设领域重点打击转包挂靠，深入治理违法发包分包等严重扰乱市场秩序行为。加大电商质量违法行为查处力度，营造良好的“互联网+”发展环境。</w:t>
      </w:r>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bookmarkStart w:id="41" w:name="_Toc1305015893_WPSOffice_Level3"/>
      <w:r>
        <w:rPr>
          <w:rFonts w:hint="eastAsia" w:ascii="仿宋_GB2312" w:hAnsi="仿宋_GB2312" w:eastAsia="仿宋_GB2312" w:cs="仿宋_GB2312"/>
          <w:color w:val="auto"/>
          <w:spacing w:val="0"/>
          <w:sz w:val="32"/>
          <w:szCs w:val="32"/>
        </w:rPr>
        <w:t>3.不断加强质量风险防控</w:t>
      </w:r>
      <w:bookmarkEnd w:id="41"/>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形成质量安全社会共治格局，按照党委政府领导、相关部门牵头落实、社会各方参与的原则，把部门监督、行业监督、社会监督有机结合，建立社会共治工作机制，开展质量综合治理。建立健全联动协调机制，切实做好行政执法与刑事司法的有效衔接，完善部门质量信息通报和联合执法工作机制。引导行业、企业不断提升产品质量，加强行业自律。发挥消费者的社会监督作用，鼓励消费者对劣质产品和服务及时举报，强化自身维权意识，形成人人关心质量、人人监督质量的良好局面。发挥新闻媒体的宣传和监督作用，加强质量宣传，及时披露质量违规行为，形成强大的社会监督力量，推动形成质量共治格局。</w:t>
      </w:r>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bookmarkStart w:id="42" w:name="_Toc337073853_WPSOffice_Level3"/>
      <w:r>
        <w:rPr>
          <w:rFonts w:hint="eastAsia" w:ascii="仿宋_GB2312" w:hAnsi="仿宋_GB2312" w:eastAsia="仿宋_GB2312" w:cs="仿宋_GB2312"/>
          <w:color w:val="auto"/>
          <w:spacing w:val="0"/>
          <w:sz w:val="32"/>
          <w:szCs w:val="32"/>
        </w:rPr>
        <w:t>4.加强食品、药品、特种设备及重点工业品监管</w:t>
      </w:r>
      <w:bookmarkEnd w:id="42"/>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遵循“四个最严”要求，建立食品安全监管体系。深入贯彻落实中央、省、市关于深化改革加强食品安全工作的系列部署，全面落实党政领导干部食品安全责任制规定，严把食品生产加工质量安全关、食品流通销售质量安全关</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 xml:space="preserve"> 餐饮服务质量安全关等食品安全“六道关口”；健全全</w:t>
      </w:r>
      <w:r>
        <w:rPr>
          <w:rFonts w:hint="eastAsia" w:ascii="仿宋_GB2312" w:hAnsi="仿宋_GB2312" w:eastAsia="仿宋_GB2312" w:cs="仿宋_GB2312"/>
          <w:color w:val="auto"/>
          <w:spacing w:val="0"/>
          <w:sz w:val="32"/>
          <w:szCs w:val="32"/>
          <w:lang w:val="en-US" w:eastAsia="zh-CN"/>
        </w:rPr>
        <w:t>县</w:t>
      </w:r>
      <w:r>
        <w:rPr>
          <w:rFonts w:hint="eastAsia" w:ascii="仿宋_GB2312" w:hAnsi="仿宋_GB2312" w:eastAsia="仿宋_GB2312" w:cs="仿宋_GB2312"/>
          <w:color w:val="auto"/>
          <w:spacing w:val="0"/>
          <w:sz w:val="32"/>
          <w:szCs w:val="32"/>
        </w:rPr>
        <w:t>食品生产经营主体责任体系、食品安全属地责任体系、食品安全检验检测体系、食品安全应急处置体系等“八大体系”；深入实施校园食品安全守护行动、农村假冒伪劣食品治理行动、食品生产加工“小作坊”提升行动、餐饮质量安全提升行动、保健食品和婴幼儿配方乳粉专项行动等“十大行动”，建立食品安全执法和从业人员培训和考试信息化系统，构建“从农田到餐桌”全过程、全链条监管机制，提升食品安全治理能力，推动产业高质量发展，让人民群众吃得安全、吃得健康、吃得放心。</w:t>
      </w:r>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构建更加科学的现代化药品流通、医疗器械和化妆品监管体系。严防安全风险，深入开展专项检查，对流通、使用环节实施严格监管，持续开展执业药师挂证、违规网络销售药械、违规使用化妆品原料等问题专项整治活动，净化药品 、</w:t>
      </w:r>
      <w:r>
        <w:rPr>
          <w:rFonts w:hint="eastAsia" w:ascii="仿宋_GB2312" w:hAnsi="仿宋_GB2312" w:eastAsia="仿宋_GB2312" w:cs="仿宋_GB2312"/>
          <w:color w:val="auto"/>
          <w:spacing w:val="0"/>
          <w:sz w:val="32"/>
          <w:szCs w:val="32"/>
          <w:lang w:val="en-US" w:eastAsia="zh-CN"/>
        </w:rPr>
        <w:t>医疗</w:t>
      </w:r>
      <w:r>
        <w:rPr>
          <w:rFonts w:hint="eastAsia" w:ascii="仿宋_GB2312" w:hAnsi="仿宋_GB2312" w:eastAsia="仿宋_GB2312" w:cs="仿宋_GB2312"/>
          <w:color w:val="auto"/>
          <w:spacing w:val="0"/>
          <w:sz w:val="32"/>
          <w:szCs w:val="32"/>
        </w:rPr>
        <w:t>器械和化妆品市场秩序。创新监管手段，探索开展“互联网＋”监管模式，配合生产端完善药品零售领域追溯体系建设以及新生业态监管。加强检验检测体系建设，完善监管技术支撑能力，加强专业技术人才队伍和专家智库建设，夯实专业化监管基础，推进药品安全诚信体系建设，强化市场主体的安全责任，构建多元、和谐的社会共治格局。</w:t>
      </w:r>
      <w:r>
        <w:rPr>
          <w:rFonts w:hint="eastAsia" w:ascii="仿宋_GB2312" w:hAnsi="仿宋_GB2312" w:eastAsia="仿宋_GB2312" w:cs="仿宋_GB2312"/>
          <w:color w:val="auto"/>
          <w:spacing w:val="0"/>
          <w:sz w:val="32"/>
          <w:szCs w:val="32"/>
          <w:lang w:val="en-US" w:eastAsia="zh-CN"/>
        </w:rPr>
        <w:t>大力推进</w:t>
      </w:r>
      <w:r>
        <w:rPr>
          <w:rFonts w:hint="eastAsia" w:ascii="仿宋_GB2312" w:hAnsi="仿宋_GB2312" w:eastAsia="仿宋_GB2312" w:cs="仿宋_GB2312"/>
          <w:color w:val="auto"/>
          <w:spacing w:val="0"/>
          <w:sz w:val="32"/>
          <w:szCs w:val="32"/>
        </w:rPr>
        <w:t>药品行政审批制度改革，完善药品产业创新扶持政策，支持医药研发创新和医药产业健康发展。</w:t>
      </w:r>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（3）深入推进特种设备安全监管现代化。探索提升安全监管效能，督促企业落实管理责任，健全风险会商研判协同机制，对特种设备安全隐患进行动态管理，提高风险预警和应急 处置能力。综合运用市场化机制、信息化手段，加大信息公开力度，督促企业依据相关法律法规和安全技术规范要求，严格落实特种设备安全主体责任，推广特种设备安全责任强制保险。强化安全监管能力建设，加强基层安全监察人员培训，提高基层安全监察机构执法能力。</w:t>
      </w:r>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4）打造闭环式工业产品质量安全监管体系。以与人民生活密切相关消费品为重点，从生产源头、流通渠道、消费终端多管齐下，加强市场监管执法。聚焦与人民生活密切相关消费品，强化服装、日用百货、家用电器、建材等质量监管。深化生产许可、监督抽查和风险监控改革，全面提升质量监督服务提质增效升级的工作效能。加强生产与流通领域监管联动，加大在流通领域的监督抽查力度。全面提高质量安全风险监测、研判、预警和处置能力，及时跟踪监测和防范化解行业性、区域性产品质量安全风险。</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楷体_GB2312" w:hAnsi="楷体_GB2312" w:eastAsia="楷体_GB2312" w:cs="楷体_GB2312"/>
          <w:b w:val="0"/>
          <w:bCs w:val="0"/>
          <w:color w:val="auto"/>
          <w:spacing w:val="0"/>
          <w:sz w:val="32"/>
          <w:szCs w:val="32"/>
        </w:rPr>
      </w:pPr>
      <w:bookmarkStart w:id="43" w:name="_Toc676198418_WPSOffice_Level2"/>
      <w:r>
        <w:rPr>
          <w:rFonts w:hint="eastAsia" w:ascii="楷体_GB2312" w:hAnsi="楷体_GB2312" w:eastAsia="楷体_GB2312" w:cs="楷体_GB2312"/>
          <w:b w:val="0"/>
          <w:bCs w:val="0"/>
          <w:color w:val="auto"/>
          <w:spacing w:val="0"/>
          <w:sz w:val="32"/>
          <w:szCs w:val="32"/>
        </w:rPr>
        <w:t>（三）落实企业主体责任，全面推进质量提升行动</w:t>
      </w:r>
      <w:bookmarkEnd w:id="43"/>
    </w:p>
    <w:p>
      <w:pPr>
        <w:keepNext w:val="0"/>
        <w:keepLines w:val="0"/>
        <w:pageBreakBefore w:val="0"/>
        <w:widowControl w:val="0"/>
        <w:numPr>
          <w:ilvl w:val="0"/>
          <w:numId w:val="0"/>
        </w:numPr>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color w:val="auto"/>
          <w:spacing w:val="0"/>
          <w:sz w:val="32"/>
          <w:szCs w:val="32"/>
          <w:highlight w:val="none"/>
        </w:rPr>
      </w:pPr>
      <w:bookmarkStart w:id="44" w:name="_Toc24163910_WPSOffice_Level3"/>
      <w:r>
        <w:rPr>
          <w:rFonts w:hint="eastAsia" w:ascii="仿宋_GB2312" w:hAnsi="仿宋_GB2312" w:eastAsia="仿宋_GB2312" w:cs="仿宋_GB2312"/>
          <w:color w:val="auto"/>
          <w:spacing w:val="0"/>
          <w:sz w:val="32"/>
          <w:szCs w:val="32"/>
          <w:highlight w:val="none"/>
          <w:lang w:val="en-US" w:eastAsia="zh-CN"/>
        </w:rPr>
        <w:t>1.</w:t>
      </w:r>
      <w:r>
        <w:rPr>
          <w:rFonts w:hint="eastAsia" w:ascii="仿宋_GB2312" w:hAnsi="仿宋_GB2312" w:eastAsia="仿宋_GB2312" w:cs="仿宋_GB2312"/>
          <w:color w:val="auto"/>
          <w:spacing w:val="0"/>
          <w:sz w:val="32"/>
          <w:szCs w:val="32"/>
          <w:highlight w:val="none"/>
        </w:rPr>
        <w:t>开展高新技术产业技术质量提升行动</w:t>
      </w:r>
      <w:bookmarkEnd w:id="44"/>
    </w:p>
    <w:p>
      <w:pPr>
        <w:keepNext w:val="0"/>
        <w:keepLines w:val="0"/>
        <w:pageBreakBefore w:val="0"/>
        <w:widowControl w:val="0"/>
        <w:numPr>
          <w:ilvl w:val="0"/>
          <w:numId w:val="0"/>
        </w:numPr>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充分发挥</w:t>
      </w:r>
      <w:r>
        <w:rPr>
          <w:rFonts w:hint="eastAsia" w:ascii="仿宋_GB2312" w:hAnsi="仿宋_GB2312" w:eastAsia="仿宋_GB2312" w:cs="仿宋_GB2312"/>
          <w:i w:val="0"/>
          <w:iCs w:val="0"/>
          <w:caps w:val="0"/>
          <w:color w:val="auto"/>
          <w:spacing w:val="0"/>
          <w:sz w:val="32"/>
          <w:szCs w:val="32"/>
          <w:shd w:val="clear" w:fill="FFFFFF"/>
          <w:lang w:val="en-US" w:eastAsia="zh-CN"/>
        </w:rPr>
        <w:t>高新技术</w:t>
      </w:r>
      <w:r>
        <w:rPr>
          <w:rFonts w:hint="eastAsia" w:ascii="仿宋_GB2312" w:hAnsi="仿宋_GB2312" w:eastAsia="仿宋_GB2312" w:cs="仿宋_GB2312"/>
          <w:i w:val="0"/>
          <w:iCs w:val="0"/>
          <w:caps w:val="0"/>
          <w:color w:val="auto"/>
          <w:spacing w:val="0"/>
          <w:sz w:val="32"/>
          <w:szCs w:val="32"/>
          <w:shd w:val="clear" w:fill="FFFFFF"/>
        </w:rPr>
        <w:t>企业在科技创新中的主体作用，深入实施创新型企业培育行动，建立完善“微成长、小升高、高变强”创新型企业梯次培育机制，优化孵化培育、政策培训、企业认定等服务，</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坚持以高水平创新平台的建设为重点，积极争取国家、省级重大创新平台和重大科技基础设施布局，积极引进高水平科研机构，设立院士工作站、博士后科研工作站、重点实验室、工程中心和企业技术中心等各类创新平台，加大财政扶持力度。深入实施</w:t>
      </w:r>
      <w:r>
        <w:rPr>
          <w:rFonts w:hint="eastAsia" w:ascii="仿宋_GB2312" w:hAnsi="仿宋_GB2312" w:eastAsia="仿宋_GB2312" w:cs="仿宋_GB2312"/>
          <w:b/>
          <w:bCs/>
          <w:i w:val="0"/>
          <w:iCs w:val="0"/>
          <w:caps w:val="0"/>
          <w:color w:val="auto"/>
          <w:spacing w:val="0"/>
          <w:sz w:val="32"/>
          <w:szCs w:val="32"/>
          <w:highlight w:val="none"/>
          <w:shd w:val="clear" w:fill="FFFFFF"/>
        </w:rPr>
        <w:t>科技创新、“三大改造”、</w:t>
      </w:r>
      <w:r>
        <w:rPr>
          <w:rStyle w:val="15"/>
          <w:rFonts w:hint="eastAsia" w:ascii="仿宋_GB2312" w:hAnsi="仿宋_GB2312" w:eastAsia="仿宋_GB2312" w:cs="仿宋_GB2312"/>
          <w:b/>
          <w:bCs/>
          <w:i w:val="0"/>
          <w:iCs w:val="0"/>
          <w:caps w:val="0"/>
          <w:color w:val="auto"/>
          <w:spacing w:val="0"/>
          <w:sz w:val="32"/>
          <w:szCs w:val="32"/>
          <w:highlight w:val="none"/>
          <w:shd w:val="clear" w:fill="FFFFFF"/>
        </w:rPr>
        <w:t>强化创新载体建设</w:t>
      </w:r>
      <w:r>
        <w:rPr>
          <w:rStyle w:val="15"/>
          <w:rFonts w:hint="eastAsia" w:ascii="仿宋_GB2312" w:hAnsi="仿宋_GB2312" w:eastAsia="仿宋_GB2312" w:cs="仿宋_GB2312"/>
          <w:b/>
          <w:bCs/>
          <w:i w:val="0"/>
          <w:iCs w:val="0"/>
          <w:caps w:val="0"/>
          <w:color w:val="auto"/>
          <w:spacing w:val="0"/>
          <w:sz w:val="32"/>
          <w:szCs w:val="32"/>
          <w:highlight w:val="none"/>
          <w:shd w:val="clear" w:fill="FFFFFF"/>
          <w:lang w:eastAsia="zh-CN"/>
        </w:rPr>
        <w:t>，</w:t>
      </w:r>
      <w:r>
        <w:rPr>
          <w:rFonts w:hint="eastAsia" w:ascii="仿宋_GB2312" w:hAnsi="仿宋_GB2312" w:eastAsia="仿宋_GB2312" w:cs="仿宋_GB2312"/>
          <w:color w:val="auto"/>
          <w:spacing w:val="0"/>
          <w:sz w:val="32"/>
          <w:szCs w:val="32"/>
        </w:rPr>
        <w:t>到2025年，全县实现1家国家级研发中心、重点实验室，15家省级研发中心、工程技术中心、重点实验室，25家市级各类研发中心。</w:t>
      </w:r>
    </w:p>
    <w:p>
      <w:pPr>
        <w:keepNext w:val="0"/>
        <w:keepLines w:val="0"/>
        <w:pageBreakBefore w:val="0"/>
        <w:widowControl w:val="0"/>
        <w:numPr>
          <w:ilvl w:val="0"/>
          <w:numId w:val="0"/>
        </w:numPr>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bookmarkStart w:id="45" w:name="_Toc362971209_WPSOffice_Level3"/>
      <w:r>
        <w:rPr>
          <w:rFonts w:hint="eastAsia" w:ascii="仿宋_GB2312" w:hAnsi="仿宋_GB2312" w:eastAsia="仿宋_GB2312" w:cs="仿宋_GB2312"/>
          <w:color w:val="auto"/>
          <w:spacing w:val="0"/>
          <w:sz w:val="32"/>
          <w:szCs w:val="32"/>
          <w:lang w:val="en-US" w:eastAsia="zh-CN"/>
        </w:rPr>
        <w:t>2.</w:t>
      </w:r>
      <w:r>
        <w:rPr>
          <w:rFonts w:hint="eastAsia" w:ascii="仿宋_GB2312" w:hAnsi="仿宋_GB2312" w:eastAsia="仿宋_GB2312" w:cs="仿宋_GB2312"/>
          <w:color w:val="auto"/>
          <w:spacing w:val="0"/>
          <w:sz w:val="32"/>
          <w:szCs w:val="32"/>
        </w:rPr>
        <w:t>开展制造业质量提升行动</w:t>
      </w:r>
      <w:bookmarkEnd w:id="45"/>
    </w:p>
    <w:p>
      <w:pPr>
        <w:keepNext w:val="0"/>
        <w:keepLines w:val="0"/>
        <w:pageBreakBefore w:val="0"/>
        <w:widowControl w:val="0"/>
        <w:kinsoku/>
        <w:wordWrap/>
        <w:overflowPunct/>
        <w:topLinePunct/>
        <w:autoSpaceDE/>
        <w:autoSpaceDN/>
        <w:bidi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rPr>
        <w:t>坚持把制造业高质量发展作为主攻方向</w:t>
      </w:r>
      <w:r>
        <w:rPr>
          <w:rFonts w:hint="eastAsia" w:ascii="仿宋_GB2312" w:hAnsi="仿宋_GB2312" w:eastAsia="仿宋_GB2312" w:cs="仿宋_GB2312"/>
          <w:color w:val="auto"/>
          <w:spacing w:val="0"/>
          <w:sz w:val="32"/>
          <w:szCs w:val="32"/>
        </w:rPr>
        <w:t>，突出数字引领，聚焦产业基础高级化、产业链条现代化，</w:t>
      </w:r>
      <w:r>
        <w:rPr>
          <w:rFonts w:hint="eastAsia" w:ascii="仿宋_GB2312" w:hAnsi="仿宋_GB2312" w:eastAsia="仿宋_GB2312" w:cs="仿宋_GB2312"/>
          <w:color w:val="auto"/>
          <w:spacing w:val="0"/>
          <w:sz w:val="32"/>
          <w:szCs w:val="32"/>
          <w:highlight w:val="none"/>
        </w:rPr>
        <w:t>以智能制造、绿色改造为引领，实施主导产业提升、新兴产业提速、传统产业提质“三提”计划。</w:t>
      </w:r>
      <w:r>
        <w:rPr>
          <w:rFonts w:hint="eastAsia" w:ascii="仿宋_GB2312" w:hAnsi="仿宋_GB2312" w:eastAsia="仿宋_GB2312" w:cs="仿宋_GB2312"/>
          <w:color w:val="auto"/>
          <w:spacing w:val="0"/>
          <w:sz w:val="32"/>
          <w:szCs w:val="32"/>
        </w:rPr>
        <w:t>做大做强食品加工、医药化工、节能环保等主导产业，推动制造业高质量发展。大力培育创新龙头企业，落实税收、财政奖补等优惠政策，引导企业持续加大研发投入</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支持企业争创国家级、省级研发平台，建立研发机构、创新联盟，不断增强企业创新活力。实施创新企业倍增计划，新培育国家高新技术企业10家，建设市级以上研发中心10家，培育科技创新孵化器1个。探索“5G+工业互联”融合发展，加强物联网、大数据、云计算、人工智能在工业领域的应用，加大企业自主创新和研发能力</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深入推进智能车间、智能工厂的培育建设，促进传统制造业转型升级</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到2025年基于新一代智能化、信息化技术在工业企业得到广泛应用，全县规模以上工业企业关键工序智能化数控率达到80%以上。大力发展数字经济，持续实施“互联网+”、“5G+工业互联网”等行动，推动信息化与制造业的深度融合。</w:t>
      </w:r>
      <w:r>
        <w:rPr>
          <w:rFonts w:hint="eastAsia" w:ascii="仿宋_GB2312" w:hAnsi="仿宋_GB2312" w:eastAsia="仿宋_GB2312" w:cs="仿宋_GB2312"/>
          <w:color w:val="auto"/>
          <w:spacing w:val="0"/>
          <w:sz w:val="32"/>
          <w:szCs w:val="32"/>
          <w:highlight w:val="none"/>
        </w:rPr>
        <w:t>提升科技创新能力，制定实施科技强县行动计划，促进企业科技成果转化。实施研发孵化平台、知识产权平台、科技服务平台、检验检测平台等四大创新载体建设。</w:t>
      </w:r>
      <w:r>
        <w:rPr>
          <w:rFonts w:hint="eastAsia" w:ascii="仿宋_GB2312" w:hAnsi="仿宋_GB2312" w:eastAsia="仿宋_GB2312" w:cs="仿宋_GB2312"/>
          <w:color w:val="auto"/>
          <w:spacing w:val="0"/>
          <w:sz w:val="32"/>
          <w:szCs w:val="32"/>
        </w:rPr>
        <w:t>积极培育慧联、创力新能源、台冠电子等三家行业领军的高新技术企业。到2025年，全县实现1家国家级研发中心、重点实验室，15家省级研发中心、工程技术中心、重点实验室，25家市级各类研发中心</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全县高新技术企业达到18家、国家科技型中小企业达到30家。</w:t>
      </w:r>
    </w:p>
    <w:p>
      <w:pPr>
        <w:keepNext w:val="0"/>
        <w:keepLines w:val="0"/>
        <w:pageBreakBefore w:val="0"/>
        <w:widowControl w:val="0"/>
        <w:numPr>
          <w:ilvl w:val="0"/>
          <w:numId w:val="0"/>
        </w:numPr>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highlight w:val="none"/>
          <w:lang w:val="en-US" w:eastAsia="zh-CN"/>
        </w:rPr>
      </w:pPr>
      <w:bookmarkStart w:id="46" w:name="_Toc631835286_WPSOffice_Level3"/>
      <w:r>
        <w:rPr>
          <w:rFonts w:hint="eastAsia" w:ascii="仿宋_GB2312" w:hAnsi="仿宋_GB2312" w:eastAsia="仿宋_GB2312" w:cs="仿宋_GB2312"/>
          <w:color w:val="auto"/>
          <w:spacing w:val="0"/>
          <w:sz w:val="32"/>
          <w:szCs w:val="32"/>
          <w:highlight w:val="none"/>
          <w:lang w:val="en-US" w:eastAsia="zh-CN"/>
        </w:rPr>
        <w:t>3.</w:t>
      </w:r>
      <w:r>
        <w:rPr>
          <w:rFonts w:hint="eastAsia" w:ascii="仿宋_GB2312" w:hAnsi="仿宋_GB2312" w:eastAsia="仿宋_GB2312" w:cs="仿宋_GB2312"/>
          <w:color w:val="auto"/>
          <w:spacing w:val="0"/>
          <w:sz w:val="32"/>
          <w:szCs w:val="32"/>
          <w:highlight w:val="none"/>
        </w:rPr>
        <w:t>开展农产品、食品药品质量提升行动</w:t>
      </w:r>
      <w:bookmarkEnd w:id="46"/>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kern w:val="2"/>
          <w:sz w:val="32"/>
          <w:szCs w:val="32"/>
          <w:lang w:val="en-US" w:eastAsia="zh-CN"/>
        </w:rPr>
      </w:pPr>
      <w:r>
        <w:rPr>
          <w:rFonts w:hint="eastAsia" w:ascii="仿宋_GB2312" w:hAnsi="仿宋_GB2312" w:eastAsia="仿宋_GB2312" w:cs="仿宋_GB2312"/>
          <w:color w:val="auto"/>
          <w:spacing w:val="0"/>
          <w:kern w:val="2"/>
          <w:sz w:val="32"/>
          <w:szCs w:val="32"/>
          <w:lang w:val="en-US" w:eastAsia="zh-CN"/>
        </w:rPr>
        <w:t>持续巩固国家农产品质量安全县创建成果。加大农产品（ 水产品） 、畜产品的质量监管与检测水平。推行食用农产品承诺达标合格证制度，完善农产品质量安全追溯体系。发展特色生态农业。着力打造区域性特色优质绿色无公害农副产品供给基地，保证农产品质量安全，实施品牌带动战略，积极开展“三品一标”认证，围绕创建全国休闲农业重点县、省级“三链”重构示范县等，实施“一村一品、一乡一特、一县一业”，发展休闲观光园区、康养基地、乡村民宿、特色文化产业。支持鲁花食品、克明面业等大型企业做强做优，鼓励建立原料生产加工基地，培育10家以上具有核心竞争力的大型食品企业，建立完善质量标准、安全监测、产品溯源等质量体系，推动农产品、食品药品企业实行标准化生产提高食品安全水平。打造1个全国一村一品示范村镇、2个国家级产业强镇、1个国家级现代农业产业园、2个国家级优势特色产业集群、1个国家级现代农产品加工园，培育1—2个农业产业化联合体，培育5—10个区域公用品牌、企业品牌和产品品牌。围绕打造全国生物医药产业基地的目标，力争到2025年，新建成投产医药制造项目10个，主营业务收入突破100亿元；培育10家以上具有核心竞争力的大型食品企业，围绕主导产业固链延链补链强链，实现三产融合，培育食品加工、医药化工和节能环保等百亿产业集群。</w:t>
      </w:r>
    </w:p>
    <w:p>
      <w:pPr>
        <w:keepNext w:val="0"/>
        <w:keepLines w:val="0"/>
        <w:pageBreakBefore w:val="0"/>
        <w:widowControl w:val="0"/>
        <w:numPr>
          <w:ilvl w:val="0"/>
          <w:numId w:val="0"/>
        </w:numPr>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kern w:val="2"/>
          <w:sz w:val="32"/>
          <w:szCs w:val="32"/>
          <w:lang w:val="en-US" w:eastAsia="zh-CN"/>
        </w:rPr>
      </w:pPr>
      <w:bookmarkStart w:id="47" w:name="_Toc1687012717_WPSOffice_Level3"/>
      <w:r>
        <w:rPr>
          <w:rFonts w:hint="eastAsia" w:ascii="仿宋_GB2312" w:hAnsi="仿宋_GB2312" w:eastAsia="仿宋_GB2312" w:cs="仿宋_GB2312"/>
          <w:color w:val="auto"/>
          <w:spacing w:val="0"/>
          <w:kern w:val="2"/>
          <w:sz w:val="32"/>
          <w:szCs w:val="32"/>
          <w:lang w:val="en-US" w:eastAsia="zh-CN"/>
        </w:rPr>
        <w:t>4.开展现代服务业质量提升行动</w:t>
      </w:r>
      <w:bookmarkEnd w:id="47"/>
    </w:p>
    <w:p>
      <w:pPr>
        <w:keepNext w:val="0"/>
        <w:keepLines w:val="0"/>
        <w:pageBreakBefore w:val="0"/>
        <w:widowControl w:val="0"/>
        <w:numPr>
          <w:ilvl w:val="0"/>
          <w:numId w:val="0"/>
        </w:numPr>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b w:val="0"/>
          <w:bCs w:val="0"/>
          <w:color w:val="auto"/>
          <w:spacing w:val="0"/>
          <w:w w:val="102"/>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坚持生产性服务业扩量和生活性服务业提质并重，通过结构优化和载体建设，全面提升现代服务业发展质量和效益。</w:t>
      </w:r>
      <w:r>
        <w:rPr>
          <w:rFonts w:hint="eastAsia" w:ascii="仿宋_GB2312" w:hAnsi="仿宋_GB2312" w:eastAsia="仿宋_GB2312" w:cs="仿宋_GB2312"/>
          <w:b/>
          <w:bCs/>
          <w:color w:val="auto"/>
          <w:spacing w:val="0"/>
          <w:sz w:val="32"/>
          <w:szCs w:val="32"/>
        </w:rPr>
        <w:t>一是</w:t>
      </w:r>
      <w:r>
        <w:rPr>
          <w:rFonts w:hint="eastAsia" w:ascii="仿宋_GB2312" w:hAnsi="仿宋_GB2312" w:eastAsia="仿宋_GB2312" w:cs="仿宋_GB2312"/>
          <w:b w:val="0"/>
          <w:bCs w:val="0"/>
          <w:color w:val="auto"/>
          <w:spacing w:val="0"/>
          <w:sz w:val="32"/>
          <w:szCs w:val="32"/>
        </w:rPr>
        <w:t>着力发展现代物流业。围绕郑州国家级物流枢纽和新乡区域物流枢纽建设，依托G107、新菏铁路、菏宝高速、濮卫高速、安罗高速等交通便捷物流网，着力打造以现代物流为主，集商务服务、电子商务、农产品加工为一体的现代化综合物流专业园区，加快推进物流服务业专业化、信息化、网络化、规模化发展，推动郑延、新延物流一体化发展。</w:t>
      </w:r>
      <w:r>
        <w:rPr>
          <w:rFonts w:hint="eastAsia" w:ascii="仿宋_GB2312" w:hAnsi="仿宋_GB2312" w:eastAsia="仿宋_GB2312" w:cs="仿宋_GB2312"/>
          <w:b/>
          <w:bCs/>
          <w:color w:val="auto"/>
          <w:spacing w:val="0"/>
          <w:sz w:val="32"/>
          <w:szCs w:val="32"/>
          <w:lang w:eastAsia="zh-CN"/>
        </w:rPr>
        <w:t>二是</w:t>
      </w:r>
      <w:r>
        <w:rPr>
          <w:rFonts w:hint="eastAsia" w:ascii="仿宋_GB2312" w:hAnsi="仿宋_GB2312" w:eastAsia="仿宋_GB2312" w:cs="仿宋_GB2312"/>
          <w:b w:val="0"/>
          <w:bCs w:val="0"/>
          <w:color w:val="auto"/>
          <w:spacing w:val="0"/>
          <w:sz w:val="32"/>
          <w:szCs w:val="32"/>
        </w:rPr>
        <w:t>加快发展传统服务业。充分挖掘农业文化，拓展农业功能，借助“农业+”“旅游+”“生态+”“互联网+”多业态发展模式，打造以三农发展为核心，一二三产业融合，生产、生活、生态三生同步，农业、文化、旅游三位一体的新兴乡村旅游观光带，打造产业特色鲜明、人文气息浓厚、生态环境优美的特色小镇。</w:t>
      </w:r>
      <w:r>
        <w:rPr>
          <w:rFonts w:hint="eastAsia" w:ascii="仿宋_GB2312" w:hAnsi="仿宋_GB2312" w:eastAsia="仿宋_GB2312" w:cs="仿宋_GB2312"/>
          <w:b/>
          <w:bCs/>
          <w:color w:val="auto"/>
          <w:spacing w:val="0"/>
          <w:sz w:val="32"/>
          <w:szCs w:val="32"/>
          <w:lang w:eastAsia="zh-CN"/>
        </w:rPr>
        <w:t>三是</w:t>
      </w:r>
      <w:r>
        <w:rPr>
          <w:rFonts w:hint="eastAsia" w:ascii="仿宋_GB2312" w:hAnsi="仿宋_GB2312" w:eastAsia="仿宋_GB2312" w:cs="仿宋_GB2312"/>
          <w:b w:val="0"/>
          <w:bCs w:val="0"/>
          <w:color w:val="auto"/>
          <w:spacing w:val="0"/>
          <w:sz w:val="32"/>
          <w:szCs w:val="32"/>
        </w:rPr>
        <w:t>积极推动其他服务业发展。完善河南省小麦面制品检测检验中心功能，为小麦加工、食品产业提质增效提供技术服务；推进教育培训、人力资源、技术咨询、测绘评估、软件开发、信息服务等其他服务发展。推动生活性服务业向高品质和多样化升级，支持科技服务、创意设计、商务咨询、环保服务等新兴服务业的引进和发展，推进服务业数字化、标准化、品牌化发展，培育新的增长点。</w:t>
      </w:r>
      <w:r>
        <w:rPr>
          <w:rFonts w:hint="eastAsia" w:ascii="仿宋_GB2312" w:hAnsi="仿宋_GB2312" w:eastAsia="仿宋_GB2312" w:cs="仿宋_GB2312"/>
          <w:b/>
          <w:bCs/>
          <w:color w:val="auto"/>
          <w:spacing w:val="0"/>
          <w:sz w:val="32"/>
          <w:szCs w:val="32"/>
          <w:lang w:eastAsia="zh-CN"/>
        </w:rPr>
        <w:t>四是</w:t>
      </w:r>
      <w:r>
        <w:rPr>
          <w:rFonts w:hint="eastAsia" w:ascii="仿宋_GB2312" w:hAnsi="仿宋_GB2312" w:eastAsia="仿宋_GB2312" w:cs="仿宋_GB2312"/>
          <w:b w:val="0"/>
          <w:bCs w:val="0"/>
          <w:color w:val="auto"/>
          <w:spacing w:val="0"/>
          <w:sz w:val="32"/>
          <w:szCs w:val="32"/>
        </w:rPr>
        <w:t>培育科技服务业。</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抢抓国家在新基建领域加大投入的政策机遇，加快推进5G基站、工业互联网、新能源汽车充电桩等基础设施建设，</w:t>
      </w:r>
      <w:r>
        <w:rPr>
          <w:rFonts w:hint="eastAsia" w:ascii="仿宋_GB2312" w:hAnsi="仿宋_GB2312" w:eastAsia="仿宋_GB2312" w:cs="仿宋_GB2312"/>
          <w:b w:val="0"/>
          <w:bCs w:val="0"/>
          <w:color w:val="auto"/>
          <w:spacing w:val="0"/>
          <w:sz w:val="32"/>
          <w:szCs w:val="32"/>
        </w:rPr>
        <w:t>实施“宽带延津”、“智慧延津”等工程，</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推动“5G+智能制造、5G+智慧城市、5G+医疗健康、5G+智能教育、5G+现代农业、5G+现代服务业”等领域场景应用。加快电商物流、冷链物流、快递物流等产业发展，推进跨境电子商务、人才培养和企业孵化平台建设，设立电商区域总部，建设“延津电商产业带”。到“十四五”末，新增省级重点物流企业3家，市级重点物流企业10家，培育A级以上物流企业3家；建设基站959个，实现县域5G网络全覆盖。推动生活性服务业向高品质和多样化。</w:t>
      </w:r>
    </w:p>
    <w:p>
      <w:pPr>
        <w:keepNext w:val="0"/>
        <w:keepLines w:val="0"/>
        <w:pageBreakBefore w:val="0"/>
        <w:widowControl w:val="0"/>
        <w:numPr>
          <w:ilvl w:val="0"/>
          <w:numId w:val="0"/>
        </w:numPr>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b w:val="0"/>
          <w:bCs w:val="0"/>
          <w:color w:val="auto"/>
          <w:spacing w:val="0"/>
          <w:sz w:val="32"/>
          <w:szCs w:val="32"/>
          <w:lang w:eastAsia="zh-CN"/>
        </w:rPr>
      </w:pPr>
      <w:bookmarkStart w:id="48" w:name="_Toc1277016510_WPSOffice_Level3"/>
      <w:r>
        <w:rPr>
          <w:rFonts w:hint="eastAsia" w:ascii="仿宋_GB2312" w:hAnsi="仿宋_GB2312" w:eastAsia="仿宋_GB2312" w:cs="仿宋_GB2312"/>
          <w:b w:val="0"/>
          <w:bCs w:val="0"/>
          <w:color w:val="auto"/>
          <w:spacing w:val="0"/>
          <w:sz w:val="32"/>
          <w:szCs w:val="32"/>
          <w:lang w:val="en-US" w:eastAsia="zh-CN"/>
        </w:rPr>
        <w:t>5.</w:t>
      </w:r>
      <w:r>
        <w:rPr>
          <w:rFonts w:hint="eastAsia" w:ascii="仿宋_GB2312" w:hAnsi="仿宋_GB2312" w:eastAsia="仿宋_GB2312" w:cs="仿宋_GB2312"/>
          <w:b w:val="0"/>
          <w:bCs w:val="0"/>
          <w:color w:val="auto"/>
          <w:spacing w:val="0"/>
          <w:sz w:val="32"/>
          <w:szCs w:val="32"/>
        </w:rPr>
        <w:t>开展工程质量提升行动</w:t>
      </w:r>
      <w:bookmarkEnd w:id="48"/>
    </w:p>
    <w:p>
      <w:pPr>
        <w:keepNext w:val="0"/>
        <w:keepLines w:val="0"/>
        <w:pageBreakBefore w:val="0"/>
        <w:widowControl w:val="0"/>
        <w:numPr>
          <w:ilvl w:val="0"/>
          <w:numId w:val="0"/>
        </w:numPr>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 xml:space="preserve">推行建筑施工安全生产标准化考评制度，优化质量管理标准化示范工地评选机制，提升建筑工程参建各方质量意识。完善全过程质量控制体系。创新建筑方案 </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设计优选制度，提升勘察设计质量，打造建筑精品。大力推广绿色设计、绿色施工、绿色建材，推动建筑节能改造和可再生能源利用。工程质量水平进一 步提升，全市报建工程监督覆盖率、受监工程竣工合格率、新开工工程节能标准执行率、“两书 一牌”制度推行覆盖率均达100%。</w:t>
      </w:r>
    </w:p>
    <w:p>
      <w:pPr>
        <w:keepNext w:val="0"/>
        <w:keepLines w:val="0"/>
        <w:pageBreakBefore w:val="0"/>
        <w:widowControl w:val="0"/>
        <w:numPr>
          <w:ilvl w:val="0"/>
          <w:numId w:val="0"/>
        </w:numPr>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highlight w:val="none"/>
          <w:lang w:eastAsia="zh-CN"/>
        </w:rPr>
      </w:pPr>
      <w:bookmarkStart w:id="49" w:name="_Toc531966739_WPSOffice_Level3"/>
      <w:r>
        <w:rPr>
          <w:rFonts w:hint="eastAsia" w:ascii="仿宋_GB2312" w:hAnsi="仿宋_GB2312" w:eastAsia="仿宋_GB2312" w:cs="仿宋_GB2312"/>
          <w:color w:val="auto"/>
          <w:spacing w:val="0"/>
          <w:sz w:val="32"/>
          <w:szCs w:val="32"/>
          <w:highlight w:val="none"/>
          <w:lang w:val="en-US" w:eastAsia="zh-CN"/>
        </w:rPr>
        <w:t>6.</w:t>
      </w:r>
      <w:r>
        <w:rPr>
          <w:rFonts w:hint="eastAsia" w:ascii="仿宋_GB2312" w:hAnsi="仿宋_GB2312" w:eastAsia="仿宋_GB2312" w:cs="仿宋_GB2312"/>
          <w:color w:val="auto"/>
          <w:spacing w:val="0"/>
          <w:sz w:val="32"/>
          <w:szCs w:val="32"/>
          <w:highlight w:val="none"/>
        </w:rPr>
        <w:t>开展文化和旅游质量提升行动</w:t>
      </w:r>
      <w:bookmarkEnd w:id="49"/>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kern w:val="0"/>
          <w:sz w:val="32"/>
          <w:szCs w:val="32"/>
          <w:lang w:val="en-US" w:eastAsia="zh-CN" w:bidi="ar"/>
        </w:rPr>
        <w:t>延津人文资源丰厚，民风淳朴善良，曾连续六年蝉联全省平安建设先进县，荣获河南省平安建设最高奖“中原平安杯”，凝聚了强大发展正能量，为文化和旅游质量提升注入了新活力</w:t>
      </w:r>
      <w:r>
        <w:rPr>
          <w:rFonts w:hint="eastAsia" w:ascii="仿宋_GB2312" w:hAnsi="仿宋_GB2312" w:eastAsia="仿宋_GB2312" w:cs="仿宋_GB2312"/>
          <w:b w:val="0"/>
          <w:bCs w:val="0"/>
          <w:color w:val="auto"/>
          <w:spacing w:val="0"/>
          <w:kern w:val="0"/>
          <w:sz w:val="32"/>
          <w:szCs w:val="32"/>
          <w:lang w:val="en-US" w:eastAsia="zh-CN" w:bidi="ar"/>
        </w:rPr>
        <w:t>。</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一是</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做大文化体验游。</w:t>
      </w:r>
      <w:r>
        <w:rPr>
          <w:rFonts w:hint="eastAsia" w:ascii="仿宋_GB2312" w:hAnsi="仿宋_GB2312" w:eastAsia="仿宋_GB2312" w:cs="仿宋_GB2312"/>
          <w:b w:val="0"/>
          <w:bCs w:val="0"/>
          <w:color w:val="auto"/>
          <w:spacing w:val="0"/>
          <w:sz w:val="32"/>
          <w:szCs w:val="32"/>
        </w:rPr>
        <w:t>挖掘具有黄河故道文化内涵的历史文化资源，重点保护和开</w:t>
      </w:r>
      <w:r>
        <w:rPr>
          <w:rFonts w:hint="eastAsia" w:ascii="仿宋_GB2312" w:hAnsi="仿宋_GB2312" w:eastAsia="仿宋_GB2312" w:cs="仿宋_GB2312"/>
          <w:color w:val="auto"/>
          <w:spacing w:val="0"/>
          <w:sz w:val="32"/>
          <w:szCs w:val="32"/>
        </w:rPr>
        <w:t>发利用沙门城址（吴起城）、太平天国英王陈玉成就义纪念地等历史故事、人物遗址，广泛宣传延津历史文化。以延浚汲淇四县边抗日办事处旧址、野厂抗日根据地、革命烈士纪念塔等资源为载体，弘扬红色文化。开展非物质文化遗产普查工作，深入挖掘优秀非物质文化遗产，重点开展国家级、省级、市级非物质文化遗产项目“大平调”、“二夹弦”、“官渡之战在延津的故事”、“延津火烧”等的保护和传承工作。</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进一步丰富历史文化内涵，为旅游业发展提供强有力的支撑。</w:t>
      </w:r>
      <w:r>
        <w:rPr>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t>二是</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做强特色乡村旅游。</w:t>
      </w:r>
      <w:r>
        <w:rPr>
          <w:rFonts w:hint="eastAsia" w:ascii="仿宋_GB2312" w:hAnsi="仿宋_GB2312" w:eastAsia="仿宋_GB2312" w:cs="仿宋_GB2312"/>
          <w:b w:val="0"/>
          <w:bCs w:val="0"/>
          <w:color w:val="auto"/>
          <w:spacing w:val="0"/>
          <w:sz w:val="32"/>
          <w:szCs w:val="32"/>
        </w:rPr>
        <w:t>建设特色小镇和田园综合体</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充分挖掘城镇自身经济、文化、生态等特色资源，推进田园综合体建设，建设高附加值农业示范区和乡村文化体验公园，打造一批设施完备、功能多样的休闲观光园区、康养基地、乡村民宿，发展休闲养生、文化娱乐、休闲观光业。</w:t>
      </w:r>
      <w:r>
        <w:rPr>
          <w:rFonts w:hint="eastAsia" w:ascii="仿宋_GB2312" w:hAnsi="仿宋_GB2312" w:eastAsia="仿宋_GB2312" w:cs="仿宋_GB2312"/>
          <w:b/>
          <w:bCs/>
          <w:color w:val="auto"/>
          <w:spacing w:val="0"/>
          <w:sz w:val="32"/>
          <w:szCs w:val="32"/>
          <w:highlight w:val="none"/>
          <w:lang w:eastAsia="zh-CN"/>
        </w:rPr>
        <w:t>三是</w:t>
      </w:r>
      <w:r>
        <w:rPr>
          <w:rFonts w:hint="eastAsia" w:ascii="仿宋_GB2312" w:hAnsi="仿宋_GB2312" w:eastAsia="仿宋_GB2312" w:cs="仿宋_GB2312"/>
          <w:b w:val="0"/>
          <w:bCs w:val="0"/>
          <w:color w:val="auto"/>
          <w:spacing w:val="0"/>
          <w:sz w:val="32"/>
          <w:szCs w:val="32"/>
          <w:highlight w:val="none"/>
        </w:rPr>
        <w:t>传承黄河故道文化。</w:t>
      </w:r>
      <w:r>
        <w:rPr>
          <w:rFonts w:hint="eastAsia" w:ascii="仿宋_GB2312" w:hAnsi="仿宋_GB2312" w:eastAsia="仿宋_GB2312" w:cs="仿宋_GB2312"/>
          <w:color w:val="auto"/>
          <w:spacing w:val="0"/>
          <w:sz w:val="32"/>
          <w:szCs w:val="32"/>
          <w:highlight w:val="none"/>
        </w:rPr>
        <w:t>加快黄河故道文化遗产保护，推进实施沙门城址历史文化公园，讲好黄河故道故事，推动黄河故道农耕文化传承和创新，延续黄河故道历史文脉；加强黄河流域历史文化名镇名村保护，大力塑造黄河故道文化名片。推进广唐寺白马塔、大觉寺等历史文物保护和修缮，依托塔铺白马塔、刘震云《塔铺》、延浚汲淇四县边抗日办事处等历史文物、文学作品，谋划推进塔铺文旅小镇、王楼“电影小镇”、石婆固户外休闲小镇、马庄红色教育基地、乌巢遗址公园等项目，构建黄河故道文化保护利用和展示的网络体系，促进黄河故道文化繁荣。</w:t>
      </w:r>
      <w:r>
        <w:rPr>
          <w:rFonts w:hint="eastAsia" w:ascii="仿宋_GB2312" w:hAnsi="仿宋_GB2312" w:eastAsia="仿宋_GB2312" w:cs="仿宋_GB2312"/>
          <w:b/>
          <w:bCs/>
          <w:color w:val="auto"/>
          <w:spacing w:val="0"/>
          <w:sz w:val="32"/>
          <w:szCs w:val="32"/>
          <w:highlight w:val="none"/>
          <w:lang w:eastAsia="zh-CN"/>
        </w:rPr>
        <w:t>四是</w:t>
      </w:r>
      <w:r>
        <w:rPr>
          <w:rFonts w:hint="eastAsia" w:ascii="仿宋_GB2312" w:hAnsi="仿宋_GB2312" w:eastAsia="仿宋_GB2312" w:cs="仿宋_GB2312"/>
          <w:b w:val="0"/>
          <w:bCs w:val="0"/>
          <w:color w:val="auto"/>
          <w:spacing w:val="0"/>
          <w:sz w:val="32"/>
          <w:szCs w:val="32"/>
          <w:highlight w:val="none"/>
          <w:lang w:eastAsia="zh-CN"/>
        </w:rPr>
        <w:t>打造文化品牌</w:t>
      </w:r>
      <w:r>
        <w:rPr>
          <w:rFonts w:hint="eastAsia" w:ascii="仿宋_GB2312" w:hAnsi="仿宋_GB2312" w:eastAsia="仿宋_GB2312" w:cs="仿宋_GB2312"/>
          <w:b w:val="0"/>
          <w:bCs w:val="0"/>
          <w:color w:val="auto"/>
          <w:spacing w:val="0"/>
          <w:sz w:val="32"/>
          <w:szCs w:val="32"/>
          <w:highlight w:val="none"/>
        </w:rPr>
        <w:t>。</w:t>
      </w:r>
      <w:r>
        <w:rPr>
          <w:rFonts w:hint="eastAsia" w:ascii="仿宋_GB2312" w:hAnsi="仿宋_GB2312" w:eastAsia="仿宋_GB2312" w:cs="仿宋_GB2312"/>
          <w:b w:val="0"/>
          <w:bCs w:val="0"/>
          <w:color w:val="auto"/>
          <w:spacing w:val="0"/>
          <w:sz w:val="32"/>
          <w:szCs w:val="32"/>
        </w:rPr>
        <w:t>积极推进公共图书馆、文化馆等公共文化设施建设，解决公共阅读服务最后一公里问题，倡导全民阅读，建设书香延津。加快完善基层综合性文化设施条件，调整优化基层文化惠民工程。全面推进智慧广电服务网络建设，提高广播电视公共服务水平。推进红色旅游、乡村旅游、春满槐乡等地方特色文化品牌，打造黄河故道文化特色品牌。</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五是</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丰富提升基础性服务业。发展育幼、家政等公益性、基础性服务业，促进政府公共服务、</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居民互助服务、商业性便民利民服务向社区覆盖，满足人民群众品质生活需要。支持一批家政龙头企业连锁化、品牌化发展，推进服务业标准化、品牌化建设。加快建设星级酒店和经济型酒店及大型停车场，配套旅游业发展。</w:t>
      </w:r>
    </w:p>
    <w:p>
      <w:pPr>
        <w:keepNext w:val="0"/>
        <w:keepLines w:val="0"/>
        <w:pageBreakBefore w:val="0"/>
        <w:widowControl w:val="0"/>
        <w:numPr>
          <w:ilvl w:val="0"/>
          <w:numId w:val="0"/>
        </w:numPr>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eastAsia="zh-CN"/>
        </w:rPr>
      </w:pPr>
      <w:bookmarkStart w:id="50" w:name="_Toc1948063019_WPSOffice_Level3"/>
      <w:r>
        <w:rPr>
          <w:rFonts w:hint="eastAsia" w:ascii="仿宋_GB2312" w:hAnsi="仿宋_GB2312" w:eastAsia="仿宋_GB2312" w:cs="仿宋_GB2312"/>
          <w:color w:val="auto"/>
          <w:spacing w:val="0"/>
          <w:sz w:val="32"/>
          <w:szCs w:val="32"/>
          <w:lang w:val="en-US" w:eastAsia="zh-CN"/>
        </w:rPr>
        <w:t>7.</w:t>
      </w:r>
      <w:r>
        <w:rPr>
          <w:rFonts w:hint="eastAsia" w:ascii="仿宋_GB2312" w:hAnsi="仿宋_GB2312" w:eastAsia="仿宋_GB2312" w:cs="仿宋_GB2312"/>
          <w:color w:val="auto"/>
          <w:spacing w:val="0"/>
          <w:sz w:val="32"/>
          <w:szCs w:val="32"/>
        </w:rPr>
        <w:t>开展城市建设管理质量提升行动</w:t>
      </w:r>
      <w:bookmarkEnd w:id="50"/>
    </w:p>
    <w:p>
      <w:pPr>
        <w:keepNext w:val="0"/>
        <w:keepLines w:val="0"/>
        <w:pageBreakBefore w:val="0"/>
        <w:widowControl w:val="0"/>
        <w:numPr>
          <w:ilvl w:val="0"/>
          <w:numId w:val="0"/>
        </w:numPr>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坚持以人为核心的新型城镇化，优化完善城市空间结构，全面提升发展能级，提高城市治理现代化水平，打造富有辐射力影响力带动力的生态魅力城市。</w:t>
      </w:r>
      <w:r>
        <w:rPr>
          <w:rFonts w:hint="eastAsia" w:ascii="仿宋_GB2312" w:hAnsi="仿宋_GB2312" w:eastAsia="仿宋_GB2312" w:cs="仿宋_GB2312"/>
          <w:b/>
          <w:bCs/>
          <w:color w:val="auto"/>
          <w:spacing w:val="0"/>
          <w:sz w:val="32"/>
          <w:szCs w:val="32"/>
          <w:lang w:eastAsia="zh-CN"/>
        </w:rPr>
        <w:t>一是</w:t>
      </w:r>
      <w:r>
        <w:rPr>
          <w:rFonts w:hint="eastAsia" w:ascii="仿宋_GB2312" w:hAnsi="仿宋_GB2312" w:eastAsia="仿宋_GB2312" w:cs="仿宋_GB2312"/>
          <w:color w:val="auto"/>
          <w:spacing w:val="0"/>
          <w:sz w:val="32"/>
          <w:szCs w:val="32"/>
        </w:rPr>
        <w:t>完成《主城区控制性详细规划》、新乡森林城规划、17个省市重点村庄规划的编制工作，启动《延津县国土空间总体规划》编制，规划体系不断完善。深入推进百城建设提质工程，“一河两路”、新区湖、水系连通和新区路网等项目相继开工，新区发展空间进一步拓展。实施金蚂蚁平安府、美好生活家园等一批房地产开发项目；完成4个老旧小区改造、1309户农房抗震改造和35.8万平方米既有建筑节能改造，群众居住品质进一步提升。长青生物质热电联产项目顺利投入运营，新增供热面积20万平方米。改造提升城区垃圾中转站4座、公厕16座。深化“城管+大数据”精准管理模式，建成餐饮油烟、渣土车、清扫保洁智能监控系统，城市管理智能化水平进一步提升。扎实做好境内高速公路建设协调保障、干线公路和农村公路日常管护，G107顺利通车，县域交通通达度进一步提升。</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二是</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深入实施百城建设提质工程，统筹推进新区开发和旧城更新，加强城镇老旧小区改造和社区建设，</w:t>
      </w:r>
      <w:r>
        <w:rPr>
          <w:rFonts w:hint="eastAsia" w:ascii="仿宋_GB2312" w:hAnsi="仿宋_GB2312" w:eastAsia="仿宋_GB2312" w:cs="仿宋_GB2312"/>
          <w:i w:val="0"/>
          <w:iCs w:val="0"/>
          <w:caps w:val="0"/>
          <w:color w:val="auto"/>
          <w:spacing w:val="0"/>
          <w:sz w:val="32"/>
          <w:szCs w:val="32"/>
          <w:shd w:val="clear" w:fill="FFFFFF"/>
        </w:rPr>
        <w:t>完成“一河两路”、新区湖、南北连通渠，拓展新区发展空间，加强新区土地一二级联动开发，打造新区发展亮点。着力补齐城市公共服务短板，实施生态水系改造提升，</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开展窨井盖专项治理，完善基础设施和公共服务，增强集聚发展能力。</w:t>
      </w:r>
      <w:r>
        <w:rPr>
          <w:rFonts w:hint="eastAsia" w:ascii="仿宋_GB2312" w:hAnsi="仿宋_GB2312" w:eastAsia="仿宋_GB2312" w:cs="仿宋_GB2312"/>
          <w:i w:val="0"/>
          <w:iCs w:val="0"/>
          <w:caps w:val="0"/>
          <w:color w:val="auto"/>
          <w:spacing w:val="0"/>
          <w:sz w:val="32"/>
          <w:szCs w:val="32"/>
          <w:shd w:val="clear" w:fill="FFFFFF"/>
        </w:rPr>
        <w:t>完成迎宾大道、新长南线绿化提升和5条老城区道路改造，新增城市游园6个。完成智慧停车场建设。</w:t>
      </w:r>
      <w:r>
        <w:rPr>
          <w:rFonts w:hint="eastAsia" w:ascii="仿宋_GB2312" w:hAnsi="仿宋_GB2312" w:eastAsia="仿宋_GB2312" w:cs="仿宋_GB2312"/>
          <w:b/>
          <w:bCs/>
          <w:color w:val="auto"/>
          <w:spacing w:val="0"/>
          <w:sz w:val="32"/>
          <w:szCs w:val="32"/>
          <w:lang w:eastAsia="zh-CN"/>
        </w:rPr>
        <w:t>三是</w:t>
      </w:r>
      <w:r>
        <w:rPr>
          <w:rFonts w:hint="eastAsia" w:ascii="仿宋_GB2312" w:hAnsi="仿宋_GB2312" w:eastAsia="仿宋_GB2312" w:cs="仿宋_GB2312"/>
          <w:b w:val="0"/>
          <w:bCs w:val="0"/>
          <w:color w:val="auto"/>
          <w:spacing w:val="0"/>
          <w:sz w:val="32"/>
          <w:szCs w:val="32"/>
        </w:rPr>
        <w:t>打造新延一体化产业带。</w:t>
      </w:r>
      <w:r>
        <w:rPr>
          <w:rFonts w:hint="eastAsia" w:ascii="仿宋_GB2312" w:hAnsi="仿宋_GB2312" w:eastAsia="仿宋_GB2312" w:cs="仿宋_GB2312"/>
          <w:color w:val="auto"/>
          <w:spacing w:val="0"/>
          <w:sz w:val="32"/>
          <w:szCs w:val="32"/>
        </w:rPr>
        <w:t>依托新延一体化交通廊道，加快打造新延快速路产业带、科隆大道产业带，围绕食品加工、节能环保两大主导产业和医药化工、现代物流、文旅康养等新兴产业，形成分工明确、一体发展的产业新格局。积极融入郑新高新技术产业带，发展现代物流、电子商务等新产业新业态，助力产业延链、补链、提质升级。充分发挥农业资源、产业基础等优势，推动新延产业协同发展、功能互补，打造新延共同发展区。加快推进新延两地产业、生态、基础设施、生产生活一体化，完善新延一体化日常生活圈。</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四是</w:t>
      </w:r>
      <w:r>
        <w:rPr>
          <w:rFonts w:hint="eastAsia" w:ascii="仿宋_GB2312" w:hAnsi="仿宋_GB2312" w:eastAsia="仿宋_GB2312" w:cs="仿宋_GB2312"/>
          <w:b w:val="0"/>
          <w:bCs w:val="0"/>
          <w:color w:val="auto"/>
          <w:spacing w:val="0"/>
          <w:sz w:val="32"/>
          <w:szCs w:val="32"/>
        </w:rPr>
        <w:t>推动公共服务一体化。</w:t>
      </w:r>
      <w:r>
        <w:rPr>
          <w:rFonts w:hint="eastAsia" w:ascii="仿宋_GB2312" w:hAnsi="仿宋_GB2312" w:eastAsia="仿宋_GB2312" w:cs="仿宋_GB2312"/>
          <w:color w:val="auto"/>
          <w:spacing w:val="0"/>
          <w:sz w:val="32"/>
          <w:szCs w:val="32"/>
        </w:rPr>
        <w:t>按照“规划引领、交通先行、产业协同、功能互补、节点突破、统筹推进”的思路，全方位对接郑新一体化发展战略，推动新延快速路等重大交通基础设施建设，打造一体化复合型交通廊道。加快推进基础设施建设，推动给水、排水、供电、道路、通讯、暖气、天然气管网等“七网”互联互通，实现基础设施、医疗卫生、教育文化、社会保障和服务平台等服务设施互联互通、共建共享，推动基本公共服务一体化。</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五是</w:t>
      </w:r>
      <w:r>
        <w:rPr>
          <w:rFonts w:hint="eastAsia" w:ascii="仿宋_GB2312" w:hAnsi="仿宋_GB2312" w:eastAsia="仿宋_GB2312" w:cs="仿宋_GB2312"/>
          <w:b w:val="0"/>
          <w:bCs w:val="0"/>
          <w:color w:val="auto"/>
          <w:spacing w:val="0"/>
          <w:sz w:val="32"/>
          <w:szCs w:val="32"/>
        </w:rPr>
        <w:t>推动农村公路提档升级</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color w:val="auto"/>
          <w:spacing w:val="0"/>
          <w:sz w:val="32"/>
          <w:szCs w:val="32"/>
        </w:rPr>
        <w:t>加快实施“通村入组”工程，县道提档升级改造12条111公里，乡道提档升级改造13条171公里，改建村道150公里。实施县城客运站、丰庄客运站升级改造，实施“万村通客车提质工程”，加大客运线路网络密度，促进城乡客运一体化，满足城乡人民出行需求。到2025年，所有公交运营车辆全部以燃气车、电动车为主，开通5G智能实施全过程监控，实现智能化绿色出行，建设绿色智慧交通。加大农村物流场站建设，实施农村物流节点项目，完善农村物流体系。</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六是</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大力发展大数据、互联网、人工智能、充电桩等为重点的新基建。到2025年底，争取实现5G全覆盖，光纤入户比例达到95%，有义务教育子女的家庭光纤入户及网络硬件普及率100%，5G用户普及率达到50%。</w:t>
      </w:r>
    </w:p>
    <w:p>
      <w:pPr>
        <w:keepNext w:val="0"/>
        <w:keepLines w:val="0"/>
        <w:pageBreakBefore w:val="0"/>
        <w:widowControl w:val="0"/>
        <w:numPr>
          <w:ilvl w:val="0"/>
          <w:numId w:val="0"/>
        </w:numPr>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b w:val="0"/>
          <w:bCs w:val="0"/>
          <w:color w:val="auto"/>
          <w:spacing w:val="0"/>
          <w:sz w:val="32"/>
          <w:szCs w:val="32"/>
          <w:highlight w:val="none"/>
          <w:lang w:eastAsia="zh-CN"/>
        </w:rPr>
      </w:pPr>
      <w:bookmarkStart w:id="51" w:name="_Toc863457613_WPSOffice_Level3"/>
      <w:r>
        <w:rPr>
          <w:rFonts w:hint="eastAsia" w:ascii="仿宋_GB2312" w:hAnsi="仿宋_GB2312" w:eastAsia="仿宋_GB2312" w:cs="仿宋_GB2312"/>
          <w:b w:val="0"/>
          <w:bCs w:val="0"/>
          <w:color w:val="auto"/>
          <w:spacing w:val="0"/>
          <w:sz w:val="32"/>
          <w:szCs w:val="32"/>
          <w:highlight w:val="none"/>
          <w:lang w:val="en-US" w:eastAsia="zh-CN"/>
        </w:rPr>
        <w:t>8.</w:t>
      </w:r>
      <w:r>
        <w:rPr>
          <w:rFonts w:hint="eastAsia" w:ascii="仿宋_GB2312" w:hAnsi="仿宋_GB2312" w:eastAsia="仿宋_GB2312" w:cs="仿宋_GB2312"/>
          <w:b w:val="0"/>
          <w:bCs w:val="0"/>
          <w:color w:val="auto"/>
          <w:spacing w:val="0"/>
          <w:sz w:val="32"/>
          <w:szCs w:val="32"/>
          <w:highlight w:val="none"/>
        </w:rPr>
        <w:t>开展社会民生质量提升行动</w:t>
      </w:r>
      <w:bookmarkEnd w:id="51"/>
    </w:p>
    <w:p>
      <w:pPr>
        <w:keepNext w:val="0"/>
        <w:keepLines w:val="0"/>
        <w:pageBreakBefore w:val="0"/>
        <w:widowControl w:val="0"/>
        <w:numPr>
          <w:ilvl w:val="0"/>
          <w:numId w:val="0"/>
        </w:numPr>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color w:val="auto"/>
          <w:spacing w:val="0"/>
          <w:sz w:val="32"/>
          <w:szCs w:val="32"/>
          <w:highlight w:val="none"/>
        </w:rPr>
        <w:t>坚持“大卫生、大健康”的发展理念，实施健康行动，推动公立医院高质量发展，持续改进医疗质量，提升基层医疗卫生服务能力， 健全公共卫生体系，为加快建设社会主义现代化标杆县市提供健康保障。持续实施学前教育行动计划，推动建立政府主导、社会参与、公办民办并举的办园体制，多渠道增加普惠性学前教育资源供给。到2025年，幼儿学前三年毛入园率达到93%，学前一年达100%，公办幼儿园在园幼儿占比原则上达到50%，全县普惠性幼儿园在园幼儿占比达到85%。推进义务教育优质均衡发展。到2025年，小学适龄儿童入学率达到100%，初中适龄少年入学率达98%以上，九年义务教育巩固率达到97%以上。落实《延津县普通高中消除大班额专项规划（2020—2022）》，加强学校基础设施建设，改善办学条件，保障公办普通高中稳定健康发展。依托省市开展的省级名师骨干教师培育工程、乡村优秀青年教师培养计划、乡村首席教师岗位计划等，力争在“十四五”期间，完成省级名师10名、省级骨干50名、市级骨干100名，县级骨干500名的培育工程</w:t>
      </w:r>
      <w:r>
        <w:rPr>
          <w:rFonts w:hint="eastAsia" w:ascii="仿宋_GB2312" w:hAnsi="仿宋_GB2312" w:eastAsia="仿宋_GB2312" w:cs="仿宋_GB2312"/>
          <w:b w:val="0"/>
          <w:bCs w:val="0"/>
          <w:color w:val="auto"/>
          <w:spacing w:val="0"/>
          <w:sz w:val="32"/>
          <w:szCs w:val="32"/>
          <w:highlight w:val="none"/>
          <w:lang w:eastAsia="zh-CN"/>
        </w:rPr>
        <w:t>；</w:t>
      </w:r>
      <w:r>
        <w:rPr>
          <w:rStyle w:val="15"/>
          <w:rFonts w:hint="eastAsia" w:ascii="仿宋_GB2312" w:hAnsi="仿宋_GB2312" w:eastAsia="仿宋_GB2312" w:cs="仿宋_GB2312"/>
          <w:b w:val="0"/>
          <w:bCs w:val="0"/>
          <w:i w:val="0"/>
          <w:iCs w:val="0"/>
          <w:caps w:val="0"/>
          <w:color w:val="auto"/>
          <w:spacing w:val="0"/>
          <w:sz w:val="32"/>
          <w:szCs w:val="32"/>
          <w:highlight w:val="none"/>
          <w:shd w:val="clear" w:fill="FFFFFF"/>
        </w:rPr>
        <w:t>加强黄河流域生态保护治理。</w:t>
      </w:r>
      <w:r>
        <w:rPr>
          <w:rFonts w:hint="eastAsia" w:ascii="仿宋_GB2312" w:hAnsi="仿宋_GB2312" w:eastAsia="仿宋_GB2312" w:cs="仿宋_GB2312"/>
          <w:b w:val="0"/>
          <w:bCs w:val="0"/>
          <w:i w:val="0"/>
          <w:iCs w:val="0"/>
          <w:caps w:val="0"/>
          <w:color w:val="auto"/>
          <w:spacing w:val="0"/>
          <w:sz w:val="32"/>
          <w:szCs w:val="32"/>
          <w:highlight w:val="none"/>
          <w:shd w:val="clear" w:fill="FFFFFF"/>
        </w:rPr>
        <w:t>新增造林2400亩、森林抚育5000亩、种苗花卉100亩、花园式庭院单位39个以上。新增省级森林乡村2个、市县级森林乡村39个。</w:t>
      </w:r>
      <w:r>
        <w:rPr>
          <w:rStyle w:val="15"/>
          <w:rFonts w:hint="eastAsia" w:ascii="仿宋_GB2312" w:hAnsi="仿宋_GB2312" w:eastAsia="仿宋_GB2312" w:cs="仿宋_GB2312"/>
          <w:b w:val="0"/>
          <w:bCs w:val="0"/>
          <w:i w:val="0"/>
          <w:iCs w:val="0"/>
          <w:caps w:val="0"/>
          <w:color w:val="auto"/>
          <w:spacing w:val="0"/>
          <w:sz w:val="32"/>
          <w:szCs w:val="32"/>
          <w:highlight w:val="none"/>
          <w:shd w:val="clear" w:fill="FFFFFF"/>
        </w:rPr>
        <w:t>持续改善农村人居环境。</w:t>
      </w:r>
      <w:r>
        <w:rPr>
          <w:rFonts w:hint="eastAsia" w:ascii="仿宋_GB2312" w:hAnsi="仿宋_GB2312" w:eastAsia="仿宋_GB2312" w:cs="仿宋_GB2312"/>
          <w:b w:val="0"/>
          <w:bCs w:val="0"/>
          <w:i w:val="0"/>
          <w:iCs w:val="0"/>
          <w:caps w:val="0"/>
          <w:color w:val="auto"/>
          <w:spacing w:val="0"/>
          <w:sz w:val="32"/>
          <w:szCs w:val="32"/>
          <w:highlight w:val="none"/>
          <w:shd w:val="clear" w:fill="FFFFFF"/>
        </w:rPr>
        <w:t>围绕“四美乡村”创建，持续抓好“三清一改”，实施总投资1.6亿元的农村环境整治和农村道路建设、总投资9000万元的城镇生活垃圾分类收集运输一体化建设、总投资5100万元的畜禽粪污资源化利用整县推进等项目。</w:t>
      </w:r>
      <w:r>
        <w:rPr>
          <w:rFonts w:hint="eastAsia" w:ascii="仿宋_GB2312" w:hAnsi="仿宋_GB2312" w:eastAsia="仿宋_GB2312" w:cs="仿宋_GB2312"/>
          <w:b w:val="0"/>
          <w:bCs w:val="0"/>
          <w:color w:val="auto"/>
          <w:spacing w:val="0"/>
          <w:sz w:val="32"/>
          <w:szCs w:val="32"/>
          <w:highlight w:val="none"/>
        </w:rPr>
        <w:t>完善基本公共卫生服务体系。到2025年，实现每个乡（镇、街道）一所达标的乡（镇、街道）卫生院、每个村（社区）建成一所标准化的卫生室，打造“15分钟村（社区）卫生服务圈”。全面完善健身公共服务体系。深化体育体制改革，鼓励支持社会团体、民间组织举办面向大众的社会体育活动，稳妥发展各类体育俱乐部。到2025年，每万人拥有足球场地0.8-1块，建成11人制足球场2块以上，实现县城区10分钟健身圈和农村全民健身设施全覆盖。</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深入推进河湖“清四乱”和农村水环境整治，171个村庄污水得到有效治理，9个乡镇污水处理厂正常运行。文岩渠和东大沙河吴安屯断面达标。土壤环境质量稳中向好。完成国土绿化2.2万亩，建成市级森林乡</w:t>
      </w:r>
      <w:r>
        <w:rPr>
          <w:rFonts w:hint="eastAsia" w:ascii="仿宋_GB2312" w:hAnsi="仿宋_GB2312" w:eastAsia="仿宋_GB2312" w:cs="仿宋_GB2312"/>
          <w:b w:val="0"/>
          <w:bCs w:val="0"/>
          <w:i w:val="0"/>
          <w:iCs w:val="0"/>
          <w:caps w:val="0"/>
          <w:color w:val="auto"/>
          <w:spacing w:val="6"/>
          <w:kern w:val="0"/>
          <w:sz w:val="32"/>
          <w:szCs w:val="32"/>
          <w:highlight w:val="none"/>
          <w:shd w:val="clear" w:fill="FFFFFF"/>
          <w:lang w:val="en-US" w:eastAsia="zh-CN" w:bidi="ar"/>
        </w:rPr>
        <w:t>村6个、“一村万树”达标示范村6个，国土绿化工作居全市前列。</w:t>
      </w:r>
    </w:p>
    <w:p>
      <w:pPr>
        <w:keepNext w:val="0"/>
        <w:keepLines w:val="0"/>
        <w:pageBreakBefore w:val="0"/>
        <w:widowControl w:val="0"/>
        <w:numPr>
          <w:ilvl w:val="0"/>
          <w:numId w:val="0"/>
        </w:numPr>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shd w:val="clear" w:fill="FFFFFF"/>
        </w:rPr>
        <w:t> </w:t>
      </w:r>
      <w:r>
        <w:rPr>
          <w:rFonts w:hint="eastAsia" w:ascii="仿宋_GB2312" w:hAnsi="仿宋_GB2312" w:eastAsia="仿宋_GB2312" w:cs="仿宋_GB2312"/>
          <w:color w:val="auto"/>
          <w:spacing w:val="0"/>
          <w:sz w:val="32"/>
          <w:szCs w:val="32"/>
          <w:lang w:val="en-US" w:eastAsia="zh-CN"/>
        </w:rPr>
        <w:t>9.</w:t>
      </w:r>
      <w:r>
        <w:rPr>
          <w:rFonts w:hint="eastAsia" w:ascii="仿宋_GB2312" w:hAnsi="仿宋_GB2312" w:eastAsia="仿宋_GB2312" w:cs="仿宋_GB2312"/>
          <w:color w:val="auto"/>
          <w:spacing w:val="0"/>
          <w:sz w:val="32"/>
          <w:szCs w:val="32"/>
        </w:rPr>
        <w:t>开展政府服务质量提升行动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积极落实《河南省优化营商环境条例》和《新乡市优化营商环境条例》，</w:t>
      </w:r>
      <w:r>
        <w:rPr>
          <w:rFonts w:hint="eastAsia" w:ascii="仿宋_GB2312" w:hAnsi="仿宋_GB2312" w:eastAsia="仿宋_GB2312" w:cs="仿宋_GB2312"/>
          <w:color w:val="auto"/>
          <w:spacing w:val="0"/>
          <w:kern w:val="0"/>
          <w:sz w:val="32"/>
          <w:szCs w:val="32"/>
          <w:lang w:val="en-US" w:eastAsia="zh-CN" w:bidi="ar"/>
        </w:rPr>
        <w:t>出台《延津县招商引资优惠办法》《延津县招商引资引荐人奖励办法》等政策措施，支持项目入驻和企业发展。在打造优越“硬环境”的同时，更加注重“软环境”打造，不断强化服务功能，深化体制机制改革，真正做到“审批事项最少，办事效率最高，服务环境最优”。</w:t>
      </w:r>
      <w:r>
        <w:rPr>
          <w:rFonts w:hint="eastAsia" w:ascii="仿宋_GB2312" w:hAnsi="仿宋_GB2312" w:eastAsia="仿宋_GB2312" w:cs="仿宋_GB2312"/>
          <w:color w:val="auto"/>
          <w:spacing w:val="0"/>
          <w:sz w:val="32"/>
          <w:szCs w:val="32"/>
        </w:rPr>
        <w:t>依托“互联网+政务服务”，扎实推进“一网通办”前提下“最多跑一次”向“一次不用跑”转变</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变“群众跑腿”为“数据跑腿”，打造“不打烊”的“数字政府”。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楷体_GB2312" w:hAnsi="楷体_GB2312" w:eastAsia="楷体_GB2312" w:cs="楷体_GB2312"/>
          <w:b w:val="0"/>
          <w:bCs w:val="0"/>
          <w:color w:val="auto"/>
          <w:spacing w:val="0"/>
          <w:sz w:val="32"/>
          <w:szCs w:val="32"/>
        </w:rPr>
      </w:pPr>
      <w:bookmarkStart w:id="52" w:name="_Toc202286846_WPSOffice_Level2"/>
      <w:r>
        <w:rPr>
          <w:rFonts w:hint="eastAsia" w:ascii="楷体_GB2312" w:hAnsi="楷体_GB2312" w:eastAsia="楷体_GB2312" w:cs="楷体_GB2312"/>
          <w:b w:val="0"/>
          <w:bCs w:val="0"/>
          <w:color w:val="auto"/>
          <w:spacing w:val="0"/>
          <w:sz w:val="32"/>
          <w:szCs w:val="32"/>
        </w:rPr>
        <w:t>（四）加强知识产权管理，统筹推进质量强</w:t>
      </w:r>
      <w:r>
        <w:rPr>
          <w:rFonts w:hint="eastAsia" w:ascii="楷体_GB2312" w:hAnsi="楷体_GB2312" w:eastAsia="楷体_GB2312" w:cs="楷体_GB2312"/>
          <w:b w:val="0"/>
          <w:bCs w:val="0"/>
          <w:color w:val="auto"/>
          <w:spacing w:val="0"/>
          <w:sz w:val="32"/>
          <w:szCs w:val="32"/>
          <w:lang w:val="en-US" w:eastAsia="zh-CN"/>
        </w:rPr>
        <w:t>县</w:t>
      </w:r>
      <w:r>
        <w:rPr>
          <w:rFonts w:hint="eastAsia" w:ascii="楷体_GB2312" w:hAnsi="楷体_GB2312" w:eastAsia="楷体_GB2312" w:cs="楷体_GB2312"/>
          <w:b w:val="0"/>
          <w:bCs w:val="0"/>
          <w:color w:val="auto"/>
          <w:spacing w:val="0"/>
          <w:sz w:val="32"/>
          <w:szCs w:val="32"/>
        </w:rPr>
        <w:t>建设</w:t>
      </w:r>
      <w:bookmarkEnd w:id="52"/>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bookmarkStart w:id="53" w:name="_Toc1518097394_WPSOffice_Level3"/>
      <w:r>
        <w:rPr>
          <w:rFonts w:hint="eastAsia" w:ascii="仿宋_GB2312" w:hAnsi="仿宋_GB2312" w:eastAsia="仿宋_GB2312" w:cs="仿宋_GB2312"/>
          <w:color w:val="auto"/>
          <w:spacing w:val="0"/>
          <w:sz w:val="32"/>
          <w:szCs w:val="32"/>
        </w:rPr>
        <w:t>1.制定和完善知识产权促进政策</w:t>
      </w:r>
      <w:bookmarkEnd w:id="53"/>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highlight w:val="none"/>
          <w:lang w:eastAsia="zh-CN"/>
        </w:rPr>
      </w:pPr>
      <w:r>
        <w:rPr>
          <w:rFonts w:hint="eastAsia" w:ascii="仿宋_GB2312" w:hAnsi="仿宋_GB2312" w:eastAsia="仿宋_GB2312" w:cs="仿宋_GB2312"/>
          <w:color w:val="auto"/>
          <w:spacing w:val="0"/>
          <w:sz w:val="32"/>
          <w:szCs w:val="32"/>
        </w:rPr>
        <w:t>贯彻落实《知识产权强国战略纲要（2021-2035）》和《“十 四五”知识产权保护和运用规划》，建立</w:t>
      </w:r>
      <w:r>
        <w:rPr>
          <w:rFonts w:hint="eastAsia" w:ascii="仿宋_GB2312" w:hAnsi="仿宋_GB2312" w:eastAsia="仿宋_GB2312" w:cs="仿宋_GB2312"/>
          <w:color w:val="auto"/>
          <w:spacing w:val="0"/>
          <w:sz w:val="32"/>
          <w:szCs w:val="32"/>
          <w:lang w:eastAsia="zh-CN"/>
        </w:rPr>
        <w:t>延津县</w:t>
      </w:r>
      <w:r>
        <w:rPr>
          <w:rFonts w:hint="eastAsia" w:ascii="仿宋_GB2312" w:hAnsi="仿宋_GB2312" w:eastAsia="仿宋_GB2312" w:cs="仿宋_GB2312"/>
          <w:color w:val="auto"/>
          <w:spacing w:val="0"/>
          <w:sz w:val="32"/>
          <w:szCs w:val="32"/>
        </w:rPr>
        <w:t>知识产权战略实施工作联席会议制度，做好全</w:t>
      </w:r>
      <w:r>
        <w:rPr>
          <w:rFonts w:hint="eastAsia" w:ascii="仿宋_GB2312" w:hAnsi="仿宋_GB2312" w:eastAsia="仿宋_GB2312" w:cs="仿宋_GB2312"/>
          <w:color w:val="auto"/>
          <w:spacing w:val="0"/>
          <w:sz w:val="32"/>
          <w:szCs w:val="32"/>
          <w:lang w:eastAsia="zh-CN"/>
        </w:rPr>
        <w:t>县</w:t>
      </w:r>
      <w:r>
        <w:rPr>
          <w:rFonts w:hint="eastAsia" w:ascii="仿宋_GB2312" w:hAnsi="仿宋_GB2312" w:eastAsia="仿宋_GB2312" w:cs="仿宋_GB2312"/>
          <w:color w:val="auto"/>
          <w:spacing w:val="0"/>
          <w:sz w:val="32"/>
          <w:szCs w:val="32"/>
        </w:rPr>
        <w:t>知识产权战略和规划的制定和实施工作。实施商标品牌战略，加强对市场主体开展驰名商标申请的指导，加大地理标志申请的审查、确权相关前置服务工作，开展地理标志认定申请。推进“延津小麦”、“延津花生”等优质粮食工程，进一步提升“中国第一麦”、“延津优质好花生”等品牌效应。持续叫响</w:t>
      </w:r>
      <w:r>
        <w:rPr>
          <w:rFonts w:hint="eastAsia" w:ascii="仿宋_GB2312" w:hAnsi="仿宋_GB2312" w:eastAsia="仿宋_GB2312" w:cs="仿宋_GB2312"/>
          <w:color w:val="auto"/>
          <w:spacing w:val="0"/>
          <w:sz w:val="32"/>
          <w:szCs w:val="32"/>
          <w:highlight w:val="none"/>
        </w:rPr>
        <w:t>延津“优质小麦”和“优质花生”两大主导产业区域品牌</w:t>
      </w:r>
      <w:r>
        <w:rPr>
          <w:rFonts w:hint="eastAsia" w:ascii="仿宋_GB2312" w:hAnsi="仿宋_GB2312" w:eastAsia="仿宋_GB2312" w:cs="仿宋_GB2312"/>
          <w:color w:val="auto"/>
          <w:spacing w:val="0"/>
          <w:sz w:val="32"/>
          <w:szCs w:val="32"/>
          <w:highlight w:val="none"/>
          <w:lang w:eastAsia="zh-CN"/>
        </w:rPr>
        <w:t>。</w:t>
      </w:r>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bookmarkStart w:id="54" w:name="_Toc1441987144_WPSOffice_Level3"/>
      <w:r>
        <w:rPr>
          <w:rFonts w:hint="eastAsia" w:ascii="仿宋_GB2312" w:hAnsi="仿宋_GB2312" w:eastAsia="仿宋_GB2312" w:cs="仿宋_GB2312"/>
          <w:color w:val="auto"/>
          <w:spacing w:val="0"/>
          <w:sz w:val="32"/>
          <w:szCs w:val="32"/>
        </w:rPr>
        <w:t>2.推进知识产权运营服务体系建设</w:t>
      </w:r>
      <w:bookmarkEnd w:id="54"/>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优化知识产权资助奖励政策，支持知识产权转化运用，引导企业提升知识产权质量。完善知识产权质押融资，健全知识产权出资入股和退出机制，降低企业融资、维权成本，促进知识产权转化运用。建立高价值专利的指标体系，从专利布局、专利运营</w:t>
      </w:r>
      <w:r>
        <w:rPr>
          <w:rFonts w:hint="eastAsia" w:ascii="仿宋_GB2312" w:hAnsi="仿宋_GB2312" w:eastAsia="仿宋_GB2312" w:cs="仿宋_GB2312"/>
          <w:color w:val="auto"/>
          <w:spacing w:val="6"/>
          <w:sz w:val="32"/>
          <w:szCs w:val="32"/>
        </w:rPr>
        <w:t>和维权保护全链条开展高价值专利培育，形成一批规模较大、布局合理、具有国际竞争力的高价值专利组合，提升企业核心竞争力。</w:t>
      </w:r>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bookmarkStart w:id="55" w:name="_Toc423082659_WPSOffice_Level3"/>
      <w:r>
        <w:rPr>
          <w:rFonts w:hint="eastAsia" w:ascii="仿宋_GB2312" w:hAnsi="仿宋_GB2312" w:eastAsia="仿宋_GB2312" w:cs="仿宋_GB2312"/>
          <w:color w:val="auto"/>
          <w:spacing w:val="0"/>
          <w:sz w:val="32"/>
          <w:szCs w:val="32"/>
        </w:rPr>
        <w:t>3.加强知识产权保护</w:t>
      </w:r>
      <w:bookmarkEnd w:id="55"/>
    </w:p>
    <w:p>
      <w:pPr>
        <w:keepNext w:val="0"/>
        <w:keepLines w:val="0"/>
        <w:pageBreakBefore w:val="0"/>
        <w:widowControl w:val="0"/>
        <w:kinsoku/>
        <w:wordWrap/>
        <w:overflowPunct/>
        <w:topLinePunct/>
        <w:autoSpaceDE/>
        <w:autoSpaceDN/>
        <w:bidi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全面推进知识产权强县建设，努力培育更多高价值核心专利、知名品牌,努力实现知识产权创造由多向优、由大到强转变，力争进入全市知识产权创造、保护、运用、管理和服务第一方阵。大力引导高价值创新创造，提升创新主体专利创造能力，深入开展企事业单位知识产权培育工作，打造企事业单位核心专利，提高企业竞争力。进一步强化知识产权综合布局，以核心专利中心为战略性新兴产业、传统优势产业以及关键技术领域进行专利布局，努力获取一批新技术、新工艺、新产品的专利权，形成一批高质量专利组合。精简、筛选支撑产业发展专利储备，挑选出一批优质专利，提升延津企业在全市范围内的核心竞争力，促进优势产业形成专利联盟。推进商标和地理标识产品产业化，开展商标和地理标识产品优势培育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楷体_GB2312" w:hAnsi="楷体_GB2312" w:eastAsia="楷体_GB2312" w:cs="楷体_GB2312"/>
          <w:b w:val="0"/>
          <w:bCs w:val="0"/>
          <w:color w:val="auto"/>
          <w:spacing w:val="0"/>
          <w:sz w:val="32"/>
          <w:szCs w:val="32"/>
        </w:rPr>
      </w:pPr>
      <w:bookmarkStart w:id="56" w:name="_Toc79273047_WPSOffice_Level2"/>
      <w:r>
        <w:rPr>
          <w:rFonts w:hint="eastAsia" w:ascii="楷体_GB2312" w:hAnsi="楷体_GB2312" w:eastAsia="楷体_GB2312" w:cs="楷体_GB2312"/>
          <w:b w:val="0"/>
          <w:bCs w:val="0"/>
          <w:color w:val="auto"/>
          <w:spacing w:val="0"/>
          <w:sz w:val="32"/>
          <w:szCs w:val="32"/>
        </w:rPr>
        <w:t>（五</w:t>
      </w:r>
      <w:r>
        <w:rPr>
          <w:rFonts w:hint="eastAsia" w:ascii="楷体_GB2312" w:hAnsi="楷体_GB2312" w:eastAsia="楷体_GB2312" w:cs="楷体_GB2312"/>
          <w:b w:val="0"/>
          <w:bCs w:val="0"/>
          <w:color w:val="auto"/>
          <w:spacing w:val="0"/>
          <w:sz w:val="32"/>
          <w:szCs w:val="32"/>
          <w:lang w:eastAsia="zh-CN"/>
        </w:rPr>
        <w:t>）大力实施标准化战略，</w:t>
      </w:r>
      <w:r>
        <w:rPr>
          <w:rFonts w:hint="eastAsia" w:ascii="楷体_GB2312" w:hAnsi="楷体_GB2312" w:eastAsia="楷体_GB2312" w:cs="楷体_GB2312"/>
          <w:b w:val="0"/>
          <w:bCs w:val="0"/>
          <w:color w:val="auto"/>
          <w:spacing w:val="0"/>
          <w:sz w:val="32"/>
          <w:szCs w:val="32"/>
        </w:rPr>
        <w:t>奠定质量崛起基石</w:t>
      </w:r>
      <w:bookmarkEnd w:id="56"/>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bookmarkStart w:id="57" w:name="_Toc908808001_WPSOffice_Level3"/>
      <w:r>
        <w:rPr>
          <w:rFonts w:hint="eastAsia" w:ascii="仿宋_GB2312" w:hAnsi="仿宋_GB2312" w:eastAsia="仿宋_GB2312" w:cs="仿宋_GB2312"/>
          <w:color w:val="auto"/>
          <w:spacing w:val="0"/>
          <w:sz w:val="32"/>
          <w:szCs w:val="32"/>
        </w:rPr>
        <w:t>1.加强标准体系建设</w:t>
      </w:r>
      <w:bookmarkEnd w:id="57"/>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完善标准化工作体制机制。加强全</w:t>
      </w:r>
      <w:r>
        <w:rPr>
          <w:rFonts w:hint="eastAsia" w:ascii="仿宋_GB2312" w:hAnsi="仿宋_GB2312" w:eastAsia="仿宋_GB2312" w:cs="仿宋_GB2312"/>
          <w:color w:val="auto"/>
          <w:spacing w:val="0"/>
          <w:sz w:val="32"/>
          <w:szCs w:val="32"/>
          <w:lang w:eastAsia="zh-CN"/>
        </w:rPr>
        <w:t>县</w:t>
      </w:r>
      <w:r>
        <w:rPr>
          <w:rFonts w:hint="eastAsia" w:ascii="仿宋_GB2312" w:hAnsi="仿宋_GB2312" w:eastAsia="仿宋_GB2312" w:cs="仿宋_GB2312"/>
          <w:color w:val="auto"/>
          <w:spacing w:val="0"/>
          <w:sz w:val="32"/>
          <w:szCs w:val="32"/>
        </w:rPr>
        <w:t>标准工作的领导，强化标准化主管部门统筹职责，发挥行业主管部门的作用。推动社会共建共享，构建多方参与、协同推进的标准化共治格局。强化工业和信息化行业标准化工作，出台对标达标工作指引，开展达标对标提升行动，强化标准体系科学规划、有效实施、持续改进的闭环改管理。引导和支持技术优势企业在高精铝、新材料、高端装备制造等主导产业参与制（修）订国际标准、国家标准和行业标准。在社会管理和公共服务等领域关键环节，推行一批地方标准。规范发展团体标准，支持社会团体以满足市场和创新需要为目标，制定团体标准引导行业发展。鼓励企业制定实施高</w:t>
      </w:r>
      <w:r>
        <w:rPr>
          <w:rFonts w:hint="eastAsia" w:ascii="仿宋_GB2312" w:hAnsi="仿宋_GB2312" w:eastAsia="仿宋_GB2312" w:cs="仿宋_GB2312"/>
          <w:color w:val="auto"/>
          <w:spacing w:val="0"/>
          <w:sz w:val="32"/>
          <w:szCs w:val="32"/>
          <w:lang w:val="en-US" w:eastAsia="zh-CN"/>
        </w:rPr>
        <w:t>于</w:t>
      </w:r>
      <w:r>
        <w:rPr>
          <w:rFonts w:hint="eastAsia" w:ascii="仿宋_GB2312" w:hAnsi="仿宋_GB2312" w:eastAsia="仿宋_GB2312" w:cs="仿宋_GB2312"/>
          <w:color w:val="auto"/>
          <w:spacing w:val="0"/>
          <w:sz w:val="32"/>
          <w:szCs w:val="32"/>
        </w:rPr>
        <w:t>国际标准、国家标准、行业标准的企业标准。实施企业产品和服务标准自我声明公开与监督制度，督促企业严格执行标准。开展标准化试点示范。推进社会管理和公共服务、先进制造业和现代服务业等领域标准化试点示范建设。以标准形式推广试点示范成功经验，更好发挥试点示范辐射带动作用。</w:t>
      </w:r>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bookmarkStart w:id="58" w:name="_Toc1951145863_WPSOffice_Level3"/>
      <w:r>
        <w:rPr>
          <w:rFonts w:hint="eastAsia" w:ascii="仿宋_GB2312" w:hAnsi="仿宋_GB2312" w:eastAsia="仿宋_GB2312" w:cs="仿宋_GB2312"/>
          <w:color w:val="auto"/>
          <w:spacing w:val="0"/>
          <w:sz w:val="32"/>
          <w:szCs w:val="32"/>
        </w:rPr>
        <w:t>2.加强计量体系建设</w:t>
      </w:r>
      <w:bookmarkEnd w:id="58"/>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围绕优势产业和主导产品计量测试需求，加快发展产业计量测试中心，帮助企业加强计量测试数据的积累、分析和应用，推进产业过程的数据化和智能化，提升企业精细化管理水平 ，促进企业提质增效。重点加强能源资源、环境保护、食品安全、医疗卫生、先进制造业等方面的社会公用计量标准建设；鼓励企业加强</w:t>
      </w:r>
      <w:r>
        <w:rPr>
          <w:rFonts w:hint="eastAsia" w:ascii="仿宋_GB2312" w:hAnsi="仿宋_GB2312" w:eastAsia="仿宋_GB2312" w:cs="仿宋_GB2312"/>
          <w:color w:val="auto"/>
          <w:spacing w:val="0"/>
          <w:sz w:val="32"/>
          <w:szCs w:val="32"/>
          <w:lang w:val="en-US" w:eastAsia="zh-CN"/>
        </w:rPr>
        <w:t>计</w:t>
      </w:r>
      <w:r>
        <w:rPr>
          <w:rFonts w:hint="eastAsia" w:ascii="仿宋_GB2312" w:hAnsi="仿宋_GB2312" w:eastAsia="仿宋_GB2312" w:cs="仿宋_GB2312"/>
          <w:color w:val="auto"/>
          <w:spacing w:val="0"/>
          <w:sz w:val="32"/>
          <w:szCs w:val="32"/>
        </w:rPr>
        <w:t>量传溯源标准建设，完善计量检测体系，建立完善适应社会发展需求的计量人才培训机制，加强计量人才队伍建设，持续提升计量专业技术人员能力水平。</w:t>
      </w:r>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bookmarkStart w:id="59" w:name="_Toc774635089_WPSOffice_Level3"/>
      <w:r>
        <w:rPr>
          <w:rFonts w:hint="eastAsia" w:ascii="仿宋_GB2312" w:hAnsi="仿宋_GB2312" w:eastAsia="仿宋_GB2312" w:cs="仿宋_GB2312"/>
          <w:color w:val="auto"/>
          <w:spacing w:val="0"/>
          <w:sz w:val="32"/>
          <w:szCs w:val="32"/>
        </w:rPr>
        <w:t>3.加强认证与检验检测建设</w:t>
      </w:r>
      <w:bookmarkEnd w:id="59"/>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加强强制性产品认证监管，引导企业开展自愿性认证，加大绿色食品认证力度，扩大绿色标识应用范围，落实绿色产品认证结果采信，积极推广有机产品认证，助推精准扶贫，提升我市农产品质量竞争力。加强检验检测认证公共服务平台建设，加强对企业的检验检测认证服务，提高企业检验检测的便利化服务能力。</w:t>
      </w:r>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bookmarkStart w:id="60" w:name="_Toc604290474_WPSOffice_Level3"/>
      <w:r>
        <w:rPr>
          <w:rFonts w:hint="eastAsia" w:ascii="仿宋_GB2312" w:hAnsi="仿宋_GB2312" w:eastAsia="仿宋_GB2312" w:cs="仿宋_GB2312"/>
          <w:color w:val="auto"/>
          <w:spacing w:val="0"/>
          <w:sz w:val="32"/>
          <w:szCs w:val="32"/>
        </w:rPr>
        <w:t>4.强化“一站式”服务</w:t>
      </w:r>
      <w:bookmarkEnd w:id="60"/>
    </w:p>
    <w:p>
      <w:pPr>
        <w:keepNext w:val="0"/>
        <w:keepLines w:val="0"/>
        <w:pageBreakBefore w:val="0"/>
        <w:widowControl w:val="0"/>
        <w:tabs>
          <w:tab w:val="left" w:pos="401"/>
        </w:tabs>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以计量、标准、认证认可、检验检测、合格评定、市场监管、质量管理工具方法为核心打造质量基础设施“一站式”服务，以知识产权、品牌建设等为延伸，强化协同服务、精准服务和高效服务，支持质量技术中介机构提供全过程、全方位、全生命周期的质量综合服务，实现质量基础设施互联互通。积极推进全面质量管理，广泛开展质量风险分析与控制、质量成本管理、质量管理体系等活动，推行智能制造、精益生产、绿色工厂、绿色供应链等高效生产方式。引导企业走质量效益型道路，积极推进卓越绩效管理模式等先进的质量管理模式和方法的应用，实现企业的质量水平、管理能力、经营质量和品牌影响力整体提升</w:t>
      </w:r>
      <w:r>
        <w:rPr>
          <w:rFonts w:hint="eastAsia" w:ascii="仿宋_GB2312" w:hAnsi="仿宋_GB2312" w:eastAsia="仿宋_GB2312" w:cs="仿宋_GB2312"/>
          <w:color w:val="auto"/>
          <w:spacing w:val="0"/>
          <w:sz w:val="32"/>
          <w:szCs w:val="32"/>
          <w:lang w:eastAsia="zh-CN"/>
        </w:rPr>
        <w:tab/>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楷体_GB2312" w:hAnsi="楷体_GB2312" w:eastAsia="楷体_GB2312" w:cs="楷体_GB2312"/>
          <w:b w:val="0"/>
          <w:bCs w:val="0"/>
          <w:color w:val="auto"/>
          <w:spacing w:val="0"/>
          <w:sz w:val="32"/>
          <w:szCs w:val="32"/>
        </w:rPr>
      </w:pPr>
      <w:bookmarkStart w:id="61" w:name="_Toc78064606_WPSOffice_Level2"/>
      <w:r>
        <w:rPr>
          <w:rFonts w:hint="eastAsia" w:ascii="楷体_GB2312" w:hAnsi="楷体_GB2312" w:eastAsia="楷体_GB2312" w:cs="楷体_GB2312"/>
          <w:b w:val="0"/>
          <w:bCs w:val="0"/>
          <w:color w:val="auto"/>
          <w:spacing w:val="0"/>
          <w:sz w:val="32"/>
          <w:szCs w:val="32"/>
        </w:rPr>
        <w:t>（六）强力推进质量文化建设，提升城市质量发展水平</w:t>
      </w:r>
      <w:bookmarkEnd w:id="61"/>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bookmarkStart w:id="62" w:name="_Toc333921729_WPSOffice_Level3"/>
      <w:r>
        <w:rPr>
          <w:rFonts w:hint="eastAsia" w:ascii="仿宋_GB2312" w:hAnsi="仿宋_GB2312" w:eastAsia="仿宋_GB2312" w:cs="仿宋_GB2312"/>
          <w:color w:val="auto"/>
          <w:spacing w:val="0"/>
          <w:sz w:val="32"/>
          <w:szCs w:val="32"/>
        </w:rPr>
        <w:t>1.培育城市质量文化</w:t>
      </w:r>
      <w:bookmarkEnd w:id="62"/>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牢固树立质量意识，扎实开展质量强</w:t>
      </w:r>
      <w:r>
        <w:rPr>
          <w:rFonts w:hint="eastAsia" w:ascii="仿宋_GB2312" w:hAnsi="仿宋_GB2312" w:eastAsia="仿宋_GB2312" w:cs="仿宋_GB2312"/>
          <w:color w:val="auto"/>
          <w:spacing w:val="0"/>
          <w:sz w:val="32"/>
          <w:szCs w:val="32"/>
          <w:lang w:val="en-US" w:eastAsia="zh-CN"/>
        </w:rPr>
        <w:t>县</w:t>
      </w:r>
      <w:r>
        <w:rPr>
          <w:rFonts w:hint="eastAsia" w:ascii="仿宋_GB2312" w:hAnsi="仿宋_GB2312" w:eastAsia="仿宋_GB2312" w:cs="仿宋_GB2312"/>
          <w:color w:val="auto"/>
          <w:spacing w:val="0"/>
          <w:sz w:val="32"/>
          <w:szCs w:val="32"/>
        </w:rPr>
        <w:t>工作，走质量优先、质量制胜的发展道路，推动县域经济高质量发展。加强质量基础理论和实证研究，形成一批政策研究成果，丰富城市质量文化内涵。大力弘扬“工匠”精神和“企业家”精神，倡导各行各业精雕细琢、精益求精、追求卓越。探索设立工匠奖，开展“百家品牌、百名工匠”活动，加大对优秀企业家、优秀工匠专题报道，讲解品牌故事，引导广大企业牢固树立“讲质量、求品质、重诚信”的文化氛围，推进企业质量文化发展 。</w:t>
      </w:r>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highlight w:val="none"/>
        </w:rPr>
      </w:pPr>
      <w:bookmarkStart w:id="63" w:name="_Toc2078775712_WPSOffice_Level3"/>
      <w:r>
        <w:rPr>
          <w:rFonts w:hint="eastAsia" w:ascii="仿宋_GB2312" w:hAnsi="仿宋_GB2312" w:eastAsia="仿宋_GB2312" w:cs="仿宋_GB2312"/>
          <w:color w:val="auto"/>
          <w:spacing w:val="0"/>
          <w:sz w:val="32"/>
          <w:szCs w:val="32"/>
          <w:highlight w:val="none"/>
        </w:rPr>
        <w:t>2.创新质量文化教育</w:t>
      </w:r>
      <w:bookmarkEnd w:id="63"/>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highlight w:val="none"/>
        </w:rPr>
        <w:t>全面加快提升市场监管干部队伍能力建设，综合素质与服务对象、管理要求相适应，不断采用新的技术、手段、机制，切实提高监管的效率。创新质量教育机制，加强对领导干部、企业家和企业管理人员的培训；积极引导中小学校、中等职业</w:t>
      </w:r>
      <w:r>
        <w:rPr>
          <w:rFonts w:hint="eastAsia" w:ascii="仿宋_GB2312" w:hAnsi="仿宋_GB2312" w:eastAsia="仿宋_GB2312" w:cs="仿宋_GB2312"/>
          <w:color w:val="auto"/>
          <w:spacing w:val="0"/>
          <w:sz w:val="32"/>
          <w:szCs w:val="32"/>
        </w:rPr>
        <w:t>教育学校开展专题质量教育。加强对企业员工质量知识的教育，弘扬“工匠”精神，提升职业素养。加大中小学社会实践教育基地、企业卓越绩效示范基地科普基地建设，传递先进质量理念与实践，加强质量文化教育。</w:t>
      </w:r>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bookmarkStart w:id="64" w:name="_Toc241690871_WPSOffice_Level3"/>
      <w:r>
        <w:rPr>
          <w:rFonts w:hint="eastAsia" w:ascii="仿宋_GB2312" w:hAnsi="仿宋_GB2312" w:eastAsia="仿宋_GB2312" w:cs="仿宋_GB2312"/>
          <w:color w:val="auto"/>
          <w:spacing w:val="0"/>
          <w:sz w:val="32"/>
          <w:szCs w:val="32"/>
        </w:rPr>
        <w:t>3.打造质量人才队伍</w:t>
      </w:r>
      <w:bookmarkEnd w:id="64"/>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坚持人才与产业融合、人才与团队融合、人才与基金融合、人才与工匠结合，大力实施“人才强县”战略。深入推进人才发展机制改革，实施更加积极、更加开放、更加有效的人才政策。充分利用招才引智服务站平台，大力培养和引进创新型人才和团队，构建“首席专家+技术骨干+企业”的人才引进体系，推动人才资源赋能产业发展。围绕食品加工、医药化工和节能环保三大主导产业，</w:t>
      </w:r>
      <w:r>
        <w:rPr>
          <w:rFonts w:hint="eastAsia" w:ascii="仿宋_GB2312" w:hAnsi="仿宋_GB2312" w:eastAsia="仿宋_GB2312" w:cs="仿宋_GB2312"/>
          <w:i w:val="0"/>
          <w:iCs w:val="0"/>
          <w:caps w:val="0"/>
          <w:color w:val="auto"/>
          <w:spacing w:val="0"/>
          <w:sz w:val="32"/>
          <w:szCs w:val="32"/>
          <w:shd w:val="clear" w:fill="FFFFFF"/>
        </w:rPr>
        <w:t>持续实施“十百千”人才战略工程，完善延津籍在外优秀人才信息库，组建属于自己的</w:t>
      </w:r>
      <w:r>
        <w:rPr>
          <w:rFonts w:hint="eastAsia" w:ascii="仿宋_GB2312" w:hAnsi="仿宋_GB2312" w:eastAsia="仿宋_GB2312" w:cs="仿宋_GB2312"/>
          <w:i w:val="0"/>
          <w:iCs w:val="0"/>
          <w:caps w:val="0"/>
          <w:color w:val="auto"/>
          <w:spacing w:val="0"/>
          <w:sz w:val="32"/>
          <w:szCs w:val="32"/>
          <w:highlight w:val="none"/>
          <w:shd w:val="clear" w:fill="FFFFFF"/>
        </w:rPr>
        <w:t>“延津博士团”</w:t>
      </w:r>
      <w:r>
        <w:rPr>
          <w:rFonts w:hint="eastAsia" w:ascii="仿宋_GB2312" w:hAnsi="仿宋_GB2312" w:eastAsia="仿宋_GB2312" w:cs="仿宋_GB2312"/>
          <w:color w:val="auto"/>
          <w:spacing w:val="0"/>
          <w:sz w:val="32"/>
          <w:szCs w:val="32"/>
        </w:rPr>
        <w:t>。加大紧缺急需专业人才柔性引进力度，培养使用好现有人才，鼓励人才回归、人口回归，加快建立一批科技创新人才培养基地。完善人才引进绿色通道，健全完善人才评价激励机制和服务保障体系，强化财政对人才的投入保障。到2025年，累计引进科技创新杰出人才100名以上、科技创新团队20个以上。</w:t>
      </w:r>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bookmarkStart w:id="65" w:name="_Toc1338146677_WPSOffice_Level3"/>
      <w:r>
        <w:rPr>
          <w:rFonts w:hint="eastAsia" w:ascii="仿宋_GB2312" w:hAnsi="仿宋_GB2312" w:eastAsia="仿宋_GB2312" w:cs="仿宋_GB2312"/>
          <w:color w:val="auto"/>
          <w:spacing w:val="0"/>
          <w:sz w:val="32"/>
          <w:szCs w:val="32"/>
        </w:rPr>
        <w:t>4.强化全民质量意识</w:t>
      </w:r>
      <w:bookmarkEnd w:id="65"/>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引导企业树立“质量第一”的文化理念，不断加强质量公益宣传和舆论引导，深入开展全国“质量月”“中国品牌日”“3</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pacing w:val="0"/>
          <w:sz w:val="32"/>
          <w:szCs w:val="32"/>
        </w:rPr>
        <w:t>15 国际消费者权益日”“世界知识产权日”“世界标准日”“世界计量日”“世界认证认可日”及质量科普知识等主题宣传活动。充分发挥各种新闻媒体和各单位、企业质量品牌文化传播的主力军作用， 将质量文化融入到企业生产经营管理、政府公共服务和社会文化活动等实践工作中。形成政府重视质量、企业追求质量、社会崇尚质量、人人关心质量的良好氛围，提升质量文化软实力。</w:t>
      </w:r>
    </w:p>
    <w:p>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firstLine="640" w:firstLineChars="200"/>
        <w:jc w:val="both"/>
        <w:textAlignment w:val="auto"/>
        <w:outlineLvl w:val="9"/>
        <w:rPr>
          <w:rFonts w:hint="eastAsia" w:ascii="黑体" w:hAnsi="黑体" w:eastAsia="黑体" w:cs="黑体"/>
          <w:b w:val="0"/>
          <w:bCs w:val="0"/>
          <w:color w:val="auto"/>
          <w:spacing w:val="0"/>
          <w:sz w:val="32"/>
          <w:szCs w:val="32"/>
          <w:lang w:eastAsia="zh-CN"/>
        </w:rPr>
      </w:pPr>
      <w:bookmarkStart w:id="66" w:name="_Toc1960710189_WPSOffice_Level1"/>
      <w:r>
        <w:rPr>
          <w:rFonts w:hint="eastAsia" w:ascii="黑体" w:hAnsi="黑体" w:eastAsia="黑体" w:cs="黑体"/>
          <w:b w:val="0"/>
          <w:bCs w:val="0"/>
          <w:color w:val="auto"/>
          <w:spacing w:val="0"/>
          <w:sz w:val="32"/>
          <w:szCs w:val="32"/>
          <w:lang w:eastAsia="zh-CN"/>
        </w:rPr>
        <w:t>五、加强组织保障</w:t>
      </w:r>
      <w:bookmarkEnd w:id="66"/>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楷体_GB2312" w:hAnsi="楷体_GB2312" w:eastAsia="楷体_GB2312" w:cs="楷体_GB2312"/>
          <w:b w:val="0"/>
          <w:bCs w:val="0"/>
          <w:color w:val="auto"/>
          <w:spacing w:val="0"/>
          <w:sz w:val="32"/>
          <w:szCs w:val="32"/>
          <w:lang w:val="en-US" w:eastAsia="zh-CN"/>
        </w:rPr>
      </w:pPr>
      <w:bookmarkStart w:id="67" w:name="_Toc2043124464_WPSOffice_Level2"/>
      <w:r>
        <w:rPr>
          <w:rFonts w:hint="eastAsia" w:ascii="楷体_GB2312" w:hAnsi="楷体_GB2312" w:eastAsia="楷体_GB2312" w:cs="楷体_GB2312"/>
          <w:b w:val="0"/>
          <w:bCs w:val="0"/>
          <w:color w:val="auto"/>
          <w:spacing w:val="0"/>
          <w:sz w:val="32"/>
          <w:szCs w:val="32"/>
          <w:lang w:val="en-US" w:eastAsia="zh-CN"/>
        </w:rPr>
        <w:t>（一）强化组织领导</w:t>
      </w:r>
      <w:bookmarkEnd w:id="67"/>
    </w:p>
    <w:p>
      <w:pPr>
        <w:keepNext w:val="0"/>
        <w:keepLines w:val="0"/>
        <w:pageBreakBefore w:val="0"/>
        <w:widowControl w:val="0"/>
        <w:suppressLineNumbers w:val="0"/>
        <w:pBdr>
          <w:top w:val="single" w:color="FFFFFF" w:sz="8" w:space="0"/>
          <w:left w:val="single" w:color="FFFFFF" w:sz="8" w:space="31"/>
          <w:bottom w:val="single" w:color="FFFFFF" w:sz="8" w:space="31"/>
          <w:right w:val="single" w:color="FFFFFF" w:sz="8" w:space="26"/>
        </w:pBdr>
        <w:shd w:val="clear" w:color="auto" w:fill="FFFFFF"/>
        <w:kinsoku/>
        <w:wordWrap/>
        <w:overflowPunct/>
        <w:topLinePunct/>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t>建立“党委领导、政府主导、部门联合、企业主责、社会参与”的质量工作格局。加强对质量发展的统筹规划和组织领导，建立健全领导体制和协调机制，统筹质量发展规划制定、质量强县建设、质量品牌发展、质量基础建设。各级党委和政府要定期研究质量品牌提升工作，认真落实质量工作责任制。</w:t>
      </w:r>
    </w:p>
    <w:p>
      <w:pPr>
        <w:keepNext w:val="0"/>
        <w:keepLines w:val="0"/>
        <w:pageBreakBefore w:val="0"/>
        <w:widowControl w:val="0"/>
        <w:suppressLineNumbers w:val="0"/>
        <w:pBdr>
          <w:top w:val="single" w:color="FFFFFF" w:sz="8" w:space="0"/>
          <w:left w:val="single" w:color="FFFFFF" w:sz="8" w:space="31"/>
          <w:bottom w:val="single" w:color="FFFFFF" w:sz="8" w:space="31"/>
          <w:right w:val="single" w:color="FFFFFF" w:sz="8" w:space="26"/>
        </w:pBdr>
        <w:shd w:val="clear" w:color="auto" w:fill="FFFFFF"/>
        <w:kinsoku/>
        <w:wordWrap/>
        <w:overflowPunct/>
        <w:topLinePunct/>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楷体_GB2312" w:hAnsi="楷体_GB2312" w:eastAsia="楷体_GB2312" w:cs="楷体_GB2312"/>
          <w:b w:val="0"/>
          <w:bCs w:val="0"/>
          <w:color w:val="auto"/>
          <w:spacing w:val="0"/>
          <w:sz w:val="32"/>
          <w:szCs w:val="32"/>
          <w:lang w:val="en-US" w:eastAsia="zh-CN"/>
        </w:rPr>
      </w:pPr>
      <w:bookmarkStart w:id="68" w:name="_Toc1722595405_WPSOffice_Level2"/>
      <w:r>
        <w:rPr>
          <w:rFonts w:hint="eastAsia" w:ascii="楷体_GB2312" w:hAnsi="楷体_GB2312" w:eastAsia="楷体_GB2312" w:cs="楷体_GB2312"/>
          <w:b w:val="0"/>
          <w:bCs w:val="0"/>
          <w:color w:val="auto"/>
          <w:spacing w:val="0"/>
          <w:sz w:val="32"/>
          <w:szCs w:val="32"/>
          <w:lang w:val="en-US" w:eastAsia="zh-CN"/>
        </w:rPr>
        <w:t>（二）加大政策支持</w:t>
      </w:r>
      <w:bookmarkEnd w:id="68"/>
    </w:p>
    <w:p>
      <w:pPr>
        <w:keepNext w:val="0"/>
        <w:keepLines w:val="0"/>
        <w:pageBreakBefore w:val="0"/>
        <w:widowControl w:val="0"/>
        <w:numPr>
          <w:ilvl w:val="0"/>
          <w:numId w:val="0"/>
        </w:numPr>
        <w:suppressLineNumbers w:val="0"/>
        <w:pBdr>
          <w:top w:val="single" w:color="FFFFFF" w:sz="8" w:space="0"/>
          <w:left w:val="single" w:color="FFFFFF" w:sz="8" w:space="31"/>
          <w:bottom w:val="single" w:color="FFFFFF" w:sz="8" w:space="31"/>
          <w:right w:val="single" w:color="FFFFFF" w:sz="8" w:space="26"/>
        </w:pBdr>
        <w:shd w:val="clear" w:color="auto" w:fill="FFFFFF"/>
        <w:kinsoku/>
        <w:wordWrap/>
        <w:overflowPunct/>
        <w:topLinePunct/>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落实《</w:t>
      </w:r>
      <w:r>
        <w:rPr>
          <w:rFonts w:hint="eastAsia" w:ascii="仿宋_GB2312" w:hAnsi="仿宋_GB2312" w:eastAsia="仿宋_GB2312" w:cs="仿宋_GB2312"/>
          <w:b w:val="0"/>
          <w:bCs w:val="0"/>
          <w:color w:val="auto"/>
          <w:spacing w:val="0"/>
          <w:sz w:val="32"/>
          <w:szCs w:val="32"/>
          <w:lang w:eastAsia="zh-CN"/>
        </w:rPr>
        <w:t>延津</w:t>
      </w:r>
      <w:r>
        <w:rPr>
          <w:rFonts w:hint="eastAsia" w:ascii="仿宋_GB2312" w:hAnsi="仿宋_GB2312" w:eastAsia="仿宋_GB2312" w:cs="仿宋_GB2312"/>
          <w:b w:val="0"/>
          <w:bCs w:val="0"/>
          <w:color w:val="auto"/>
          <w:spacing w:val="0"/>
          <w:sz w:val="32"/>
          <w:szCs w:val="32"/>
        </w:rPr>
        <w:t>县质量提升行动实施方案》，保障质量强</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战略工作必备经费。持续开展市</w:t>
      </w:r>
      <w:r>
        <w:rPr>
          <w:rFonts w:hint="eastAsia" w:ascii="仿宋_GB2312" w:hAnsi="仿宋_GB2312" w:eastAsia="仿宋_GB2312" w:cs="仿宋_GB2312"/>
          <w:b w:val="0"/>
          <w:bCs w:val="0"/>
          <w:color w:val="auto"/>
          <w:spacing w:val="0"/>
          <w:sz w:val="32"/>
          <w:szCs w:val="32"/>
          <w:lang w:eastAsia="zh-CN"/>
        </w:rPr>
        <w:t>（县）</w:t>
      </w:r>
      <w:r>
        <w:rPr>
          <w:rFonts w:hint="eastAsia" w:ascii="仿宋_GB2312" w:hAnsi="仿宋_GB2312" w:eastAsia="仿宋_GB2312" w:cs="仿宋_GB2312"/>
          <w:b w:val="0"/>
          <w:bCs w:val="0"/>
          <w:color w:val="auto"/>
          <w:spacing w:val="0"/>
          <w:sz w:val="32"/>
          <w:szCs w:val="32"/>
        </w:rPr>
        <w:t>长质量奖评选活动，充分发挥质量奖企业示范引领，营造企业积极参与、政府重视、社会关注的创</w:t>
      </w:r>
      <w:r>
        <w:rPr>
          <w:rFonts w:hint="eastAsia" w:ascii="仿宋_GB2312" w:hAnsi="仿宋_GB2312" w:eastAsia="仿宋_GB2312" w:cs="仿宋_GB2312"/>
          <w:b w:val="0"/>
          <w:bCs w:val="0"/>
          <w:color w:val="auto"/>
          <w:spacing w:val="0"/>
          <w:w w:val="101"/>
          <w:sz w:val="32"/>
          <w:szCs w:val="32"/>
        </w:rPr>
        <w:t xml:space="preserve"> </w:t>
      </w:r>
      <w:r>
        <w:rPr>
          <w:rFonts w:hint="eastAsia" w:ascii="仿宋_GB2312" w:hAnsi="仿宋_GB2312" w:eastAsia="仿宋_GB2312" w:cs="仿宋_GB2312"/>
          <w:b w:val="0"/>
          <w:bCs w:val="0"/>
          <w:color w:val="auto"/>
          <w:spacing w:val="0"/>
          <w:sz w:val="32"/>
          <w:szCs w:val="32"/>
        </w:rPr>
        <w:t>先争优良好氛围</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促进经济高质量发展。</w:t>
      </w:r>
    </w:p>
    <w:p>
      <w:pPr>
        <w:keepNext w:val="0"/>
        <w:keepLines w:val="0"/>
        <w:pageBreakBefore w:val="0"/>
        <w:widowControl w:val="0"/>
        <w:numPr>
          <w:ilvl w:val="0"/>
          <w:numId w:val="0"/>
        </w:numPr>
        <w:suppressLineNumbers w:val="0"/>
        <w:pBdr>
          <w:top w:val="single" w:color="FFFFFF" w:sz="8" w:space="0"/>
          <w:left w:val="single" w:color="FFFFFF" w:sz="8" w:space="31"/>
          <w:bottom w:val="single" w:color="FFFFFF" w:sz="8" w:space="31"/>
          <w:right w:val="single" w:color="FFFFFF" w:sz="8" w:space="26"/>
        </w:pBdr>
        <w:shd w:val="clear" w:color="auto" w:fill="FFFFFF"/>
        <w:kinsoku/>
        <w:wordWrap/>
        <w:overflowPunct/>
        <w:topLinePunct/>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楷体_GB2312" w:hAnsi="楷体_GB2312" w:eastAsia="楷体_GB2312" w:cs="楷体_GB2312"/>
          <w:b w:val="0"/>
          <w:bCs w:val="0"/>
          <w:color w:val="auto"/>
          <w:spacing w:val="0"/>
          <w:sz w:val="32"/>
          <w:szCs w:val="32"/>
        </w:rPr>
      </w:pPr>
      <w:bookmarkStart w:id="69" w:name="_Toc1305015893_WPSOffice_Level2"/>
      <w:r>
        <w:rPr>
          <w:rFonts w:hint="eastAsia" w:ascii="楷体_GB2312" w:hAnsi="楷体_GB2312" w:eastAsia="楷体_GB2312" w:cs="楷体_GB2312"/>
          <w:b w:val="0"/>
          <w:bCs w:val="0"/>
          <w:color w:val="auto"/>
          <w:spacing w:val="0"/>
          <w:sz w:val="32"/>
          <w:szCs w:val="32"/>
          <w:lang w:val="en-US" w:eastAsia="zh-CN"/>
        </w:rPr>
        <w:t>（三）</w:t>
      </w:r>
      <w:r>
        <w:rPr>
          <w:rFonts w:hint="eastAsia" w:ascii="楷体_GB2312" w:hAnsi="楷体_GB2312" w:eastAsia="楷体_GB2312" w:cs="楷体_GB2312"/>
          <w:b w:val="0"/>
          <w:bCs w:val="0"/>
          <w:color w:val="auto"/>
          <w:spacing w:val="0"/>
          <w:sz w:val="32"/>
          <w:szCs w:val="32"/>
        </w:rPr>
        <w:t>加大宣传力度</w:t>
      </w:r>
      <w:bookmarkEnd w:id="69"/>
    </w:p>
    <w:p>
      <w:pPr>
        <w:keepNext w:val="0"/>
        <w:keepLines w:val="0"/>
        <w:pageBreakBefore w:val="0"/>
        <w:widowControl w:val="0"/>
        <w:numPr>
          <w:ilvl w:val="0"/>
          <w:numId w:val="0"/>
        </w:numPr>
        <w:suppressLineNumbers w:val="0"/>
        <w:pBdr>
          <w:top w:val="single" w:color="FFFFFF" w:sz="8" w:space="0"/>
          <w:left w:val="single" w:color="FFFFFF" w:sz="8" w:space="31"/>
          <w:bottom w:val="single" w:color="FFFFFF" w:sz="8" w:space="31"/>
          <w:right w:val="single" w:color="FFFFFF" w:sz="8" w:space="26"/>
        </w:pBdr>
        <w:shd w:val="clear" w:color="auto" w:fill="FFFFFF"/>
        <w:kinsoku/>
        <w:wordWrap/>
        <w:overflowPunct/>
        <w:topLinePunct/>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加强质量文化建设，树立崇尚质量的价值导向</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各职能部</w:t>
      </w:r>
      <w:r>
        <w:rPr>
          <w:rFonts w:hint="eastAsia" w:ascii="仿宋_GB2312" w:hAnsi="仿宋_GB2312" w:eastAsia="仿宋_GB2312" w:cs="仿宋_GB2312"/>
          <w:b w:val="0"/>
          <w:bCs w:val="0"/>
          <w:color w:val="auto"/>
          <w:spacing w:val="0"/>
          <w:w w:val="101"/>
          <w:sz w:val="32"/>
          <w:szCs w:val="32"/>
        </w:rPr>
        <w:t xml:space="preserve"> </w:t>
      </w:r>
      <w:r>
        <w:rPr>
          <w:rFonts w:hint="eastAsia" w:ascii="仿宋_GB2312" w:hAnsi="仿宋_GB2312" w:eastAsia="仿宋_GB2312" w:cs="仿宋_GB2312"/>
          <w:b w:val="0"/>
          <w:bCs w:val="0"/>
          <w:color w:val="auto"/>
          <w:spacing w:val="0"/>
          <w:sz w:val="32"/>
          <w:szCs w:val="32"/>
        </w:rPr>
        <w:t>门要结合职能，加强对质量方面相关法律法规及质量强国、质量强省和质量强市政策的宣传，强化部门联动，每年“全国质量月”为抓手，动员社会各领域广泛参与，开展形式多样的质量科普宣传。组织好“3.l5 国际消费者权益 日”、“4.26 世界知识产权日”、“等主题活动，营造人人关心质量、人人创造质量、人人享受质量的良好社会氛围。</w:t>
      </w:r>
    </w:p>
    <w:p>
      <w:pPr>
        <w:keepNext w:val="0"/>
        <w:keepLines w:val="0"/>
        <w:pageBreakBefore w:val="0"/>
        <w:widowControl w:val="0"/>
        <w:numPr>
          <w:ilvl w:val="0"/>
          <w:numId w:val="0"/>
        </w:numPr>
        <w:suppressLineNumbers w:val="0"/>
        <w:pBdr>
          <w:top w:val="single" w:color="FFFFFF" w:sz="8" w:space="0"/>
          <w:left w:val="single" w:color="FFFFFF" w:sz="8" w:space="31"/>
          <w:bottom w:val="single" w:color="FFFFFF" w:sz="8" w:space="31"/>
          <w:right w:val="single" w:color="FFFFFF" w:sz="8" w:space="26"/>
        </w:pBdr>
        <w:shd w:val="clear" w:color="auto" w:fill="FFFFFF"/>
        <w:kinsoku/>
        <w:wordWrap/>
        <w:overflowPunct/>
        <w:topLinePunct/>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b w:val="0"/>
          <w:bCs w:val="0"/>
          <w:color w:val="auto"/>
          <w:spacing w:val="0"/>
          <w:sz w:val="32"/>
          <w:szCs w:val="32"/>
          <w:lang w:val="en-US" w:eastAsia="zh-CN"/>
        </w:rPr>
      </w:pPr>
      <w:bookmarkStart w:id="70" w:name="_Toc337073853_WPSOffice_Level2"/>
      <w:r>
        <w:rPr>
          <w:rFonts w:hint="eastAsia" w:ascii="楷体_GB2312" w:hAnsi="楷体_GB2312" w:eastAsia="楷体_GB2312" w:cs="楷体_GB2312"/>
          <w:b w:val="0"/>
          <w:bCs w:val="0"/>
          <w:color w:val="auto"/>
          <w:spacing w:val="0"/>
          <w:sz w:val="32"/>
          <w:szCs w:val="32"/>
          <w:lang w:val="en-US" w:eastAsia="zh-CN"/>
        </w:rPr>
        <w:t>（四）健全评价机制</w:t>
      </w:r>
      <w:bookmarkEnd w:id="70"/>
      <w:r>
        <w:rPr>
          <w:rFonts w:hint="eastAsia" w:ascii="楷体_GB2312" w:hAnsi="楷体_GB2312" w:eastAsia="楷体_GB2312" w:cs="楷体_GB2312"/>
          <w:b w:val="0"/>
          <w:bCs w:val="0"/>
          <w:color w:val="auto"/>
          <w:spacing w:val="0"/>
          <w:sz w:val="32"/>
          <w:szCs w:val="32"/>
          <w:lang w:val="en-US" w:eastAsia="zh-CN"/>
        </w:rPr>
        <w:t xml:space="preserve">   </w:t>
      </w:r>
      <w:r>
        <w:rPr>
          <w:rFonts w:hint="eastAsia" w:ascii="仿宋_GB2312" w:hAnsi="仿宋_GB2312" w:eastAsia="仿宋_GB2312" w:cs="仿宋_GB2312"/>
          <w:b/>
          <w:bCs/>
          <w:color w:val="auto"/>
          <w:spacing w:val="0"/>
          <w:sz w:val="32"/>
          <w:szCs w:val="32"/>
          <w:lang w:val="en-US" w:eastAsia="zh-CN"/>
        </w:rPr>
        <w:t xml:space="preserve"> </w:t>
      </w:r>
      <w:r>
        <w:rPr>
          <w:rFonts w:hint="eastAsia" w:ascii="仿宋_GB2312" w:hAnsi="仿宋_GB2312" w:eastAsia="仿宋_GB2312" w:cs="仿宋_GB2312"/>
          <w:b w:val="0"/>
          <w:bCs w:val="0"/>
          <w:color w:val="auto"/>
          <w:spacing w:val="0"/>
          <w:sz w:val="32"/>
          <w:szCs w:val="32"/>
          <w:lang w:val="en-US" w:eastAsia="zh-CN"/>
        </w:rPr>
        <w:t xml:space="preserve">     </w:t>
      </w:r>
    </w:p>
    <w:p>
      <w:pPr>
        <w:keepNext w:val="0"/>
        <w:keepLines w:val="0"/>
        <w:pageBreakBefore w:val="0"/>
        <w:widowControl w:val="0"/>
        <w:numPr>
          <w:ilvl w:val="0"/>
          <w:numId w:val="0"/>
        </w:numPr>
        <w:suppressLineNumbers w:val="0"/>
        <w:pBdr>
          <w:top w:val="single" w:color="FFFFFF" w:sz="8" w:space="0"/>
          <w:left w:val="single" w:color="FFFFFF" w:sz="8" w:space="31"/>
          <w:bottom w:val="single" w:color="FFFFFF" w:sz="8" w:space="31"/>
          <w:right w:val="single" w:color="FFFFFF" w:sz="8" w:space="26"/>
        </w:pBdr>
        <w:shd w:val="clear" w:color="auto" w:fill="FFFFFF"/>
        <w:kinsoku/>
        <w:wordWrap/>
        <w:overflowPunct/>
        <w:topLinePunct/>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val="0"/>
          <w:bCs w:val="0"/>
          <w:color w:val="auto"/>
          <w:spacing w:val="0"/>
          <w:sz w:val="32"/>
          <w:szCs w:val="32"/>
        </w:rPr>
        <w:t>围绕</w:t>
      </w:r>
      <w:r>
        <w:rPr>
          <w:rFonts w:hint="eastAsia" w:ascii="仿宋_GB2312" w:hAnsi="仿宋_GB2312" w:eastAsia="仿宋_GB2312" w:cs="仿宋_GB2312"/>
          <w:b w:val="0"/>
          <w:bCs w:val="0"/>
          <w:color w:val="auto"/>
          <w:spacing w:val="0"/>
          <w:sz w:val="32"/>
          <w:szCs w:val="32"/>
          <w:lang w:eastAsia="zh-CN"/>
        </w:rPr>
        <w:t>县</w:t>
      </w:r>
      <w:r>
        <w:rPr>
          <w:rFonts w:hint="eastAsia" w:ascii="仿宋_GB2312" w:hAnsi="仿宋_GB2312" w:eastAsia="仿宋_GB2312" w:cs="仿宋_GB2312"/>
          <w:b w:val="0"/>
          <w:bCs w:val="0"/>
          <w:color w:val="auto"/>
          <w:spacing w:val="0"/>
          <w:sz w:val="32"/>
          <w:szCs w:val="32"/>
        </w:rPr>
        <w:t>委、</w:t>
      </w:r>
      <w:r>
        <w:rPr>
          <w:rFonts w:hint="eastAsia" w:ascii="仿宋_GB2312" w:hAnsi="仿宋_GB2312" w:eastAsia="仿宋_GB2312" w:cs="仿宋_GB2312"/>
          <w:b w:val="0"/>
          <w:bCs w:val="0"/>
          <w:color w:val="auto"/>
          <w:spacing w:val="0"/>
          <w:sz w:val="32"/>
          <w:szCs w:val="32"/>
          <w:lang w:eastAsia="zh-CN"/>
        </w:rPr>
        <w:t>县</w:t>
      </w:r>
      <w:r>
        <w:rPr>
          <w:rFonts w:hint="eastAsia" w:ascii="仿宋_GB2312" w:hAnsi="仿宋_GB2312" w:eastAsia="仿宋_GB2312" w:cs="仿宋_GB2312"/>
          <w:b w:val="0"/>
          <w:bCs w:val="0"/>
          <w:color w:val="auto"/>
          <w:spacing w:val="0"/>
          <w:sz w:val="32"/>
          <w:szCs w:val="32"/>
        </w:rPr>
        <w:t>政府中心工作，把质量工作考核目标作为推进质量提升的有效抓手，认真落实质量工作责任制，构建统一权威的质量工作体制机制。根据《规划》内容，制定评价办法，对质量强</w:t>
      </w:r>
      <w:r>
        <w:rPr>
          <w:rFonts w:hint="eastAsia" w:ascii="仿宋_GB2312" w:hAnsi="仿宋_GB2312" w:eastAsia="仿宋_GB2312" w:cs="仿宋_GB2312"/>
          <w:b w:val="0"/>
          <w:bCs w:val="0"/>
          <w:color w:val="auto"/>
          <w:spacing w:val="0"/>
          <w:sz w:val="32"/>
          <w:szCs w:val="32"/>
          <w:lang w:eastAsia="zh-CN"/>
        </w:rPr>
        <w:t>县</w:t>
      </w:r>
      <w:r>
        <w:rPr>
          <w:rFonts w:hint="eastAsia" w:ascii="仿宋_GB2312" w:hAnsi="仿宋_GB2312" w:eastAsia="仿宋_GB2312" w:cs="仿宋_GB2312"/>
          <w:b w:val="0"/>
          <w:bCs w:val="0"/>
          <w:color w:val="auto"/>
          <w:spacing w:val="0"/>
          <w:sz w:val="32"/>
          <w:szCs w:val="32"/>
        </w:rPr>
        <w:t>领导组成员单位工作完成情况进行督促检查，推进任务落实到位，确保目标任务按期完成</w:t>
      </w:r>
      <w:r>
        <w:rPr>
          <w:rFonts w:hint="eastAsia" w:ascii="仿宋_GB2312" w:hAnsi="仿宋_GB2312" w:eastAsia="仿宋_GB2312" w:cs="仿宋_GB2312"/>
          <w:color w:val="auto"/>
          <w:spacing w:val="0"/>
          <w:sz w:val="32"/>
          <w:szCs w:val="32"/>
        </w:rPr>
        <w:t>。</w:t>
      </w:r>
    </w:p>
    <w:p>
      <w:pPr>
        <w:keepNext w:val="0"/>
        <w:keepLines w:val="0"/>
        <w:pageBreakBefore w:val="0"/>
        <w:wordWrap/>
        <w:overflowPunct/>
        <w:topLinePunct w:val="0"/>
        <w:bidi w:val="0"/>
        <w:spacing w:beforeAutospacing="0" w:afterAutospacing="0" w:line="560" w:lineRule="exact"/>
        <w:rPr>
          <w:rFonts w:hint="eastAsia" w:ascii="仿宋_GB2312" w:hAnsi="仿宋_GB2312" w:eastAsia="仿宋_GB2312" w:cs="仿宋_GB2312"/>
          <w:color w:val="auto"/>
          <w:kern w:val="2"/>
          <w:sz w:val="32"/>
          <w:szCs w:val="32"/>
          <w:lang w:val="en-US" w:eastAsia="zh-CN"/>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jc w:val="both"/>
        <w:textAlignment w:val="auto"/>
        <w:outlineLvl w:val="1"/>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3"/>
        <w:rPr>
          <w:rFonts w:hint="eastAsia" w:ascii="仿宋_GB2312" w:hAnsi="仿宋_GB2312" w:eastAsia="仿宋_GB2312" w:cs="仿宋_GB2312"/>
          <w:color w:val="auto"/>
          <w:sz w:val="32"/>
          <w:szCs w:val="32"/>
          <w:lang w:val="en-US" w:eastAsia="zh-CN"/>
        </w:rPr>
      </w:pPr>
    </w:p>
    <w:p>
      <w:pPr>
        <w:pStyle w:val="3"/>
        <w:rPr>
          <w:rFonts w:hint="eastAsia" w:ascii="仿宋_GB2312" w:hAnsi="仿宋_GB2312" w:eastAsia="仿宋_GB2312" w:cs="仿宋_GB2312"/>
          <w:color w:val="auto"/>
          <w:sz w:val="32"/>
          <w:szCs w:val="32"/>
          <w:lang w:val="en-US" w:eastAsia="zh-CN"/>
        </w:rPr>
      </w:pPr>
    </w:p>
    <w:p>
      <w:pPr>
        <w:pStyle w:val="3"/>
        <w:rPr>
          <w:rFonts w:hint="eastAsia" w:ascii="仿宋_GB2312" w:hAnsi="仿宋_GB2312" w:eastAsia="仿宋_GB2312" w:cs="仿宋_GB2312"/>
          <w:color w:val="auto"/>
          <w:sz w:val="32"/>
          <w:szCs w:val="32"/>
          <w:lang w:val="en-US" w:eastAsia="zh-CN"/>
        </w:rPr>
      </w:pPr>
    </w:p>
    <w:p>
      <w:pPr>
        <w:pStyle w:val="3"/>
        <w:rPr>
          <w:rFonts w:hint="eastAsia" w:ascii="仿宋_GB2312" w:hAnsi="仿宋_GB2312" w:eastAsia="仿宋_GB2312" w:cs="仿宋_GB2312"/>
          <w:color w:val="auto"/>
          <w:sz w:val="32"/>
          <w:szCs w:val="32"/>
          <w:lang w:val="en-US" w:eastAsia="zh-CN"/>
        </w:rPr>
      </w:pPr>
    </w:p>
    <w:p>
      <w:pPr>
        <w:pStyle w:val="3"/>
        <w:rPr>
          <w:rFonts w:hint="eastAsia" w:ascii="仿宋_GB2312" w:hAnsi="仿宋_GB2312" w:eastAsia="仿宋_GB2312" w:cs="仿宋_GB2312"/>
          <w:color w:val="auto"/>
          <w:sz w:val="32"/>
          <w:szCs w:val="32"/>
          <w:lang w:val="en-US" w:eastAsia="zh-CN"/>
        </w:rPr>
      </w:pPr>
    </w:p>
    <w:p>
      <w:pPr>
        <w:pStyle w:val="3"/>
        <w:rPr>
          <w:rFonts w:hint="eastAsia" w:ascii="仿宋_GB2312" w:hAnsi="仿宋_GB2312" w:eastAsia="仿宋_GB2312" w:cs="仿宋_GB2312"/>
          <w:color w:val="auto"/>
          <w:sz w:val="32"/>
          <w:szCs w:val="32"/>
          <w:lang w:val="en-US" w:eastAsia="zh-CN"/>
        </w:rPr>
      </w:pPr>
    </w:p>
    <w:p>
      <w:pPr>
        <w:pStyle w:val="3"/>
        <w:rPr>
          <w:rFonts w:hint="eastAsia" w:ascii="仿宋_GB2312" w:hAnsi="仿宋_GB2312" w:eastAsia="仿宋_GB2312" w:cs="仿宋_GB2312"/>
          <w:color w:val="auto"/>
          <w:sz w:val="32"/>
          <w:szCs w:val="32"/>
          <w:lang w:val="en-US" w:eastAsia="zh-CN"/>
        </w:rPr>
      </w:pPr>
    </w:p>
    <w:p>
      <w:pPr>
        <w:pStyle w:val="3"/>
        <w:rPr>
          <w:rFonts w:hint="eastAsia" w:ascii="仿宋_GB2312" w:hAnsi="仿宋_GB2312" w:eastAsia="仿宋_GB2312" w:cs="仿宋_GB2312"/>
          <w:color w:val="auto"/>
          <w:sz w:val="32"/>
          <w:szCs w:val="32"/>
          <w:lang w:val="en-US" w:eastAsia="zh-CN"/>
        </w:rPr>
      </w:pPr>
    </w:p>
    <w:p>
      <w:pPr>
        <w:pStyle w:val="3"/>
        <w:rPr>
          <w:rFonts w:hint="eastAsia" w:ascii="仿宋_GB2312" w:hAnsi="仿宋_GB2312" w:eastAsia="仿宋_GB2312" w:cs="仿宋_GB2312"/>
          <w:color w:val="auto"/>
          <w:sz w:val="32"/>
          <w:szCs w:val="32"/>
          <w:lang w:val="en-US" w:eastAsia="zh-CN"/>
        </w:rPr>
      </w:pPr>
    </w:p>
    <w:p>
      <w:pPr>
        <w:pStyle w:val="3"/>
        <w:rPr>
          <w:rFonts w:hint="eastAsia" w:ascii="仿宋_GB2312" w:hAnsi="仿宋_GB2312" w:eastAsia="仿宋_GB2312" w:cs="仿宋_GB2312"/>
          <w:color w:val="auto"/>
          <w:sz w:val="32"/>
          <w:szCs w:val="32"/>
          <w:lang w:val="en-US" w:eastAsia="zh-CN"/>
        </w:rPr>
      </w:pPr>
    </w:p>
    <w:p>
      <w:pPr>
        <w:pStyle w:val="3"/>
        <w:rPr>
          <w:rFonts w:hint="eastAsia" w:ascii="仿宋_GB2312" w:hAnsi="仿宋_GB2312" w:eastAsia="仿宋_GB2312" w:cs="仿宋_GB2312"/>
          <w:color w:val="auto"/>
          <w:sz w:val="32"/>
          <w:szCs w:val="32"/>
          <w:lang w:val="en-US" w:eastAsia="zh-CN"/>
        </w:rPr>
      </w:pPr>
    </w:p>
    <w:p>
      <w:pPr>
        <w:pStyle w:val="3"/>
        <w:rPr>
          <w:rFonts w:hint="eastAsia" w:ascii="仿宋_GB2312" w:hAnsi="仿宋_GB2312" w:eastAsia="仿宋_GB2312" w:cs="仿宋_GB2312"/>
          <w:color w:val="auto"/>
          <w:sz w:val="32"/>
          <w:szCs w:val="32"/>
          <w:lang w:val="en-US" w:eastAsia="zh-CN"/>
        </w:rPr>
      </w:pPr>
    </w:p>
    <w:p>
      <w:pPr>
        <w:pStyle w:val="3"/>
        <w:rPr>
          <w:rFonts w:hint="eastAsia" w:ascii="仿宋_GB2312" w:hAnsi="仿宋_GB2312" w:eastAsia="仿宋_GB2312" w:cs="仿宋_GB2312"/>
          <w:color w:val="auto"/>
          <w:sz w:val="32"/>
          <w:szCs w:val="32"/>
          <w:lang w:val="en-US" w:eastAsia="zh-CN"/>
        </w:rPr>
      </w:pPr>
    </w:p>
    <w:p>
      <w:pPr>
        <w:pStyle w:val="3"/>
        <w:rPr>
          <w:rFonts w:hint="eastAsia" w:ascii="仿宋_GB2312" w:hAnsi="仿宋_GB2312" w:eastAsia="仿宋_GB2312" w:cs="仿宋_GB2312"/>
          <w:color w:val="auto"/>
          <w:sz w:val="32"/>
          <w:szCs w:val="32"/>
          <w:lang w:val="en-US" w:eastAsia="zh-CN"/>
        </w:rPr>
      </w:pPr>
    </w:p>
    <w:p>
      <w:pPr>
        <w:pStyle w:val="3"/>
        <w:rPr>
          <w:rFonts w:hint="eastAsia" w:ascii="仿宋_GB2312" w:hAnsi="仿宋_GB2312" w:eastAsia="仿宋_GB2312" w:cs="仿宋_GB2312"/>
          <w:color w:val="auto"/>
          <w:sz w:val="32"/>
          <w:szCs w:val="32"/>
          <w:lang w:val="en-US" w:eastAsia="zh-CN"/>
        </w:rPr>
      </w:pPr>
    </w:p>
    <w:p>
      <w:pPr>
        <w:pStyle w:val="3"/>
        <w:rPr>
          <w:rFonts w:hint="eastAsia" w:ascii="仿宋_GB2312" w:hAnsi="仿宋_GB2312" w:eastAsia="仿宋_GB2312" w:cs="仿宋_GB2312"/>
          <w:color w:val="auto"/>
          <w:sz w:val="32"/>
          <w:szCs w:val="32"/>
          <w:lang w:val="en-US" w:eastAsia="zh-CN"/>
        </w:rPr>
      </w:pPr>
    </w:p>
    <w:p>
      <w:pPr>
        <w:pStyle w:val="3"/>
        <w:ind w:left="0" w:leftChars="0" w:firstLine="0" w:firstLineChars="0"/>
        <w:rPr>
          <w:rFonts w:hint="eastAsia" w:ascii="仿宋_GB2312" w:hAnsi="仿宋_GB2312" w:eastAsia="仿宋_GB2312" w:cs="仿宋_GB2312"/>
          <w:color w:val="auto"/>
          <w:sz w:val="32"/>
          <w:szCs w:val="32"/>
          <w:lang w:val="en-US" w:eastAsia="zh-CN"/>
        </w:rPr>
      </w:pPr>
    </w:p>
    <w:p>
      <w:pPr>
        <w:pStyle w:val="3"/>
        <w:ind w:left="0" w:leftChars="0" w:firstLine="0" w:firstLineChars="0"/>
        <w:rPr>
          <w:rFonts w:hint="eastAsia" w:ascii="仿宋_GB2312" w:hAnsi="仿宋_GB2312" w:eastAsia="仿宋_GB2312" w:cs="仿宋_GB2312"/>
          <w:color w:val="auto"/>
          <w:sz w:val="32"/>
          <w:szCs w:val="32"/>
          <w:lang w:val="en-US" w:eastAsia="zh-CN"/>
        </w:rPr>
      </w:pPr>
    </w:p>
    <w:p>
      <w:pPr>
        <w:pStyle w:val="3"/>
        <w:ind w:left="0" w:leftChars="0" w:firstLine="0" w:firstLineChars="0"/>
        <w:rPr>
          <w:rFonts w:hint="eastAsia"/>
        </w:rPr>
      </w:pPr>
      <w:r>
        <w:rPr>
          <w:rFonts w:hint="eastAsia" w:ascii="仿宋_GB2312" w:hAnsi="仿宋_GB2312" w:eastAsia="仿宋_GB2312" w:cs="仿宋_GB2312"/>
          <w:color w:val="auto"/>
          <w:sz w:val="32"/>
          <w:szCs w:val="32"/>
          <w:lang w:val="en-US" w:eastAsia="zh-CN"/>
        </w:rPr>
        <w:tab/>
      </w:r>
    </w:p>
    <w:p>
      <w:pPr>
        <w:pStyle w:val="6"/>
        <w:rPr>
          <w:rFonts w:hint="eastAsia"/>
        </w:rPr>
      </w:pPr>
    </w:p>
    <w:p>
      <w:pPr>
        <w:spacing w:line="560" w:lineRule="exact"/>
        <w:ind w:left="31680" w:leftChars="100" w:hangingChars="400" w:firstLine="31680"/>
        <w:rPr>
          <w:rFonts w:ascii="仿宋_GB2312" w:eastAsia="仿宋_GB2312"/>
          <w:w w:val="95"/>
          <w:sz w:val="28"/>
          <w:szCs w:val="28"/>
        </w:rPr>
      </w:pPr>
      <w:r>
        <w:rPr>
          <w:w w:val="95"/>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20955</wp:posOffset>
                </wp:positionV>
                <wp:extent cx="5829300" cy="0"/>
                <wp:effectExtent l="0" t="0" r="0" b="0"/>
                <wp:wrapNone/>
                <wp:docPr id="1" name="直接连接符 1"/>
                <wp:cNvGraphicFramePr/>
                <a:graphic xmlns:a="http://schemas.openxmlformats.org/drawingml/2006/main">
                  <a:graphicData uri="http://schemas.microsoft.com/office/word/2010/wordprocessingShape">
                    <wps:wsp>
                      <wps:cNvSpPr/>
                      <wps:spPr>
                        <a:xfrm>
                          <a:off x="0" y="0"/>
                          <a:ext cx="582930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pt;margin-top:1.65pt;height:0pt;width:459pt;z-index:251659264;mso-width-relative:page;mso-height-relative:page;" filled="f" stroked="t" coordsize="21600,21600" o:gfxdata="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VsY4/UAAAABgEAAA8AAAAAAAAAAQAg&#10;AAAAIgAAAGRycy9kb3ducmV2LnhtbFBLAQIUABQAAAAIAIdO4kA5dTaj2QEAAJcDAAAOAAAAAAAA&#10;AAEAIAAAACMBAABkcnMvZTJvRG9jLnhtbFBLBQYAAAAABgAGAFkBAABuBQAAAAA=&#10;">
                <v:fill on="f" focussize="0,0"/>
                <v:stroke weight="1.25pt" color="#000000" joinstyle="round"/>
                <v:imagedata o:title=""/>
                <o:lock v:ext="edit" aspectratio="f"/>
              </v:line>
            </w:pict>
          </mc:Fallback>
        </mc:AlternateContent>
      </w:r>
      <w:r>
        <w:rPr>
          <w:rFonts w:hint="eastAsia" w:ascii="仿宋_GB2312" w:eastAsia="仿宋_GB2312" w:cs="仿宋_GB2312"/>
          <w:w w:val="95"/>
          <w:sz w:val="28"/>
          <w:szCs w:val="28"/>
        </w:rPr>
        <w:t>抄送：</w:t>
      </w:r>
      <w:r>
        <w:rPr>
          <w:rFonts w:hint="eastAsia" w:ascii="仿宋_GB2312" w:eastAsia="仿宋_GB2312" w:cs="仿宋_GB2312"/>
          <w:spacing w:val="10"/>
          <w:w w:val="95"/>
          <w:sz w:val="28"/>
          <w:szCs w:val="28"/>
        </w:rPr>
        <w:t>县委各部</w:t>
      </w:r>
      <w:r>
        <w:rPr>
          <w:rFonts w:hint="eastAsia" w:ascii="仿宋_GB2312" w:eastAsia="仿宋_GB2312" w:cs="仿宋_GB2312"/>
          <w:spacing w:val="10"/>
          <w:w w:val="95"/>
          <w:sz w:val="28"/>
          <w:szCs w:val="28"/>
          <w:lang w:eastAsia="zh-CN"/>
        </w:rPr>
        <w:t>委</w:t>
      </w:r>
      <w:r>
        <w:rPr>
          <w:rFonts w:hint="eastAsia" w:ascii="仿宋_GB2312" w:eastAsia="仿宋_GB2312" w:cs="仿宋_GB2312"/>
          <w:spacing w:val="10"/>
          <w:w w:val="95"/>
          <w:sz w:val="28"/>
          <w:szCs w:val="28"/>
        </w:rPr>
        <w:t>，县人大办，县政协办，县武装部，县法院，</w:t>
      </w:r>
      <w:r>
        <w:rPr>
          <w:rFonts w:hint="eastAsia" w:ascii="仿宋_GB2312" w:eastAsia="仿宋_GB2312" w:cs="仿宋_GB2312"/>
          <w:w w:val="95"/>
          <w:sz w:val="28"/>
          <w:szCs w:val="28"/>
        </w:rPr>
        <w:t>县检察院。</w:t>
      </w:r>
    </w:p>
    <w:p>
      <w:pPr>
        <w:spacing w:line="560" w:lineRule="exact"/>
        <w:ind w:firstLine="31680" w:firstLineChars="100"/>
        <w:jc w:val="left"/>
        <w:rPr>
          <w:rFonts w:hint="eastAsia" w:ascii="仿宋_GB2312" w:hAnsi="仿宋_GB2312" w:eastAsia="仿宋_GB2312" w:cs="仿宋_GB2312"/>
          <w:color w:val="auto"/>
          <w:sz w:val="32"/>
          <w:szCs w:val="32"/>
          <w:lang w:eastAsia="zh-CN"/>
        </w:rPr>
      </w:pPr>
      <w:r>
        <mc:AlternateContent>
          <mc:Choice Requires="wps">
            <w:drawing>
              <wp:anchor distT="0" distB="0" distL="114300" distR="114300" simplePos="0" relativeHeight="251658240" behindDoc="0" locked="0" layoutInCell="1" allowOverlap="1">
                <wp:simplePos x="0" y="0"/>
                <wp:positionH relativeFrom="column">
                  <wp:posOffset>-38100</wp:posOffset>
                </wp:positionH>
                <wp:positionV relativeFrom="paragraph">
                  <wp:posOffset>372110</wp:posOffset>
                </wp:positionV>
                <wp:extent cx="5829300" cy="0"/>
                <wp:effectExtent l="0" t="0" r="0" b="0"/>
                <wp:wrapNone/>
                <wp:docPr id="2" name="直接连接符 2"/>
                <wp:cNvGraphicFramePr/>
                <a:graphic xmlns:a="http://schemas.openxmlformats.org/drawingml/2006/main">
                  <a:graphicData uri="http://schemas.microsoft.com/office/word/2010/wordprocessingShape">
                    <wps:wsp>
                      <wps:cNvSpPr/>
                      <wps:spPr>
                        <a:xfrm>
                          <a:off x="0" y="0"/>
                          <a:ext cx="582930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pt;margin-top:29.3pt;height:0pt;width:459pt;z-index:251658240;mso-width-relative:page;mso-height-relative:page;" filled="f" stroked="t" coordsize="21600,21600" o:gfxdata="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qwe29cAAAAIAQAADwAAAAAA&#10;AAABACAAAAAiAAAAZHJzL2Rvd25yZXYueG1sUEsBAhQAFAAAAAgAh07iQJK4URzbAQAAlwMAAA4A&#10;AAAAAAAAAQAgAAAAJgEAAGRycy9lMm9Eb2MueG1sUEsFBgAAAAAGAAYAWQEAAHMFAAAAAA==&#10;">
                <v:fill on="f" focussize="0,0"/>
                <v:stroke weight="1.25pt"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31115</wp:posOffset>
                </wp:positionV>
                <wp:extent cx="5829300" cy="0"/>
                <wp:effectExtent l="0" t="0" r="0" b="0"/>
                <wp:wrapNone/>
                <wp:docPr id="4" name="直接连接符 4"/>
                <wp:cNvGraphicFramePr/>
                <a:graphic xmlns:a="http://schemas.openxmlformats.org/drawingml/2006/main">
                  <a:graphicData uri="http://schemas.microsoft.com/office/word/2010/wordprocessingShape">
                    <wps:wsp>
                      <wps:cNvSpPr/>
                      <wps:spPr>
                        <a:xfrm>
                          <a:off x="0" y="0"/>
                          <a:ext cx="5829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pt;margin-top:2.45pt;height:0pt;width:459pt;z-index:251660288;mso-width-relative:page;mso-height-relative:page;" filled="f" stroked="t" coordsize="21600,21600" o:gfxdata="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rsAZ79QAAAAGAQAADwAAAAAAAAAB&#10;ACAAAAAiAAAAZHJzL2Rvd25yZXYueG1sUEsBAhQAFAAAAAgAh07iQO9TgvfbAQAAlgMAAA4AAAAA&#10;AAAAAQAgAAAAIwEAAGRycy9lMm9Eb2MueG1sUEsFBgAAAAAGAAYAWQEAAHAFAAAAAA==&#10;">
                <v:fill on="f" focussize="0,0"/>
                <v:stroke color="#000000" joinstyle="round"/>
                <v:imagedata o:title=""/>
                <o:lock v:ext="edit" aspectratio="f"/>
              </v:line>
            </w:pict>
          </mc:Fallback>
        </mc:AlternateContent>
      </w:r>
      <w:r>
        <w:rPr>
          <w:rFonts w:hint="eastAsia" w:ascii="仿宋_GB2312" w:eastAsia="仿宋_GB2312" w:cs="仿宋_GB2312"/>
          <w:spacing w:val="10"/>
          <w:sz w:val="28"/>
          <w:szCs w:val="28"/>
        </w:rPr>
        <w:t>延津县人民政府办公室</w:t>
      </w:r>
      <w:r>
        <w:rPr>
          <w:rFonts w:ascii="仿宋_GB2312" w:eastAsia="仿宋_GB2312" w:cs="仿宋_GB2312"/>
          <w:spacing w:val="10"/>
          <w:sz w:val="28"/>
          <w:szCs w:val="28"/>
        </w:rPr>
        <w:t xml:space="preserve">                 202</w:t>
      </w:r>
      <w:r>
        <w:rPr>
          <w:rFonts w:hint="eastAsia" w:ascii="仿宋_GB2312" w:eastAsia="仿宋_GB2312" w:cs="仿宋_GB2312"/>
          <w:spacing w:val="10"/>
          <w:sz w:val="28"/>
          <w:szCs w:val="28"/>
          <w:lang w:val="en-US" w:eastAsia="zh-CN"/>
        </w:rPr>
        <w:t>2</w:t>
      </w:r>
      <w:r>
        <w:rPr>
          <w:rFonts w:hint="eastAsia" w:ascii="仿宋_GB2312" w:eastAsia="仿宋_GB2312" w:cs="仿宋_GB2312"/>
          <w:spacing w:val="10"/>
          <w:sz w:val="28"/>
          <w:szCs w:val="28"/>
        </w:rPr>
        <w:t>年</w:t>
      </w:r>
      <w:r>
        <w:rPr>
          <w:rFonts w:hint="eastAsia" w:ascii="仿宋_GB2312" w:eastAsia="仿宋_GB2312" w:cs="仿宋_GB2312"/>
          <w:spacing w:val="10"/>
          <w:sz w:val="28"/>
          <w:szCs w:val="28"/>
          <w:lang w:val="en-US" w:eastAsia="zh-CN"/>
        </w:rPr>
        <w:t>5</w:t>
      </w:r>
      <w:r>
        <w:rPr>
          <w:rFonts w:hint="eastAsia" w:ascii="仿宋_GB2312" w:eastAsia="仿宋_GB2312" w:cs="仿宋_GB2312"/>
          <w:spacing w:val="10"/>
          <w:sz w:val="28"/>
          <w:szCs w:val="28"/>
        </w:rPr>
        <w:t>月</w:t>
      </w:r>
      <w:r>
        <w:rPr>
          <w:rFonts w:hint="eastAsia" w:ascii="仿宋_GB2312" w:eastAsia="仿宋_GB2312" w:cs="仿宋_GB2312"/>
          <w:spacing w:val="10"/>
          <w:sz w:val="28"/>
          <w:szCs w:val="28"/>
          <w:lang w:val="en-US" w:eastAsia="zh-CN"/>
        </w:rPr>
        <w:t>16</w:t>
      </w:r>
      <w:r>
        <w:rPr>
          <w:rFonts w:hint="eastAsia" w:ascii="仿宋_GB2312" w:eastAsia="仿宋_GB2312" w:cs="仿宋_GB2312"/>
          <w:spacing w:val="10"/>
          <w:sz w:val="28"/>
          <w:szCs w:val="28"/>
        </w:rPr>
        <w:t>日印发</w:t>
      </w:r>
    </w:p>
    <w:p>
      <w:pPr>
        <w:keepNext w:val="0"/>
        <w:keepLines w:val="0"/>
        <w:pageBreakBefore w:val="0"/>
        <w:tabs>
          <w:tab w:val="left" w:pos="2893"/>
        </w:tabs>
        <w:wordWrap/>
        <w:overflowPunct/>
        <w:topLinePunct w:val="0"/>
        <w:bidi w:val="0"/>
        <w:spacing w:beforeAutospacing="0" w:afterAutospacing="0" w:line="560" w:lineRule="exact"/>
        <w:jc w:val="left"/>
        <w:rPr>
          <w:rFonts w:hint="eastAsia" w:ascii="仿宋_GB2312" w:hAnsi="仿宋_GB2312" w:eastAsia="仿宋_GB2312" w:cs="仿宋_GB2312"/>
          <w:color w:val="auto"/>
          <w:sz w:val="32"/>
          <w:szCs w:val="32"/>
          <w:lang w:val="en-US" w:eastAsia="zh-CN"/>
        </w:rPr>
      </w:pPr>
    </w:p>
    <w:sectPr>
      <w:footerReference r:id="rId3" w:type="default"/>
      <w:pgSz w:w="11906" w:h="16838"/>
      <w:pgMar w:top="1984" w:right="1417" w:bottom="1814" w:left="141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文星标宋">
    <w:panose1 w:val="0201060900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方正宋体S-超大字符集">
    <w:altName w:val="宋体"/>
    <w:panose1 w:val="02000000000000000000"/>
    <w:charset w:val="86"/>
    <w:family w:val="auto"/>
    <w:pitch w:val="default"/>
    <w:sig w:usb0="00000000" w:usb1="00000000" w:usb2="00000000" w:usb3="00000000" w:csb0="00040000" w:csb1="00000000"/>
  </w:font>
  <w:font w:name="FreeSerif">
    <w:altName w:val="Times"/>
    <w:panose1 w:val="02020603050405020304"/>
    <w:charset w:val="00"/>
    <w:family w:val="auto"/>
    <w:pitch w:val="default"/>
    <w:sig w:usb0="00000000" w:usb1="00000000" w:usb2="43501B29" w:usb3="04000043" w:csb0="600101FF" w:csb1="FFFF0000"/>
  </w:font>
  <w:font w:name="等线">
    <w:altName w:val="楷体_GB2312"/>
    <w:panose1 w:val="02010600030101010101"/>
    <w:charset w:val="00"/>
    <w:family w:val="auto"/>
    <w:pitch w:val="default"/>
    <w:sig w:usb0="00000000" w:usb1="00000000" w:usb2="00000016" w:usb3="00000000" w:csb0="0004000F" w:csb1="00000000"/>
  </w:font>
  <w:font w:name="DejaVu Sans">
    <w:altName w:val="Segoe Print"/>
    <w:panose1 w:val="020B0603030804020204"/>
    <w:charset w:val="00"/>
    <w:family w:val="auto"/>
    <w:pitch w:val="default"/>
    <w:sig w:usb0="00000000" w:usb1="00000000" w:usb2="0A246029" w:usb3="0400200C" w:csb0="600001FF" w:csb1="DFFF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Times">
    <w:panose1 w:val="02020603050405020304"/>
    <w:charset w:val="00"/>
    <w:family w:val="auto"/>
    <w:pitch w:val="default"/>
    <w:sig w:usb0="00000007" w:usb1="00000000" w:usb2="00000000" w:usb3="00000000" w:csb0="00000093" w:csb1="00000000"/>
  </w:font>
  <w:font w:name="楷体_GB2312">
    <w:panose1 w:val="02010609030101010101"/>
    <w:charset w:val="00"/>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仿宋_GB2312">
    <w:panose1 w:val="02010609030101010101"/>
    <w:charset w:val="86"/>
    <w:family w:val="roman"/>
    <w:pitch w:val="default"/>
    <w:sig w:usb0="00000001" w:usb1="080E0000" w:usb2="00000000" w:usb3="00000000" w:csb0="00040000" w:csb1="00000000"/>
  </w:font>
  <w:font w:name="??">
    <w:altName w:val="Segoe Print"/>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文星标宋">
    <w:panose1 w:val="02010609000101010101"/>
    <w:charset w:val="86"/>
    <w:family w:val="modern"/>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文星黑体">
    <w:panose1 w:val="0201060900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DejaVu Math TeX Gyre">
    <w:altName w:val="Mangal"/>
    <w:panose1 w:val="02000503000000000000"/>
    <w:charset w:val="00"/>
    <w:family w:val="auto"/>
    <w:pitch w:val="default"/>
    <w:sig w:usb0="00000000" w:usb1="00000000" w:usb2="02000000" w:usb3="00000000" w:csb0="60000193" w:csb1="0DD40000"/>
  </w:font>
  <w:font w:name="华文彩云">
    <w:altName w:val="微软雅黑"/>
    <w:panose1 w:val="02010800040101010101"/>
    <w:charset w:val="86"/>
    <w:family w:val="auto"/>
    <w:pitch w:val="default"/>
    <w:sig w:usb0="00000000" w:usb1="00000000" w:usb2="00000000" w:usb3="00000000" w:csb0="00040000" w:csb1="00000000"/>
  </w:font>
  <w:font w:name="Mangal">
    <w:panose1 w:val="02040503050203030202"/>
    <w:charset w:val="00"/>
    <w:family w:val="auto"/>
    <w:pitch w:val="default"/>
    <w:sig w:usb0="00008003" w:usb1="00000000" w:usb2="00000000" w:usb3="00000000" w:csb0="00000001" w:csb1="00000000"/>
  </w:font>
  <w:font w:name="CG Times">
    <w:panose1 w:val="02020603050405020304"/>
    <w:charset w:val="00"/>
    <w:family w:val="auto"/>
    <w:pitch w:val="default"/>
    <w:sig w:usb0="00000007" w:usb1="00000000" w:usb2="00000000" w:usb3="00000000" w:csb0="00000093" w:csb1="00000000"/>
  </w:font>
  <w:font w:name="Arial">
    <w:panose1 w:val="020B0604020202020204"/>
    <w:charset w:val="00"/>
    <w:family w:val="auto"/>
    <w:pitch w:val="default"/>
    <w:sig w:usb0="E0002AFF" w:usb1="C0007843" w:usb2="00000009" w:usb3="00000000" w:csb0="400001FF" w:csb1="FFFF0000"/>
  </w:font>
  <w:font w:name="方正小标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tabs>
        <w:tab w:val="left" w:pos="4586"/>
      </w:tabs>
      <w:spacing w:line="182" w:lineRule="exact"/>
      <w:ind w:firstLine="7796"/>
      <w:rPr>
        <w:rFonts w:ascii="宋体" w:hAnsi="宋体" w:eastAsia="宋体" w:cs="宋体"/>
        <w:sz w:val="26"/>
        <w:szCs w:val="26"/>
      </w:rPr>
    </w:pPr>
    <w:r>
      <w:rPr>
        <w:sz w:val="26"/>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eastAsia" w:ascii="宋体" w:hAnsi="宋体" w:cs="宋体"/>
        <w:sz w:val="26"/>
        <w:szCs w:val="26"/>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C3555"/>
    <w:rsid w:val="004955CB"/>
    <w:rsid w:val="00650DDF"/>
    <w:rsid w:val="00723BC9"/>
    <w:rsid w:val="00C13A64"/>
    <w:rsid w:val="01807BA1"/>
    <w:rsid w:val="01973610"/>
    <w:rsid w:val="01B6306B"/>
    <w:rsid w:val="01CA3E9D"/>
    <w:rsid w:val="02273EB9"/>
    <w:rsid w:val="02A30F73"/>
    <w:rsid w:val="02D176EC"/>
    <w:rsid w:val="02DD5948"/>
    <w:rsid w:val="032B3FE7"/>
    <w:rsid w:val="03B81208"/>
    <w:rsid w:val="03BA251D"/>
    <w:rsid w:val="03C9320C"/>
    <w:rsid w:val="03F64CDD"/>
    <w:rsid w:val="045E378A"/>
    <w:rsid w:val="04A10CD3"/>
    <w:rsid w:val="04E00CE4"/>
    <w:rsid w:val="05AE4690"/>
    <w:rsid w:val="05C249C0"/>
    <w:rsid w:val="0634558F"/>
    <w:rsid w:val="06444FCD"/>
    <w:rsid w:val="070836C2"/>
    <w:rsid w:val="07573882"/>
    <w:rsid w:val="077816BF"/>
    <w:rsid w:val="083A4236"/>
    <w:rsid w:val="08640EBC"/>
    <w:rsid w:val="08F14B43"/>
    <w:rsid w:val="09085DE4"/>
    <w:rsid w:val="0922774C"/>
    <w:rsid w:val="09463A48"/>
    <w:rsid w:val="09F0600C"/>
    <w:rsid w:val="09F24B8E"/>
    <w:rsid w:val="09FD4C96"/>
    <w:rsid w:val="0A4F5392"/>
    <w:rsid w:val="0A703AFF"/>
    <w:rsid w:val="0A99791C"/>
    <w:rsid w:val="0B101463"/>
    <w:rsid w:val="0CB328F2"/>
    <w:rsid w:val="0CC06908"/>
    <w:rsid w:val="0CD23B0A"/>
    <w:rsid w:val="0CF24535"/>
    <w:rsid w:val="0DC04F7E"/>
    <w:rsid w:val="0DF54DFD"/>
    <w:rsid w:val="0EFB232B"/>
    <w:rsid w:val="0F206A30"/>
    <w:rsid w:val="0F430E9A"/>
    <w:rsid w:val="0F7B0E00"/>
    <w:rsid w:val="0FAA41FB"/>
    <w:rsid w:val="0FCB1598"/>
    <w:rsid w:val="0FFE44D7"/>
    <w:rsid w:val="10B012C2"/>
    <w:rsid w:val="114A11E6"/>
    <w:rsid w:val="11530882"/>
    <w:rsid w:val="11EA2C1D"/>
    <w:rsid w:val="123F493F"/>
    <w:rsid w:val="12BE19BD"/>
    <w:rsid w:val="13596FCB"/>
    <w:rsid w:val="13AD6361"/>
    <w:rsid w:val="141525D1"/>
    <w:rsid w:val="146F7A01"/>
    <w:rsid w:val="14E90F4C"/>
    <w:rsid w:val="14EA3BD5"/>
    <w:rsid w:val="15036FD8"/>
    <w:rsid w:val="1550015D"/>
    <w:rsid w:val="15DD10BC"/>
    <w:rsid w:val="15EE7D7F"/>
    <w:rsid w:val="16DB83E7"/>
    <w:rsid w:val="172D2EA8"/>
    <w:rsid w:val="178E1B93"/>
    <w:rsid w:val="18013146"/>
    <w:rsid w:val="180C2049"/>
    <w:rsid w:val="186822DC"/>
    <w:rsid w:val="189050CE"/>
    <w:rsid w:val="18947338"/>
    <w:rsid w:val="18AD25FE"/>
    <w:rsid w:val="18D54C89"/>
    <w:rsid w:val="19A40F52"/>
    <w:rsid w:val="1A8E35D4"/>
    <w:rsid w:val="1A965E0F"/>
    <w:rsid w:val="1AC041B9"/>
    <w:rsid w:val="1B543B1E"/>
    <w:rsid w:val="1BC84BD6"/>
    <w:rsid w:val="1BF52B4A"/>
    <w:rsid w:val="1C4B743F"/>
    <w:rsid w:val="1D202B13"/>
    <w:rsid w:val="1D37160F"/>
    <w:rsid w:val="1D4454C5"/>
    <w:rsid w:val="1D53F1BB"/>
    <w:rsid w:val="1D81427B"/>
    <w:rsid w:val="1D827094"/>
    <w:rsid w:val="1E200F9B"/>
    <w:rsid w:val="1E5D34B3"/>
    <w:rsid w:val="1E821C66"/>
    <w:rsid w:val="1ED65F07"/>
    <w:rsid w:val="1EFF9BDD"/>
    <w:rsid w:val="1F1B4CBA"/>
    <w:rsid w:val="1F3D2C08"/>
    <w:rsid w:val="1FCA3857"/>
    <w:rsid w:val="1FCB3AB8"/>
    <w:rsid w:val="1FD59A2D"/>
    <w:rsid w:val="202B5584"/>
    <w:rsid w:val="20332EB8"/>
    <w:rsid w:val="20346C75"/>
    <w:rsid w:val="20414183"/>
    <w:rsid w:val="20992A5C"/>
    <w:rsid w:val="21307C58"/>
    <w:rsid w:val="217D0382"/>
    <w:rsid w:val="21C37F49"/>
    <w:rsid w:val="224F6B83"/>
    <w:rsid w:val="228313B4"/>
    <w:rsid w:val="22B50043"/>
    <w:rsid w:val="22B56028"/>
    <w:rsid w:val="22D43C1E"/>
    <w:rsid w:val="22E17108"/>
    <w:rsid w:val="22E81928"/>
    <w:rsid w:val="23003C8B"/>
    <w:rsid w:val="237B75E2"/>
    <w:rsid w:val="2391379B"/>
    <w:rsid w:val="23EC517E"/>
    <w:rsid w:val="241268E6"/>
    <w:rsid w:val="241B14C4"/>
    <w:rsid w:val="24863C03"/>
    <w:rsid w:val="24C75CB3"/>
    <w:rsid w:val="25315A89"/>
    <w:rsid w:val="253943FA"/>
    <w:rsid w:val="258571E9"/>
    <w:rsid w:val="25A138EC"/>
    <w:rsid w:val="25BA3EB5"/>
    <w:rsid w:val="25E65584"/>
    <w:rsid w:val="26885709"/>
    <w:rsid w:val="26E941EB"/>
    <w:rsid w:val="2874311B"/>
    <w:rsid w:val="29292F4B"/>
    <w:rsid w:val="29B459DF"/>
    <w:rsid w:val="29D24199"/>
    <w:rsid w:val="29DE07DB"/>
    <w:rsid w:val="2A024EA4"/>
    <w:rsid w:val="2A3458A9"/>
    <w:rsid w:val="2A3A330D"/>
    <w:rsid w:val="2A470D41"/>
    <w:rsid w:val="2A6F2913"/>
    <w:rsid w:val="2AB56F79"/>
    <w:rsid w:val="2AC66C7A"/>
    <w:rsid w:val="2AD6436B"/>
    <w:rsid w:val="2B2D124F"/>
    <w:rsid w:val="2B7A3833"/>
    <w:rsid w:val="2BF95E17"/>
    <w:rsid w:val="2C507894"/>
    <w:rsid w:val="2D214A86"/>
    <w:rsid w:val="2D262DCA"/>
    <w:rsid w:val="2D2D6860"/>
    <w:rsid w:val="2D3968BA"/>
    <w:rsid w:val="2D527CF7"/>
    <w:rsid w:val="2D543027"/>
    <w:rsid w:val="2DB348EA"/>
    <w:rsid w:val="2DC27FD8"/>
    <w:rsid w:val="2E7B0BB5"/>
    <w:rsid w:val="2E951F23"/>
    <w:rsid w:val="2E9FEA22"/>
    <w:rsid w:val="2ECB5ABD"/>
    <w:rsid w:val="2F167051"/>
    <w:rsid w:val="2F5032B7"/>
    <w:rsid w:val="2FA01407"/>
    <w:rsid w:val="2FA81D3A"/>
    <w:rsid w:val="2FCD75CE"/>
    <w:rsid w:val="303D67F0"/>
    <w:rsid w:val="30886BBF"/>
    <w:rsid w:val="309D11CD"/>
    <w:rsid w:val="30F84522"/>
    <w:rsid w:val="312338F5"/>
    <w:rsid w:val="31746AF3"/>
    <w:rsid w:val="31B706A8"/>
    <w:rsid w:val="31DB7606"/>
    <w:rsid w:val="32FF5453"/>
    <w:rsid w:val="33A84FF4"/>
    <w:rsid w:val="33BD0267"/>
    <w:rsid w:val="33DF14AE"/>
    <w:rsid w:val="34A0058F"/>
    <w:rsid w:val="35553B0A"/>
    <w:rsid w:val="357D5B65"/>
    <w:rsid w:val="35CF8AAC"/>
    <w:rsid w:val="35F659E1"/>
    <w:rsid w:val="35FEAE6B"/>
    <w:rsid w:val="3613035F"/>
    <w:rsid w:val="366A0272"/>
    <w:rsid w:val="36BFBC58"/>
    <w:rsid w:val="36DF1146"/>
    <w:rsid w:val="36E176CF"/>
    <w:rsid w:val="36E66758"/>
    <w:rsid w:val="37597B20"/>
    <w:rsid w:val="37BF8DF1"/>
    <w:rsid w:val="385A0BDA"/>
    <w:rsid w:val="38657056"/>
    <w:rsid w:val="3895358A"/>
    <w:rsid w:val="38980D3D"/>
    <w:rsid w:val="38D847EE"/>
    <w:rsid w:val="38FD31F6"/>
    <w:rsid w:val="3947386A"/>
    <w:rsid w:val="395F046F"/>
    <w:rsid w:val="39D03FE5"/>
    <w:rsid w:val="39DB1411"/>
    <w:rsid w:val="39DB43B2"/>
    <w:rsid w:val="3A0008B7"/>
    <w:rsid w:val="3A153F2B"/>
    <w:rsid w:val="3AB466D9"/>
    <w:rsid w:val="3B98195C"/>
    <w:rsid w:val="3BD30FE1"/>
    <w:rsid w:val="3BFB0E86"/>
    <w:rsid w:val="3BFDD3E1"/>
    <w:rsid w:val="3C4C3861"/>
    <w:rsid w:val="3C9C7ED5"/>
    <w:rsid w:val="3CAE709A"/>
    <w:rsid w:val="3D2F19F4"/>
    <w:rsid w:val="3D5E6D65"/>
    <w:rsid w:val="3D9E3D84"/>
    <w:rsid w:val="3DEA351C"/>
    <w:rsid w:val="3E360A5B"/>
    <w:rsid w:val="3E506549"/>
    <w:rsid w:val="3F474913"/>
    <w:rsid w:val="3F4F10E9"/>
    <w:rsid w:val="3F7B6B48"/>
    <w:rsid w:val="3F7E046D"/>
    <w:rsid w:val="3FD0256F"/>
    <w:rsid w:val="3FDDCBE7"/>
    <w:rsid w:val="3FF7C594"/>
    <w:rsid w:val="40321027"/>
    <w:rsid w:val="40594C2E"/>
    <w:rsid w:val="40ED6B64"/>
    <w:rsid w:val="410452D7"/>
    <w:rsid w:val="41613462"/>
    <w:rsid w:val="41AE2846"/>
    <w:rsid w:val="41D61F3D"/>
    <w:rsid w:val="41DD78A1"/>
    <w:rsid w:val="41E23570"/>
    <w:rsid w:val="41E42874"/>
    <w:rsid w:val="428E5122"/>
    <w:rsid w:val="42CB70EF"/>
    <w:rsid w:val="42E70EAE"/>
    <w:rsid w:val="42E74E42"/>
    <w:rsid w:val="42EC4091"/>
    <w:rsid w:val="43993EB9"/>
    <w:rsid w:val="43F150B6"/>
    <w:rsid w:val="43FBD640"/>
    <w:rsid w:val="44542837"/>
    <w:rsid w:val="44C7790F"/>
    <w:rsid w:val="45016A1F"/>
    <w:rsid w:val="45142B9C"/>
    <w:rsid w:val="451B3FC3"/>
    <w:rsid w:val="456400F4"/>
    <w:rsid w:val="458B2915"/>
    <w:rsid w:val="45B25B62"/>
    <w:rsid w:val="46894D6C"/>
    <w:rsid w:val="46C411C3"/>
    <w:rsid w:val="47125ABE"/>
    <w:rsid w:val="4723152B"/>
    <w:rsid w:val="474E75FA"/>
    <w:rsid w:val="47977DDE"/>
    <w:rsid w:val="481960DE"/>
    <w:rsid w:val="48703BA8"/>
    <w:rsid w:val="48E368F1"/>
    <w:rsid w:val="4A4F73F7"/>
    <w:rsid w:val="4AA53C16"/>
    <w:rsid w:val="4B2D76A9"/>
    <w:rsid w:val="4C3D5213"/>
    <w:rsid w:val="4C8004E5"/>
    <w:rsid w:val="4C9306FA"/>
    <w:rsid w:val="4CAB3024"/>
    <w:rsid w:val="4CCB381A"/>
    <w:rsid w:val="4CD12FBF"/>
    <w:rsid w:val="4D10707B"/>
    <w:rsid w:val="4D2B555E"/>
    <w:rsid w:val="4D433BAE"/>
    <w:rsid w:val="4D6745A4"/>
    <w:rsid w:val="4DB32A9D"/>
    <w:rsid w:val="4E036A00"/>
    <w:rsid w:val="4EB02110"/>
    <w:rsid w:val="4EB843BA"/>
    <w:rsid w:val="4EDC0A6F"/>
    <w:rsid w:val="4EFE5EC8"/>
    <w:rsid w:val="4F400800"/>
    <w:rsid w:val="4FAD1B0B"/>
    <w:rsid w:val="4FB00DFC"/>
    <w:rsid w:val="4FDF639B"/>
    <w:rsid w:val="4FEB2F13"/>
    <w:rsid w:val="505021B5"/>
    <w:rsid w:val="50CF518C"/>
    <w:rsid w:val="50D87F55"/>
    <w:rsid w:val="50F66498"/>
    <w:rsid w:val="514A7E04"/>
    <w:rsid w:val="518E42F8"/>
    <w:rsid w:val="521B13A6"/>
    <w:rsid w:val="523E1183"/>
    <w:rsid w:val="528174BD"/>
    <w:rsid w:val="52CB59F9"/>
    <w:rsid w:val="52D16C31"/>
    <w:rsid w:val="52FFF10A"/>
    <w:rsid w:val="531F034C"/>
    <w:rsid w:val="538615E0"/>
    <w:rsid w:val="53900601"/>
    <w:rsid w:val="53E6C547"/>
    <w:rsid w:val="540E3B7C"/>
    <w:rsid w:val="54661C86"/>
    <w:rsid w:val="54B31766"/>
    <w:rsid w:val="54E33CF8"/>
    <w:rsid w:val="54ED3563"/>
    <w:rsid w:val="54F560D8"/>
    <w:rsid w:val="55794082"/>
    <w:rsid w:val="568A5601"/>
    <w:rsid w:val="568E69D8"/>
    <w:rsid w:val="56990195"/>
    <w:rsid w:val="56AF059E"/>
    <w:rsid w:val="56AF25DA"/>
    <w:rsid w:val="574D6976"/>
    <w:rsid w:val="5756078F"/>
    <w:rsid w:val="5764784A"/>
    <w:rsid w:val="57684AB7"/>
    <w:rsid w:val="577FF406"/>
    <w:rsid w:val="57844671"/>
    <w:rsid w:val="57A433A2"/>
    <w:rsid w:val="57B75763"/>
    <w:rsid w:val="57D74BDF"/>
    <w:rsid w:val="57E859B8"/>
    <w:rsid w:val="581816FA"/>
    <w:rsid w:val="58235EA6"/>
    <w:rsid w:val="58CC2B29"/>
    <w:rsid w:val="598E3EA4"/>
    <w:rsid w:val="59912963"/>
    <w:rsid w:val="5A911733"/>
    <w:rsid w:val="5B077D04"/>
    <w:rsid w:val="5B797CBB"/>
    <w:rsid w:val="5B7B91B1"/>
    <w:rsid w:val="5B930684"/>
    <w:rsid w:val="5BEE5898"/>
    <w:rsid w:val="5BF068CF"/>
    <w:rsid w:val="5C020F1B"/>
    <w:rsid w:val="5C143AEF"/>
    <w:rsid w:val="5C1E3906"/>
    <w:rsid w:val="5C321199"/>
    <w:rsid w:val="5CB02A74"/>
    <w:rsid w:val="5CEA0E4E"/>
    <w:rsid w:val="5CFEB5EE"/>
    <w:rsid w:val="5E2522DA"/>
    <w:rsid w:val="5EAF3E98"/>
    <w:rsid w:val="5EB03FDB"/>
    <w:rsid w:val="5EBA0429"/>
    <w:rsid w:val="5EC7D2E1"/>
    <w:rsid w:val="5ED026EF"/>
    <w:rsid w:val="5EEB48F2"/>
    <w:rsid w:val="5FBF0FC5"/>
    <w:rsid w:val="5FE6D6FD"/>
    <w:rsid w:val="5FEFC6CD"/>
    <w:rsid w:val="602C01CE"/>
    <w:rsid w:val="61EC2CA7"/>
    <w:rsid w:val="620A0C59"/>
    <w:rsid w:val="62957F8E"/>
    <w:rsid w:val="62A76964"/>
    <w:rsid w:val="633D5C5F"/>
    <w:rsid w:val="63601B43"/>
    <w:rsid w:val="6426AAE1"/>
    <w:rsid w:val="6456125A"/>
    <w:rsid w:val="645725D9"/>
    <w:rsid w:val="651A3E01"/>
    <w:rsid w:val="65620296"/>
    <w:rsid w:val="658A56CE"/>
    <w:rsid w:val="65A42043"/>
    <w:rsid w:val="65A779BB"/>
    <w:rsid w:val="65C3219C"/>
    <w:rsid w:val="65E21297"/>
    <w:rsid w:val="65EA04EB"/>
    <w:rsid w:val="66156602"/>
    <w:rsid w:val="663F59A7"/>
    <w:rsid w:val="667B5D2D"/>
    <w:rsid w:val="66835439"/>
    <w:rsid w:val="66CB1EF3"/>
    <w:rsid w:val="66CC2FC3"/>
    <w:rsid w:val="67152DC2"/>
    <w:rsid w:val="671E3D92"/>
    <w:rsid w:val="673F9D49"/>
    <w:rsid w:val="6748A627"/>
    <w:rsid w:val="677B3822"/>
    <w:rsid w:val="67976987"/>
    <w:rsid w:val="67EF0DC9"/>
    <w:rsid w:val="685447C0"/>
    <w:rsid w:val="68FE387F"/>
    <w:rsid w:val="690A1D14"/>
    <w:rsid w:val="69544884"/>
    <w:rsid w:val="69EE0C80"/>
    <w:rsid w:val="6A332B76"/>
    <w:rsid w:val="6A76238B"/>
    <w:rsid w:val="6ABD49D4"/>
    <w:rsid w:val="6ACB74A2"/>
    <w:rsid w:val="6B084463"/>
    <w:rsid w:val="6B9519C4"/>
    <w:rsid w:val="6BA50FDC"/>
    <w:rsid w:val="6BE759D6"/>
    <w:rsid w:val="6BF177D2"/>
    <w:rsid w:val="6BF42F78"/>
    <w:rsid w:val="6BFDAF88"/>
    <w:rsid w:val="6CC1788B"/>
    <w:rsid w:val="6CCE69FD"/>
    <w:rsid w:val="6D672E9B"/>
    <w:rsid w:val="6DFE5841"/>
    <w:rsid w:val="6DFF16A4"/>
    <w:rsid w:val="6E235377"/>
    <w:rsid w:val="6EA14990"/>
    <w:rsid w:val="6EDD6F87"/>
    <w:rsid w:val="6EE70BCA"/>
    <w:rsid w:val="6F0C4768"/>
    <w:rsid w:val="6F5410A7"/>
    <w:rsid w:val="6F558156"/>
    <w:rsid w:val="6F5D416F"/>
    <w:rsid w:val="6F7F992C"/>
    <w:rsid w:val="6F921A73"/>
    <w:rsid w:val="6FEF56CA"/>
    <w:rsid w:val="6FF512A0"/>
    <w:rsid w:val="6FF7A856"/>
    <w:rsid w:val="6FFC0975"/>
    <w:rsid w:val="6FFDB9FB"/>
    <w:rsid w:val="6FFFD769"/>
    <w:rsid w:val="71047D7B"/>
    <w:rsid w:val="71263CB8"/>
    <w:rsid w:val="71BBD992"/>
    <w:rsid w:val="71FA6C72"/>
    <w:rsid w:val="722A4C4A"/>
    <w:rsid w:val="72B65080"/>
    <w:rsid w:val="731C4BAC"/>
    <w:rsid w:val="74B727A0"/>
    <w:rsid w:val="74E04F83"/>
    <w:rsid w:val="75B6479E"/>
    <w:rsid w:val="767E4B73"/>
    <w:rsid w:val="76BF9BCE"/>
    <w:rsid w:val="772F980E"/>
    <w:rsid w:val="776B14A3"/>
    <w:rsid w:val="777F3ED1"/>
    <w:rsid w:val="77BCA115"/>
    <w:rsid w:val="77F90C62"/>
    <w:rsid w:val="78DE7132"/>
    <w:rsid w:val="79575C7E"/>
    <w:rsid w:val="795D16A0"/>
    <w:rsid w:val="79AA6729"/>
    <w:rsid w:val="79CE17A6"/>
    <w:rsid w:val="7A7C0C4E"/>
    <w:rsid w:val="7AA159BD"/>
    <w:rsid w:val="7AAA7CF2"/>
    <w:rsid w:val="7AD79A11"/>
    <w:rsid w:val="7ADF62BE"/>
    <w:rsid w:val="7B303ADD"/>
    <w:rsid w:val="7B757E38"/>
    <w:rsid w:val="7B8F3528"/>
    <w:rsid w:val="7BA16DF6"/>
    <w:rsid w:val="7BE37CB2"/>
    <w:rsid w:val="7BEBD282"/>
    <w:rsid w:val="7BFF9892"/>
    <w:rsid w:val="7C0872B2"/>
    <w:rsid w:val="7C9B0EE7"/>
    <w:rsid w:val="7CD61126"/>
    <w:rsid w:val="7CEC29BE"/>
    <w:rsid w:val="7D7A1A90"/>
    <w:rsid w:val="7D7C6C31"/>
    <w:rsid w:val="7DDF2ED0"/>
    <w:rsid w:val="7DDFFEA5"/>
    <w:rsid w:val="7DEEADEF"/>
    <w:rsid w:val="7DF8AF75"/>
    <w:rsid w:val="7DFA394E"/>
    <w:rsid w:val="7DFE348D"/>
    <w:rsid w:val="7DFF7461"/>
    <w:rsid w:val="7E6B354E"/>
    <w:rsid w:val="7E7BFFC6"/>
    <w:rsid w:val="7E7F25D1"/>
    <w:rsid w:val="7EFC037A"/>
    <w:rsid w:val="7EFCBE26"/>
    <w:rsid w:val="7EFE314F"/>
    <w:rsid w:val="7EFF4A14"/>
    <w:rsid w:val="7F2F08F0"/>
    <w:rsid w:val="7F3B093D"/>
    <w:rsid w:val="7F6F6565"/>
    <w:rsid w:val="7F742290"/>
    <w:rsid w:val="7F7696D0"/>
    <w:rsid w:val="7F7E37F9"/>
    <w:rsid w:val="7FB7E367"/>
    <w:rsid w:val="7FBE85C4"/>
    <w:rsid w:val="7FDF03A7"/>
    <w:rsid w:val="7FE57DE9"/>
    <w:rsid w:val="7FEF1AA6"/>
    <w:rsid w:val="7FF63F86"/>
    <w:rsid w:val="7FFB1DFC"/>
    <w:rsid w:val="8637AC62"/>
    <w:rsid w:val="89728787"/>
    <w:rsid w:val="8FFED05D"/>
    <w:rsid w:val="92FF08EB"/>
    <w:rsid w:val="9BEF28C5"/>
    <w:rsid w:val="ACC69EA7"/>
    <w:rsid w:val="ADD78035"/>
    <w:rsid w:val="AFB9C424"/>
    <w:rsid w:val="AFD6E02C"/>
    <w:rsid w:val="AFEEFB9E"/>
    <w:rsid w:val="AFFD8D29"/>
    <w:rsid w:val="B3EEDDC4"/>
    <w:rsid w:val="B4FD1359"/>
    <w:rsid w:val="B9EFCA76"/>
    <w:rsid w:val="BB7FE7D4"/>
    <w:rsid w:val="BBBFD30E"/>
    <w:rsid w:val="BCFF1664"/>
    <w:rsid w:val="BFEB151F"/>
    <w:rsid w:val="BFEFB5E2"/>
    <w:rsid w:val="BFFE1F9C"/>
    <w:rsid w:val="C7AF5E5A"/>
    <w:rsid w:val="CDFBD47E"/>
    <w:rsid w:val="CEBF0416"/>
    <w:rsid w:val="D1371D94"/>
    <w:rsid w:val="D5A5B839"/>
    <w:rsid w:val="D6FF7434"/>
    <w:rsid w:val="D9F7931A"/>
    <w:rsid w:val="DADF698D"/>
    <w:rsid w:val="DB471E64"/>
    <w:rsid w:val="DBB8A4C8"/>
    <w:rsid w:val="DCDC906C"/>
    <w:rsid w:val="DEBEF003"/>
    <w:rsid w:val="DEEF6E09"/>
    <w:rsid w:val="DF7F1D29"/>
    <w:rsid w:val="DFFC34ED"/>
    <w:rsid w:val="DFFFDD0C"/>
    <w:rsid w:val="E4EF6ABE"/>
    <w:rsid w:val="E59DD581"/>
    <w:rsid w:val="E63FBD7E"/>
    <w:rsid w:val="E6FB018C"/>
    <w:rsid w:val="E7E8C880"/>
    <w:rsid w:val="E81EEC72"/>
    <w:rsid w:val="E99DADB9"/>
    <w:rsid w:val="E9EBA689"/>
    <w:rsid w:val="EAF3224D"/>
    <w:rsid w:val="EAFBE304"/>
    <w:rsid w:val="ECB89F7E"/>
    <w:rsid w:val="EDC74D61"/>
    <w:rsid w:val="EDF51688"/>
    <w:rsid w:val="EE1D79D7"/>
    <w:rsid w:val="EF771887"/>
    <w:rsid w:val="EF7F6827"/>
    <w:rsid w:val="EF7FEA3C"/>
    <w:rsid w:val="EF9AAE2C"/>
    <w:rsid w:val="EFBF833F"/>
    <w:rsid w:val="EFD98C84"/>
    <w:rsid w:val="EFEAF0F4"/>
    <w:rsid w:val="EFFEEA64"/>
    <w:rsid w:val="F6FF9ABF"/>
    <w:rsid w:val="F73BD412"/>
    <w:rsid w:val="F75F4CB9"/>
    <w:rsid w:val="F7FD3963"/>
    <w:rsid w:val="F9FD4F67"/>
    <w:rsid w:val="FA7F5DD1"/>
    <w:rsid w:val="FAA170B5"/>
    <w:rsid w:val="FABF7F49"/>
    <w:rsid w:val="FAFC7380"/>
    <w:rsid w:val="FAFEE92F"/>
    <w:rsid w:val="FB7D3B75"/>
    <w:rsid w:val="FBB72AF8"/>
    <w:rsid w:val="FC5BBEE1"/>
    <w:rsid w:val="FCF6B7CB"/>
    <w:rsid w:val="FCFB8595"/>
    <w:rsid w:val="FD87F8C5"/>
    <w:rsid w:val="FDEB3C48"/>
    <w:rsid w:val="FE7BA841"/>
    <w:rsid w:val="FF2E4914"/>
    <w:rsid w:val="FF5F1996"/>
    <w:rsid w:val="FF7EFF19"/>
    <w:rsid w:val="FF988B1E"/>
    <w:rsid w:val="FFD53686"/>
    <w:rsid w:val="FFF7D733"/>
    <w:rsid w:val="FFFB6092"/>
    <w:rsid w:val="FFFC3B50"/>
    <w:rsid w:val="FFFD010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unhideWhenUsed/>
    <w:qFormat/>
    <w:uiPriority w:val="0"/>
    <w:pPr>
      <w:keepNext/>
      <w:keepLines/>
      <w:spacing w:before="260" w:after="260" w:line="415" w:lineRule="auto"/>
      <w:jc w:val="center"/>
      <w:outlineLvl w:val="1"/>
    </w:pPr>
    <w:rPr>
      <w:rFonts w:ascii="Cambria" w:hAnsi="Cambria"/>
      <w:b/>
      <w:sz w:val="24"/>
      <w:szCs w:val="32"/>
    </w:rPr>
  </w:style>
  <w:style w:type="paragraph" w:styleId="2">
    <w:name w:val="heading 4"/>
    <w:basedOn w:val="1"/>
    <w:next w:val="3"/>
    <w:unhideWhenUsed/>
    <w:qFormat/>
    <w:uiPriority w:val="0"/>
    <w:pPr>
      <w:spacing w:beforeAutospacing="1" w:afterAutospacing="1"/>
      <w:jc w:val="left"/>
      <w:outlineLvl w:val="3"/>
    </w:pPr>
    <w:rPr>
      <w:rFonts w:ascii="??" w:hAnsi="??"/>
      <w:b/>
      <w:kern w:val="0"/>
      <w:sz w:val="24"/>
    </w:rPr>
  </w:style>
  <w:style w:type="character" w:default="1" w:styleId="14">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rPr>
      <w:szCs w:val="24"/>
    </w:rPr>
  </w:style>
  <w:style w:type="paragraph" w:styleId="6">
    <w:name w:val="Body Text"/>
    <w:basedOn w:val="1"/>
    <w:next w:val="1"/>
    <w:uiPriority w:val="0"/>
    <w:pPr>
      <w:spacing w:after="120"/>
    </w:pPr>
  </w:style>
  <w:style w:type="paragraph" w:styleId="7">
    <w:name w:val="toc 3"/>
    <w:basedOn w:val="1"/>
    <w:next w:val="1"/>
    <w:qFormat/>
    <w:uiPriority w:val="0"/>
    <w:pPr>
      <w:ind w:left="840" w:leftChars="400"/>
    </w:p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Subtitle"/>
    <w:basedOn w:val="1"/>
    <w:next w:val="1"/>
    <w:qFormat/>
    <w:uiPriority w:val="0"/>
    <w:pPr>
      <w:wordWrap w:val="0"/>
      <w:spacing w:after="60"/>
      <w:jc w:val="center"/>
    </w:pPr>
    <w:rPr>
      <w:rFonts w:ascii="Times New Roman" w:hAnsi="Times New Roman"/>
      <w:sz w:val="24"/>
    </w:rPr>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5">
    <w:name w:val="Strong"/>
    <w:basedOn w:val="14"/>
    <w:qFormat/>
    <w:uiPriority w:val="0"/>
    <w:rPr>
      <w:b/>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
    <w:name w:val="Default"/>
    <w:next w:val="11"/>
    <w:qFormat/>
    <w:uiPriority w:val="0"/>
    <w:pPr>
      <w:widowControl w:val="0"/>
      <w:autoSpaceDE w:val="0"/>
      <w:autoSpaceDN w:val="0"/>
      <w:adjustRightInd w:val="0"/>
    </w:pPr>
    <w:rPr>
      <w:rFonts w:ascii="仿宋" w:hAnsi="仿宋" w:eastAsia="等线" w:cs="仿宋"/>
      <w:color w:val="000000"/>
      <w:sz w:val="24"/>
      <w:szCs w:val="24"/>
      <w:lang w:val="en-US" w:eastAsia="zh-CN" w:bidi="ar-SA"/>
    </w:rPr>
  </w:style>
  <w:style w:type="paragraph" w:customStyle="1" w:styleId="19">
    <w:name w:val="列出段落1"/>
    <w:basedOn w:val="1"/>
    <w:qFormat/>
    <w:uiPriority w:val="34"/>
    <w:pPr>
      <w:widowControl w:val="0"/>
      <w:ind w:firstLine="420" w:firstLineChars="200"/>
      <w:jc w:val="both"/>
    </w:pPr>
    <w:rPr>
      <w:rFonts w:ascii="Calibri" w:hAnsi="Calibri" w:cs="黑体"/>
      <w:kern w:val="2"/>
      <w:sz w:val="21"/>
      <w:szCs w:val="22"/>
    </w:rPr>
  </w:style>
  <w:style w:type="paragraph" w:customStyle="1" w:styleId="20">
    <w:name w:val="Table Paragraph"/>
    <w:basedOn w:val="1"/>
    <w:qFormat/>
    <w:uiPriority w:val="1"/>
    <w:pPr>
      <w:jc w:val="left"/>
    </w:pPr>
    <w:rPr>
      <w:rFonts w:cs="黑体"/>
      <w:kern w:val="0"/>
      <w:sz w:val="22"/>
      <w:lang w:eastAsia="en-US"/>
    </w:rPr>
  </w:style>
  <w:style w:type="paragraph" w:customStyle="1" w:styleId="21">
    <w:name w:val="BodyText"/>
    <w:basedOn w:val="1"/>
    <w:next w:val="1"/>
    <w:qFormat/>
    <w:uiPriority w:val="0"/>
    <w:pPr>
      <w:spacing w:after="120"/>
      <w:jc w:val="both"/>
      <w:textAlignment w:val="baseline"/>
    </w:pPr>
  </w:style>
  <w:style w:type="paragraph" w:customStyle="1" w:styleId="22">
    <w:name w:val="List Paragraph"/>
    <w:basedOn w:val="1"/>
    <w:qFormat/>
    <w:uiPriority w:val="34"/>
    <w:pPr>
      <w:ind w:firstLine="420" w:firstLineChars="200"/>
    </w:p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 w:type="paragraph" w:customStyle="1" w:styleId="25">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Lenovo</cp:lastModifiedBy>
  <cp:lastPrinted>2022-05-20T09:24:00Z</cp:lastPrinted>
  <dcterms:modified xsi:type="dcterms:W3CDTF">2022-05-20T01:44:12Z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91FFD5B9DD3B47F0B733D25A00B320C3</vt:lpwstr>
  </property>
</Properties>
</file>