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embeddings/Microsoft_Visio___2.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B67D88">
      <w:pPr>
        <w:spacing w:before="100" w:beforeAutospacing="1" w:after="100" w:afterAutospacing="1"/>
        <w:jc w:val="center"/>
        <w:rPr>
          <w:rFonts w:hint="eastAsia" w:ascii="黑体" w:hAnsi="黑体" w:eastAsia="黑体" w:cs="黑体"/>
          <w:color w:val="000000" w:themeColor="text1"/>
          <w:sz w:val="30"/>
          <w:szCs w:val="30"/>
          <w:lang w:eastAsia="zh-CN"/>
          <w14:textFill>
            <w14:solidFill>
              <w14:schemeClr w14:val="tx1"/>
            </w14:solidFill>
          </w14:textFill>
        </w:rPr>
        <w:sectPr>
          <w:pgSz w:w="11906" w:h="16838"/>
          <w:pgMar w:top="1701" w:right="1134" w:bottom="1701" w:left="1134" w:header="851" w:footer="992" w:gutter="0"/>
          <w:pgNumType w:start="1"/>
          <w:cols w:space="720" w:num="1"/>
          <w:docGrid w:type="lines" w:linePitch="312" w:charSpace="0"/>
        </w:sectPr>
      </w:pPr>
      <w:r>
        <w:rPr>
          <w:rFonts w:hint="eastAsia" w:ascii="黑体" w:hAnsi="黑体" w:eastAsia="黑体" w:cs="黑体"/>
          <w:color w:val="000000" w:themeColor="text1"/>
          <w:sz w:val="30"/>
          <w:szCs w:val="30"/>
          <w:lang w:eastAsia="zh-CN"/>
          <w14:textFill>
            <w14:solidFill>
              <w14:schemeClr w14:val="tx1"/>
            </w14:solidFill>
          </w14:textFill>
        </w:rPr>
        <w:drawing>
          <wp:inline distT="0" distB="0" distL="114300" distR="114300">
            <wp:extent cx="5029200" cy="7515225"/>
            <wp:effectExtent l="0" t="0" r="0" b="9525"/>
            <wp:docPr id="66" name="图片 66" descr="b736d173-8a20-49ae-a8c6-73e5159740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b736d173-8a20-49ae-a8c6-73e5159740ba"/>
                    <pic:cNvPicPr>
                      <a:picLocks noChangeAspect="1"/>
                    </pic:cNvPicPr>
                  </pic:nvPicPr>
                  <pic:blipFill>
                    <a:blip r:embed="rId6"/>
                    <a:stretch>
                      <a:fillRect/>
                    </a:stretch>
                  </pic:blipFill>
                  <pic:spPr>
                    <a:xfrm>
                      <a:off x="0" y="0"/>
                      <a:ext cx="5029200" cy="7515225"/>
                    </a:xfrm>
                    <a:prstGeom prst="rect">
                      <a:avLst/>
                    </a:prstGeom>
                  </pic:spPr>
                </pic:pic>
              </a:graphicData>
            </a:graphic>
          </wp:inline>
        </w:drawing>
      </w:r>
    </w:p>
    <w:p w14:paraId="3F7344F6">
      <w:pPr>
        <w:spacing w:before="100" w:beforeAutospacing="1" w:after="100" w:afterAutospacing="1"/>
        <w:jc w:val="center"/>
        <w:rPr>
          <w:rFonts w:hint="eastAsia" w:ascii="黑体" w:hAnsi="黑体" w:eastAsia="黑体" w:cs="黑体"/>
          <w:color w:val="000000" w:themeColor="text1"/>
          <w:sz w:val="30"/>
          <w:szCs w:val="30"/>
          <w:lang w:eastAsia="zh-CN"/>
          <w14:textFill>
            <w14:solidFill>
              <w14:schemeClr w14:val="tx1"/>
            </w14:solidFill>
          </w14:textFill>
        </w:rPr>
        <w:sectPr>
          <w:pgSz w:w="11906" w:h="16838"/>
          <w:pgMar w:top="1701" w:right="1134" w:bottom="1701" w:left="1134" w:header="851" w:footer="992" w:gutter="0"/>
          <w:pgNumType w:start="1"/>
          <w:cols w:space="720" w:num="1"/>
          <w:docGrid w:type="lines" w:linePitch="312" w:charSpace="0"/>
        </w:sectPr>
      </w:pPr>
      <w:r>
        <w:rPr>
          <w:rFonts w:hint="eastAsia" w:ascii="黑体" w:hAnsi="黑体" w:eastAsia="黑体" w:cs="黑体"/>
          <w:color w:val="000000" w:themeColor="text1"/>
          <w:sz w:val="30"/>
          <w:szCs w:val="30"/>
          <w:lang w:eastAsia="zh-CN"/>
          <w14:textFill>
            <w14:solidFill>
              <w14:schemeClr w14:val="tx1"/>
            </w14:solidFill>
          </w14:textFill>
        </w:rPr>
        <w:drawing>
          <wp:inline distT="0" distB="0" distL="114300" distR="114300">
            <wp:extent cx="5128895" cy="8157210"/>
            <wp:effectExtent l="0" t="0" r="14605" b="15240"/>
            <wp:docPr id="58" name="图片 58" descr="ced77e4b-a4ad-42d8-9a7e-3150a42e55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ced77e4b-a4ad-42d8-9a7e-3150a42e55df"/>
                    <pic:cNvPicPr>
                      <a:picLocks noChangeAspect="1"/>
                    </pic:cNvPicPr>
                  </pic:nvPicPr>
                  <pic:blipFill>
                    <a:blip r:embed="rId7"/>
                    <a:stretch>
                      <a:fillRect/>
                    </a:stretch>
                  </pic:blipFill>
                  <pic:spPr>
                    <a:xfrm>
                      <a:off x="0" y="0"/>
                      <a:ext cx="5128895" cy="8157210"/>
                    </a:xfrm>
                    <a:prstGeom prst="rect">
                      <a:avLst/>
                    </a:prstGeom>
                  </pic:spPr>
                </pic:pic>
              </a:graphicData>
            </a:graphic>
          </wp:inline>
        </w:drawing>
      </w:r>
    </w:p>
    <w:p w14:paraId="27E157C4">
      <w:pPr>
        <w:spacing w:before="100" w:beforeAutospacing="1" w:after="100" w:afterAutospacing="1"/>
        <w:jc w:val="center"/>
        <w:rPr>
          <w:rFonts w:hint="eastAsia" w:ascii="黑体" w:hAnsi="黑体" w:eastAsia="黑体" w:cs="黑体"/>
          <w:color w:val="000000" w:themeColor="text1"/>
          <w:sz w:val="30"/>
          <w:szCs w:val="30"/>
          <w:lang w:eastAsia="zh-CN"/>
          <w14:textFill>
            <w14:solidFill>
              <w14:schemeClr w14:val="tx1"/>
            </w14:solidFill>
          </w14:textFill>
        </w:rPr>
        <w:sectPr>
          <w:pgSz w:w="11906" w:h="16838"/>
          <w:pgMar w:top="1701" w:right="1134" w:bottom="1701" w:left="1134" w:header="851" w:footer="992" w:gutter="0"/>
          <w:pgNumType w:start="1"/>
          <w:cols w:space="720" w:num="1"/>
          <w:docGrid w:type="lines" w:linePitch="312" w:charSpace="0"/>
        </w:sectPr>
      </w:pPr>
      <w:r>
        <w:rPr>
          <w:rFonts w:hint="eastAsia" w:ascii="黑体" w:hAnsi="黑体" w:eastAsia="黑体" w:cs="黑体"/>
          <w:color w:val="000000" w:themeColor="text1"/>
          <w:sz w:val="30"/>
          <w:szCs w:val="30"/>
          <w:lang w:eastAsia="zh-CN"/>
          <w14:textFill>
            <w14:solidFill>
              <w14:schemeClr w14:val="tx1"/>
            </w14:solidFill>
          </w14:textFill>
        </w:rPr>
        <w:drawing>
          <wp:inline distT="0" distB="0" distL="114300" distR="114300">
            <wp:extent cx="5763895" cy="8589645"/>
            <wp:effectExtent l="0" t="0" r="8255" b="1905"/>
            <wp:docPr id="59" name="图片 59" descr="30eb5f8e-38ac-4fa7-b032-3bb3fa68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30eb5f8e-38ac-4fa7-b032-3bb3fa685555"/>
                    <pic:cNvPicPr>
                      <a:picLocks noChangeAspect="1"/>
                    </pic:cNvPicPr>
                  </pic:nvPicPr>
                  <pic:blipFill>
                    <a:blip r:embed="rId8"/>
                    <a:stretch>
                      <a:fillRect/>
                    </a:stretch>
                  </pic:blipFill>
                  <pic:spPr>
                    <a:xfrm>
                      <a:off x="0" y="0"/>
                      <a:ext cx="5763895" cy="8589645"/>
                    </a:xfrm>
                    <a:prstGeom prst="rect">
                      <a:avLst/>
                    </a:prstGeom>
                  </pic:spPr>
                </pic:pic>
              </a:graphicData>
            </a:graphic>
          </wp:inline>
        </w:drawing>
      </w:r>
    </w:p>
    <w:p w14:paraId="37BB511A">
      <w:pPr>
        <w:spacing w:before="100" w:beforeAutospacing="1" w:after="100" w:afterAutospacing="1"/>
        <w:jc w:val="center"/>
        <w:rPr>
          <w:rFonts w:hint="eastAsia" w:ascii="黑体" w:hAnsi="黑体" w:eastAsia="黑体" w:cs="黑体"/>
          <w:color w:val="000000" w:themeColor="text1"/>
          <w:sz w:val="30"/>
          <w:szCs w:val="30"/>
          <w14:textFill>
            <w14:solidFill>
              <w14:schemeClr w14:val="tx1"/>
            </w14:solidFill>
          </w14:textFill>
        </w:rPr>
        <w:sectPr>
          <w:pgSz w:w="16838" w:h="11906" w:orient="landscape"/>
          <w:pgMar w:top="1134" w:right="1701" w:bottom="1134" w:left="1701" w:header="851" w:footer="992" w:gutter="0"/>
          <w:pgNumType w:start="1"/>
          <w:cols w:space="720" w:num="1"/>
          <w:docGrid w:type="lines" w:linePitch="312" w:charSpace="0"/>
        </w:sectPr>
      </w:pPr>
      <w:r>
        <w:drawing>
          <wp:inline distT="0" distB="0" distL="114300" distR="114300">
            <wp:extent cx="8524240" cy="5977255"/>
            <wp:effectExtent l="0" t="0" r="10160" b="4445"/>
            <wp:docPr id="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
                    <pic:cNvPicPr>
                      <a:picLocks noChangeAspect="1"/>
                    </pic:cNvPicPr>
                  </pic:nvPicPr>
                  <pic:blipFill>
                    <a:blip r:embed="rId9"/>
                    <a:stretch>
                      <a:fillRect/>
                    </a:stretch>
                  </pic:blipFill>
                  <pic:spPr>
                    <a:xfrm>
                      <a:off x="0" y="0"/>
                      <a:ext cx="8524240" cy="5977255"/>
                    </a:xfrm>
                    <a:prstGeom prst="rect">
                      <a:avLst/>
                    </a:prstGeom>
                    <a:noFill/>
                    <a:ln>
                      <a:noFill/>
                    </a:ln>
                  </pic:spPr>
                </pic:pic>
              </a:graphicData>
            </a:graphic>
          </wp:inline>
        </w:drawing>
      </w:r>
    </w:p>
    <w:p w14:paraId="27D80346">
      <w:pPr>
        <w:rPr>
          <w:rFonts w:hint="eastAsia"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lang w:eastAsia="zh-CN"/>
          <w14:textFill>
            <w14:solidFill>
              <w14:schemeClr w14:val="tx1"/>
            </w14:solidFill>
          </w14:textFill>
        </w:rPr>
        <w:drawing>
          <wp:anchor distT="0" distB="0" distL="114300" distR="114300" simplePos="0" relativeHeight="251706368" behindDoc="0" locked="0" layoutInCell="1" allowOverlap="1">
            <wp:simplePos x="0" y="0"/>
            <wp:positionH relativeFrom="column">
              <wp:posOffset>158750</wp:posOffset>
            </wp:positionH>
            <wp:positionV relativeFrom="paragraph">
              <wp:posOffset>157480</wp:posOffset>
            </wp:positionV>
            <wp:extent cx="5943600" cy="8448675"/>
            <wp:effectExtent l="0" t="0" r="0" b="9525"/>
            <wp:wrapSquare wrapText="bothSides"/>
            <wp:docPr id="61" name="图片 61" descr="11a96276-8c5d-4224-821f-2bd219ee52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11a96276-8c5d-4224-821f-2bd219ee52d0"/>
                    <pic:cNvPicPr>
                      <a:picLocks noChangeAspect="1"/>
                    </pic:cNvPicPr>
                  </pic:nvPicPr>
                  <pic:blipFill>
                    <a:blip r:embed="rId10"/>
                    <a:stretch>
                      <a:fillRect/>
                    </a:stretch>
                  </pic:blipFill>
                  <pic:spPr>
                    <a:xfrm>
                      <a:off x="0" y="0"/>
                      <a:ext cx="5943600" cy="8448675"/>
                    </a:xfrm>
                    <a:prstGeom prst="rect">
                      <a:avLst/>
                    </a:prstGeom>
                  </pic:spPr>
                </pic:pic>
              </a:graphicData>
            </a:graphic>
          </wp:anchor>
        </w:drawing>
      </w:r>
      <w:r>
        <w:rPr>
          <w:rFonts w:hint="eastAsia" w:ascii="黑体" w:hAnsi="黑体" w:eastAsia="黑体" w:cs="黑体"/>
          <w:color w:val="000000" w:themeColor="text1"/>
          <w:sz w:val="30"/>
          <w:szCs w:val="30"/>
          <w14:textFill>
            <w14:solidFill>
              <w14:schemeClr w14:val="tx1"/>
            </w14:solidFill>
          </w14:textFill>
        </w:rPr>
        <w:br w:type="page"/>
      </w:r>
    </w:p>
    <w:p w14:paraId="53A8DFFA">
      <w:pPr>
        <w:spacing w:before="100" w:beforeAutospacing="1" w:after="100" w:afterAutospacing="1"/>
        <w:jc w:val="center"/>
        <w:rPr>
          <w:rFonts w:hint="eastAsia" w:ascii="黑体" w:hAnsi="黑体" w:eastAsia="黑体" w:cs="黑体"/>
          <w:color w:val="000000" w:themeColor="text1"/>
          <w:sz w:val="30"/>
          <w:szCs w:val="30"/>
          <w:lang w:eastAsia="zh-CN"/>
          <w14:textFill>
            <w14:solidFill>
              <w14:schemeClr w14:val="tx1"/>
            </w14:solidFill>
          </w14:textFill>
        </w:rPr>
        <w:sectPr>
          <w:pgSz w:w="11906" w:h="16838"/>
          <w:pgMar w:top="1701" w:right="1134" w:bottom="1701" w:left="1134" w:header="851" w:footer="992" w:gutter="0"/>
          <w:pgNumType w:start="1"/>
          <w:cols w:space="720" w:num="1"/>
          <w:docGrid w:type="lines" w:linePitch="312" w:charSpace="0"/>
        </w:sectPr>
      </w:pPr>
    </w:p>
    <w:p w14:paraId="644FED64">
      <w:pPr>
        <w:spacing w:before="100" w:beforeAutospacing="1" w:after="100" w:afterAutospacing="1"/>
        <w:jc w:val="center"/>
        <w:rPr>
          <w:rFonts w:hint="eastAsia" w:ascii="黑体" w:hAnsi="黑体" w:eastAsia="黑体" w:cs="黑体"/>
          <w:color w:val="000000" w:themeColor="text1"/>
          <w:sz w:val="30"/>
          <w:szCs w:val="30"/>
          <w:lang w:eastAsia="zh-CN"/>
          <w14:textFill>
            <w14:solidFill>
              <w14:schemeClr w14:val="tx1"/>
            </w14:solidFill>
          </w14:textFill>
        </w:rPr>
        <w:sectPr>
          <w:pgSz w:w="11906" w:h="16838"/>
          <w:pgMar w:top="1701" w:right="1134" w:bottom="1701" w:left="1134" w:header="851" w:footer="992" w:gutter="0"/>
          <w:pgNumType w:start="1"/>
          <w:cols w:space="720" w:num="1"/>
          <w:docGrid w:type="lines" w:linePitch="312" w:charSpace="0"/>
        </w:sectPr>
      </w:pPr>
      <w:r>
        <w:rPr>
          <w:rFonts w:hint="eastAsia" w:ascii="黑体" w:hAnsi="黑体" w:eastAsia="黑体" w:cs="黑体"/>
          <w:color w:val="000000" w:themeColor="text1"/>
          <w:sz w:val="30"/>
          <w:szCs w:val="30"/>
          <w:lang w:eastAsia="zh-CN"/>
          <w14:textFill>
            <w14:solidFill>
              <w14:schemeClr w14:val="tx1"/>
            </w14:solidFill>
          </w14:textFill>
        </w:rPr>
        <w:drawing>
          <wp:inline distT="0" distB="0" distL="114300" distR="114300">
            <wp:extent cx="5861685" cy="8324850"/>
            <wp:effectExtent l="0" t="0" r="5715" b="0"/>
            <wp:docPr id="62" name="图片 62" descr="9359a806-6601-472a-a03e-38de6a8656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9359a806-6601-472a-a03e-38de6a8656a3"/>
                    <pic:cNvPicPr>
                      <a:picLocks noChangeAspect="1"/>
                    </pic:cNvPicPr>
                  </pic:nvPicPr>
                  <pic:blipFill>
                    <a:blip r:embed="rId11"/>
                    <a:stretch>
                      <a:fillRect/>
                    </a:stretch>
                  </pic:blipFill>
                  <pic:spPr>
                    <a:xfrm>
                      <a:off x="0" y="0"/>
                      <a:ext cx="5861685" cy="8324850"/>
                    </a:xfrm>
                    <a:prstGeom prst="rect">
                      <a:avLst/>
                    </a:prstGeom>
                  </pic:spPr>
                </pic:pic>
              </a:graphicData>
            </a:graphic>
          </wp:inline>
        </w:drawing>
      </w:r>
    </w:p>
    <w:p w14:paraId="67523C4C">
      <w:pPr>
        <w:spacing w:before="100" w:beforeAutospacing="1" w:after="100" w:afterAutospacing="1"/>
        <w:jc w:val="center"/>
        <w:rPr>
          <w:rFonts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一、建设项目基本情况</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3390"/>
        <w:gridCol w:w="2041"/>
        <w:gridCol w:w="3129"/>
      </w:tblGrid>
      <w:tr w14:paraId="0A0C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2198564D">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建设项目名称</w:t>
            </w:r>
          </w:p>
        </w:tc>
        <w:tc>
          <w:tcPr>
            <w:tcW w:w="8560" w:type="dxa"/>
            <w:gridSpan w:val="3"/>
            <w:vAlign w:val="center"/>
          </w:tcPr>
          <w:p w14:paraId="4A839C5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河南朝东食品有限公司年产1500吨鸡汁素肠改建项目</w:t>
            </w:r>
          </w:p>
        </w:tc>
      </w:tr>
      <w:tr w14:paraId="79CA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306A2AE1">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建设单位</w:t>
            </w:r>
          </w:p>
        </w:tc>
        <w:tc>
          <w:tcPr>
            <w:tcW w:w="8560" w:type="dxa"/>
            <w:gridSpan w:val="3"/>
            <w:vAlign w:val="center"/>
          </w:tcPr>
          <w:p w14:paraId="1625C89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河南朝东食品有限公司</w:t>
            </w:r>
          </w:p>
        </w:tc>
      </w:tr>
      <w:tr w14:paraId="71A2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4B919D54">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项目代码</w:t>
            </w:r>
          </w:p>
        </w:tc>
        <w:tc>
          <w:tcPr>
            <w:tcW w:w="8560" w:type="dxa"/>
            <w:gridSpan w:val="3"/>
            <w:vAlign w:val="center"/>
          </w:tcPr>
          <w:p w14:paraId="6201976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2601-410726-04-05-862294</w:t>
            </w:r>
          </w:p>
        </w:tc>
      </w:tr>
      <w:tr w14:paraId="3763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35A9BAE6">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统一社会信用代码</w:t>
            </w:r>
          </w:p>
        </w:tc>
        <w:tc>
          <w:tcPr>
            <w:tcW w:w="8560" w:type="dxa"/>
            <w:gridSpan w:val="3"/>
            <w:vAlign w:val="center"/>
          </w:tcPr>
          <w:p w14:paraId="63CC1A7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91410726685681143P</w:t>
            </w:r>
          </w:p>
        </w:tc>
      </w:tr>
      <w:tr w14:paraId="6DD2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2227CA34">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建设单位联系人</w:t>
            </w:r>
          </w:p>
        </w:tc>
        <w:tc>
          <w:tcPr>
            <w:tcW w:w="3390" w:type="dxa"/>
            <w:vAlign w:val="center"/>
          </w:tcPr>
          <w:p w14:paraId="3DF2261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杨振</w:t>
            </w:r>
          </w:p>
        </w:tc>
        <w:tc>
          <w:tcPr>
            <w:tcW w:w="2041" w:type="dxa"/>
            <w:vAlign w:val="center"/>
          </w:tcPr>
          <w:p w14:paraId="26148499">
            <w:pPr>
              <w:jc w:val="center"/>
              <w:rPr>
                <w:color w:val="000000" w:themeColor="text1"/>
                <w14:textFill>
                  <w14:solidFill>
                    <w14:schemeClr w14:val="tx1"/>
                  </w14:solidFill>
                </w14:textFill>
              </w:rPr>
            </w:pPr>
            <w:r>
              <w:rPr>
                <w:color w:val="000000" w:themeColor="text1"/>
                <w14:textFill>
                  <w14:solidFill>
                    <w14:schemeClr w14:val="tx1"/>
                  </w14:solidFill>
                </w14:textFill>
              </w:rPr>
              <w:t>联系方式</w:t>
            </w:r>
          </w:p>
        </w:tc>
        <w:tc>
          <w:tcPr>
            <w:tcW w:w="3129" w:type="dxa"/>
            <w:vAlign w:val="center"/>
          </w:tcPr>
          <w:p w14:paraId="0C1846E5">
            <w:pPr>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15090</w:t>
            </w:r>
            <w:r>
              <w:rPr>
                <w:rFonts w:hint="eastAsia"/>
                <w:color w:val="000000" w:themeColor="text1"/>
                <w:lang w:val="en-US" w:eastAsia="zh-CN"/>
                <w14:textFill>
                  <w14:solidFill>
                    <w14:schemeClr w14:val="tx1"/>
                  </w14:solidFill>
                </w14:textFill>
              </w:rPr>
              <w:t>******</w:t>
            </w:r>
          </w:p>
        </w:tc>
      </w:tr>
      <w:tr w14:paraId="6D3C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1E66DF34">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法人代表</w:t>
            </w:r>
          </w:p>
        </w:tc>
        <w:tc>
          <w:tcPr>
            <w:tcW w:w="8560" w:type="dxa"/>
            <w:gridSpan w:val="3"/>
            <w:vAlign w:val="center"/>
          </w:tcPr>
          <w:p w14:paraId="43870CE6">
            <w:pPr>
              <w:jc w:val="center"/>
              <w:rPr>
                <w:rFonts w:hint="eastAsia" w:eastAsia="宋体"/>
                <w:color w:val="000000" w:themeColor="text1"/>
                <w:lang w:eastAsia="zh-CN"/>
                <w14:textFill>
                  <w14:solidFill>
                    <w14:schemeClr w14:val="tx1"/>
                  </w14:solidFill>
                </w14:textFill>
              </w:rPr>
            </w:pPr>
            <w:r>
              <w:rPr>
                <w:rFonts w:hint="eastAsia"/>
                <w:color w:val="000000" w:themeColor="text1"/>
                <w:highlight w:val="none"/>
                <w14:textFill>
                  <w14:solidFill>
                    <w14:schemeClr w14:val="tx1"/>
                  </w14:solidFill>
                </w14:textFill>
              </w:rPr>
              <w:t>杨明东</w:t>
            </w:r>
            <w:r>
              <w:rPr>
                <w:rFonts w:hint="eastAsia"/>
                <w:color w:val="000000" w:themeColor="text1"/>
                <w:highlight w:val="none"/>
                <w:lang w:eastAsia="zh-CN"/>
                <w14:textFill>
                  <w14:solidFill>
                    <w14:schemeClr w14:val="tx1"/>
                  </w14:solidFill>
                </w14:textFill>
              </w:rPr>
              <w:t>（410726196806</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w:t>
            </w:r>
          </w:p>
        </w:tc>
      </w:tr>
      <w:tr w14:paraId="748E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3C1527AF">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建设地点</w:t>
            </w:r>
          </w:p>
        </w:tc>
        <w:tc>
          <w:tcPr>
            <w:tcW w:w="8560" w:type="dxa"/>
            <w:gridSpan w:val="3"/>
            <w:vAlign w:val="center"/>
          </w:tcPr>
          <w:p w14:paraId="2154C256">
            <w:pPr>
              <w:jc w:val="center"/>
              <w:rPr>
                <w:color w:val="000000" w:themeColor="text1"/>
                <w14:textFill>
                  <w14:solidFill>
                    <w14:schemeClr w14:val="tx1"/>
                  </w14:solidFill>
                </w14:textFill>
              </w:rPr>
            </w:pPr>
            <w:r>
              <w:rPr>
                <w:rFonts w:ascii="Helvetica" w:hAnsi="Helvetica" w:eastAsia="Helvetica" w:cs="Helvetica"/>
                <w:color w:val="333333"/>
                <w:shd w:val="clear" w:color="auto" w:fill="FFFFFF"/>
              </w:rPr>
              <w:t>河南省</w:t>
            </w:r>
            <w:r>
              <w:rPr>
                <w:rFonts w:hint="eastAsia" w:ascii="Helvetica" w:hAnsi="Helvetica" w:eastAsia="Helvetica" w:cs="Helvetica"/>
                <w:color w:val="333333"/>
                <w:shd w:val="clear" w:color="auto" w:fill="FFFFFF"/>
              </w:rPr>
              <w:t>新乡市延津县榆林乡夹堤村西南</w:t>
            </w:r>
            <w:r>
              <w:rPr>
                <w:rFonts w:ascii="Helvetica" w:hAnsi="Helvetica" w:eastAsia="Helvetica" w:cs="Helvetica"/>
                <w:color w:val="333333"/>
                <w:shd w:val="clear" w:color="auto" w:fill="FFFFFF"/>
              </w:rPr>
              <w:t>河南朝东食品有限公司</w:t>
            </w:r>
            <w:r>
              <w:rPr>
                <w:rFonts w:hint="eastAsia" w:ascii="Helvetica" w:hAnsi="Helvetica" w:cs="Helvetica"/>
                <w:color w:val="333333"/>
                <w:shd w:val="clear" w:color="auto" w:fill="FFFFFF"/>
              </w:rPr>
              <w:t>现有</w:t>
            </w:r>
            <w:r>
              <w:rPr>
                <w:rFonts w:hint="eastAsia"/>
                <w:color w:val="000000" w:themeColor="text1"/>
                <w14:textFill>
                  <w14:solidFill>
                    <w14:schemeClr w14:val="tx1"/>
                  </w14:solidFill>
                </w14:textFill>
              </w:rPr>
              <w:t>厂区内</w:t>
            </w:r>
          </w:p>
        </w:tc>
      </w:tr>
      <w:tr w14:paraId="62FB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10260CBB">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地理坐标</w:t>
            </w:r>
          </w:p>
        </w:tc>
        <w:tc>
          <w:tcPr>
            <w:tcW w:w="8560" w:type="dxa"/>
            <w:gridSpan w:val="3"/>
            <w:vAlign w:val="center"/>
          </w:tcPr>
          <w:p w14:paraId="1EB02F99">
            <w:pPr>
              <w:jc w:val="center"/>
              <w:rPr>
                <w:color w:val="000000" w:themeColor="text1"/>
                <w14:textFill>
                  <w14:solidFill>
                    <w14:schemeClr w14:val="tx1"/>
                  </w14:solidFill>
                </w14:textFill>
              </w:rPr>
            </w:pPr>
            <w:r>
              <w:t>（114度</w:t>
            </w:r>
            <w:r>
              <w:rPr>
                <w:rFonts w:hint="eastAsia"/>
              </w:rPr>
              <w:t>4</w:t>
            </w:r>
            <w:r>
              <w:t>分</w:t>
            </w:r>
            <w:r>
              <w:rPr>
                <w:rFonts w:hint="eastAsia"/>
              </w:rPr>
              <w:t>57.004</w:t>
            </w:r>
            <w:r>
              <w:t>秒，35度</w:t>
            </w:r>
            <w:r>
              <w:rPr>
                <w:rFonts w:hint="eastAsia"/>
              </w:rPr>
              <w:t>13</w:t>
            </w:r>
            <w:r>
              <w:t>分</w:t>
            </w:r>
            <w:r>
              <w:rPr>
                <w:rFonts w:hint="eastAsia"/>
              </w:rPr>
              <w:t>13.929</w:t>
            </w:r>
            <w:r>
              <w:t>秒）</w:t>
            </w:r>
          </w:p>
        </w:tc>
      </w:tr>
      <w:tr w14:paraId="695A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36AD07ED">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国民经济</w:t>
            </w:r>
          </w:p>
          <w:p w14:paraId="4EE91EE4">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行业类别</w:t>
            </w:r>
          </w:p>
        </w:tc>
        <w:tc>
          <w:tcPr>
            <w:tcW w:w="3390" w:type="dxa"/>
            <w:vAlign w:val="center"/>
          </w:tcPr>
          <w:p w14:paraId="5BC5C264">
            <w:pPr>
              <w:pStyle w:val="11"/>
              <w:spacing w:line="240" w:lineRule="auto"/>
              <w:ind w:left="0" w:right="0"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C1439其他方便食品制造</w:t>
            </w:r>
          </w:p>
        </w:tc>
        <w:tc>
          <w:tcPr>
            <w:tcW w:w="2041" w:type="dxa"/>
            <w:vAlign w:val="center"/>
          </w:tcPr>
          <w:p w14:paraId="5A848450">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建设项目</w:t>
            </w:r>
          </w:p>
          <w:p w14:paraId="66CE5C21">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行业类别</w:t>
            </w:r>
          </w:p>
        </w:tc>
        <w:tc>
          <w:tcPr>
            <w:tcW w:w="3129" w:type="dxa"/>
            <w:vAlign w:val="center"/>
          </w:tcPr>
          <w:p w14:paraId="28BF45DC">
            <w:pPr>
              <w:pStyle w:val="11"/>
              <w:spacing w:line="240" w:lineRule="auto"/>
              <w:ind w:left="0" w:right="0" w:firstLine="0"/>
            </w:pPr>
            <w:r>
              <w:rPr>
                <w:rFonts w:hint="eastAsia"/>
                <w:color w:val="000000" w:themeColor="text1"/>
                <w14:textFill>
                  <w14:solidFill>
                    <w14:schemeClr w14:val="tx1"/>
                  </w14:solidFill>
                </w14:textFill>
              </w:rPr>
              <w:t>十一、食品制造业14-21.方便食品制造143*-除单纯分装外的</w:t>
            </w:r>
          </w:p>
        </w:tc>
      </w:tr>
      <w:tr w14:paraId="166A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7BA22C93">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建设性质</w:t>
            </w:r>
          </w:p>
        </w:tc>
        <w:tc>
          <w:tcPr>
            <w:tcW w:w="3390" w:type="dxa"/>
            <w:vAlign w:val="center"/>
          </w:tcPr>
          <w:p w14:paraId="494A5FD7">
            <w:pPr>
              <w:jc w:val="left"/>
              <w:rPr>
                <w:rFonts w:ascii="宋体" w:hAnsi="宋体" w:cs="宋体"/>
                <w:color w:val="000000" w:themeColor="text1"/>
                <w14:textFill>
                  <w14:solidFill>
                    <w14:schemeClr w14:val="tx1"/>
                  </w14:solidFill>
                </w14:textFill>
              </w:rPr>
            </w:pPr>
            <w:r>
              <w:rPr>
                <w:color w:val="000000" w:themeColor="text1"/>
                <w14:textFill>
                  <w14:solidFill>
                    <w14:schemeClr w14:val="tx1"/>
                  </w14:solidFill>
                </w14:textFill>
              </w:rPr>
              <w:sym w:font="Wingdings 2" w:char="00A3"/>
            </w:r>
            <w:r>
              <w:rPr>
                <w:rFonts w:hint="eastAsia" w:ascii="宋体" w:hAnsi="宋体" w:cs="宋体"/>
                <w:color w:val="000000" w:themeColor="text1"/>
                <w14:textFill>
                  <w14:solidFill>
                    <w14:schemeClr w14:val="tx1"/>
                  </w14:solidFill>
                </w14:textFill>
              </w:rPr>
              <w:t>新建（迁建）</w:t>
            </w:r>
          </w:p>
          <w:p w14:paraId="24B16638">
            <w:pPr>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☑改建</w:t>
            </w:r>
          </w:p>
          <w:p w14:paraId="31C1E46E">
            <w:pPr>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□扩建</w:t>
            </w:r>
          </w:p>
          <w:p w14:paraId="6EAB6880">
            <w:pP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□技术改造</w:t>
            </w:r>
          </w:p>
        </w:tc>
        <w:tc>
          <w:tcPr>
            <w:tcW w:w="2041" w:type="dxa"/>
            <w:vAlign w:val="center"/>
          </w:tcPr>
          <w:p w14:paraId="6946F68A">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建设项目</w:t>
            </w:r>
          </w:p>
          <w:p w14:paraId="5E24291E">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申报情形</w:t>
            </w:r>
          </w:p>
        </w:tc>
        <w:tc>
          <w:tcPr>
            <w:tcW w:w="3129" w:type="dxa"/>
            <w:vAlign w:val="center"/>
          </w:tcPr>
          <w:p w14:paraId="2E3E7720">
            <w:pPr>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sym w:font="Wingdings 2" w:char="0052"/>
            </w:r>
            <w:r>
              <w:rPr>
                <w:rFonts w:hint="eastAsia" w:ascii="宋体" w:hAnsi="宋体" w:cs="宋体"/>
                <w:color w:val="000000" w:themeColor="text1"/>
                <w14:textFill>
                  <w14:solidFill>
                    <w14:schemeClr w14:val="tx1"/>
                  </w14:solidFill>
                </w14:textFill>
              </w:rPr>
              <w:t>首次申报项目</w:t>
            </w:r>
            <w:r>
              <w:rPr>
                <w:rFonts w:ascii="宋体" w:hAnsi="宋体" w:cs="宋体"/>
                <w:color w:val="000000" w:themeColor="text1"/>
                <w14:textFill>
                  <w14:solidFill>
                    <w14:schemeClr w14:val="tx1"/>
                  </w14:solidFill>
                </w14:textFill>
              </w:rPr>
              <w:t xml:space="preserve">             </w:t>
            </w:r>
          </w:p>
          <w:p w14:paraId="2898414B">
            <w:pPr>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sym w:font="Wingdings 2" w:char="00A3"/>
            </w:r>
            <w:r>
              <w:rPr>
                <w:rFonts w:hint="eastAsia" w:ascii="宋体" w:hAnsi="宋体" w:cs="宋体"/>
                <w:color w:val="000000" w:themeColor="text1"/>
                <w14:textFill>
                  <w14:solidFill>
                    <w14:schemeClr w14:val="tx1"/>
                  </w14:solidFill>
                </w14:textFill>
              </w:rPr>
              <w:t>不予批准后再次申报项目</w:t>
            </w:r>
          </w:p>
          <w:p w14:paraId="7A2DCD18">
            <w:pPr>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sym w:font="Wingdings 2" w:char="00A3"/>
            </w:r>
            <w:r>
              <w:rPr>
                <w:rFonts w:hint="eastAsia" w:ascii="宋体" w:hAnsi="宋体" w:cs="宋体"/>
                <w:color w:val="000000" w:themeColor="text1"/>
                <w14:textFill>
                  <w14:solidFill>
                    <w14:schemeClr w14:val="tx1"/>
                  </w14:solidFill>
                </w14:textFill>
              </w:rPr>
              <w:t>超五年重新审核项目</w:t>
            </w:r>
            <w:r>
              <w:rPr>
                <w:rFonts w:ascii="宋体" w:hAnsi="宋体" w:cs="宋体"/>
                <w:color w:val="000000" w:themeColor="text1"/>
                <w14:textFill>
                  <w14:solidFill>
                    <w14:schemeClr w14:val="tx1"/>
                  </w14:solidFill>
                </w14:textFill>
              </w:rPr>
              <w:t xml:space="preserve">     </w:t>
            </w:r>
          </w:p>
          <w:p w14:paraId="126A6D41">
            <w:pP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sym w:font="Wingdings 2" w:char="00A3"/>
            </w:r>
            <w:r>
              <w:rPr>
                <w:rFonts w:hint="eastAsia" w:ascii="宋体" w:hAnsi="宋体" w:cs="宋体"/>
                <w:color w:val="000000" w:themeColor="text1"/>
                <w14:textFill>
                  <w14:solidFill>
                    <w14:schemeClr w14:val="tx1"/>
                  </w14:solidFill>
                </w14:textFill>
              </w:rPr>
              <w:t>重大变动重新报批项目</w:t>
            </w:r>
          </w:p>
        </w:tc>
      </w:tr>
      <w:tr w14:paraId="05CC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7DB0C0C7">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项目备案部门</w:t>
            </w:r>
          </w:p>
        </w:tc>
        <w:tc>
          <w:tcPr>
            <w:tcW w:w="3390" w:type="dxa"/>
            <w:vAlign w:val="center"/>
          </w:tcPr>
          <w:p w14:paraId="59123B1E">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延津县发展和改革委员会</w:t>
            </w:r>
          </w:p>
        </w:tc>
        <w:tc>
          <w:tcPr>
            <w:tcW w:w="2041" w:type="dxa"/>
            <w:vAlign w:val="center"/>
          </w:tcPr>
          <w:p w14:paraId="1F33C8BE">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项目备案文号</w:t>
            </w:r>
          </w:p>
        </w:tc>
        <w:tc>
          <w:tcPr>
            <w:tcW w:w="3129" w:type="dxa"/>
            <w:vAlign w:val="center"/>
          </w:tcPr>
          <w:p w14:paraId="3CEC469B">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p>
        </w:tc>
      </w:tr>
      <w:tr w14:paraId="771E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53FA95A8">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总投资（万元）</w:t>
            </w:r>
          </w:p>
        </w:tc>
        <w:tc>
          <w:tcPr>
            <w:tcW w:w="3390" w:type="dxa"/>
            <w:vAlign w:val="center"/>
          </w:tcPr>
          <w:p w14:paraId="5EF4930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300</w:t>
            </w:r>
          </w:p>
        </w:tc>
        <w:tc>
          <w:tcPr>
            <w:tcW w:w="2041" w:type="dxa"/>
            <w:vAlign w:val="center"/>
          </w:tcPr>
          <w:p w14:paraId="241104BF">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环保投资（万元）</w:t>
            </w:r>
          </w:p>
        </w:tc>
        <w:tc>
          <w:tcPr>
            <w:tcW w:w="3129" w:type="dxa"/>
            <w:vAlign w:val="center"/>
          </w:tcPr>
          <w:p w14:paraId="2EFE0E74">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45</w:t>
            </w:r>
          </w:p>
        </w:tc>
      </w:tr>
      <w:tr w14:paraId="1B64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39356ED3">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环保投资占比</w:t>
            </w:r>
            <w:r>
              <w:rPr>
                <w:color w:val="000000" w:themeColor="text1"/>
                <w14:textFill>
                  <w14:solidFill>
                    <w14:schemeClr w14:val="tx1"/>
                  </w14:solidFill>
                </w14:textFill>
              </w:rPr>
              <w:t>（%）</w:t>
            </w:r>
          </w:p>
        </w:tc>
        <w:tc>
          <w:tcPr>
            <w:tcW w:w="3390" w:type="dxa"/>
            <w:vAlign w:val="center"/>
          </w:tcPr>
          <w:p w14:paraId="27D6AFAE">
            <w:pPr>
              <w:jc w:val="center"/>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15</w:t>
            </w:r>
          </w:p>
        </w:tc>
        <w:tc>
          <w:tcPr>
            <w:tcW w:w="2041" w:type="dxa"/>
            <w:vAlign w:val="center"/>
          </w:tcPr>
          <w:p w14:paraId="2963E4EF">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施工工期</w:t>
            </w:r>
          </w:p>
        </w:tc>
        <w:tc>
          <w:tcPr>
            <w:tcW w:w="3129" w:type="dxa"/>
            <w:vAlign w:val="center"/>
          </w:tcPr>
          <w:p w14:paraId="73B7B6B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12个月</w:t>
            </w:r>
          </w:p>
        </w:tc>
      </w:tr>
      <w:tr w14:paraId="48AC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2B042D5E">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是否开工建设</w:t>
            </w:r>
          </w:p>
        </w:tc>
        <w:tc>
          <w:tcPr>
            <w:tcW w:w="3390" w:type="dxa"/>
            <w:vAlign w:val="center"/>
          </w:tcPr>
          <w:p w14:paraId="515BA809">
            <w:pPr>
              <w:adjustRightInd w:val="0"/>
              <w:snapToGrid w:val="0"/>
              <w:rPr>
                <w:rFonts w:ascii="宋体" w:hAnsi="宋体" w:cs="宋体"/>
                <w:color w:val="000000" w:themeColor="text1"/>
                <w14:textFill>
                  <w14:solidFill>
                    <w14:schemeClr w14:val="tx1"/>
                  </w14:solidFill>
                </w14:textFill>
              </w:rPr>
            </w:pPr>
            <w:r>
              <w:rPr>
                <w:color w:val="000000" w:themeColor="text1"/>
                <w14:textFill>
                  <w14:solidFill>
                    <w14:schemeClr w14:val="tx1"/>
                  </w14:solidFill>
                </w14:textFill>
              </w:rPr>
              <w:sym w:font="Wingdings 2" w:char="0052"/>
            </w:r>
            <w:r>
              <w:rPr>
                <w:rFonts w:hint="eastAsia" w:ascii="宋体" w:hAnsi="宋体" w:cs="宋体"/>
                <w:color w:val="000000" w:themeColor="text1"/>
                <w14:textFill>
                  <w14:solidFill>
                    <w14:schemeClr w14:val="tx1"/>
                  </w14:solidFill>
                </w14:textFill>
              </w:rPr>
              <w:t>否</w:t>
            </w:r>
          </w:p>
          <w:p w14:paraId="1A659787">
            <w:pP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sym w:font="Wingdings 2" w:char="00A3"/>
            </w:r>
            <w:r>
              <w:rPr>
                <w:rFonts w:hint="eastAsia" w:ascii="宋体" w:hAnsi="宋体" w:cs="宋体"/>
                <w:color w:val="000000" w:themeColor="text1"/>
                <w14:textFill>
                  <w14:solidFill>
                    <w14:schemeClr w14:val="tx1"/>
                  </w14:solidFill>
                </w14:textFill>
              </w:rPr>
              <w:t xml:space="preserve">是：             </w:t>
            </w:r>
          </w:p>
        </w:tc>
        <w:tc>
          <w:tcPr>
            <w:tcW w:w="2041" w:type="dxa"/>
            <w:vAlign w:val="center"/>
          </w:tcPr>
          <w:p w14:paraId="3A8877E3">
            <w:pPr>
              <w:adjustRightInd w:val="0"/>
              <w:snapToGrid w:val="0"/>
              <w:jc w:val="center"/>
              <w:rPr>
                <w:rFonts w:ascii="宋体" w:hAnsi="宋体" w:cs="宋体"/>
                <w:color w:val="000000" w:themeColor="text1"/>
                <w:spacing w:val="-6"/>
                <w14:textFill>
                  <w14:solidFill>
                    <w14:schemeClr w14:val="tx1"/>
                  </w14:solidFill>
                </w14:textFill>
              </w:rPr>
            </w:pPr>
            <w:r>
              <w:rPr>
                <w:rFonts w:hint="eastAsia" w:ascii="宋体" w:hAnsi="宋体" w:cs="宋体"/>
                <w:color w:val="000000" w:themeColor="text1"/>
                <w:spacing w:val="-6"/>
                <w14:textFill>
                  <w14:solidFill>
                    <w14:schemeClr w14:val="tx1"/>
                  </w14:solidFill>
                </w14:textFill>
              </w:rPr>
              <w:t>用地（用海)</w:t>
            </w:r>
          </w:p>
          <w:p w14:paraId="13D56F9B">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spacing w:val="-6"/>
                <w14:textFill>
                  <w14:solidFill>
                    <w14:schemeClr w14:val="tx1"/>
                  </w14:solidFill>
                </w14:textFill>
              </w:rPr>
              <w:t>面积（</w:t>
            </w:r>
            <w:r>
              <w:rPr>
                <w:color w:val="000000" w:themeColor="text1"/>
                <w:spacing w:val="-6"/>
                <w14:textFill>
                  <w14:solidFill>
                    <w14:schemeClr w14:val="tx1"/>
                  </w14:solidFill>
                </w14:textFill>
              </w:rPr>
              <w:t>m</w:t>
            </w:r>
            <w:r>
              <w:rPr>
                <w:color w:val="000000" w:themeColor="text1"/>
                <w:spacing w:val="-6"/>
                <w:vertAlign w:val="superscript"/>
                <w14:textFill>
                  <w14:solidFill>
                    <w14:schemeClr w14:val="tx1"/>
                  </w14:solidFill>
                </w14:textFill>
              </w:rPr>
              <w:t>2</w:t>
            </w:r>
            <w:r>
              <w:rPr>
                <w:rFonts w:hint="eastAsia" w:ascii="宋体" w:hAnsi="宋体" w:cs="宋体"/>
                <w:color w:val="000000" w:themeColor="text1"/>
                <w:spacing w:val="-6"/>
                <w14:textFill>
                  <w14:solidFill>
                    <w14:schemeClr w14:val="tx1"/>
                  </w14:solidFill>
                </w14:textFill>
              </w:rPr>
              <w:t>）</w:t>
            </w:r>
          </w:p>
        </w:tc>
        <w:tc>
          <w:tcPr>
            <w:tcW w:w="3129" w:type="dxa"/>
            <w:vAlign w:val="center"/>
          </w:tcPr>
          <w:p w14:paraId="4098F57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0</w:t>
            </w:r>
          </w:p>
        </w:tc>
      </w:tr>
      <w:tr w14:paraId="1CC7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294" w:type="dxa"/>
            <w:vAlign w:val="center"/>
          </w:tcPr>
          <w:p w14:paraId="79E927F9">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专项评价设置情况</w:t>
            </w:r>
          </w:p>
        </w:tc>
        <w:tc>
          <w:tcPr>
            <w:tcW w:w="8560" w:type="dxa"/>
            <w:gridSpan w:val="3"/>
            <w:vAlign w:val="center"/>
          </w:tcPr>
          <w:p w14:paraId="0002F196">
            <w:pPr>
              <w:spacing w:line="460" w:lineRule="exact"/>
              <w:ind w:firstLine="480" w:firstLineChars="200"/>
              <w:rPr>
                <w:rFonts w:eastAsia="黑体"/>
              </w:rPr>
            </w:pPr>
            <w:r>
              <w:rPr>
                <w:rFonts w:eastAsia="黑体"/>
              </w:rPr>
              <w:t>表1</w:t>
            </w:r>
            <w:r>
              <w:rPr>
                <w:rFonts w:hint="eastAsia" w:eastAsia="黑体"/>
              </w:rPr>
              <w:t>-1</w:t>
            </w:r>
            <w:r>
              <w:rPr>
                <w:rFonts w:eastAsia="黑体"/>
              </w:rPr>
              <w:t xml:space="preserve">         </w:t>
            </w:r>
            <w:r>
              <w:rPr>
                <w:rFonts w:hint="eastAsia" w:eastAsia="黑体"/>
              </w:rPr>
              <w:t xml:space="preserve">   本项目</w:t>
            </w:r>
            <w:r>
              <w:rPr>
                <w:rFonts w:eastAsia="黑体"/>
              </w:rPr>
              <w:t>与专项评价设置原则对比一览表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3"/>
              <w:gridCol w:w="3379"/>
              <w:gridCol w:w="3762"/>
            </w:tblGrid>
            <w:tr w14:paraId="651B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1" w:type="dxa"/>
                  <w:vAlign w:val="center"/>
                </w:tcPr>
                <w:p w14:paraId="0E199EB4">
                  <w:pPr>
                    <w:pStyle w:val="11"/>
                    <w:spacing w:line="240" w:lineRule="auto"/>
                    <w:ind w:left="0" w:right="0" w:firstLine="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专项评价的类别</w:t>
                  </w:r>
                </w:p>
              </w:tc>
              <w:tc>
                <w:tcPr>
                  <w:tcW w:w="3231" w:type="dxa"/>
                  <w:vAlign w:val="center"/>
                </w:tcPr>
                <w:p w14:paraId="24BF1BDB">
                  <w:pPr>
                    <w:pStyle w:val="11"/>
                    <w:spacing w:line="240" w:lineRule="auto"/>
                    <w:ind w:left="0" w:right="0" w:firstLine="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设置原则</w:t>
                  </w:r>
                </w:p>
              </w:tc>
              <w:tc>
                <w:tcPr>
                  <w:tcW w:w="3598" w:type="dxa"/>
                  <w:vAlign w:val="center"/>
                </w:tcPr>
                <w:p w14:paraId="4678125E">
                  <w:pPr>
                    <w:pStyle w:val="11"/>
                    <w:spacing w:line="240" w:lineRule="auto"/>
                    <w:ind w:left="0" w:right="0" w:firstLine="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与本项目对比</w:t>
                  </w:r>
                </w:p>
              </w:tc>
            </w:tr>
            <w:tr w14:paraId="6E37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1" w:type="dxa"/>
                  <w:vAlign w:val="center"/>
                </w:tcPr>
                <w:p w14:paraId="4FA9C795">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大气</w:t>
                  </w:r>
                </w:p>
              </w:tc>
              <w:tc>
                <w:tcPr>
                  <w:tcW w:w="3231" w:type="dxa"/>
                  <w:vAlign w:val="center"/>
                </w:tcPr>
                <w:p w14:paraId="5AFD58AD">
                  <w:pPr>
                    <w:pStyle w:val="11"/>
                    <w:spacing w:line="240" w:lineRule="auto"/>
                    <w:ind w:left="0" w:right="0" w:firstLine="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排放废气含有毒有害污染物</w:t>
                  </w:r>
                  <w:r>
                    <w:rPr>
                      <w:color w:val="000000" w:themeColor="text1"/>
                      <w:sz w:val="21"/>
                      <w:szCs w:val="21"/>
                      <w:vertAlign w:val="superscript"/>
                      <w14:textFill>
                        <w14:solidFill>
                          <w14:schemeClr w14:val="tx1"/>
                        </w14:solidFill>
                      </w14:textFill>
                    </w:rPr>
                    <w:t>1</w:t>
                  </w:r>
                  <w:r>
                    <w:rPr>
                      <w:rFonts w:hint="eastAsia"/>
                      <w:color w:val="000000" w:themeColor="text1"/>
                      <w:sz w:val="21"/>
                      <w:szCs w:val="21"/>
                      <w14:textFill>
                        <w14:solidFill>
                          <w14:schemeClr w14:val="tx1"/>
                        </w14:solidFill>
                      </w14:textFill>
                    </w:rPr>
                    <w:t>、二噁英、苯并[</w:t>
                  </w:r>
                  <w:r>
                    <w:rPr>
                      <w:color w:val="000000" w:themeColor="text1"/>
                      <w:sz w:val="21"/>
                      <w:szCs w:val="21"/>
                      <w14:textFill>
                        <w14:solidFill>
                          <w14:schemeClr w14:val="tx1"/>
                        </w14:solidFill>
                      </w14:textFill>
                    </w:rPr>
                    <w:t>a]</w:t>
                  </w:r>
                  <w:r>
                    <w:rPr>
                      <w:rFonts w:hint="eastAsia"/>
                      <w:color w:val="000000" w:themeColor="text1"/>
                      <w:sz w:val="21"/>
                      <w:szCs w:val="21"/>
                      <w14:textFill>
                        <w14:solidFill>
                          <w14:schemeClr w14:val="tx1"/>
                        </w14:solidFill>
                      </w14:textFill>
                    </w:rPr>
                    <w:t>芘、氰化物、氯气且厂界外</w:t>
                  </w:r>
                  <w:r>
                    <w:rPr>
                      <w:color w:val="000000" w:themeColor="text1"/>
                      <w:sz w:val="21"/>
                      <w:szCs w:val="21"/>
                      <w14:textFill>
                        <w14:solidFill>
                          <w14:schemeClr w14:val="tx1"/>
                        </w14:solidFill>
                      </w14:textFill>
                    </w:rPr>
                    <w:t>500</w:t>
                  </w:r>
                  <w:r>
                    <w:rPr>
                      <w:rFonts w:hint="eastAsia"/>
                      <w:color w:val="000000" w:themeColor="text1"/>
                      <w:sz w:val="21"/>
                      <w:szCs w:val="21"/>
                      <w14:textFill>
                        <w14:solidFill>
                          <w14:schemeClr w14:val="tx1"/>
                        </w14:solidFill>
                      </w14:textFill>
                    </w:rPr>
                    <w:t>米范围内有环境空气保护目标</w:t>
                  </w:r>
                  <w:r>
                    <w:rPr>
                      <w:color w:val="000000" w:themeColor="text1"/>
                      <w:sz w:val="21"/>
                      <w:szCs w:val="21"/>
                      <w:vertAlign w:val="superscript"/>
                      <w14:textFill>
                        <w14:solidFill>
                          <w14:schemeClr w14:val="tx1"/>
                        </w14:solidFill>
                      </w14:textFill>
                    </w:rPr>
                    <w:t>2</w:t>
                  </w:r>
                  <w:r>
                    <w:rPr>
                      <w:rFonts w:hint="eastAsia"/>
                      <w:color w:val="000000" w:themeColor="text1"/>
                      <w:sz w:val="21"/>
                      <w:szCs w:val="21"/>
                      <w14:textFill>
                        <w14:solidFill>
                          <w14:schemeClr w14:val="tx1"/>
                        </w14:solidFill>
                      </w14:textFill>
                    </w:rPr>
                    <w:t>的建设项目</w:t>
                  </w:r>
                </w:p>
              </w:tc>
              <w:tc>
                <w:tcPr>
                  <w:tcW w:w="3598" w:type="dxa"/>
                  <w:vAlign w:val="center"/>
                </w:tcPr>
                <w:p w14:paraId="575B64B4">
                  <w:pPr>
                    <w:pStyle w:val="11"/>
                    <w:spacing w:line="240" w:lineRule="auto"/>
                    <w:ind w:left="0" w:right="0" w:firstLine="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本项目排放的废气为颗粒物、SO</w:t>
                  </w:r>
                  <w:r>
                    <w:rPr>
                      <w:rFonts w:hint="eastAsia"/>
                      <w:color w:val="000000" w:themeColor="text1"/>
                      <w:sz w:val="21"/>
                      <w:szCs w:val="21"/>
                      <w:vertAlign w:val="subscript"/>
                      <w14:textFill>
                        <w14:solidFill>
                          <w14:schemeClr w14:val="tx1"/>
                        </w14:solidFill>
                      </w14:textFill>
                    </w:rPr>
                    <w:t>2</w:t>
                  </w:r>
                  <w:r>
                    <w:rPr>
                      <w:rFonts w:hint="eastAsia"/>
                      <w:color w:val="000000" w:themeColor="text1"/>
                      <w:sz w:val="21"/>
                      <w:szCs w:val="21"/>
                      <w14:textFill>
                        <w14:solidFill>
                          <w14:schemeClr w14:val="tx1"/>
                        </w14:solidFill>
                      </w14:textFill>
                    </w:rPr>
                    <w:t>、NOx、油烟，无需设置大气专项评价。</w:t>
                  </w:r>
                </w:p>
              </w:tc>
            </w:tr>
            <w:tr w14:paraId="3510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1" w:type="dxa"/>
                  <w:vAlign w:val="center"/>
                </w:tcPr>
                <w:p w14:paraId="5837A59D">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地表水</w:t>
                  </w:r>
                </w:p>
              </w:tc>
              <w:tc>
                <w:tcPr>
                  <w:tcW w:w="3231" w:type="dxa"/>
                  <w:vAlign w:val="center"/>
                </w:tcPr>
                <w:p w14:paraId="401A562D">
                  <w:pPr>
                    <w:pStyle w:val="11"/>
                    <w:spacing w:line="240" w:lineRule="auto"/>
                    <w:ind w:left="0" w:right="0" w:firstLine="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新增工业废水直排建设项目（槽罐车外送污水处理厂的除外）；新增废水直排的污水集中处理厂</w:t>
                  </w:r>
                </w:p>
              </w:tc>
              <w:tc>
                <w:tcPr>
                  <w:tcW w:w="3598" w:type="dxa"/>
                  <w:vAlign w:val="center"/>
                </w:tcPr>
                <w:p w14:paraId="4BCF5FC3">
                  <w:pPr>
                    <w:pStyle w:val="11"/>
                    <w:spacing w:line="240" w:lineRule="auto"/>
                    <w:ind w:left="0" w:right="0" w:firstLine="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w:t>
                  </w:r>
                  <w:r>
                    <w:rPr>
                      <w:rFonts w:hint="eastAsia"/>
                      <w:color w:val="000000" w:themeColor="text1"/>
                      <w:sz w:val="21"/>
                      <w:szCs w:val="21"/>
                      <w14:textFill>
                        <w14:solidFill>
                          <w14:schemeClr w14:val="tx1"/>
                        </w14:solidFill>
                      </w14:textFill>
                    </w:rPr>
                    <w:t>废水经厂区污水处理站处理后近期用于</w:t>
                  </w:r>
                  <w:r>
                    <w:rPr>
                      <w:color w:val="000000" w:themeColor="text1"/>
                      <w:sz w:val="21"/>
                      <w:szCs w:val="21"/>
                      <w14:textFill>
                        <w14:solidFill>
                          <w14:schemeClr w14:val="tx1"/>
                        </w14:solidFill>
                      </w14:textFill>
                    </w:rPr>
                    <w:t>农灌。</w:t>
                  </w:r>
                  <w:r>
                    <w:rPr>
                      <w:rFonts w:hint="eastAsia"/>
                      <w:color w:val="000000" w:themeColor="text1"/>
                      <w:sz w:val="21"/>
                      <w:szCs w:val="21"/>
                      <w14:textFill>
                        <w14:solidFill>
                          <w14:schemeClr w14:val="tx1"/>
                        </w14:solidFill>
                      </w14:textFill>
                    </w:rPr>
                    <w:t>待</w:t>
                  </w:r>
                  <w:r>
                    <w:rPr>
                      <w:rFonts w:hint="eastAsia"/>
                      <w:color w:val="000000" w:themeColor="text1"/>
                      <w:sz w:val="21"/>
                      <w:szCs w:val="21"/>
                      <w:lang w:eastAsia="zh-CN"/>
                      <w14:textFill>
                        <w14:solidFill>
                          <w14:schemeClr w14:val="tx1"/>
                        </w14:solidFill>
                      </w14:textFill>
                    </w:rPr>
                    <w:t>夹堤村西污水处理站</w:t>
                  </w:r>
                  <w:r>
                    <w:rPr>
                      <w:rFonts w:hint="eastAsia"/>
                      <w:color w:val="000000" w:themeColor="text1"/>
                      <w:sz w:val="21"/>
                      <w:szCs w:val="21"/>
                      <w14:textFill>
                        <w14:solidFill>
                          <w14:schemeClr w14:val="tx1"/>
                        </w14:solidFill>
                      </w14:textFill>
                    </w:rPr>
                    <w:t>建成后排入</w:t>
                  </w:r>
                  <w:r>
                    <w:rPr>
                      <w:rFonts w:hint="eastAsia"/>
                      <w:color w:val="000000" w:themeColor="text1"/>
                      <w:sz w:val="21"/>
                      <w:szCs w:val="21"/>
                      <w:lang w:eastAsia="zh-CN"/>
                      <w14:textFill>
                        <w14:solidFill>
                          <w14:schemeClr w14:val="tx1"/>
                        </w14:solidFill>
                      </w14:textFill>
                    </w:rPr>
                    <w:t>夹堤村西污水处理站</w:t>
                  </w:r>
                  <w:r>
                    <w:rPr>
                      <w:rFonts w:hint="eastAsia"/>
                      <w:color w:val="000000" w:themeColor="text1"/>
                      <w:sz w:val="21"/>
                      <w:szCs w:val="21"/>
                      <w14:textFill>
                        <w14:solidFill>
                          <w14:schemeClr w14:val="tx1"/>
                        </w14:solidFill>
                      </w14:textFill>
                    </w:rPr>
                    <w:t>。</w:t>
                  </w:r>
                </w:p>
              </w:tc>
            </w:tr>
            <w:tr w14:paraId="4976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1" w:type="dxa"/>
                  <w:vAlign w:val="center"/>
                </w:tcPr>
                <w:p w14:paraId="26704942">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环境风险</w:t>
                  </w:r>
                </w:p>
              </w:tc>
              <w:tc>
                <w:tcPr>
                  <w:tcW w:w="3231" w:type="dxa"/>
                  <w:vAlign w:val="center"/>
                </w:tcPr>
                <w:p w14:paraId="16D2AFAF">
                  <w:pPr>
                    <w:pStyle w:val="11"/>
                    <w:spacing w:line="240" w:lineRule="auto"/>
                    <w:ind w:left="0" w:right="0" w:firstLine="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有毒有害和易燃易爆危险物质存储量超过临界量</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的建设项目</w:t>
                  </w:r>
                </w:p>
              </w:tc>
              <w:tc>
                <w:tcPr>
                  <w:tcW w:w="3598" w:type="dxa"/>
                  <w:vAlign w:val="center"/>
                </w:tcPr>
                <w:p w14:paraId="70859591">
                  <w:pPr>
                    <w:pStyle w:val="11"/>
                    <w:spacing w:line="240" w:lineRule="auto"/>
                    <w:ind w:left="0" w:right="0" w:firstLine="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本项目涉及有毒有害和易燃易爆危险物质主要为天然气，Q=0.015＜1，无需设置环境风险专项评价。</w:t>
                  </w:r>
                </w:p>
              </w:tc>
            </w:tr>
            <w:tr w14:paraId="14FA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1" w:type="dxa"/>
                  <w:vAlign w:val="center"/>
                </w:tcPr>
                <w:p w14:paraId="57C12C67">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生态</w:t>
                  </w:r>
                </w:p>
              </w:tc>
              <w:tc>
                <w:tcPr>
                  <w:tcW w:w="3231" w:type="dxa"/>
                  <w:vAlign w:val="center"/>
                </w:tcPr>
                <w:p w14:paraId="27C38ADC">
                  <w:pPr>
                    <w:pStyle w:val="11"/>
                    <w:spacing w:line="240" w:lineRule="auto"/>
                    <w:ind w:left="0" w:right="0" w:firstLine="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取水口下游500米范围内有重要水生生物的自然产卵场、索饵场、越冬场和洄游通道的新增河道取水的污染类建设项目</w:t>
                  </w:r>
                </w:p>
              </w:tc>
              <w:tc>
                <w:tcPr>
                  <w:tcW w:w="3598" w:type="dxa"/>
                  <w:vAlign w:val="center"/>
                </w:tcPr>
                <w:p w14:paraId="3977B63E">
                  <w:pPr>
                    <w:pStyle w:val="11"/>
                    <w:spacing w:line="240" w:lineRule="auto"/>
                    <w:ind w:left="0" w:right="0" w:firstLine="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本项目不涉及</w:t>
                  </w:r>
                </w:p>
              </w:tc>
            </w:tr>
            <w:tr w14:paraId="31BF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1" w:type="dxa"/>
                  <w:vAlign w:val="center"/>
                </w:tcPr>
                <w:p w14:paraId="544AE9A1">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海洋</w:t>
                  </w:r>
                </w:p>
              </w:tc>
              <w:tc>
                <w:tcPr>
                  <w:tcW w:w="3231" w:type="dxa"/>
                  <w:vAlign w:val="center"/>
                </w:tcPr>
                <w:p w14:paraId="27E0BDFE">
                  <w:pPr>
                    <w:pStyle w:val="11"/>
                    <w:spacing w:line="240" w:lineRule="auto"/>
                    <w:ind w:left="0" w:right="0" w:firstLine="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直接向海排放污染物的海洋工程建设项目</w:t>
                  </w:r>
                </w:p>
              </w:tc>
              <w:tc>
                <w:tcPr>
                  <w:tcW w:w="3598" w:type="dxa"/>
                  <w:vAlign w:val="center"/>
                </w:tcPr>
                <w:p w14:paraId="020F3E22">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r>
            <w:tr w14:paraId="40AB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70" w:type="dxa"/>
                  <w:gridSpan w:val="3"/>
                  <w:vAlign w:val="center"/>
                </w:tcPr>
                <w:p w14:paraId="429E7CE3">
                  <w:pPr>
                    <w:autoSpaceDE w:val="0"/>
                    <w:autoSpaceDN w:val="0"/>
                    <w:adjustRightInd w:val="0"/>
                    <w:snapToGrid w:val="0"/>
                    <w:rPr>
                      <w:color w:val="000000" w:themeColor="text1"/>
                      <w:kern w:val="0"/>
                      <w:sz w:val="21"/>
                      <w:szCs w:val="21"/>
                      <w:lang w:bidi="ar"/>
                      <w14:textFill>
                        <w14:solidFill>
                          <w14:schemeClr w14:val="tx1"/>
                        </w14:solidFill>
                      </w14:textFill>
                    </w:rPr>
                  </w:pPr>
                  <w:r>
                    <w:rPr>
                      <w:color w:val="000000" w:themeColor="text1"/>
                      <w:kern w:val="0"/>
                      <w:sz w:val="21"/>
                      <w:szCs w:val="21"/>
                      <w:lang w:bidi="ar"/>
                      <w14:textFill>
                        <w14:solidFill>
                          <w14:schemeClr w14:val="tx1"/>
                        </w14:solidFill>
                      </w14:textFill>
                    </w:rPr>
                    <w:t>注：1.废气中有毒有害污染物指纳入《有毒有害大气污染物》的污染物（不包括无排放标准的污染物）。</w:t>
                  </w:r>
                </w:p>
                <w:p w14:paraId="47FF2416">
                  <w:pPr>
                    <w:autoSpaceDE w:val="0"/>
                    <w:autoSpaceDN w:val="0"/>
                    <w:adjustRightInd w:val="0"/>
                    <w:snapToGrid w:val="0"/>
                    <w:rPr>
                      <w:color w:val="000000" w:themeColor="text1"/>
                      <w:kern w:val="0"/>
                      <w:sz w:val="21"/>
                      <w:szCs w:val="21"/>
                      <w:lang w:bidi="ar"/>
                      <w14:textFill>
                        <w14:solidFill>
                          <w14:schemeClr w14:val="tx1"/>
                        </w14:solidFill>
                      </w14:textFill>
                    </w:rPr>
                  </w:pPr>
                  <w:r>
                    <w:rPr>
                      <w:color w:val="000000" w:themeColor="text1"/>
                      <w:kern w:val="0"/>
                      <w:sz w:val="21"/>
                      <w:szCs w:val="21"/>
                      <w:lang w:bidi="ar"/>
                      <w14:textFill>
                        <w14:solidFill>
                          <w14:schemeClr w14:val="tx1"/>
                        </w14:solidFill>
                      </w14:textFill>
                    </w:rPr>
                    <w:t>2.环境空气保护目标指自然保护区、风景名胜区、居住区、文化区和农村地区中人群较集中的区域。</w:t>
                  </w:r>
                </w:p>
                <w:p w14:paraId="0E7B02CB">
                  <w:pPr>
                    <w:pStyle w:val="11"/>
                    <w:spacing w:line="240" w:lineRule="auto"/>
                    <w:ind w:left="0" w:right="0" w:firstLine="0"/>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3.临界量及其计算方法可参考《建设项目环境风险评价技术导则》（HJ 169）附录B、附录C。</w:t>
                  </w:r>
                </w:p>
              </w:tc>
            </w:tr>
          </w:tbl>
          <w:p w14:paraId="3B1EED8C">
            <w:pPr>
              <w:pStyle w:val="11"/>
              <w:spacing w:line="52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综上所述，本项目无需进行专项评价。</w:t>
            </w:r>
          </w:p>
        </w:tc>
      </w:tr>
      <w:tr w14:paraId="48DB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94" w:type="dxa"/>
            <w:vAlign w:val="center"/>
          </w:tcPr>
          <w:p w14:paraId="04E63ABF">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规划情况</w:t>
            </w:r>
          </w:p>
        </w:tc>
        <w:tc>
          <w:tcPr>
            <w:tcW w:w="8560" w:type="dxa"/>
            <w:gridSpan w:val="3"/>
            <w:vAlign w:val="center"/>
          </w:tcPr>
          <w:p w14:paraId="69297E38">
            <w:pPr>
              <w:pStyle w:val="11"/>
              <w:spacing w:line="460" w:lineRule="exact"/>
              <w:ind w:left="0" w:right="0"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4FB9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294" w:type="dxa"/>
            <w:vAlign w:val="center"/>
          </w:tcPr>
          <w:p w14:paraId="2BB8BD28">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规划环境影响评价情况</w:t>
            </w:r>
          </w:p>
        </w:tc>
        <w:tc>
          <w:tcPr>
            <w:tcW w:w="8560" w:type="dxa"/>
            <w:gridSpan w:val="3"/>
            <w:vAlign w:val="center"/>
          </w:tcPr>
          <w:p w14:paraId="0E06ED2D">
            <w:pPr>
              <w:spacing w:line="4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4405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25F6811B">
            <w:pPr>
              <w:jc w:val="center"/>
              <w:rPr>
                <w:rFonts w:ascii="宋体" w:hAnsi="宋体" w:cs="宋体"/>
                <w:color w:val="000000" w:themeColor="text1"/>
                <w14:textFill>
                  <w14:solidFill>
                    <w14:schemeClr w14:val="tx1"/>
                  </w14:solidFill>
                </w14:textFill>
              </w:rPr>
            </w:pPr>
            <w:bookmarkStart w:id="0" w:name="_Hlk195608799"/>
            <w:r>
              <w:rPr>
                <w:rFonts w:hint="eastAsia" w:ascii="宋体" w:hAnsi="宋体" w:cs="宋体"/>
                <w:color w:val="000000" w:themeColor="text1"/>
                <w14:textFill>
                  <w14:solidFill>
                    <w14:schemeClr w14:val="tx1"/>
                  </w14:solidFill>
                </w14:textFill>
              </w:rPr>
              <w:t>规划及规划环境影响评价符合性分析</w:t>
            </w:r>
          </w:p>
        </w:tc>
        <w:tc>
          <w:tcPr>
            <w:tcW w:w="8560" w:type="dxa"/>
            <w:gridSpan w:val="3"/>
            <w:vAlign w:val="center"/>
          </w:tcPr>
          <w:p w14:paraId="2F1996DF">
            <w:pPr>
              <w:pStyle w:val="33"/>
              <w:ind w:firstLine="0" w:firstLineChars="0"/>
              <w:jc w:val="center"/>
              <w:rPr>
                <w:color w:val="000000" w:themeColor="text1"/>
                <w14:textFill>
                  <w14:solidFill>
                    <w14:schemeClr w14:val="tx1"/>
                  </w14:solidFill>
                </w14:textFill>
              </w:rPr>
            </w:pPr>
            <w:r>
              <w:rPr>
                <w:rFonts w:hint="eastAsia" w:eastAsia="黑体"/>
                <w:color w:val="000000" w:themeColor="text1"/>
                <w14:textFill>
                  <w14:solidFill>
                    <w14:schemeClr w14:val="tx1"/>
                  </w14:solidFill>
                </w14:textFill>
              </w:rPr>
              <w:t>/</w:t>
            </w:r>
          </w:p>
        </w:tc>
      </w:tr>
      <w:bookmarkEnd w:id="0"/>
      <w:tr w14:paraId="1090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94" w:type="dxa"/>
            <w:vAlign w:val="center"/>
          </w:tcPr>
          <w:p w14:paraId="71A42664">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14:textFill>
                  <w14:solidFill>
                    <w14:schemeClr w14:val="tx1"/>
                  </w14:solidFill>
                </w14:textFill>
              </w:rPr>
              <w:t>其他符合性分析</w:t>
            </w:r>
          </w:p>
        </w:tc>
        <w:tc>
          <w:tcPr>
            <w:tcW w:w="8560" w:type="dxa"/>
            <w:gridSpan w:val="3"/>
            <w:vAlign w:val="center"/>
          </w:tcPr>
          <w:p w14:paraId="60110314">
            <w:pPr>
              <w:spacing w:line="460" w:lineRule="exact"/>
              <w:ind w:firstLine="482" w:firstLineChars="200"/>
              <w:jc w:val="left"/>
              <w:rPr>
                <w:b/>
                <w:bCs/>
                <w:color w:val="000000" w:themeColor="text1"/>
                <w14:textFill>
                  <w14:solidFill>
                    <w14:schemeClr w14:val="tx1"/>
                  </w14:solidFill>
                </w14:textFill>
              </w:rPr>
            </w:pPr>
            <w:r>
              <w:rPr>
                <w:b/>
                <w:bCs/>
                <w:color w:val="000000" w:themeColor="text1"/>
                <w14:textFill>
                  <w14:solidFill>
                    <w14:schemeClr w14:val="tx1"/>
                  </w14:solidFill>
                </w14:textFill>
              </w:rPr>
              <w:t>1、与《建设项目环境影响评价分类管理名录》（2021年版）相符性分析</w:t>
            </w:r>
          </w:p>
          <w:p w14:paraId="747F385A">
            <w:pPr>
              <w:spacing w:line="46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经查阅《建设项目环境影响评价分类管理名录》（2021年版），本项目属于十一项</w:t>
            </w:r>
            <w:r>
              <w:rPr>
                <w:rFonts w:hint="eastAsia" w:ascii="宋体" w:hAnsi="宋体" w:cs="宋体"/>
                <w:color w:val="000000" w:themeColor="text1"/>
                <w14:textFill>
                  <w14:solidFill>
                    <w14:schemeClr w14:val="tx1"/>
                  </w14:solidFill>
                </w14:textFill>
              </w:rPr>
              <w:t>“</w:t>
            </w:r>
            <w:r>
              <w:rPr>
                <w:rFonts w:hint="eastAsia" w:ascii="宋体" w:hAnsi="宋体" w:cs="宋体"/>
              </w:rPr>
              <w:t>食</w:t>
            </w:r>
            <w:r>
              <w:t>品制造业14</w:t>
            </w:r>
            <w:r>
              <w:rPr>
                <w:rFonts w:hint="eastAsia" w:ascii="宋体" w:hAnsi="宋体" w:cs="宋体"/>
                <w:color w:val="000000" w:themeColor="text1"/>
                <w14:textFill>
                  <w14:solidFill>
                    <w14:schemeClr w14:val="tx1"/>
                  </w14:solidFill>
                </w14:textFill>
              </w:rPr>
              <w:t>”</w:t>
            </w:r>
            <w:r>
              <w:rPr>
                <w:color w:val="000000" w:themeColor="text1"/>
                <w14:textFill>
                  <w14:solidFill>
                    <w14:schemeClr w14:val="tx1"/>
                  </w14:solidFill>
                </w14:textFill>
              </w:rPr>
              <w:t>第21条</w:t>
            </w:r>
            <w:r>
              <w:rPr>
                <w:rFonts w:hint="eastAsia" w:ascii="宋体" w:hAnsi="宋体" w:cs="宋体"/>
                <w:color w:val="000000" w:themeColor="text1"/>
                <w14:textFill>
                  <w14:solidFill>
                    <w14:schemeClr w14:val="tx1"/>
                  </w14:solidFill>
                </w14:textFill>
              </w:rPr>
              <w:t>“</w:t>
            </w:r>
            <w:r>
              <w:rPr>
                <w:rFonts w:hint="eastAsia" w:ascii="宋体" w:hAnsi="宋体" w:cs="宋体"/>
              </w:rPr>
              <w:t>方便</w:t>
            </w:r>
            <w:r>
              <w:t>食品制造143*</w:t>
            </w:r>
            <w:r>
              <w:rPr>
                <w:rFonts w:hint="eastAsia" w:ascii="宋体" w:hAnsi="宋体" w:cs="宋体"/>
                <w:color w:val="000000" w:themeColor="text1"/>
                <w14:textFill>
                  <w14:solidFill>
                    <w14:schemeClr w14:val="tx1"/>
                  </w14:solidFill>
                </w14:textFill>
              </w:rPr>
              <w:t>”</w:t>
            </w:r>
            <w:r>
              <w:rPr>
                <w:color w:val="000000" w:themeColor="text1"/>
                <w14:textFill>
                  <w14:solidFill>
                    <w14:schemeClr w14:val="tx1"/>
                  </w14:solidFill>
                </w14:textFill>
              </w:rPr>
              <w:t>。名录规定：</w:t>
            </w:r>
            <w:r>
              <w:rPr>
                <w:rFonts w:hint="eastAsia" w:ascii="宋体" w:hAnsi="宋体" w:cs="宋体"/>
                <w:color w:val="000000" w:themeColor="text1"/>
                <w14:textFill>
                  <w14:solidFill>
                    <w14:schemeClr w14:val="tx1"/>
                  </w14:solidFill>
                </w14:textFill>
              </w:rPr>
              <w:t>“</w:t>
            </w:r>
            <w:r>
              <w:rPr>
                <w:rFonts w:hint="eastAsia" w:ascii="宋体" w:hAnsi="宋体" w:cs="宋体"/>
              </w:rPr>
              <w:t>除单纯分装外的</w:t>
            </w:r>
            <w:r>
              <w:rPr>
                <w:rFonts w:hint="eastAsia" w:ascii="宋体" w:hAnsi="宋体" w:cs="宋体"/>
                <w:color w:val="000000" w:themeColor="text1"/>
                <w14:textFill>
                  <w14:solidFill>
                    <w14:schemeClr w14:val="tx1"/>
                  </w14:solidFill>
                </w14:textFill>
              </w:rPr>
              <w:t>”</w:t>
            </w:r>
            <w:r>
              <w:rPr>
                <w:color w:val="000000" w:themeColor="text1"/>
                <w14:textFill>
                  <w14:solidFill>
                    <w14:schemeClr w14:val="tx1"/>
                  </w14:solidFill>
                </w14:textFill>
              </w:rPr>
              <w:t>需编制环境影响报告表。本项目属于鸡汁素肠、手撕素肉生产，主要生产工艺为：清洗、成型、煮制、切段、油炸、拌料、灭菌、罐装、包装、贴标等，按要求本项目需编制环境影响报告表。</w:t>
            </w:r>
          </w:p>
          <w:p w14:paraId="19841584">
            <w:pPr>
              <w:spacing w:line="460" w:lineRule="exact"/>
              <w:ind w:firstLine="482" w:firstLineChars="200"/>
              <w:jc w:val="left"/>
              <w:rPr>
                <w:b/>
                <w:bCs/>
                <w:color w:val="000000" w:themeColor="text1"/>
                <w14:textFill>
                  <w14:solidFill>
                    <w14:schemeClr w14:val="tx1"/>
                  </w14:solidFill>
                </w14:textFill>
              </w:rPr>
            </w:pPr>
            <w:r>
              <w:rPr>
                <w:b/>
                <w:bCs/>
                <w:color w:val="000000" w:themeColor="text1"/>
                <w14:textFill>
                  <w14:solidFill>
                    <w14:schemeClr w14:val="tx1"/>
                  </w14:solidFill>
                </w14:textFill>
              </w:rPr>
              <w:t>2、与产业政策相符性分析</w:t>
            </w:r>
          </w:p>
          <w:p w14:paraId="6668998F">
            <w:pPr>
              <w:spacing w:line="46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经查阅《产业结构调整指导目录（2024年本）》，本项目生产规模、生产设备、生产工艺均不属于</w:t>
            </w:r>
            <w:r>
              <w:rPr>
                <w:rFonts w:hint="eastAsia" w:ascii="宋体" w:hAnsi="宋体" w:cs="宋体"/>
                <w:color w:val="000000" w:themeColor="text1"/>
                <w14:textFill>
                  <w14:solidFill>
                    <w14:schemeClr w14:val="tx1"/>
                  </w14:solidFill>
                </w14:textFill>
              </w:rPr>
              <w:t>“鼓励类”、“限制类”或“淘汰类”，为“允许类”</w:t>
            </w:r>
            <w:r>
              <w:rPr>
                <w:color w:val="000000" w:themeColor="text1"/>
                <w14:textFill>
                  <w14:solidFill>
                    <w14:schemeClr w14:val="tx1"/>
                  </w14:solidFill>
                </w14:textFill>
              </w:rPr>
              <w:t>，符合国家产业政策要求。本项目已通过延津县发展和改革委员会备案，项目代码为：2601-410726-04-05-862294。</w:t>
            </w:r>
          </w:p>
          <w:p w14:paraId="643D4F09">
            <w:pPr>
              <w:spacing w:line="460" w:lineRule="exact"/>
              <w:ind w:firstLine="480" w:firstLineChars="200"/>
              <w:jc w:val="left"/>
              <w:rPr>
                <w:color w:val="000000" w:themeColor="text1"/>
                <w14:textFill>
                  <w14:solidFill>
                    <w14:schemeClr w14:val="tx1"/>
                  </w14:solidFill>
                </w14:textFill>
              </w:rPr>
            </w:pPr>
            <w:r>
              <w:rPr>
                <w:color w:val="000000" w:themeColor="text1"/>
                <w14:textFill>
                  <w14:solidFill>
                    <w14:schemeClr w14:val="tx1"/>
                  </w14:solidFill>
                </w14:textFill>
              </w:rPr>
              <w:t>本项目情况与产业政策相符性见下表。</w:t>
            </w:r>
          </w:p>
          <w:p w14:paraId="5CB06BA5">
            <w:pPr>
              <w:spacing w:line="460" w:lineRule="exact"/>
              <w:ind w:firstLine="480" w:firstLineChars="200"/>
              <w:jc w:val="left"/>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表</w:t>
            </w:r>
            <w:r>
              <w:rPr>
                <w:rFonts w:hint="eastAsia" w:eastAsia="黑体"/>
                <w:color w:val="000000" w:themeColor="text1"/>
                <w14:textFill>
                  <w14:solidFill>
                    <w14:schemeClr w14:val="tx1"/>
                  </w14:solidFill>
                </w14:textFill>
              </w:rPr>
              <w:t>1-2</w:t>
            </w:r>
            <w:r>
              <w:rPr>
                <w:rFonts w:hint="eastAsia" w:ascii="黑体" w:hAnsi="黑体" w:eastAsia="黑体" w:cs="黑体"/>
                <w:color w:val="000000" w:themeColor="text1"/>
                <w14:textFill>
                  <w14:solidFill>
                    <w14:schemeClr w14:val="tx1"/>
                  </w14:solidFill>
                </w14:textFill>
              </w:rPr>
              <w:t xml:space="preserve">              本项目与产业政策相符性分析</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096"/>
              <w:gridCol w:w="842"/>
              <w:gridCol w:w="2453"/>
              <w:gridCol w:w="2506"/>
              <w:gridCol w:w="980"/>
            </w:tblGrid>
            <w:tr w14:paraId="6B45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54" w:type="dxa"/>
                  <w:gridSpan w:val="2"/>
                  <w:vAlign w:val="center"/>
                </w:tcPr>
                <w:p w14:paraId="1BD54840">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类别</w:t>
                  </w:r>
                </w:p>
              </w:tc>
              <w:tc>
                <w:tcPr>
                  <w:tcW w:w="843" w:type="dxa"/>
                  <w:vAlign w:val="center"/>
                </w:tcPr>
                <w:p w14:paraId="1DCFB55C">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条款</w:t>
                  </w:r>
                </w:p>
              </w:tc>
              <w:tc>
                <w:tcPr>
                  <w:tcW w:w="2457" w:type="dxa"/>
                  <w:vAlign w:val="center"/>
                </w:tcPr>
                <w:p w14:paraId="44E22E5A">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内容</w:t>
                  </w:r>
                </w:p>
              </w:tc>
              <w:tc>
                <w:tcPr>
                  <w:tcW w:w="2509" w:type="dxa"/>
                  <w:vAlign w:val="center"/>
                </w:tcPr>
                <w:p w14:paraId="6435DA9C">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本项目情况</w:t>
                  </w:r>
                </w:p>
              </w:tc>
              <w:tc>
                <w:tcPr>
                  <w:tcW w:w="981" w:type="dxa"/>
                  <w:vAlign w:val="center"/>
                </w:tcPr>
                <w:p w14:paraId="73FECAAC">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相符性</w:t>
                  </w:r>
                </w:p>
              </w:tc>
            </w:tr>
            <w:tr w14:paraId="1C0A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54" w:type="dxa"/>
                  <w:gridSpan w:val="2"/>
                  <w:vAlign w:val="center"/>
                </w:tcPr>
                <w:p w14:paraId="78515D3F">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鼓励类</w:t>
                  </w:r>
                </w:p>
              </w:tc>
              <w:tc>
                <w:tcPr>
                  <w:tcW w:w="843" w:type="dxa"/>
                  <w:vAlign w:val="center"/>
                </w:tcPr>
                <w:p w14:paraId="3FE6361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2457" w:type="dxa"/>
                  <w:vAlign w:val="center"/>
                </w:tcPr>
                <w:p w14:paraId="6836801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查阅无相关对应条款</w:t>
                  </w:r>
                </w:p>
              </w:tc>
              <w:tc>
                <w:tcPr>
                  <w:tcW w:w="2509" w:type="dxa"/>
                  <w:vMerge w:val="restart"/>
                  <w:vAlign w:val="center"/>
                </w:tcPr>
                <w:p w14:paraId="1CA04C1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本项目属于鸡汁素肠、手撕素肉生产，主要生产工艺为：清洗、成型、煮制、切段、油炸、拌料、灭菌、罐装、包装、贴标等。</w:t>
                  </w:r>
                </w:p>
              </w:tc>
              <w:tc>
                <w:tcPr>
                  <w:tcW w:w="981" w:type="dxa"/>
                  <w:vAlign w:val="center"/>
                </w:tcPr>
                <w:p w14:paraId="287DC95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不</w:t>
                  </w:r>
                  <w:r>
                    <w:rPr>
                      <w:color w:val="000000" w:themeColor="text1"/>
                      <w:sz w:val="21"/>
                      <w:szCs w:val="21"/>
                      <w14:textFill>
                        <w14:solidFill>
                          <w14:schemeClr w14:val="tx1"/>
                        </w14:solidFill>
                      </w14:textFill>
                    </w:rPr>
                    <w:t>属于</w:t>
                  </w:r>
                </w:p>
              </w:tc>
            </w:tr>
            <w:tr w14:paraId="6165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54" w:type="dxa"/>
                  <w:gridSpan w:val="2"/>
                  <w:vAlign w:val="center"/>
                </w:tcPr>
                <w:p w14:paraId="34929B8D">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限制类</w:t>
                  </w:r>
                </w:p>
              </w:tc>
              <w:tc>
                <w:tcPr>
                  <w:tcW w:w="843" w:type="dxa"/>
                  <w:vAlign w:val="center"/>
                </w:tcPr>
                <w:p w14:paraId="5D64871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2457" w:type="dxa"/>
                  <w:vAlign w:val="center"/>
                </w:tcPr>
                <w:p w14:paraId="381E677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查阅无相关对应条款</w:t>
                  </w:r>
                </w:p>
              </w:tc>
              <w:tc>
                <w:tcPr>
                  <w:tcW w:w="2509" w:type="dxa"/>
                  <w:vMerge w:val="continue"/>
                  <w:vAlign w:val="center"/>
                </w:tcPr>
                <w:p w14:paraId="459C3124">
                  <w:pPr>
                    <w:jc w:val="center"/>
                    <w:rPr>
                      <w:color w:val="000000" w:themeColor="text1"/>
                      <w:sz w:val="21"/>
                      <w:szCs w:val="21"/>
                      <w14:textFill>
                        <w14:solidFill>
                          <w14:schemeClr w14:val="tx1"/>
                        </w14:solidFill>
                      </w14:textFill>
                    </w:rPr>
                  </w:pPr>
                </w:p>
              </w:tc>
              <w:tc>
                <w:tcPr>
                  <w:tcW w:w="981" w:type="dxa"/>
                  <w:vAlign w:val="center"/>
                </w:tcPr>
                <w:p w14:paraId="6A9C44AC">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不属于</w:t>
                  </w:r>
                </w:p>
              </w:tc>
            </w:tr>
            <w:tr w14:paraId="1721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7" w:type="dxa"/>
                  <w:vMerge w:val="restart"/>
                  <w:vAlign w:val="center"/>
                </w:tcPr>
                <w:p w14:paraId="519EF15C">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淘汰类</w:t>
                  </w:r>
                </w:p>
              </w:tc>
              <w:tc>
                <w:tcPr>
                  <w:tcW w:w="1097" w:type="dxa"/>
                  <w:vAlign w:val="center"/>
                </w:tcPr>
                <w:p w14:paraId="582FF7D6">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落后生产工艺装备</w:t>
                  </w:r>
                </w:p>
              </w:tc>
              <w:tc>
                <w:tcPr>
                  <w:tcW w:w="843" w:type="dxa"/>
                  <w:vAlign w:val="center"/>
                </w:tcPr>
                <w:p w14:paraId="3643A01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2457" w:type="dxa"/>
                  <w:vAlign w:val="center"/>
                </w:tcPr>
                <w:p w14:paraId="7FCA241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查阅无相关对应条款</w:t>
                  </w:r>
                </w:p>
              </w:tc>
              <w:tc>
                <w:tcPr>
                  <w:tcW w:w="2509" w:type="dxa"/>
                  <w:vMerge w:val="continue"/>
                  <w:vAlign w:val="center"/>
                </w:tcPr>
                <w:p w14:paraId="45E336A3">
                  <w:pPr>
                    <w:jc w:val="center"/>
                    <w:rPr>
                      <w:color w:val="000000" w:themeColor="text1"/>
                      <w:sz w:val="21"/>
                      <w:szCs w:val="21"/>
                      <w14:textFill>
                        <w14:solidFill>
                          <w14:schemeClr w14:val="tx1"/>
                        </w14:solidFill>
                      </w14:textFill>
                    </w:rPr>
                  </w:pPr>
                </w:p>
              </w:tc>
              <w:tc>
                <w:tcPr>
                  <w:tcW w:w="981" w:type="dxa"/>
                  <w:vAlign w:val="center"/>
                </w:tcPr>
                <w:p w14:paraId="762DAEDC">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不属于</w:t>
                  </w:r>
                </w:p>
              </w:tc>
            </w:tr>
            <w:tr w14:paraId="0730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7" w:type="dxa"/>
                  <w:vMerge w:val="continue"/>
                  <w:vAlign w:val="center"/>
                </w:tcPr>
                <w:p w14:paraId="5CCF42A3">
                  <w:pPr>
                    <w:jc w:val="center"/>
                    <w:rPr>
                      <w:color w:val="000000" w:themeColor="text1"/>
                      <w:sz w:val="21"/>
                      <w:szCs w:val="21"/>
                      <w14:textFill>
                        <w14:solidFill>
                          <w14:schemeClr w14:val="tx1"/>
                        </w14:solidFill>
                      </w14:textFill>
                    </w:rPr>
                  </w:pPr>
                </w:p>
              </w:tc>
              <w:tc>
                <w:tcPr>
                  <w:tcW w:w="1097" w:type="dxa"/>
                  <w:vAlign w:val="center"/>
                </w:tcPr>
                <w:p w14:paraId="010ABB6B">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落后产品</w:t>
                  </w:r>
                </w:p>
              </w:tc>
              <w:tc>
                <w:tcPr>
                  <w:tcW w:w="843" w:type="dxa"/>
                  <w:vAlign w:val="center"/>
                </w:tcPr>
                <w:p w14:paraId="1BE8672B">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2457" w:type="dxa"/>
                  <w:vAlign w:val="center"/>
                </w:tcPr>
                <w:p w14:paraId="3616F3BC">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查阅无相关对应条款</w:t>
                  </w:r>
                </w:p>
              </w:tc>
              <w:tc>
                <w:tcPr>
                  <w:tcW w:w="2509" w:type="dxa"/>
                  <w:vMerge w:val="continue"/>
                  <w:vAlign w:val="center"/>
                </w:tcPr>
                <w:p w14:paraId="0C0D980C">
                  <w:pPr>
                    <w:jc w:val="center"/>
                    <w:rPr>
                      <w:color w:val="000000" w:themeColor="text1"/>
                      <w:sz w:val="21"/>
                      <w:szCs w:val="21"/>
                      <w14:textFill>
                        <w14:solidFill>
                          <w14:schemeClr w14:val="tx1"/>
                        </w14:solidFill>
                      </w14:textFill>
                    </w:rPr>
                  </w:pPr>
                </w:p>
              </w:tc>
              <w:tc>
                <w:tcPr>
                  <w:tcW w:w="981" w:type="dxa"/>
                  <w:vAlign w:val="center"/>
                </w:tcPr>
                <w:p w14:paraId="7DF2D568">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不属于</w:t>
                  </w:r>
                </w:p>
              </w:tc>
            </w:tr>
          </w:tbl>
          <w:p w14:paraId="0F56FA87">
            <w:pPr>
              <w:pStyle w:val="11"/>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3、与备案相符性分析</w:t>
            </w:r>
          </w:p>
          <w:p w14:paraId="7E4ACC55">
            <w:pPr>
              <w:spacing w:line="46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本项目与备案内容一致相分析见下表。</w:t>
            </w:r>
          </w:p>
          <w:p w14:paraId="636EBED1">
            <w:pPr>
              <w:pStyle w:val="11"/>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表</w:t>
            </w:r>
            <w:r>
              <w:rPr>
                <w:rFonts w:hint="eastAsia" w:eastAsia="黑体"/>
                <w:color w:val="000000" w:themeColor="text1"/>
                <w14:textFill>
                  <w14:solidFill>
                    <w14:schemeClr w14:val="tx1"/>
                  </w14:solidFill>
                </w14:textFill>
              </w:rPr>
              <w:t>1-3</w:t>
            </w:r>
            <w:r>
              <w:rPr>
                <w:rFonts w:eastAsia="黑体"/>
                <w:color w:val="000000" w:themeColor="text1"/>
                <w14:textFill>
                  <w14:solidFill>
                    <w14:schemeClr w14:val="tx1"/>
                  </w14:solidFill>
                </w14:textFill>
              </w:rPr>
              <w:t xml:space="preserve">    </w:t>
            </w:r>
            <w:r>
              <w:rPr>
                <w:rFonts w:hint="eastAsia" w:eastAsia="黑体"/>
                <w:color w:val="000000" w:themeColor="text1"/>
                <w14:textFill>
                  <w14:solidFill>
                    <w14:schemeClr w14:val="tx1"/>
                  </w14:solidFill>
                </w14:textFill>
              </w:rPr>
              <w:t xml:space="preserve">    </w:t>
            </w:r>
            <w:r>
              <w:rPr>
                <w:rFonts w:eastAsia="黑体"/>
                <w:color w:val="000000" w:themeColor="text1"/>
                <w14:textFill>
                  <w14:solidFill>
                    <w14:schemeClr w14:val="tx1"/>
                  </w14:solidFill>
                </w14:textFill>
              </w:rPr>
              <w:t xml:space="preserve">      本项目与备案</w:t>
            </w:r>
            <w:r>
              <w:rPr>
                <w:rFonts w:hint="eastAsia" w:eastAsia="黑体"/>
                <w:color w:val="000000" w:themeColor="text1"/>
                <w14:textFill>
                  <w14:solidFill>
                    <w14:schemeClr w14:val="tx1"/>
                  </w14:solidFill>
                </w14:textFill>
              </w:rPr>
              <w:t>内容一致</w:t>
            </w:r>
            <w:r>
              <w:rPr>
                <w:rFonts w:eastAsia="黑体"/>
                <w:color w:val="000000" w:themeColor="text1"/>
                <w14:textFill>
                  <w14:solidFill>
                    <w14:schemeClr w14:val="tx1"/>
                  </w14:solidFill>
                </w14:textFill>
              </w:rPr>
              <w:t>性分析表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3302"/>
              <w:gridCol w:w="3337"/>
              <w:gridCol w:w="959"/>
            </w:tblGrid>
            <w:tr w14:paraId="24FE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14:paraId="273F823F">
                  <w:pPr>
                    <w:pStyle w:val="11"/>
                    <w:spacing w:line="240" w:lineRule="auto"/>
                    <w:ind w:left="0" w:right="0" w:firstLine="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名称</w:t>
                  </w:r>
                </w:p>
              </w:tc>
              <w:tc>
                <w:tcPr>
                  <w:tcW w:w="3306" w:type="dxa"/>
                  <w:vAlign w:val="center"/>
                </w:tcPr>
                <w:p w14:paraId="35837559">
                  <w:pPr>
                    <w:pStyle w:val="11"/>
                    <w:spacing w:line="240" w:lineRule="auto"/>
                    <w:ind w:left="0" w:right="0" w:firstLine="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项目备案</w:t>
                  </w:r>
                </w:p>
              </w:tc>
              <w:tc>
                <w:tcPr>
                  <w:tcW w:w="3341" w:type="dxa"/>
                  <w:vAlign w:val="center"/>
                </w:tcPr>
                <w:p w14:paraId="005F5E6F">
                  <w:pPr>
                    <w:pStyle w:val="11"/>
                    <w:spacing w:line="240" w:lineRule="auto"/>
                    <w:ind w:left="0" w:right="0" w:firstLine="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项目情况</w:t>
                  </w:r>
                </w:p>
              </w:tc>
              <w:tc>
                <w:tcPr>
                  <w:tcW w:w="960" w:type="dxa"/>
                  <w:vAlign w:val="center"/>
                </w:tcPr>
                <w:p w14:paraId="4C16AF58">
                  <w:pPr>
                    <w:pStyle w:val="11"/>
                    <w:spacing w:line="240" w:lineRule="auto"/>
                    <w:ind w:left="0" w:right="0" w:firstLine="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一致性分析</w:t>
                  </w:r>
                </w:p>
              </w:tc>
            </w:tr>
            <w:tr w14:paraId="47D9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14:paraId="69ECF10E">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项目名称</w:t>
                  </w:r>
                </w:p>
              </w:tc>
              <w:tc>
                <w:tcPr>
                  <w:tcW w:w="3306" w:type="dxa"/>
                  <w:vAlign w:val="center"/>
                </w:tcPr>
                <w:p w14:paraId="2394EBB5">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河南朝东食品有限公司年产1500吨鸡汁素肠改建项目</w:t>
                  </w:r>
                </w:p>
              </w:tc>
              <w:tc>
                <w:tcPr>
                  <w:tcW w:w="3341" w:type="dxa"/>
                  <w:vAlign w:val="center"/>
                </w:tcPr>
                <w:p w14:paraId="75E34587">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河南朝东食品有限公司年产1500吨鸡汁素肠改建项目</w:t>
                  </w:r>
                </w:p>
              </w:tc>
              <w:tc>
                <w:tcPr>
                  <w:tcW w:w="960" w:type="dxa"/>
                  <w:vAlign w:val="center"/>
                </w:tcPr>
                <w:p w14:paraId="01C96DD8">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一致</w:t>
                  </w:r>
                </w:p>
              </w:tc>
            </w:tr>
            <w:tr w14:paraId="1926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14:paraId="71C897B7">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建设单位</w:t>
                  </w:r>
                </w:p>
              </w:tc>
              <w:tc>
                <w:tcPr>
                  <w:tcW w:w="3306" w:type="dxa"/>
                  <w:vAlign w:val="center"/>
                </w:tcPr>
                <w:p w14:paraId="08CD55D1">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河南朝东食品有限公司</w:t>
                  </w:r>
                </w:p>
              </w:tc>
              <w:tc>
                <w:tcPr>
                  <w:tcW w:w="3341" w:type="dxa"/>
                  <w:vAlign w:val="center"/>
                </w:tcPr>
                <w:p w14:paraId="0102608C">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河南朝东食品有限公司</w:t>
                  </w:r>
                </w:p>
              </w:tc>
              <w:tc>
                <w:tcPr>
                  <w:tcW w:w="960" w:type="dxa"/>
                  <w:vAlign w:val="center"/>
                </w:tcPr>
                <w:p w14:paraId="286BF8C0">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一致</w:t>
                  </w:r>
                </w:p>
              </w:tc>
            </w:tr>
            <w:tr w14:paraId="1B98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14:paraId="45B3429F">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建设地点</w:t>
                  </w:r>
                </w:p>
              </w:tc>
              <w:tc>
                <w:tcPr>
                  <w:tcW w:w="3306" w:type="dxa"/>
                  <w:vAlign w:val="center"/>
                </w:tcPr>
                <w:p w14:paraId="22D72725">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河南省新乡市延津县榆林乡夹堤村西南河南朝东食品有限公司现有厂区内</w:t>
                  </w:r>
                </w:p>
              </w:tc>
              <w:tc>
                <w:tcPr>
                  <w:tcW w:w="3341" w:type="dxa"/>
                  <w:vAlign w:val="center"/>
                </w:tcPr>
                <w:p w14:paraId="53DC56E6">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河南省新乡市延津县榆林乡夹堤村西南河南朝东食品有限公司现有厂区内</w:t>
                  </w:r>
                </w:p>
              </w:tc>
              <w:tc>
                <w:tcPr>
                  <w:tcW w:w="960" w:type="dxa"/>
                  <w:vAlign w:val="center"/>
                </w:tcPr>
                <w:p w14:paraId="324C6CB4">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一致</w:t>
                  </w:r>
                </w:p>
              </w:tc>
            </w:tr>
            <w:tr w14:paraId="4F8F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14:paraId="6F302706">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建设性质</w:t>
                  </w:r>
                </w:p>
              </w:tc>
              <w:tc>
                <w:tcPr>
                  <w:tcW w:w="3306" w:type="dxa"/>
                  <w:vAlign w:val="center"/>
                </w:tcPr>
                <w:p w14:paraId="4E47A120">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改建</w:t>
                  </w:r>
                </w:p>
              </w:tc>
              <w:tc>
                <w:tcPr>
                  <w:tcW w:w="3341" w:type="dxa"/>
                  <w:vAlign w:val="center"/>
                </w:tcPr>
                <w:p w14:paraId="12C3FCBE">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改建</w:t>
                  </w:r>
                </w:p>
              </w:tc>
              <w:tc>
                <w:tcPr>
                  <w:tcW w:w="960" w:type="dxa"/>
                  <w:vAlign w:val="center"/>
                </w:tcPr>
                <w:p w14:paraId="62FAF412">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一致</w:t>
                  </w:r>
                </w:p>
              </w:tc>
            </w:tr>
            <w:tr w14:paraId="622C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14:paraId="5FDEFBD0">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项目总投资</w:t>
                  </w:r>
                </w:p>
              </w:tc>
              <w:tc>
                <w:tcPr>
                  <w:tcW w:w="3306" w:type="dxa"/>
                  <w:vAlign w:val="center"/>
                </w:tcPr>
                <w:p w14:paraId="1A5A10F8">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300万元</w:t>
                  </w:r>
                </w:p>
              </w:tc>
              <w:tc>
                <w:tcPr>
                  <w:tcW w:w="3341" w:type="dxa"/>
                  <w:vAlign w:val="center"/>
                </w:tcPr>
                <w:p w14:paraId="71B94202">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300万元</w:t>
                  </w:r>
                </w:p>
              </w:tc>
              <w:tc>
                <w:tcPr>
                  <w:tcW w:w="960" w:type="dxa"/>
                  <w:vAlign w:val="center"/>
                </w:tcPr>
                <w:p w14:paraId="3EA6C875">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一致</w:t>
                  </w:r>
                </w:p>
              </w:tc>
            </w:tr>
            <w:tr w14:paraId="6E30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14:paraId="1741D6E5">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建设规模及内容</w:t>
                  </w:r>
                </w:p>
              </w:tc>
              <w:tc>
                <w:tcPr>
                  <w:tcW w:w="3306" w:type="dxa"/>
                  <w:vAlign w:val="center"/>
                </w:tcPr>
                <w:p w14:paraId="1ACC8D0A">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为鸡汁素肠1300t/a、手撕素肉200t/a。主要工艺为清洗、成型、煮制、切段、油炸、拌料、灭菌、罐装、包装、贴标等。主要设备为卷面筋机、清洗机、切菜机、搅拌锅、油炸锅、夹层锅、灌装机、风干机、袋式真空包装机、卧式杀菌锅、贴标机等，同时配套建设2台0.5t/h的蒸汽发生器(一用一备)及污水处理设施。</w:t>
                  </w:r>
                </w:p>
              </w:tc>
              <w:tc>
                <w:tcPr>
                  <w:tcW w:w="3341" w:type="dxa"/>
                  <w:vAlign w:val="center"/>
                </w:tcPr>
                <w:p w14:paraId="4985A834">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为鸡汁素肠1300t/a、手撕素肉200t/a。主要工艺为清洗、成型、煮制、切段、油炸、拌料、灭菌、罐装、包装、贴标等。主要设备为卷面筋机、清洗机、切菜机、搅拌锅、油炸锅、夹层锅、灌装机、风干机、袋式真空包装机、卧式杀菌锅、贴标机等，2台0.5t/h的蒸汽发生器(一用一备)</w:t>
                  </w:r>
                  <w:r>
                    <w:rPr>
                      <w:rFonts w:hint="eastAsia"/>
                      <w:color w:val="000000" w:themeColor="text1"/>
                      <w:sz w:val="21"/>
                      <w:szCs w:val="21"/>
                      <w:lang w:val="en-US" w:eastAsia="zh-CN"/>
                      <w14:textFill>
                        <w14:solidFill>
                          <w14:schemeClr w14:val="tx1"/>
                        </w14:solidFill>
                      </w14:textFill>
                    </w:rPr>
                    <w:t>利用现有</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污水处理设施</w:t>
                  </w:r>
                  <w:r>
                    <w:rPr>
                      <w:rFonts w:hint="eastAsia"/>
                      <w:color w:val="000000" w:themeColor="text1"/>
                      <w:sz w:val="21"/>
                      <w:szCs w:val="21"/>
                      <w:lang w:val="en-US" w:eastAsia="zh-CN"/>
                      <w14:textFill>
                        <w14:solidFill>
                          <w14:schemeClr w14:val="tx1"/>
                        </w14:solidFill>
                      </w14:textFill>
                    </w:rPr>
                    <w:t>利用现有</w:t>
                  </w:r>
                  <w:r>
                    <w:rPr>
                      <w:rFonts w:hint="eastAsia"/>
                      <w:color w:val="000000" w:themeColor="text1"/>
                      <w:sz w:val="21"/>
                      <w:szCs w:val="21"/>
                      <w14:textFill>
                        <w14:solidFill>
                          <w14:schemeClr w14:val="tx1"/>
                        </w14:solidFill>
                      </w14:textFill>
                    </w:rPr>
                    <w:t>。</w:t>
                  </w:r>
                </w:p>
              </w:tc>
              <w:tc>
                <w:tcPr>
                  <w:tcW w:w="960" w:type="dxa"/>
                  <w:vAlign w:val="center"/>
                </w:tcPr>
                <w:p w14:paraId="05219053">
                  <w:pPr>
                    <w:pStyle w:val="11"/>
                    <w:spacing w:line="240" w:lineRule="auto"/>
                    <w:ind w:left="0" w:right="0" w:firstLine="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基本</w:t>
                  </w:r>
                </w:p>
                <w:p w14:paraId="61E66F50">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一致</w:t>
                  </w:r>
                </w:p>
              </w:tc>
            </w:tr>
          </w:tbl>
          <w:p w14:paraId="606FEB22">
            <w:pPr>
              <w:pStyle w:val="11"/>
              <w:keepNext w:val="0"/>
              <w:keepLines w:val="0"/>
              <w:pageBreakBefore w:val="0"/>
              <w:widowControl w:val="0"/>
              <w:kinsoku/>
              <w:wordWrap/>
              <w:overflowPunct/>
              <w:topLinePunct w:val="0"/>
              <w:autoSpaceDE/>
              <w:autoSpaceDN/>
              <w:bidi w:val="0"/>
              <w:adjustRightInd/>
              <w:snapToGrid/>
              <w:ind w:left="0" w:right="0" w:firstLine="51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由上表可知，</w:t>
            </w:r>
            <w:r>
              <w:rPr>
                <w:rFonts w:hint="eastAsia"/>
                <w:color w:val="000000" w:themeColor="text1"/>
                <w:sz w:val="24"/>
                <w:szCs w:val="24"/>
                <w:lang w:val="en-US" w:eastAsia="zh-CN"/>
                <w14:textFill>
                  <w14:solidFill>
                    <w14:schemeClr w14:val="tx1"/>
                  </w14:solidFill>
                </w14:textFill>
              </w:rPr>
              <w:t>企业已建有2台0.5t/h的蒸汽发生器(一用一备)及污水处理设施 ，本次不再新建，本项目建设与备案内容基本一致。</w:t>
            </w:r>
          </w:p>
          <w:p w14:paraId="0A134D41">
            <w:pPr>
              <w:spacing w:line="460" w:lineRule="exact"/>
              <w:ind w:left="482"/>
              <w:jc w:val="left"/>
              <w:rPr>
                <w:b/>
                <w:bCs/>
                <w:color w:val="000000" w:themeColor="text1"/>
                <w14:textFill>
                  <w14:solidFill>
                    <w14:schemeClr w14:val="tx1"/>
                  </w14:solidFill>
                </w14:textFill>
              </w:rPr>
            </w:pPr>
            <w:r>
              <w:rPr>
                <w:b/>
                <w:bCs/>
                <w:color w:val="000000" w:themeColor="text1"/>
                <w14:textFill>
                  <w14:solidFill>
                    <w14:schemeClr w14:val="tx1"/>
                  </w14:solidFill>
                </w14:textFill>
              </w:rPr>
              <w:t>4、与当地建设相符性分析</w:t>
            </w:r>
          </w:p>
          <w:p w14:paraId="57EC386F">
            <w:pPr>
              <w:spacing w:line="46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（1）本项目位于新乡市延津县榆林乡夹堤村西南河南朝东食品有限公司现有厂区内，根据《榆林乡土地利用总体规划图》，项目所占用地为建设用地（详见附图二），符合延津县榆林乡用地规划要求。</w:t>
            </w:r>
          </w:p>
          <w:p w14:paraId="17B0C430">
            <w:pPr>
              <w:spacing w:line="54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2）项目选址距离最近的饮用水源地为榆林乡新堤村地下水型水源地。榆林乡新堤村地下水型水源地一级保护区为：水厂北厂界向北19米，南厂界向南16米，西厂界向西21米，东厂界向东16米合成的闭合区域。本项目距离其一级保护区边界约3300m，不在其保护范围内。</w:t>
            </w:r>
          </w:p>
          <w:p w14:paraId="2EF13F4B">
            <w:pPr>
              <w:spacing w:line="460" w:lineRule="exact"/>
              <w:ind w:left="482"/>
              <w:jc w:val="left"/>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5</w:t>
            </w:r>
            <w:r>
              <w:rPr>
                <w:b/>
                <w:bCs/>
                <w:color w:val="000000" w:themeColor="text1"/>
                <w14:textFill>
                  <w14:solidFill>
                    <w14:schemeClr w14:val="tx1"/>
                  </w14:solidFill>
                </w14:textFill>
              </w:rPr>
              <w:t>、与所在地“三线一单”相符性分析</w:t>
            </w:r>
          </w:p>
          <w:p w14:paraId="600C1C3C">
            <w:pPr>
              <w:spacing w:line="460" w:lineRule="exact"/>
              <w:ind w:firstLine="480" w:firstLineChars="200"/>
              <w:jc w:val="left"/>
              <w:rPr>
                <w:color w:val="000000" w:themeColor="text1"/>
                <w14:textFill>
                  <w14:solidFill>
                    <w14:schemeClr w14:val="tx1"/>
                  </w14:solidFill>
                </w14:textFill>
              </w:rPr>
            </w:pPr>
            <w:r>
              <w:rPr>
                <w:color w:val="000000" w:themeColor="text1"/>
                <w14:textFill>
                  <w14:solidFill>
                    <w14:schemeClr w14:val="tx1"/>
                  </w14:solidFill>
                </w14:textFill>
              </w:rPr>
              <w:t>（1）生态保护红线相符性</w:t>
            </w:r>
          </w:p>
          <w:p w14:paraId="646F4AF5">
            <w:pPr>
              <w:spacing w:line="46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本项目位于</w:t>
            </w:r>
            <w:r>
              <w:rPr>
                <w:rFonts w:eastAsia="Helvetica"/>
                <w:color w:val="333333"/>
                <w:shd w:val="clear" w:color="auto" w:fill="FFFFFF"/>
              </w:rPr>
              <w:t>延津县榆林乡夹堤村西南河南朝东食品有限公司</w:t>
            </w:r>
            <w:r>
              <w:rPr>
                <w:color w:val="333333"/>
                <w:shd w:val="clear" w:color="auto" w:fill="FFFFFF"/>
              </w:rPr>
              <w:t>现有</w:t>
            </w:r>
            <w:r>
              <w:rPr>
                <w:color w:val="000000" w:themeColor="text1"/>
                <w14:textFill>
                  <w14:solidFill>
                    <w14:schemeClr w14:val="tx1"/>
                  </w14:solidFill>
                </w14:textFill>
              </w:rPr>
              <w:t>厂区内，不在当地饮用水源、风景区、自然保护区等生态保护区内，根据新乡市生态保护红线划定结果，本项目选址范围不涉及生态保护红线，本项目的实施与生态保护红线不冲突。</w:t>
            </w:r>
          </w:p>
          <w:p w14:paraId="48EA57B3">
            <w:pPr>
              <w:spacing w:line="460" w:lineRule="exact"/>
              <w:ind w:firstLine="480" w:firstLineChars="200"/>
              <w:jc w:val="left"/>
              <w:rPr>
                <w:color w:val="000000" w:themeColor="text1"/>
                <w14:textFill>
                  <w14:solidFill>
                    <w14:schemeClr w14:val="tx1"/>
                  </w14:solidFill>
                </w14:textFill>
              </w:rPr>
            </w:pPr>
            <w:r>
              <w:rPr>
                <w:color w:val="000000" w:themeColor="text1"/>
                <w14:textFill>
                  <w14:solidFill>
                    <w14:schemeClr w14:val="tx1"/>
                  </w14:solidFill>
                </w14:textFill>
              </w:rPr>
              <w:t>（2）资源利用上线相符性</w:t>
            </w:r>
          </w:p>
          <w:p w14:paraId="3713278F">
            <w:pPr>
              <w:spacing w:line="46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本项目用水来自厂区自备井</w:t>
            </w:r>
            <w:r>
              <w:rPr>
                <w:rFonts w:hint="eastAsia"/>
                <w:color w:val="000000" w:themeColor="text1"/>
                <w14:textFill>
                  <w14:solidFill>
                    <w14:schemeClr w14:val="tx1"/>
                  </w14:solidFill>
                </w14:textFill>
              </w:rPr>
              <w:t>，用水量较小</w:t>
            </w:r>
            <w:r>
              <w:rPr>
                <w:color w:val="000000" w:themeColor="text1"/>
                <w14:textFill>
                  <w14:solidFill>
                    <w14:schemeClr w14:val="tx1"/>
                  </w14:solidFill>
                </w14:textFill>
              </w:rPr>
              <w:t>；能源主要为电，由榆林乡供电所统一供电。项目建成运行后通过内部管理、设备选择、原辅材料的选用和管理、废物回收利用、污染治理等多方面采取合理可行的防治措施，以</w:t>
            </w:r>
            <w:r>
              <w:rPr>
                <w:rFonts w:hint="eastAsia" w:ascii="宋体" w:hAnsi="宋体" w:cs="宋体"/>
                <w:color w:val="000000" w:themeColor="text1"/>
                <w14:textFill>
                  <w14:solidFill>
                    <w14:schemeClr w14:val="tx1"/>
                  </w14:solidFill>
                </w14:textFill>
              </w:rPr>
              <w:t>“节能、降耗、减污”</w:t>
            </w:r>
            <w:r>
              <w:rPr>
                <w:color w:val="000000" w:themeColor="text1"/>
                <w14:textFill>
                  <w14:solidFill>
                    <w14:schemeClr w14:val="tx1"/>
                  </w14:solidFill>
                </w14:textFill>
              </w:rPr>
              <w:t>为目标，有效地控制污染。项目的水、气等资源利用不会突破区域的资源利用上线。</w:t>
            </w:r>
          </w:p>
          <w:p w14:paraId="69F56933">
            <w:pPr>
              <w:spacing w:line="460" w:lineRule="exact"/>
              <w:ind w:firstLine="480" w:firstLineChars="200"/>
              <w:jc w:val="left"/>
              <w:rPr>
                <w:color w:val="000000" w:themeColor="text1"/>
                <w14:textFill>
                  <w14:solidFill>
                    <w14:schemeClr w14:val="tx1"/>
                  </w14:solidFill>
                </w14:textFill>
              </w:rPr>
            </w:pPr>
            <w:r>
              <w:rPr>
                <w:color w:val="000000" w:themeColor="text1"/>
                <w14:textFill>
                  <w14:solidFill>
                    <w14:schemeClr w14:val="tx1"/>
                  </w14:solidFill>
                </w14:textFill>
              </w:rPr>
              <w:t>（3）环境质量底线相符性</w:t>
            </w:r>
          </w:p>
          <w:p w14:paraId="3DF75E23">
            <w:pPr>
              <w:spacing w:line="46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本项目废气、废水、噪声排放对周边环境影响较小，不会导致区域环境产生明显变化。项目对周边大气环境、地表水环境、地下水环境、声环境、土壤环境影响均可接受。</w:t>
            </w:r>
          </w:p>
          <w:p w14:paraId="0C861BE4">
            <w:pPr>
              <w:spacing w:line="46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（4）本项目选址位于</w:t>
            </w:r>
            <w:r>
              <w:rPr>
                <w:rFonts w:eastAsia="Helvetica"/>
                <w:color w:val="333333"/>
                <w:shd w:val="clear" w:color="auto" w:fill="FFFFFF"/>
              </w:rPr>
              <w:t>延津县榆林乡夹堤村西南河南朝东食品有限公司</w:t>
            </w:r>
            <w:r>
              <w:rPr>
                <w:color w:val="333333"/>
                <w:shd w:val="clear" w:color="auto" w:fill="FFFFFF"/>
              </w:rPr>
              <w:t>现有</w:t>
            </w:r>
            <w:r>
              <w:rPr>
                <w:color w:val="000000" w:themeColor="text1"/>
                <w14:textFill>
                  <w14:solidFill>
                    <w14:schemeClr w14:val="tx1"/>
                  </w14:solidFill>
                </w14:textFill>
              </w:rPr>
              <w:t>厂区内，根据《</w:t>
            </w:r>
            <w:r>
              <w:rPr>
                <w:rFonts w:hint="eastAsia"/>
                <w:color w:val="000000" w:themeColor="text1"/>
                <w:lang w:eastAsia="zh-CN"/>
                <w14:textFill>
                  <w14:solidFill>
                    <w14:schemeClr w14:val="tx1"/>
                  </w14:solidFill>
                </w14:textFill>
              </w:rPr>
              <w:t>河南省生态环境分区管控应用平台</w:t>
            </w:r>
            <w:r>
              <w:rPr>
                <w:color w:val="000000" w:themeColor="text1"/>
                <w14:textFill>
                  <w14:solidFill>
                    <w14:schemeClr w14:val="tx1"/>
                  </w14:solidFill>
                </w14:textFill>
              </w:rPr>
              <w:t>》，本项目位于重点管控单元，详见下图：</w:t>
            </w:r>
          </w:p>
        </w:tc>
      </w:tr>
    </w:tbl>
    <w:p w14:paraId="3EDDA815">
      <w:pPr>
        <w:pStyle w:val="11"/>
        <w:rPr>
          <w:color w:val="000000" w:themeColor="text1"/>
          <w14:textFill>
            <w14:solidFill>
              <w14:schemeClr w14:val="tx1"/>
            </w14:solidFill>
          </w14:textFill>
        </w:rPr>
        <w:sectPr>
          <w:footerReference r:id="rId3" w:type="default"/>
          <w:pgSz w:w="11906" w:h="16838"/>
          <w:pgMar w:top="1701" w:right="1134" w:bottom="1701" w:left="1134" w:header="851" w:footer="992" w:gutter="0"/>
          <w:pgNumType w:start="1"/>
          <w:cols w:space="720" w:num="1"/>
          <w:docGrid w:type="lines" w:linePitch="312" w:charSpace="0"/>
        </w:sect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52"/>
      </w:tblGrid>
      <w:tr w14:paraId="5977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9" w:hRule="atLeast"/>
        </w:trPr>
        <w:tc>
          <w:tcPr>
            <w:tcW w:w="13652" w:type="dxa"/>
          </w:tcPr>
          <w:p w14:paraId="43B1FA71">
            <w:pPr>
              <w:spacing w:line="360" w:lineRule="auto"/>
              <w:jc w:val="center"/>
              <w:rPr>
                <w:color w:val="000000" w:themeColor="text1"/>
                <w14:textFill>
                  <w14:solidFill>
                    <w14:schemeClr w14:val="tx1"/>
                  </w14:solidFill>
                </w14:textFill>
              </w:rPr>
            </w:pPr>
            <w:r>
              <mc:AlternateContent>
                <mc:Choice Requires="wps">
                  <w:drawing>
                    <wp:anchor distT="0" distB="0" distL="114300" distR="114300" simplePos="0" relativeHeight="251699200" behindDoc="0" locked="0" layoutInCell="1" allowOverlap="1">
                      <wp:simplePos x="0" y="0"/>
                      <wp:positionH relativeFrom="column">
                        <wp:posOffset>5437505</wp:posOffset>
                      </wp:positionH>
                      <wp:positionV relativeFrom="paragraph">
                        <wp:posOffset>2287270</wp:posOffset>
                      </wp:positionV>
                      <wp:extent cx="673100" cy="283210"/>
                      <wp:effectExtent l="99695" t="6350" r="8255" b="510540"/>
                      <wp:wrapNone/>
                      <wp:docPr id="49" name="矩形标注 49"/>
                      <wp:cNvGraphicFramePr/>
                      <a:graphic xmlns:a="http://schemas.openxmlformats.org/drawingml/2006/main">
                        <a:graphicData uri="http://schemas.microsoft.com/office/word/2010/wordprocessingShape">
                          <wps:wsp>
                            <wps:cNvSpPr/>
                            <wps:spPr>
                              <a:xfrm>
                                <a:off x="5203190" y="2268855"/>
                                <a:ext cx="673100" cy="283210"/>
                              </a:xfrm>
                              <a:prstGeom prst="wedgeRectCallout">
                                <a:avLst>
                                  <a:gd name="adj1" fmla="val -61281"/>
                                  <a:gd name="adj2" fmla="val 214102"/>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76D8857">
                                  <w:pPr>
                                    <w:jc w:val="center"/>
                                  </w:pPr>
                                  <w:r>
                                    <w:rPr>
                                      <w:rFonts w:hint="eastAsia"/>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28.15pt;margin-top:180.1pt;height:22.3pt;width:53pt;z-index:251699200;v-text-anchor:middle;mso-width-relative:page;mso-height-relative:page;" filled="f" stroked="t" coordsize="21600,21600" o:gfxdata="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AMsdrn2wAAAAsBAAAPAAAAAAAAAAEA&#10;IAAAACIAAABkcnMvZG93bnJldi54bWxQSwECFAAUAAAACACHTuJAiUMt5LcCAABIBQAADgAAAAAA&#10;AAABACAAAAAqAQAAZHJzL2Uyb0RvYy54bWxQSwUGAAAAAAYABgBZAQAAUwYAAAAA&#10;" adj="-2437,57046">
                      <v:fill on="f" focussize="0,0"/>
                      <v:stroke weight="1pt" color="#FFFF00 [2404]" miterlimit="8" joinstyle="miter"/>
                      <v:imagedata o:title=""/>
                      <o:lock v:ext="edit" aspectratio="f"/>
                      <v:textbox>
                        <w:txbxContent>
                          <w:p w14:paraId="176D8857">
                            <w:pPr>
                              <w:jc w:val="center"/>
                            </w:pPr>
                            <w:r>
                              <w:rPr>
                                <w:rFonts w:hint="eastAsia"/>
                              </w:rPr>
                              <w:t>本项目</w:t>
                            </w:r>
                          </w:p>
                        </w:txbxContent>
                      </v:textbox>
                    </v:shape>
                  </w:pict>
                </mc:Fallback>
              </mc:AlternateContent>
            </w:r>
            <w:r>
              <w:drawing>
                <wp:inline distT="0" distB="0" distL="114300" distR="114300">
                  <wp:extent cx="8545830" cy="5153025"/>
                  <wp:effectExtent l="0" t="0" r="7620" b="9525"/>
                  <wp:docPr id="15" name="图片 15" descr="f6bbd18e-7501-4e6c-980e-cd906d07df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6bbd18e-7501-4e6c-980e-cd906d07df39"/>
                          <pic:cNvPicPr>
                            <a:picLocks noChangeAspect="1"/>
                          </pic:cNvPicPr>
                        </pic:nvPicPr>
                        <pic:blipFill>
                          <a:blip r:embed="rId12"/>
                          <a:srcRect r="16078" b="1347"/>
                          <a:stretch>
                            <a:fillRect/>
                          </a:stretch>
                        </pic:blipFill>
                        <pic:spPr>
                          <a:xfrm>
                            <a:off x="0" y="0"/>
                            <a:ext cx="8545830" cy="5153025"/>
                          </a:xfrm>
                          <a:prstGeom prst="rect">
                            <a:avLst/>
                          </a:prstGeom>
                        </pic:spPr>
                      </pic:pic>
                    </a:graphicData>
                  </a:graphic>
                </wp:inline>
              </w:drawing>
            </w:r>
            <w:r>
              <w:rPr>
                <w:rFonts w:eastAsia="黑体"/>
                <w:color w:val="000000" w:themeColor="text1"/>
                <w14:textFill>
                  <w14:solidFill>
                    <w14:schemeClr w14:val="tx1"/>
                  </w14:solidFill>
                </w14:textFill>
              </w:rPr>
              <w:t xml:space="preserve">图1-1  </w:t>
            </w:r>
            <w:r>
              <w:rPr>
                <w:rFonts w:hint="eastAsia" w:eastAsia="黑体"/>
                <w:color w:val="000000" w:themeColor="text1"/>
                <w:lang w:eastAsia="zh-CN"/>
                <w14:textFill>
                  <w14:solidFill>
                    <w14:schemeClr w14:val="tx1"/>
                  </w14:solidFill>
                </w14:textFill>
              </w:rPr>
              <w:t>河南省生态环境分区管控应用平台</w:t>
            </w:r>
            <w:r>
              <w:rPr>
                <w:rFonts w:hint="eastAsia" w:eastAsia="黑体"/>
                <w:color w:val="000000" w:themeColor="text1"/>
                <w14:textFill>
                  <w14:solidFill>
                    <w14:schemeClr w14:val="tx1"/>
                  </w14:solidFill>
                </w14:textFill>
              </w:rPr>
              <w:t>截图</w:t>
            </w:r>
          </w:p>
        </w:tc>
      </w:tr>
    </w:tbl>
    <w:p w14:paraId="3867904E">
      <w:pPr>
        <w:rPr>
          <w:rFonts w:ascii="宋体" w:hAnsi="宋体" w:cs="宋体"/>
          <w:color w:val="000000" w:themeColor="text1"/>
          <w:sz w:val="30"/>
          <w:szCs w:val="30"/>
          <w14:textFill>
            <w14:solidFill>
              <w14:schemeClr w14:val="tx1"/>
            </w14:solidFill>
          </w14:textFill>
        </w:rPr>
        <w:sectPr>
          <w:pgSz w:w="16838" w:h="11906" w:orient="landscape"/>
          <w:pgMar w:top="1134" w:right="1701" w:bottom="1134" w:left="1701" w:header="851" w:footer="992" w:gutter="0"/>
          <w:cols w:space="720" w:num="1"/>
          <w:docGrid w:type="lines" w:linePitch="326" w:charSpace="0"/>
        </w:sect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7B4A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trPr>
        <w:tc>
          <w:tcPr>
            <w:tcW w:w="13652" w:type="dxa"/>
          </w:tcPr>
          <w:p w14:paraId="280AA113">
            <w:pPr>
              <w:spacing w:line="460" w:lineRule="exact"/>
              <w:ind w:firstLine="480" w:firstLineChars="200"/>
              <w:jc w:val="left"/>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本项目与《河南省生态环境分区管控</w:t>
            </w:r>
            <w:r>
              <w:rPr>
                <w:color w:val="000000" w:themeColor="text1"/>
                <w14:textFill>
                  <w14:solidFill>
                    <w14:schemeClr w14:val="tx1"/>
                  </w14:solidFill>
                </w14:textFill>
              </w:rPr>
              <w:t>总体要求（2023年版）》中的相关内容对比一致性分析见下表。</w:t>
            </w:r>
          </w:p>
          <w:p w14:paraId="5DC2D45D">
            <w:pPr>
              <w:pStyle w:val="11"/>
              <w:spacing w:line="460" w:lineRule="exact"/>
              <w:ind w:left="0" w:right="0" w:firstLine="480" w:firstLineChars="200"/>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表</w:t>
            </w:r>
            <w:r>
              <w:rPr>
                <w:rFonts w:hint="eastAsia" w:eastAsia="黑体"/>
                <w:color w:val="000000" w:themeColor="text1"/>
                <w14:textFill>
                  <w14:solidFill>
                    <w14:schemeClr w14:val="tx1"/>
                  </w14:solidFill>
                </w14:textFill>
              </w:rPr>
              <w:t>1-</w:t>
            </w:r>
            <w:r>
              <w:rPr>
                <w:rFonts w:hint="eastAsia" w:eastAsia="黑体"/>
                <w:color w:val="000000" w:themeColor="text1"/>
                <w:lang w:val="en-US" w:eastAsia="zh-CN"/>
                <w14:textFill>
                  <w14:solidFill>
                    <w14:schemeClr w14:val="tx1"/>
                  </w14:solidFill>
                </w14:textFill>
              </w:rPr>
              <w:t>4</w:t>
            </w:r>
            <w:r>
              <w:rPr>
                <w:rFonts w:eastAsia="黑体"/>
                <w:color w:val="000000" w:themeColor="text1"/>
                <w14:textFill>
                  <w14:solidFill>
                    <w14:schemeClr w14:val="tx1"/>
                  </w14:solidFill>
                </w14:textFill>
              </w:rPr>
              <w:t xml:space="preserve">  本项目与《河南省生态环境分区管控总体要求（2023年版）》</w:t>
            </w:r>
            <w:r>
              <w:rPr>
                <w:rFonts w:hint="eastAsia" w:eastAsia="黑体"/>
                <w:color w:val="000000" w:themeColor="text1"/>
                <w14:textFill>
                  <w14:solidFill>
                    <w14:schemeClr w14:val="tx1"/>
                  </w14:solidFill>
                </w14:textFill>
              </w:rPr>
              <w:t>符合性分析</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717"/>
              <w:gridCol w:w="4763"/>
              <w:gridCol w:w="2801"/>
              <w:gridCol w:w="639"/>
            </w:tblGrid>
            <w:tr w14:paraId="717AAEF4">
              <w:tblPrEx>
                <w:tblCellMar>
                  <w:top w:w="0" w:type="dxa"/>
                  <w:left w:w="108" w:type="dxa"/>
                  <w:bottom w:w="0" w:type="dxa"/>
                  <w:right w:w="108" w:type="dxa"/>
                </w:tblCellMar>
              </w:tblPrEx>
              <w:trPr>
                <w:trHeight w:val="397" w:hRule="atLeast"/>
                <w:jc w:val="center"/>
              </w:trPr>
              <w:tc>
                <w:tcPr>
                  <w:tcW w:w="9638" w:type="dxa"/>
                  <w:gridSpan w:val="5"/>
                  <w:vAlign w:val="center"/>
                </w:tcPr>
                <w:p w14:paraId="093DBB1E">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全省生态环境总体准入要求</w:t>
                  </w:r>
                </w:p>
              </w:tc>
            </w:tr>
            <w:tr w14:paraId="4BD5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Align w:val="center"/>
                </w:tcPr>
                <w:p w14:paraId="30BA9CDF">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环境管控单元分区</w:t>
                  </w:r>
                </w:p>
              </w:tc>
              <w:tc>
                <w:tcPr>
                  <w:tcW w:w="718" w:type="dxa"/>
                  <w:vAlign w:val="center"/>
                </w:tcPr>
                <w:p w14:paraId="3038304A">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管控类别</w:t>
                  </w:r>
                </w:p>
              </w:tc>
              <w:tc>
                <w:tcPr>
                  <w:tcW w:w="4769" w:type="dxa"/>
                  <w:vAlign w:val="center"/>
                </w:tcPr>
                <w:p w14:paraId="5B5600D8">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准入要求</w:t>
                  </w:r>
                </w:p>
              </w:tc>
              <w:tc>
                <w:tcPr>
                  <w:tcW w:w="2803" w:type="dxa"/>
                  <w:vAlign w:val="center"/>
                </w:tcPr>
                <w:p w14:paraId="67EA0EAF">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本项目情况</w:t>
                  </w:r>
                </w:p>
              </w:tc>
              <w:tc>
                <w:tcPr>
                  <w:tcW w:w="639" w:type="dxa"/>
                  <w:vAlign w:val="center"/>
                </w:tcPr>
                <w:p w14:paraId="73D90248">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是否符合要求</w:t>
                  </w:r>
                </w:p>
              </w:tc>
            </w:tr>
            <w:tr w14:paraId="10D2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restart"/>
                  <w:vAlign w:val="center"/>
                </w:tcPr>
                <w:p w14:paraId="02A5920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重点管控单元</w:t>
                  </w:r>
                </w:p>
              </w:tc>
              <w:tc>
                <w:tcPr>
                  <w:tcW w:w="718" w:type="dxa"/>
                  <w:vMerge w:val="restart"/>
                  <w:vAlign w:val="center"/>
                </w:tcPr>
                <w:p w14:paraId="305340C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空间布局约束</w:t>
                  </w:r>
                </w:p>
              </w:tc>
              <w:tc>
                <w:tcPr>
                  <w:tcW w:w="4769" w:type="dxa"/>
                  <w:vAlign w:val="center"/>
                </w:tcPr>
                <w:p w14:paraId="765C946D">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.根据国家产业政策、区域定位及环境特征等，建立差别化的产业准入要求，鼓励建设符合规划环评的项目。</w:t>
                  </w:r>
                </w:p>
              </w:tc>
              <w:tc>
                <w:tcPr>
                  <w:tcW w:w="2803" w:type="dxa"/>
                  <w:vAlign w:val="center"/>
                </w:tcPr>
                <w:p w14:paraId="3A2AFBA7">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本项目位于延津县榆林乡夹堤村西南河南朝东食品有限公司现有厂区内，属于食品制造业。项目所占用地为建设用地，符合延津县榆林乡用地规划要求。</w:t>
                  </w:r>
                </w:p>
              </w:tc>
              <w:tc>
                <w:tcPr>
                  <w:tcW w:w="639" w:type="dxa"/>
                  <w:vAlign w:val="center"/>
                </w:tcPr>
                <w:p w14:paraId="0759AF7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70E30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1BBC8C7E">
                  <w:pPr>
                    <w:jc w:val="center"/>
                    <w:rPr>
                      <w:color w:val="000000" w:themeColor="text1"/>
                      <w:sz w:val="21"/>
                      <w:szCs w:val="21"/>
                      <w14:textFill>
                        <w14:solidFill>
                          <w14:schemeClr w14:val="tx1"/>
                        </w14:solidFill>
                      </w14:textFill>
                    </w:rPr>
                  </w:pPr>
                </w:p>
              </w:tc>
              <w:tc>
                <w:tcPr>
                  <w:tcW w:w="718" w:type="dxa"/>
                  <w:vMerge w:val="continue"/>
                  <w:vAlign w:val="center"/>
                </w:tcPr>
                <w:p w14:paraId="7CE71A02">
                  <w:pPr>
                    <w:jc w:val="center"/>
                    <w:rPr>
                      <w:color w:val="000000" w:themeColor="text1"/>
                      <w:sz w:val="21"/>
                      <w:szCs w:val="21"/>
                      <w14:textFill>
                        <w14:solidFill>
                          <w14:schemeClr w14:val="tx1"/>
                        </w14:solidFill>
                      </w14:textFill>
                    </w:rPr>
                  </w:pPr>
                </w:p>
              </w:tc>
              <w:tc>
                <w:tcPr>
                  <w:tcW w:w="4769" w:type="dxa"/>
                  <w:vAlign w:val="center"/>
                </w:tcPr>
                <w:p w14:paraId="6E4ABC80">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.推行绿色制造，支持创建绿色工厂、绿色园区、绿色供应链。</w:t>
                  </w:r>
                </w:p>
              </w:tc>
              <w:tc>
                <w:tcPr>
                  <w:tcW w:w="2803" w:type="dxa"/>
                  <w:vAlign w:val="center"/>
                </w:tcPr>
                <w:p w14:paraId="5586C1EB">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本项目属于食品制造业。</w:t>
                  </w:r>
                </w:p>
              </w:tc>
              <w:tc>
                <w:tcPr>
                  <w:tcW w:w="639" w:type="dxa"/>
                  <w:vAlign w:val="center"/>
                </w:tcPr>
                <w:p w14:paraId="51BA50B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0E59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57BE6D07">
                  <w:pPr>
                    <w:jc w:val="center"/>
                    <w:rPr>
                      <w:color w:val="000000" w:themeColor="text1"/>
                      <w:sz w:val="21"/>
                      <w:szCs w:val="21"/>
                      <w14:textFill>
                        <w14:solidFill>
                          <w14:schemeClr w14:val="tx1"/>
                        </w14:solidFill>
                      </w14:textFill>
                    </w:rPr>
                  </w:pPr>
                </w:p>
              </w:tc>
              <w:tc>
                <w:tcPr>
                  <w:tcW w:w="718" w:type="dxa"/>
                  <w:vMerge w:val="continue"/>
                  <w:vAlign w:val="center"/>
                </w:tcPr>
                <w:p w14:paraId="2C860B3F">
                  <w:pPr>
                    <w:jc w:val="center"/>
                    <w:rPr>
                      <w:color w:val="000000" w:themeColor="text1"/>
                      <w:sz w:val="21"/>
                      <w:szCs w:val="21"/>
                      <w14:textFill>
                        <w14:solidFill>
                          <w14:schemeClr w14:val="tx1"/>
                        </w14:solidFill>
                      </w14:textFill>
                    </w:rPr>
                  </w:pPr>
                </w:p>
              </w:tc>
              <w:tc>
                <w:tcPr>
                  <w:tcW w:w="4769" w:type="dxa"/>
                  <w:vAlign w:val="center"/>
                </w:tcPr>
                <w:p w14:paraId="38335DEE">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.推进新建石化化工项目向资源环境优势基地集中，引导化工项目进区入园，促进高水平集聚发展。</w:t>
                  </w:r>
                </w:p>
              </w:tc>
              <w:tc>
                <w:tcPr>
                  <w:tcW w:w="2803" w:type="dxa"/>
                  <w:vAlign w:val="center"/>
                </w:tcPr>
                <w:p w14:paraId="7F120F65">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2CE54E8F">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5205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5CAF99A2">
                  <w:pPr>
                    <w:jc w:val="center"/>
                    <w:rPr>
                      <w:color w:val="000000" w:themeColor="text1"/>
                      <w:sz w:val="21"/>
                      <w:szCs w:val="21"/>
                      <w14:textFill>
                        <w14:solidFill>
                          <w14:schemeClr w14:val="tx1"/>
                        </w14:solidFill>
                      </w14:textFill>
                    </w:rPr>
                  </w:pPr>
                </w:p>
              </w:tc>
              <w:tc>
                <w:tcPr>
                  <w:tcW w:w="718" w:type="dxa"/>
                  <w:vMerge w:val="continue"/>
                  <w:vAlign w:val="center"/>
                </w:tcPr>
                <w:p w14:paraId="459383E8">
                  <w:pPr>
                    <w:jc w:val="center"/>
                    <w:rPr>
                      <w:color w:val="000000" w:themeColor="text1"/>
                      <w:sz w:val="21"/>
                      <w:szCs w:val="21"/>
                      <w14:textFill>
                        <w14:solidFill>
                          <w14:schemeClr w14:val="tx1"/>
                        </w14:solidFill>
                      </w14:textFill>
                    </w:rPr>
                  </w:pPr>
                </w:p>
              </w:tc>
              <w:tc>
                <w:tcPr>
                  <w:tcW w:w="4769" w:type="dxa"/>
                  <w:vAlign w:val="center"/>
                </w:tcPr>
                <w:p w14:paraId="2C87B4DD">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.强化环境准入约束，坚决遏制“两高一低”项目盲目发展，对不符合规定的项目坚决停批停建。</w:t>
                  </w:r>
                </w:p>
              </w:tc>
              <w:tc>
                <w:tcPr>
                  <w:tcW w:w="2803" w:type="dxa"/>
                  <w:vAlign w:val="center"/>
                </w:tcPr>
                <w:p w14:paraId="46C2C53F">
                  <w:pPr>
                    <w:pStyle w:val="46"/>
                    <w:jc w:val="both"/>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不涉及。</w:t>
                  </w:r>
                </w:p>
              </w:tc>
              <w:tc>
                <w:tcPr>
                  <w:tcW w:w="639" w:type="dxa"/>
                  <w:vAlign w:val="center"/>
                </w:tcPr>
                <w:p w14:paraId="7316C2B0">
                  <w:pPr>
                    <w:pStyle w:val="46"/>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r>
            <w:tr w14:paraId="7B87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4F484377">
                  <w:pPr>
                    <w:jc w:val="center"/>
                    <w:rPr>
                      <w:b/>
                      <w:bCs/>
                      <w:color w:val="000000" w:themeColor="text1"/>
                      <w:sz w:val="21"/>
                      <w:szCs w:val="21"/>
                      <w14:textFill>
                        <w14:solidFill>
                          <w14:schemeClr w14:val="tx1"/>
                        </w14:solidFill>
                      </w14:textFill>
                    </w:rPr>
                  </w:pPr>
                </w:p>
              </w:tc>
              <w:tc>
                <w:tcPr>
                  <w:tcW w:w="718" w:type="dxa"/>
                  <w:vMerge w:val="continue"/>
                  <w:vAlign w:val="center"/>
                </w:tcPr>
                <w:p w14:paraId="23893121">
                  <w:pPr>
                    <w:jc w:val="center"/>
                    <w:rPr>
                      <w:b/>
                      <w:bCs/>
                      <w:color w:val="000000" w:themeColor="text1"/>
                      <w:sz w:val="21"/>
                      <w:szCs w:val="21"/>
                      <w14:textFill>
                        <w14:solidFill>
                          <w14:schemeClr w14:val="tx1"/>
                        </w14:solidFill>
                      </w14:textFill>
                    </w:rPr>
                  </w:pPr>
                </w:p>
              </w:tc>
              <w:tc>
                <w:tcPr>
                  <w:tcW w:w="4769" w:type="dxa"/>
                  <w:vAlign w:val="center"/>
                </w:tcPr>
                <w:p w14:paraId="48B03D71">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w:t>
                  </w:r>
                  <w:r>
                    <w:rPr>
                      <w:rFonts w:hint="eastAsia"/>
                      <w:color w:val="000000" w:themeColor="text1"/>
                      <w:sz w:val="21"/>
                      <w:szCs w:val="21"/>
                      <w14:textFill>
                        <w14:solidFill>
                          <w14:schemeClr w14:val="tx1"/>
                        </w14:solidFill>
                      </w14:textFill>
                    </w:rPr>
                    <w:t>.涉及产能置换的项目，被置换产能及其配套设施关停后，新建项目方可投产。</w:t>
                  </w:r>
                </w:p>
              </w:tc>
              <w:tc>
                <w:tcPr>
                  <w:tcW w:w="2803" w:type="dxa"/>
                  <w:vAlign w:val="center"/>
                </w:tcPr>
                <w:p w14:paraId="32ED469F">
                  <w:pPr>
                    <w:pStyle w:val="46"/>
                    <w:jc w:val="both"/>
                    <w:rPr>
                      <w:color w:val="000000" w:themeColor="text1"/>
                      <w14:textFill>
                        <w14:solidFill>
                          <w14:schemeClr w14:val="tx1"/>
                        </w14:solidFill>
                      </w14:textFill>
                    </w:rPr>
                  </w:pPr>
                  <w:r>
                    <w:rPr>
                      <w:color w:val="000000" w:themeColor="text1"/>
                      <w14:textFill>
                        <w14:solidFill>
                          <w14:schemeClr w14:val="tx1"/>
                        </w14:solidFill>
                      </w14:textFill>
                    </w:rPr>
                    <w:t>本项目不涉及。</w:t>
                  </w:r>
                </w:p>
              </w:tc>
              <w:tc>
                <w:tcPr>
                  <w:tcW w:w="639" w:type="dxa"/>
                  <w:vAlign w:val="center"/>
                </w:tcPr>
                <w:p w14:paraId="10500518">
                  <w:pPr>
                    <w:pStyle w:val="46"/>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r>
            <w:tr w14:paraId="653A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6EFEDE52">
                  <w:pPr>
                    <w:jc w:val="center"/>
                    <w:rPr>
                      <w:color w:val="000000" w:themeColor="text1"/>
                      <w:sz w:val="21"/>
                      <w:szCs w:val="21"/>
                      <w14:textFill>
                        <w14:solidFill>
                          <w14:schemeClr w14:val="tx1"/>
                        </w14:solidFill>
                      </w14:textFill>
                    </w:rPr>
                  </w:pPr>
                </w:p>
              </w:tc>
              <w:tc>
                <w:tcPr>
                  <w:tcW w:w="718" w:type="dxa"/>
                  <w:vMerge w:val="continue"/>
                  <w:vAlign w:val="center"/>
                </w:tcPr>
                <w:p w14:paraId="5C401B44">
                  <w:pPr>
                    <w:jc w:val="center"/>
                    <w:rPr>
                      <w:color w:val="000000" w:themeColor="text1"/>
                      <w:sz w:val="21"/>
                      <w:szCs w:val="21"/>
                      <w14:textFill>
                        <w14:solidFill>
                          <w14:schemeClr w14:val="tx1"/>
                        </w14:solidFill>
                      </w14:textFill>
                    </w:rPr>
                  </w:pPr>
                </w:p>
              </w:tc>
              <w:tc>
                <w:tcPr>
                  <w:tcW w:w="4769" w:type="dxa"/>
                  <w:vAlign w:val="center"/>
                </w:tcPr>
                <w:p w14:paraId="55596D84">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w:t>
                  </w:r>
                  <w:r>
                    <w:rPr>
                      <w:rFonts w:hint="eastAsia"/>
                      <w:color w:val="000000" w:themeColor="text1"/>
                      <w:sz w:val="21"/>
                      <w:szCs w:val="21"/>
                      <w14:textFill>
                        <w14:solidFill>
                          <w14:schemeClr w14:val="tx1"/>
                        </w14:solidFill>
                      </w14:textFill>
                    </w:rPr>
                    <w:t>.加快城市建成区内重污染企业就地改造、退城入园、转型转产或关闭退出。</w:t>
                  </w:r>
                </w:p>
              </w:tc>
              <w:tc>
                <w:tcPr>
                  <w:tcW w:w="2803" w:type="dxa"/>
                  <w:vAlign w:val="center"/>
                </w:tcPr>
                <w:p w14:paraId="77204B12">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30962F12">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2B8B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4424BFBF">
                  <w:pPr>
                    <w:jc w:val="center"/>
                    <w:rPr>
                      <w:b/>
                      <w:bCs/>
                      <w:color w:val="000000" w:themeColor="text1"/>
                      <w:sz w:val="21"/>
                      <w:szCs w:val="21"/>
                      <w14:textFill>
                        <w14:solidFill>
                          <w14:schemeClr w14:val="tx1"/>
                        </w14:solidFill>
                      </w14:textFill>
                    </w:rPr>
                  </w:pPr>
                </w:p>
              </w:tc>
              <w:tc>
                <w:tcPr>
                  <w:tcW w:w="718" w:type="dxa"/>
                  <w:vMerge w:val="continue"/>
                  <w:vAlign w:val="center"/>
                </w:tcPr>
                <w:p w14:paraId="2AA559D4">
                  <w:pPr>
                    <w:jc w:val="center"/>
                    <w:rPr>
                      <w:color w:val="000000" w:themeColor="text1"/>
                      <w:sz w:val="21"/>
                      <w:szCs w:val="21"/>
                      <w14:textFill>
                        <w14:solidFill>
                          <w14:schemeClr w14:val="tx1"/>
                        </w14:solidFill>
                      </w14:textFill>
                    </w:rPr>
                  </w:pPr>
                </w:p>
              </w:tc>
              <w:tc>
                <w:tcPr>
                  <w:tcW w:w="4769" w:type="dxa"/>
                  <w:vAlign w:val="center"/>
                </w:tcPr>
                <w:p w14:paraId="018A87DF">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7</w:t>
                  </w:r>
                  <w:r>
                    <w:rPr>
                      <w:rFonts w:hint="eastAsia"/>
                      <w:color w:val="000000" w:themeColor="text1"/>
                      <w:sz w:val="21"/>
                      <w:szCs w:val="21"/>
                      <w14:textFill>
                        <w14:solidFill>
                          <w14:schemeClr w14:val="tx1"/>
                        </w14:solidFill>
                      </w14:textFill>
                    </w:rPr>
                    <w:t>.将土壤环境要求纳入国土空间规划，根据土壤污染状况和风险合理规划土地用途。对列入建设用地土壤污染风险管控和修复名录的地块，不得作为住宅、公共管理与公共服务用地；不得办理土地征收、回购、收购、土地供应以及改变土地用途等手续。</w:t>
                  </w:r>
                </w:p>
              </w:tc>
              <w:tc>
                <w:tcPr>
                  <w:tcW w:w="2803" w:type="dxa"/>
                  <w:vAlign w:val="center"/>
                </w:tcPr>
                <w:p w14:paraId="3D838922">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3F2FC600">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2D31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7448EF20">
                  <w:pPr>
                    <w:jc w:val="center"/>
                    <w:rPr>
                      <w:color w:val="000000" w:themeColor="text1"/>
                      <w:sz w:val="21"/>
                      <w:szCs w:val="21"/>
                      <w14:textFill>
                        <w14:solidFill>
                          <w14:schemeClr w14:val="tx1"/>
                        </w14:solidFill>
                      </w14:textFill>
                    </w:rPr>
                  </w:pPr>
                </w:p>
              </w:tc>
              <w:tc>
                <w:tcPr>
                  <w:tcW w:w="718" w:type="dxa"/>
                  <w:vMerge w:val="continue"/>
                  <w:vAlign w:val="center"/>
                </w:tcPr>
                <w:p w14:paraId="27DD9B88">
                  <w:pPr>
                    <w:jc w:val="center"/>
                    <w:rPr>
                      <w:color w:val="000000" w:themeColor="text1"/>
                      <w:sz w:val="21"/>
                      <w:szCs w:val="21"/>
                      <w14:textFill>
                        <w14:solidFill>
                          <w14:schemeClr w14:val="tx1"/>
                        </w14:solidFill>
                      </w14:textFill>
                    </w:rPr>
                  </w:pPr>
                </w:p>
              </w:tc>
              <w:tc>
                <w:tcPr>
                  <w:tcW w:w="4769" w:type="dxa"/>
                  <w:vAlign w:val="center"/>
                </w:tcPr>
                <w:p w14:paraId="28C07D23">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8</w:t>
                  </w:r>
                  <w:r>
                    <w:rPr>
                      <w:rFonts w:hint="eastAsia"/>
                      <w:color w:val="000000" w:themeColor="text1"/>
                      <w:sz w:val="21"/>
                      <w:szCs w:val="21"/>
                      <w14:textFill>
                        <w14:solidFill>
                          <w14:schemeClr w14:val="tx1"/>
                        </w14:solidFill>
                      </w14:textFill>
                    </w:rPr>
                    <w:t>.在集中供热管网覆盖地区，禁止新建、扩建分散燃煤供热锅炉。</w:t>
                  </w:r>
                </w:p>
              </w:tc>
              <w:tc>
                <w:tcPr>
                  <w:tcW w:w="2803" w:type="dxa"/>
                  <w:vAlign w:val="center"/>
                </w:tcPr>
                <w:p w14:paraId="2C4AE69C">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本项目不在集中供热管网覆盖地区，利用现有2台0.5t/h天然气锅炉（一用一备）。</w:t>
                  </w:r>
                </w:p>
              </w:tc>
              <w:tc>
                <w:tcPr>
                  <w:tcW w:w="639" w:type="dxa"/>
                  <w:vAlign w:val="center"/>
                </w:tcPr>
                <w:p w14:paraId="2E6FCDA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767A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4D3379D6">
                  <w:pPr>
                    <w:jc w:val="center"/>
                    <w:rPr>
                      <w:color w:val="000000" w:themeColor="text1"/>
                      <w:sz w:val="21"/>
                      <w:szCs w:val="21"/>
                      <w14:textFill>
                        <w14:solidFill>
                          <w14:schemeClr w14:val="tx1"/>
                        </w14:solidFill>
                      </w14:textFill>
                    </w:rPr>
                  </w:pPr>
                </w:p>
              </w:tc>
              <w:tc>
                <w:tcPr>
                  <w:tcW w:w="718" w:type="dxa"/>
                  <w:vMerge w:val="restart"/>
                  <w:vAlign w:val="center"/>
                </w:tcPr>
                <w:p w14:paraId="2ACC385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污染物排放管控</w:t>
                  </w:r>
                </w:p>
              </w:tc>
              <w:tc>
                <w:tcPr>
                  <w:tcW w:w="4769" w:type="dxa"/>
                  <w:vAlign w:val="center"/>
                </w:tcPr>
                <w:p w14:paraId="1A0B5901">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.重点行业建设项目应满足区域、流域控制单元环境质量改善目标管理要求</w:t>
                  </w:r>
                </w:p>
              </w:tc>
              <w:tc>
                <w:tcPr>
                  <w:tcW w:w="2803" w:type="dxa"/>
                  <w:vAlign w:val="center"/>
                </w:tcPr>
                <w:p w14:paraId="44BF9A09">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本项目满足区域、流域控制单元环境质量改善目标管理要求。</w:t>
                  </w:r>
                </w:p>
              </w:tc>
              <w:tc>
                <w:tcPr>
                  <w:tcW w:w="639" w:type="dxa"/>
                  <w:vAlign w:val="center"/>
                </w:tcPr>
                <w:p w14:paraId="373E608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266C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5AE55A7C">
                  <w:pPr>
                    <w:jc w:val="center"/>
                    <w:rPr>
                      <w:color w:val="000000" w:themeColor="text1"/>
                      <w:sz w:val="21"/>
                      <w:szCs w:val="21"/>
                      <w14:textFill>
                        <w14:solidFill>
                          <w14:schemeClr w14:val="tx1"/>
                        </w14:solidFill>
                      </w14:textFill>
                    </w:rPr>
                  </w:pPr>
                </w:p>
              </w:tc>
              <w:tc>
                <w:tcPr>
                  <w:tcW w:w="718" w:type="dxa"/>
                  <w:vMerge w:val="continue"/>
                  <w:vAlign w:val="center"/>
                </w:tcPr>
                <w:p w14:paraId="5A129419">
                  <w:pPr>
                    <w:jc w:val="center"/>
                    <w:rPr>
                      <w:color w:val="000000" w:themeColor="text1"/>
                      <w:sz w:val="21"/>
                      <w:szCs w:val="21"/>
                      <w14:textFill>
                        <w14:solidFill>
                          <w14:schemeClr w14:val="tx1"/>
                        </w14:solidFill>
                      </w14:textFill>
                    </w:rPr>
                  </w:pPr>
                </w:p>
              </w:tc>
              <w:tc>
                <w:tcPr>
                  <w:tcW w:w="4769" w:type="dxa"/>
                  <w:vAlign w:val="center"/>
                </w:tcPr>
                <w:p w14:paraId="021231D6">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.强化项目环评及“三同时”管理。新建、扩建“两高”项目应采用先进的工艺技术和装备，单位产品污染物排放强度应达到清洁生产先进水平，其中，国家、省绩效分级重点行业新建、扩建项目达到</w:t>
                  </w:r>
                  <w:r>
                    <w:rPr>
                      <w:color w:val="000000" w:themeColor="text1"/>
                      <w:sz w:val="21"/>
                      <w:szCs w:val="21"/>
                      <w14:textFill>
                        <w14:solidFill>
                          <w14:schemeClr w14:val="tx1"/>
                        </w14:solidFill>
                      </w14:textFill>
                    </w:rPr>
                    <w:t>A</w:t>
                  </w:r>
                  <w:r>
                    <w:rPr>
                      <w:rFonts w:hint="eastAsia"/>
                      <w:color w:val="000000" w:themeColor="text1"/>
                      <w:sz w:val="21"/>
                      <w:szCs w:val="21"/>
                      <w14:textFill>
                        <w14:solidFill>
                          <w14:schemeClr w14:val="tx1"/>
                        </w14:solidFill>
                      </w14:textFill>
                    </w:rPr>
                    <w:t>级水平，改建项目达到</w:t>
                  </w:r>
                  <w:r>
                    <w:rPr>
                      <w:color w:val="000000" w:themeColor="text1"/>
                      <w:sz w:val="21"/>
                      <w:szCs w:val="21"/>
                      <w14:textFill>
                        <w14:solidFill>
                          <w14:schemeClr w14:val="tx1"/>
                        </w14:solidFill>
                      </w14:textFill>
                    </w:rPr>
                    <w:t>B</w:t>
                  </w:r>
                  <w:r>
                    <w:rPr>
                      <w:rFonts w:hint="eastAsia"/>
                      <w:color w:val="000000" w:themeColor="text1"/>
                      <w:sz w:val="21"/>
                      <w:szCs w:val="21"/>
                      <w14:textFill>
                        <w14:solidFill>
                          <w14:schemeClr w14:val="tx1"/>
                        </w14:solidFill>
                      </w14:textFill>
                    </w:rPr>
                    <w:t>级以上水平。</w:t>
                  </w:r>
                </w:p>
              </w:tc>
              <w:tc>
                <w:tcPr>
                  <w:tcW w:w="2803" w:type="dxa"/>
                  <w:vAlign w:val="center"/>
                </w:tcPr>
                <w:p w14:paraId="63C47B38">
                  <w:pPr>
                    <w:pStyle w:val="46"/>
                    <w:jc w:val="both"/>
                    <w:rPr>
                      <w:rFonts w:cs="Times New Roman"/>
                      <w:color w:val="000000" w:themeColor="text1"/>
                      <w14:textFill>
                        <w14:solidFill>
                          <w14:schemeClr w14:val="tx1"/>
                        </w14:solidFill>
                      </w14:textFill>
                    </w:rPr>
                  </w:pPr>
                  <w:r>
                    <w:rPr>
                      <w:color w:val="000000" w:themeColor="text1"/>
                      <w14:textFill>
                        <w14:solidFill>
                          <w14:schemeClr w14:val="tx1"/>
                        </w14:solidFill>
                      </w14:textFill>
                    </w:rPr>
                    <w:t>本项目将按要求进行</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三同时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建设</w:t>
                  </w:r>
                  <w:r>
                    <w:rPr>
                      <w:rFonts w:hint="eastAsia" w:cs="Times New Roman"/>
                      <w:color w:val="000000" w:themeColor="text1"/>
                      <w14:textFill>
                        <w14:solidFill>
                          <w14:schemeClr w14:val="tx1"/>
                        </w14:solidFill>
                      </w14:textFill>
                    </w:rPr>
                    <w:t>。本项目不属于“两高”项目。</w:t>
                  </w:r>
                  <w:r>
                    <w:rPr>
                      <w:rFonts w:hint="eastAsia"/>
                      <w:color w:val="000000" w:themeColor="text1"/>
                      <w14:textFill>
                        <w14:solidFill>
                          <w14:schemeClr w14:val="tx1"/>
                        </w14:solidFill>
                      </w14:textFill>
                    </w:rPr>
                    <w:t>本项目为改建项目，不属于国家、省绩效分级重点行业</w:t>
                  </w:r>
                  <w:r>
                    <w:rPr>
                      <w:color w:val="000000" w:themeColor="text1"/>
                      <w14:textFill>
                        <w14:solidFill>
                          <w14:schemeClr w14:val="tx1"/>
                        </w14:solidFill>
                      </w14:textFill>
                    </w:rPr>
                    <w:t>。</w:t>
                  </w:r>
                </w:p>
              </w:tc>
              <w:tc>
                <w:tcPr>
                  <w:tcW w:w="639" w:type="dxa"/>
                  <w:vAlign w:val="center"/>
                </w:tcPr>
                <w:p w14:paraId="1B76FA9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2F04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628AAEF2">
                  <w:pPr>
                    <w:jc w:val="center"/>
                    <w:rPr>
                      <w:color w:val="000000" w:themeColor="text1"/>
                      <w:sz w:val="21"/>
                      <w:szCs w:val="21"/>
                      <w14:textFill>
                        <w14:solidFill>
                          <w14:schemeClr w14:val="tx1"/>
                        </w14:solidFill>
                      </w14:textFill>
                    </w:rPr>
                  </w:pPr>
                </w:p>
              </w:tc>
              <w:tc>
                <w:tcPr>
                  <w:tcW w:w="718" w:type="dxa"/>
                  <w:vMerge w:val="continue"/>
                  <w:vAlign w:val="center"/>
                </w:tcPr>
                <w:p w14:paraId="08887558">
                  <w:pPr>
                    <w:jc w:val="center"/>
                    <w:rPr>
                      <w:color w:val="000000" w:themeColor="text1"/>
                      <w:sz w:val="21"/>
                      <w:szCs w:val="21"/>
                      <w14:textFill>
                        <w14:solidFill>
                          <w14:schemeClr w14:val="tx1"/>
                        </w14:solidFill>
                      </w14:textFill>
                    </w:rPr>
                  </w:pPr>
                </w:p>
              </w:tc>
              <w:tc>
                <w:tcPr>
                  <w:tcW w:w="4769" w:type="dxa"/>
                  <w:vAlign w:val="center"/>
                </w:tcPr>
                <w:p w14:paraId="10B0BA61">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以钢铁、焦化、铸造、建材、有色、石化、化工、工业涂装、包装印刷、电镀、制革、石油开采、造纸、纺织印染、农副食品加工等行业为重点，开展全流程清洁化、循环化、低碳化改造；加快推进钢铁、水泥、焦化行业超低排放改造。</w:t>
                  </w:r>
                </w:p>
              </w:tc>
              <w:tc>
                <w:tcPr>
                  <w:tcW w:w="2803" w:type="dxa"/>
                  <w:vAlign w:val="center"/>
                </w:tcPr>
                <w:p w14:paraId="5E454F2A">
                  <w:pPr>
                    <w:pStyle w:val="46"/>
                    <w:jc w:val="both"/>
                    <w:rPr>
                      <w:rFonts w:cs="Times New Roman"/>
                      <w:color w:val="000000" w:themeColor="text1"/>
                      <w14:textFill>
                        <w14:solidFill>
                          <w14:schemeClr w14:val="tx1"/>
                        </w14:solidFill>
                      </w14:textFill>
                    </w:rPr>
                  </w:pPr>
                  <w:r>
                    <w:rPr>
                      <w:color w:val="000000" w:themeColor="text1"/>
                      <w14:textFill>
                        <w14:solidFill>
                          <w14:schemeClr w14:val="tx1"/>
                        </w14:solidFill>
                      </w14:textFill>
                    </w:rPr>
                    <w:t>本项目属于</w:t>
                  </w:r>
                  <w:r>
                    <w:rPr>
                      <w:rFonts w:hint="eastAsia"/>
                      <w:color w:val="000000" w:themeColor="text1"/>
                      <w14:textFill>
                        <w14:solidFill>
                          <w14:schemeClr w14:val="tx1"/>
                        </w14:solidFill>
                      </w14:textFill>
                    </w:rPr>
                    <w:t>食品制造业</w:t>
                  </w:r>
                  <w:r>
                    <w:rPr>
                      <w:rFonts w:hint="eastAsia" w:ascii="宋体" w:hAnsi="宋体"/>
                      <w:color w:val="000000" w:themeColor="text1"/>
                      <w14:textFill>
                        <w14:solidFill>
                          <w14:schemeClr w14:val="tx1"/>
                        </w14:solidFill>
                      </w14:textFill>
                    </w:rPr>
                    <w:t>，将积极开展全流程清洁化、循环化改造。</w:t>
                  </w:r>
                </w:p>
              </w:tc>
              <w:tc>
                <w:tcPr>
                  <w:tcW w:w="639" w:type="dxa"/>
                  <w:vAlign w:val="center"/>
                </w:tcPr>
                <w:p w14:paraId="65BAB45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0DB1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1A568A6A">
                  <w:pPr>
                    <w:jc w:val="center"/>
                    <w:rPr>
                      <w:color w:val="000000" w:themeColor="text1"/>
                      <w:sz w:val="21"/>
                      <w:szCs w:val="21"/>
                      <w14:textFill>
                        <w14:solidFill>
                          <w14:schemeClr w14:val="tx1"/>
                        </w14:solidFill>
                      </w14:textFill>
                    </w:rPr>
                  </w:pPr>
                </w:p>
              </w:tc>
              <w:tc>
                <w:tcPr>
                  <w:tcW w:w="718" w:type="dxa"/>
                  <w:vMerge w:val="continue"/>
                  <w:vAlign w:val="center"/>
                </w:tcPr>
                <w:p w14:paraId="0FA1B84E">
                  <w:pPr>
                    <w:jc w:val="center"/>
                    <w:rPr>
                      <w:color w:val="000000" w:themeColor="text1"/>
                      <w:sz w:val="21"/>
                      <w:szCs w:val="21"/>
                      <w14:textFill>
                        <w14:solidFill>
                          <w14:schemeClr w14:val="tx1"/>
                        </w14:solidFill>
                      </w14:textFill>
                    </w:rPr>
                  </w:pPr>
                </w:p>
              </w:tc>
              <w:tc>
                <w:tcPr>
                  <w:tcW w:w="4769" w:type="dxa"/>
                  <w:vAlign w:val="center"/>
                </w:tcPr>
                <w:p w14:paraId="4B6FB3DF">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.深入推进低挥发性有机物含量原辅材料源头替代，全面推广使用低挥发性有机物含量的涂料、油墨、胶粘剂、清洗剂等新兴原辅材料。</w:t>
                  </w:r>
                </w:p>
              </w:tc>
              <w:tc>
                <w:tcPr>
                  <w:tcW w:w="2803" w:type="dxa"/>
                  <w:vAlign w:val="center"/>
                </w:tcPr>
                <w:p w14:paraId="59F2D894">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bookmarkStart w:id="1" w:name="OLE_LINK15"/>
                  <w:r>
                    <w:rPr>
                      <w:rFonts w:hint="eastAsia"/>
                      <w:color w:val="000000" w:themeColor="text1"/>
                      <w:sz w:val="21"/>
                      <w:szCs w:val="21"/>
                      <w14:textFill>
                        <w14:solidFill>
                          <w14:schemeClr w14:val="tx1"/>
                        </w14:solidFill>
                      </w14:textFill>
                    </w:rPr>
                    <w:t>。</w:t>
                  </w:r>
                  <w:bookmarkEnd w:id="1"/>
                </w:p>
              </w:tc>
              <w:tc>
                <w:tcPr>
                  <w:tcW w:w="639" w:type="dxa"/>
                  <w:vAlign w:val="center"/>
                </w:tcPr>
                <w:p w14:paraId="177344B3">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6DDF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421C29D2">
                  <w:pPr>
                    <w:jc w:val="center"/>
                    <w:rPr>
                      <w:color w:val="000000" w:themeColor="text1"/>
                      <w:sz w:val="21"/>
                      <w:szCs w:val="21"/>
                      <w14:textFill>
                        <w14:solidFill>
                          <w14:schemeClr w14:val="tx1"/>
                        </w14:solidFill>
                      </w14:textFill>
                    </w:rPr>
                  </w:pPr>
                </w:p>
              </w:tc>
              <w:tc>
                <w:tcPr>
                  <w:tcW w:w="718" w:type="dxa"/>
                  <w:vMerge w:val="continue"/>
                  <w:vAlign w:val="center"/>
                </w:tcPr>
                <w:p w14:paraId="15EBA960">
                  <w:pPr>
                    <w:jc w:val="center"/>
                    <w:rPr>
                      <w:color w:val="000000" w:themeColor="text1"/>
                      <w:sz w:val="21"/>
                      <w:szCs w:val="21"/>
                      <w14:textFill>
                        <w14:solidFill>
                          <w14:schemeClr w14:val="tx1"/>
                        </w14:solidFill>
                      </w14:textFill>
                    </w:rPr>
                  </w:pPr>
                </w:p>
              </w:tc>
              <w:tc>
                <w:tcPr>
                  <w:tcW w:w="4769" w:type="dxa"/>
                  <w:vAlign w:val="center"/>
                </w:tcPr>
                <w:p w14:paraId="0F6A408B">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w:t>
                  </w:r>
                  <w:r>
                    <w:rPr>
                      <w:rFonts w:hint="eastAsia"/>
                      <w:color w:val="000000" w:themeColor="text1"/>
                      <w:sz w:val="21"/>
                      <w:szCs w:val="21"/>
                      <w14:textFill>
                        <w14:solidFill>
                          <w14:schemeClr w14:val="tx1"/>
                        </w14:solidFill>
                      </w14:textFill>
                    </w:rPr>
                    <w:t>.采矿项目矿井涌水应尽可能回用生产或综合利用，外排矿井涌水应满足受纳水体水功能区划和控制断面水质要求；选厂的生产废水及初期雨水、矿石及废石场的淋溶水、尾矿库澄清水及渗滤水应收集回用，不外排。</w:t>
                  </w:r>
                </w:p>
              </w:tc>
              <w:tc>
                <w:tcPr>
                  <w:tcW w:w="2803" w:type="dxa"/>
                  <w:vAlign w:val="center"/>
                </w:tcPr>
                <w:p w14:paraId="09EA3E01">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2FF5B796">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2208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40C95B93">
                  <w:pPr>
                    <w:jc w:val="center"/>
                    <w:rPr>
                      <w:color w:val="000000" w:themeColor="text1"/>
                      <w:sz w:val="21"/>
                      <w:szCs w:val="21"/>
                      <w14:textFill>
                        <w14:solidFill>
                          <w14:schemeClr w14:val="tx1"/>
                        </w14:solidFill>
                      </w14:textFill>
                    </w:rPr>
                  </w:pPr>
                </w:p>
              </w:tc>
              <w:tc>
                <w:tcPr>
                  <w:tcW w:w="718" w:type="dxa"/>
                  <w:vMerge w:val="continue"/>
                  <w:vAlign w:val="center"/>
                </w:tcPr>
                <w:p w14:paraId="277076EF">
                  <w:pPr>
                    <w:jc w:val="center"/>
                    <w:rPr>
                      <w:color w:val="000000" w:themeColor="text1"/>
                      <w:sz w:val="21"/>
                      <w:szCs w:val="21"/>
                      <w14:textFill>
                        <w14:solidFill>
                          <w14:schemeClr w14:val="tx1"/>
                        </w14:solidFill>
                      </w14:textFill>
                    </w:rPr>
                  </w:pPr>
                </w:p>
              </w:tc>
              <w:tc>
                <w:tcPr>
                  <w:tcW w:w="4769" w:type="dxa"/>
                  <w:vAlign w:val="center"/>
                </w:tcPr>
                <w:p w14:paraId="0B5664EF">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w:t>
                  </w:r>
                  <w:r>
                    <w:rPr>
                      <w:rFonts w:hint="eastAsia"/>
                      <w:color w:val="000000" w:themeColor="text1"/>
                      <w:sz w:val="21"/>
                      <w:szCs w:val="21"/>
                      <w14:textFill>
                        <w14:solidFill>
                          <w14:schemeClr w14:val="tx1"/>
                        </w14:solidFill>
                      </w14:textFill>
                    </w:rPr>
                    <w:t>.新建、扩建开发区、工业园区同步规划建设污水收集和集中处理设施，强化工业废水处理设施运行管理，确保稳定达标排放；按照“减量化、稳定化、无害化、资源化”要求，加快城镇污水处理厂污泥处理设施建设，新建污水处理厂必须有明确的污泥处置途径；依法查处取缔非法污泥堆放点，禁止重金属等污染物不达标的污泥进行土地利用。</w:t>
                  </w:r>
                </w:p>
              </w:tc>
              <w:tc>
                <w:tcPr>
                  <w:tcW w:w="2803" w:type="dxa"/>
                  <w:vAlign w:val="center"/>
                </w:tcPr>
                <w:p w14:paraId="272B5478">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本项目废水排入</w:t>
                  </w:r>
                  <w:r>
                    <w:rPr>
                      <w:rFonts w:hint="eastAsia"/>
                      <w:color w:val="000000" w:themeColor="text1"/>
                      <w:sz w:val="21"/>
                      <w:szCs w:val="21"/>
                      <w:lang w:eastAsia="zh-CN"/>
                      <w14:textFill>
                        <w14:solidFill>
                          <w14:schemeClr w14:val="tx1"/>
                        </w14:solidFill>
                      </w14:textFill>
                    </w:rPr>
                    <w:t>夹堤村西污水处理站</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由于</w:t>
                  </w:r>
                  <w:r>
                    <w:rPr>
                      <w:rFonts w:hint="eastAsia"/>
                      <w:color w:val="000000" w:themeColor="text1"/>
                      <w:sz w:val="21"/>
                      <w:szCs w:val="21"/>
                      <w:lang w:eastAsia="zh-CN"/>
                      <w14:textFill>
                        <w14:solidFill>
                          <w14:schemeClr w14:val="tx1"/>
                        </w14:solidFill>
                      </w14:textFill>
                    </w:rPr>
                    <w:t>夹堤村西污水处理站</w:t>
                  </w:r>
                  <w:r>
                    <w:rPr>
                      <w:color w:val="000000" w:themeColor="text1"/>
                      <w:sz w:val="21"/>
                      <w:szCs w:val="21"/>
                      <w14:textFill>
                        <w14:solidFill>
                          <w14:schemeClr w14:val="tx1"/>
                        </w14:solidFill>
                      </w14:textFill>
                    </w:rPr>
                    <w:t>暂未建成，本项目废水在</w:t>
                  </w:r>
                  <w:r>
                    <w:rPr>
                      <w:rFonts w:hint="eastAsia"/>
                      <w:color w:val="000000" w:themeColor="text1"/>
                      <w:sz w:val="21"/>
                      <w:szCs w:val="21"/>
                      <w:lang w:eastAsia="zh-CN"/>
                      <w14:textFill>
                        <w14:solidFill>
                          <w14:schemeClr w14:val="tx1"/>
                        </w14:solidFill>
                      </w14:textFill>
                    </w:rPr>
                    <w:t>夹堤村西污水处理站</w:t>
                  </w:r>
                  <w:r>
                    <w:rPr>
                      <w:color w:val="000000" w:themeColor="text1"/>
                      <w:sz w:val="21"/>
                      <w:szCs w:val="21"/>
                      <w14:textFill>
                        <w14:solidFill>
                          <w14:schemeClr w14:val="tx1"/>
                        </w14:solidFill>
                      </w14:textFill>
                    </w:rPr>
                    <w:t>正式运行前用于农灌。</w:t>
                  </w:r>
                </w:p>
              </w:tc>
              <w:tc>
                <w:tcPr>
                  <w:tcW w:w="639" w:type="dxa"/>
                  <w:vAlign w:val="center"/>
                </w:tcPr>
                <w:p w14:paraId="7A51196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1FB6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5D38E0D9">
                  <w:pPr>
                    <w:jc w:val="center"/>
                    <w:rPr>
                      <w:color w:val="000000" w:themeColor="text1"/>
                      <w:sz w:val="21"/>
                      <w:szCs w:val="21"/>
                      <w14:textFill>
                        <w14:solidFill>
                          <w14:schemeClr w14:val="tx1"/>
                        </w14:solidFill>
                      </w14:textFill>
                    </w:rPr>
                  </w:pPr>
                </w:p>
              </w:tc>
              <w:tc>
                <w:tcPr>
                  <w:tcW w:w="718" w:type="dxa"/>
                  <w:vMerge w:val="continue"/>
                  <w:vAlign w:val="center"/>
                </w:tcPr>
                <w:p w14:paraId="21DE1400">
                  <w:pPr>
                    <w:jc w:val="center"/>
                    <w:rPr>
                      <w:color w:val="000000" w:themeColor="text1"/>
                      <w:sz w:val="21"/>
                      <w:szCs w:val="21"/>
                      <w14:textFill>
                        <w14:solidFill>
                          <w14:schemeClr w14:val="tx1"/>
                        </w14:solidFill>
                      </w14:textFill>
                    </w:rPr>
                  </w:pPr>
                </w:p>
              </w:tc>
              <w:tc>
                <w:tcPr>
                  <w:tcW w:w="4769" w:type="dxa"/>
                  <w:vAlign w:val="center"/>
                </w:tcPr>
                <w:p w14:paraId="69527B1F">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7</w:t>
                  </w:r>
                  <w:r>
                    <w:rPr>
                      <w:rFonts w:hint="eastAsia"/>
                      <w:color w:val="000000" w:themeColor="text1"/>
                      <w:sz w:val="21"/>
                      <w:szCs w:val="21"/>
                      <w14:textFill>
                        <w14:solidFill>
                          <w14:schemeClr w14:val="tx1"/>
                        </w14:solidFill>
                      </w14:textFill>
                    </w:rPr>
                    <w:t>.鼓励企业采用先进治理技术，打造行业噪声污染治理示范典型。排放噪声的工业企业应切实采取减振降噪措施，加强厂区内固定设备、运输工具、货物装卸等噪声源管理，同时避免突发噪声扰民。</w:t>
                  </w:r>
                </w:p>
              </w:tc>
              <w:tc>
                <w:tcPr>
                  <w:tcW w:w="2803" w:type="dxa"/>
                  <w:vAlign w:val="center"/>
                </w:tcPr>
                <w:p w14:paraId="595F0677">
                  <w:pPr>
                    <w:rPr>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本项目</w:t>
                  </w:r>
                  <w:r>
                    <w:rPr>
                      <w:bCs/>
                      <w:color w:val="000000" w:themeColor="text1"/>
                      <w:sz w:val="21"/>
                      <w:szCs w:val="21"/>
                      <w14:textFill>
                        <w14:solidFill>
                          <w14:schemeClr w14:val="tx1"/>
                        </w14:solidFill>
                      </w14:textFill>
                    </w:rPr>
                    <w:t>高噪声设备经减振、隔音和距离衰减后，各厂界</w:t>
                  </w:r>
                  <w:r>
                    <w:rPr>
                      <w:rFonts w:hint="eastAsia"/>
                      <w:bCs/>
                      <w:color w:val="000000" w:themeColor="text1"/>
                      <w:sz w:val="21"/>
                      <w:szCs w:val="21"/>
                      <w14:textFill>
                        <w14:solidFill>
                          <w14:schemeClr w14:val="tx1"/>
                        </w14:solidFill>
                      </w14:textFill>
                    </w:rPr>
                    <w:t>预测</w:t>
                  </w:r>
                  <w:r>
                    <w:rPr>
                      <w:bCs/>
                      <w:color w:val="000000" w:themeColor="text1"/>
                      <w:sz w:val="21"/>
                      <w:szCs w:val="21"/>
                      <w14:textFill>
                        <w14:solidFill>
                          <w14:schemeClr w14:val="tx1"/>
                        </w14:solidFill>
                      </w14:textFill>
                    </w:rPr>
                    <w:t>值能够满足《工业企业厂界环境噪声排放标准》（GB12348-2008）2类标准要求。声环境敏感目标夹堤村</w:t>
                  </w:r>
                  <w:r>
                    <w:rPr>
                      <w:rFonts w:hint="eastAsia"/>
                      <w:bCs/>
                      <w:color w:val="000000" w:themeColor="text1"/>
                      <w:sz w:val="21"/>
                      <w:szCs w:val="21"/>
                      <w14:textFill>
                        <w14:solidFill>
                          <w14:schemeClr w14:val="tx1"/>
                        </w14:solidFill>
                      </w14:textFill>
                    </w:rPr>
                    <w:t>贡献值</w:t>
                  </w:r>
                  <w:r>
                    <w:rPr>
                      <w:bCs/>
                      <w:color w:val="000000" w:themeColor="text1"/>
                      <w:sz w:val="21"/>
                      <w:szCs w:val="21"/>
                      <w14:textFill>
                        <w14:solidFill>
                          <w14:schemeClr w14:val="tx1"/>
                        </w14:solidFill>
                      </w14:textFill>
                    </w:rPr>
                    <w:t>叠加现状值后满足《声环境质量标准》（GB3096-2008）2类标准</w:t>
                  </w:r>
                  <w:r>
                    <w:rPr>
                      <w:rFonts w:hint="eastAsia"/>
                      <w:bCs/>
                      <w:color w:val="000000" w:themeColor="text1"/>
                      <w:sz w:val="21"/>
                      <w:szCs w:val="21"/>
                      <w14:textFill>
                        <w14:solidFill>
                          <w14:schemeClr w14:val="tx1"/>
                        </w14:solidFill>
                      </w14:textFill>
                    </w:rPr>
                    <w:t>限值要求。</w:t>
                  </w:r>
                </w:p>
              </w:tc>
              <w:tc>
                <w:tcPr>
                  <w:tcW w:w="639" w:type="dxa"/>
                  <w:vAlign w:val="center"/>
                </w:tcPr>
                <w:p w14:paraId="3E9A499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5F1D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12BDA998">
                  <w:pPr>
                    <w:jc w:val="center"/>
                    <w:rPr>
                      <w:color w:val="000000" w:themeColor="text1"/>
                      <w:sz w:val="21"/>
                      <w:szCs w:val="21"/>
                      <w14:textFill>
                        <w14:solidFill>
                          <w14:schemeClr w14:val="tx1"/>
                        </w14:solidFill>
                      </w14:textFill>
                    </w:rPr>
                  </w:pPr>
                </w:p>
              </w:tc>
              <w:tc>
                <w:tcPr>
                  <w:tcW w:w="718" w:type="dxa"/>
                  <w:vMerge w:val="restart"/>
                  <w:vAlign w:val="center"/>
                </w:tcPr>
                <w:p w14:paraId="6FF3D4D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环境风险防控</w:t>
                  </w:r>
                </w:p>
              </w:tc>
              <w:tc>
                <w:tcPr>
                  <w:tcW w:w="4769" w:type="dxa"/>
                  <w:vAlign w:val="center"/>
                </w:tcPr>
                <w:p w14:paraId="5F5D22F5">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依法推行农用地分类管理制度，强化受污染耕地安全利用和风险管控；用途变更为住宅、公共管理与公共服务用地及有土壤污染风险的建设用地地块，应当依法开展土壤污染状况调查；污染地块经治理与修复，并符合相应规划用地土壤环境质量要求后，方可进入用地程序；合理规划污染地块土地用途，鼓励农药、化工等行业中重度污染地块优先规划用于拓展生态空间。</w:t>
                  </w:r>
                </w:p>
              </w:tc>
              <w:tc>
                <w:tcPr>
                  <w:tcW w:w="2803" w:type="dxa"/>
                  <w:vAlign w:val="center"/>
                </w:tcPr>
                <w:p w14:paraId="21FB2260">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本项目位于延津县榆林乡夹堤村西南河南朝东食品有限公司现有厂区内，项目所占用地为建设用地，符合延津县榆林乡用地规划要求。</w:t>
                  </w:r>
                </w:p>
              </w:tc>
              <w:tc>
                <w:tcPr>
                  <w:tcW w:w="639" w:type="dxa"/>
                  <w:vAlign w:val="center"/>
                </w:tcPr>
                <w:p w14:paraId="1F425D0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4D82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1CD84F03">
                  <w:pPr>
                    <w:jc w:val="center"/>
                    <w:rPr>
                      <w:b/>
                      <w:bCs/>
                      <w:color w:val="000000" w:themeColor="text1"/>
                      <w:sz w:val="21"/>
                      <w:szCs w:val="21"/>
                      <w14:textFill>
                        <w14:solidFill>
                          <w14:schemeClr w14:val="tx1"/>
                        </w14:solidFill>
                      </w14:textFill>
                    </w:rPr>
                  </w:pPr>
                </w:p>
              </w:tc>
              <w:tc>
                <w:tcPr>
                  <w:tcW w:w="718" w:type="dxa"/>
                  <w:vMerge w:val="continue"/>
                  <w:vAlign w:val="center"/>
                </w:tcPr>
                <w:p w14:paraId="61A25BFD">
                  <w:pPr>
                    <w:jc w:val="center"/>
                    <w:rPr>
                      <w:color w:val="000000" w:themeColor="text1"/>
                      <w:sz w:val="21"/>
                      <w:szCs w:val="21"/>
                      <w14:textFill>
                        <w14:solidFill>
                          <w14:schemeClr w14:val="tx1"/>
                        </w14:solidFill>
                      </w14:textFill>
                    </w:rPr>
                  </w:pPr>
                </w:p>
              </w:tc>
              <w:tc>
                <w:tcPr>
                  <w:tcW w:w="4769" w:type="dxa"/>
                  <w:vAlign w:val="center"/>
                </w:tcPr>
                <w:p w14:paraId="0DEF1128">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以涉重涉危及有毒有害等行业企业为重点，加强水环境风险日常监管；推进涉水企业的环境风险排查整治、风险预防设施设备建设；制定水环境污染事故处置应急预案，加强上下游联防联控，防范跨界水环境风险，提升环境应急处置能力。</w:t>
                  </w:r>
                </w:p>
              </w:tc>
              <w:tc>
                <w:tcPr>
                  <w:tcW w:w="2803" w:type="dxa"/>
                  <w:vAlign w:val="center"/>
                </w:tcPr>
                <w:p w14:paraId="1013622E">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本项目建成后将加强水环境风险日常监管，制定水环境污染事故处置应急预案，提升环境应急处置能力。</w:t>
                  </w:r>
                </w:p>
              </w:tc>
              <w:tc>
                <w:tcPr>
                  <w:tcW w:w="639" w:type="dxa"/>
                  <w:vAlign w:val="center"/>
                </w:tcPr>
                <w:p w14:paraId="5BF2979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20EB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7C0DDA08">
                  <w:pPr>
                    <w:jc w:val="center"/>
                    <w:rPr>
                      <w:color w:val="000000" w:themeColor="text1"/>
                      <w:sz w:val="21"/>
                      <w:szCs w:val="21"/>
                      <w14:textFill>
                        <w14:solidFill>
                          <w14:schemeClr w14:val="tx1"/>
                        </w14:solidFill>
                      </w14:textFill>
                    </w:rPr>
                  </w:pPr>
                </w:p>
              </w:tc>
              <w:tc>
                <w:tcPr>
                  <w:tcW w:w="718" w:type="dxa"/>
                  <w:vMerge w:val="continue"/>
                  <w:vAlign w:val="center"/>
                </w:tcPr>
                <w:p w14:paraId="3B4B7DCA">
                  <w:pPr>
                    <w:jc w:val="center"/>
                    <w:rPr>
                      <w:color w:val="000000" w:themeColor="text1"/>
                      <w:sz w:val="21"/>
                      <w:szCs w:val="21"/>
                      <w14:textFill>
                        <w14:solidFill>
                          <w14:schemeClr w14:val="tx1"/>
                        </w14:solidFill>
                      </w14:textFill>
                    </w:rPr>
                  </w:pPr>
                </w:p>
              </w:tc>
              <w:tc>
                <w:tcPr>
                  <w:tcW w:w="4769" w:type="dxa"/>
                  <w:vAlign w:val="center"/>
                </w:tcPr>
                <w:p w14:paraId="66FDBB7D">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化工园区内涉及有毒有害物质的重点场所或者重点设施设备（特别是地下储罐、管网等）应进行防渗漏设计和建设，消除土壤和地下水污染隐患；建立完善的生态环境监测监控和风险预警体系，相关监测监控数据应接入地方监测预警系统；建立满足突发环境事件情形下应急处置需求的应急救援体系、预案、平台和专职应急救援队伍，配备符合相关国家标准、行业标准要求的人员和装备。</w:t>
                  </w:r>
                </w:p>
              </w:tc>
              <w:tc>
                <w:tcPr>
                  <w:tcW w:w="2803" w:type="dxa"/>
                  <w:vAlign w:val="center"/>
                </w:tcPr>
                <w:p w14:paraId="594E2248">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本项目不存在对地下水、土壤污染途径。</w:t>
                  </w:r>
                </w:p>
              </w:tc>
              <w:tc>
                <w:tcPr>
                  <w:tcW w:w="639" w:type="dxa"/>
                  <w:vAlign w:val="center"/>
                </w:tcPr>
                <w:p w14:paraId="244BCDCB">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037C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2CE3108C">
                  <w:pPr>
                    <w:jc w:val="center"/>
                    <w:rPr>
                      <w:color w:val="000000" w:themeColor="text1"/>
                      <w:sz w:val="21"/>
                      <w:szCs w:val="21"/>
                      <w14:textFill>
                        <w14:solidFill>
                          <w14:schemeClr w14:val="tx1"/>
                        </w14:solidFill>
                      </w14:textFill>
                    </w:rPr>
                  </w:pPr>
                </w:p>
              </w:tc>
              <w:tc>
                <w:tcPr>
                  <w:tcW w:w="718" w:type="dxa"/>
                  <w:vMerge w:val="restart"/>
                  <w:vAlign w:val="center"/>
                </w:tcPr>
                <w:p w14:paraId="57925EF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资源利用效率</w:t>
                  </w:r>
                </w:p>
              </w:tc>
              <w:tc>
                <w:tcPr>
                  <w:tcW w:w="4769" w:type="dxa"/>
                  <w:vAlign w:val="center"/>
                </w:tcPr>
                <w:p w14:paraId="11CDF80C">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.“十四五”时期，规模以上工业单位增加值能耗下降</w:t>
                  </w:r>
                  <w:r>
                    <w:rPr>
                      <w:color w:val="000000" w:themeColor="text1"/>
                      <w:sz w:val="21"/>
                      <w:szCs w:val="21"/>
                      <w14:textFill>
                        <w14:solidFill>
                          <w14:schemeClr w14:val="tx1"/>
                        </w14:solidFill>
                      </w14:textFill>
                    </w:rPr>
                    <w:t>18</w:t>
                  </w:r>
                  <w:r>
                    <w:rPr>
                      <w:rFonts w:hint="eastAsia"/>
                      <w:color w:val="000000" w:themeColor="text1"/>
                      <w:sz w:val="21"/>
                      <w:szCs w:val="21"/>
                      <w14:textFill>
                        <w14:solidFill>
                          <w14:schemeClr w14:val="tx1"/>
                        </w14:solidFill>
                      </w14:textFill>
                    </w:rPr>
                    <w:t>%，万元工业增加值用水量下降</w:t>
                  </w:r>
                  <w:r>
                    <w:rPr>
                      <w:color w:val="000000" w:themeColor="text1"/>
                      <w:sz w:val="21"/>
                      <w:szCs w:val="21"/>
                      <w14:textFill>
                        <w14:solidFill>
                          <w14:schemeClr w14:val="tx1"/>
                        </w14:solidFill>
                      </w14:textFill>
                    </w:rPr>
                    <w:t>10</w:t>
                  </w:r>
                  <w:r>
                    <w:rPr>
                      <w:rFonts w:hint="eastAsia"/>
                      <w:color w:val="000000" w:themeColor="text1"/>
                      <w:sz w:val="21"/>
                      <w:szCs w:val="21"/>
                      <w14:textFill>
                        <w14:solidFill>
                          <w14:schemeClr w14:val="tx1"/>
                        </w14:solidFill>
                      </w14:textFill>
                    </w:rPr>
                    <w:t>%。</w:t>
                  </w:r>
                </w:p>
              </w:tc>
              <w:tc>
                <w:tcPr>
                  <w:tcW w:w="2803" w:type="dxa"/>
                  <w:vAlign w:val="center"/>
                </w:tcPr>
                <w:p w14:paraId="4D96CE21">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本项目将积极进行节能降耗。</w:t>
                  </w:r>
                </w:p>
              </w:tc>
              <w:tc>
                <w:tcPr>
                  <w:tcW w:w="639" w:type="dxa"/>
                  <w:vAlign w:val="center"/>
                </w:tcPr>
                <w:p w14:paraId="1B95534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0C5F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29036423">
                  <w:pPr>
                    <w:jc w:val="center"/>
                    <w:rPr>
                      <w:color w:val="000000" w:themeColor="text1"/>
                      <w:sz w:val="21"/>
                      <w:szCs w:val="21"/>
                      <w14:textFill>
                        <w14:solidFill>
                          <w14:schemeClr w14:val="tx1"/>
                        </w14:solidFill>
                      </w14:textFill>
                    </w:rPr>
                  </w:pPr>
                </w:p>
              </w:tc>
              <w:tc>
                <w:tcPr>
                  <w:tcW w:w="718" w:type="dxa"/>
                  <w:vMerge w:val="continue"/>
                  <w:vAlign w:val="center"/>
                </w:tcPr>
                <w:p w14:paraId="1B5478AF">
                  <w:pPr>
                    <w:jc w:val="center"/>
                    <w:rPr>
                      <w:color w:val="000000" w:themeColor="text1"/>
                      <w:sz w:val="21"/>
                      <w:szCs w:val="21"/>
                      <w14:textFill>
                        <w14:solidFill>
                          <w14:schemeClr w14:val="tx1"/>
                        </w14:solidFill>
                      </w14:textFill>
                    </w:rPr>
                  </w:pPr>
                </w:p>
              </w:tc>
              <w:tc>
                <w:tcPr>
                  <w:tcW w:w="4769" w:type="dxa"/>
                  <w:vAlign w:val="center"/>
                </w:tcPr>
                <w:p w14:paraId="78F8D683">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.新建、扩建“两高”项目单位产品物耗、能耗、水耗等达到清洁生产先进水平。</w:t>
                  </w:r>
                </w:p>
              </w:tc>
              <w:tc>
                <w:tcPr>
                  <w:tcW w:w="2803" w:type="dxa"/>
                  <w:vAlign w:val="center"/>
                </w:tcPr>
                <w:p w14:paraId="44C129E7">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5BC76A9E">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4D90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744EB39D">
                  <w:pPr>
                    <w:jc w:val="center"/>
                    <w:rPr>
                      <w:color w:val="000000" w:themeColor="text1"/>
                      <w:sz w:val="21"/>
                      <w:szCs w:val="21"/>
                      <w14:textFill>
                        <w14:solidFill>
                          <w14:schemeClr w14:val="tx1"/>
                        </w14:solidFill>
                      </w14:textFill>
                    </w:rPr>
                  </w:pPr>
                </w:p>
              </w:tc>
              <w:tc>
                <w:tcPr>
                  <w:tcW w:w="718" w:type="dxa"/>
                  <w:vMerge w:val="continue"/>
                  <w:vAlign w:val="center"/>
                </w:tcPr>
                <w:p w14:paraId="1EEE0F95">
                  <w:pPr>
                    <w:jc w:val="center"/>
                    <w:rPr>
                      <w:color w:val="000000" w:themeColor="text1"/>
                      <w:sz w:val="21"/>
                      <w:szCs w:val="21"/>
                      <w14:textFill>
                        <w14:solidFill>
                          <w14:schemeClr w14:val="tx1"/>
                        </w14:solidFill>
                      </w14:textFill>
                    </w:rPr>
                  </w:pPr>
                </w:p>
              </w:tc>
              <w:tc>
                <w:tcPr>
                  <w:tcW w:w="4769" w:type="dxa"/>
                  <w:vAlign w:val="center"/>
                </w:tcPr>
                <w:p w14:paraId="25349B7F">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.实施重点领域节能降碳改造，到</w:t>
                  </w:r>
                  <w:r>
                    <w:rPr>
                      <w:color w:val="000000" w:themeColor="text1"/>
                      <w:sz w:val="21"/>
                      <w:szCs w:val="21"/>
                      <w14:textFill>
                        <w14:solidFill>
                          <w14:schemeClr w14:val="tx1"/>
                        </w14:solidFill>
                      </w14:textFill>
                    </w:rPr>
                    <w:t>2025</w:t>
                  </w:r>
                  <w:r>
                    <w:rPr>
                      <w:rFonts w:hint="eastAsia"/>
                      <w:color w:val="000000" w:themeColor="text1"/>
                      <w:sz w:val="21"/>
                      <w:szCs w:val="21"/>
                      <w14:textFill>
                        <w14:solidFill>
                          <w14:schemeClr w14:val="tx1"/>
                        </w14:solidFill>
                      </w14:textFill>
                    </w:rPr>
                    <w:t>年钢铁、电解铝、水泥、炼油、乙烯、焦化等重点行业产能达到能效标杆水平的比例超过</w:t>
                  </w:r>
                  <w:r>
                    <w:rPr>
                      <w:color w:val="000000" w:themeColor="text1"/>
                      <w:sz w:val="21"/>
                      <w:szCs w:val="21"/>
                      <w14:textFill>
                        <w14:solidFill>
                          <w14:schemeClr w14:val="tx1"/>
                        </w14:solidFill>
                      </w14:textFill>
                    </w:rPr>
                    <w:t>30</w:t>
                  </w:r>
                  <w:r>
                    <w:rPr>
                      <w:rFonts w:hint="eastAsia"/>
                      <w:color w:val="000000" w:themeColor="text1"/>
                      <w:sz w:val="21"/>
                      <w:szCs w:val="21"/>
                      <w14:textFill>
                        <w14:solidFill>
                          <w14:schemeClr w14:val="tx1"/>
                        </w14:solidFill>
                      </w14:textFill>
                    </w:rPr>
                    <w:t>%，行业整体能效水平明显提升，碳排放强度明显下降，绿色低碳发展能力显著增强。</w:t>
                  </w:r>
                </w:p>
              </w:tc>
              <w:tc>
                <w:tcPr>
                  <w:tcW w:w="2803" w:type="dxa"/>
                  <w:vAlign w:val="center"/>
                </w:tcPr>
                <w:p w14:paraId="794EF98A">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73017575">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630D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70D40F2E">
                  <w:pPr>
                    <w:jc w:val="center"/>
                    <w:rPr>
                      <w:color w:val="000000" w:themeColor="text1"/>
                      <w:sz w:val="21"/>
                      <w:szCs w:val="21"/>
                      <w14:textFill>
                        <w14:solidFill>
                          <w14:schemeClr w14:val="tx1"/>
                        </w14:solidFill>
                      </w14:textFill>
                    </w:rPr>
                  </w:pPr>
                </w:p>
              </w:tc>
              <w:tc>
                <w:tcPr>
                  <w:tcW w:w="718" w:type="dxa"/>
                  <w:vMerge w:val="continue"/>
                  <w:vAlign w:val="center"/>
                </w:tcPr>
                <w:p w14:paraId="6D517403">
                  <w:pPr>
                    <w:jc w:val="center"/>
                    <w:rPr>
                      <w:color w:val="000000" w:themeColor="text1"/>
                      <w:sz w:val="21"/>
                      <w:szCs w:val="21"/>
                      <w14:textFill>
                        <w14:solidFill>
                          <w14:schemeClr w14:val="tx1"/>
                        </w14:solidFill>
                      </w14:textFill>
                    </w:rPr>
                  </w:pPr>
                </w:p>
              </w:tc>
              <w:tc>
                <w:tcPr>
                  <w:tcW w:w="4769" w:type="dxa"/>
                  <w:vAlign w:val="center"/>
                </w:tcPr>
                <w:p w14:paraId="51793429">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.对以煤、石油焦、渣油、重油等为燃料的锅炉和工业炉窑，加快使用工业余热、电厂热力、清洁能源等进行替代。</w:t>
                  </w:r>
                </w:p>
              </w:tc>
              <w:tc>
                <w:tcPr>
                  <w:tcW w:w="2803" w:type="dxa"/>
                  <w:vAlign w:val="center"/>
                </w:tcPr>
                <w:p w14:paraId="67B9075B">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本项目利用现有2台0.5t/h天然气锅炉（一用一备）。</w:t>
                  </w:r>
                </w:p>
              </w:tc>
              <w:tc>
                <w:tcPr>
                  <w:tcW w:w="639" w:type="dxa"/>
                  <w:vAlign w:val="center"/>
                </w:tcPr>
                <w:p w14:paraId="5C44471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2CE7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0EA0B0A5">
                  <w:pPr>
                    <w:jc w:val="center"/>
                    <w:rPr>
                      <w:color w:val="000000" w:themeColor="text1"/>
                      <w:sz w:val="21"/>
                      <w:szCs w:val="21"/>
                      <w14:textFill>
                        <w14:solidFill>
                          <w14:schemeClr w14:val="tx1"/>
                        </w14:solidFill>
                      </w14:textFill>
                    </w:rPr>
                  </w:pPr>
                </w:p>
              </w:tc>
              <w:tc>
                <w:tcPr>
                  <w:tcW w:w="718" w:type="dxa"/>
                  <w:vMerge w:val="continue"/>
                  <w:vAlign w:val="center"/>
                </w:tcPr>
                <w:p w14:paraId="029F78A6">
                  <w:pPr>
                    <w:jc w:val="center"/>
                    <w:rPr>
                      <w:color w:val="000000" w:themeColor="text1"/>
                      <w:sz w:val="21"/>
                      <w:szCs w:val="21"/>
                      <w14:textFill>
                        <w14:solidFill>
                          <w14:schemeClr w14:val="tx1"/>
                        </w14:solidFill>
                      </w14:textFill>
                    </w:rPr>
                  </w:pPr>
                </w:p>
              </w:tc>
              <w:tc>
                <w:tcPr>
                  <w:tcW w:w="4769" w:type="dxa"/>
                  <w:vAlign w:val="center"/>
                </w:tcPr>
                <w:p w14:paraId="78EBE1AC">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w:t>
                  </w:r>
                  <w:r>
                    <w:rPr>
                      <w:rFonts w:hint="eastAsia"/>
                      <w:color w:val="000000" w:themeColor="text1"/>
                      <w:sz w:val="21"/>
                      <w:szCs w:val="21"/>
                      <w14:textFill>
                        <w14:solidFill>
                          <w14:schemeClr w14:val="tx1"/>
                        </w14:solidFill>
                      </w14:textFill>
                    </w:rPr>
                    <w:t>.除应急取（排）水、地下水监测外，在地下水禁采区内，禁止取用地下水；在地下水限采区内，禁止开凿新的取水井或者增加地下水取水量。</w:t>
                  </w:r>
                </w:p>
              </w:tc>
              <w:tc>
                <w:tcPr>
                  <w:tcW w:w="2803" w:type="dxa"/>
                  <w:vAlign w:val="center"/>
                </w:tcPr>
                <w:p w14:paraId="0F08E6DB">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本项目位于延津县榆林乡夹堤村西南河南朝东食品有限公司现有厂区内，不属于禁采区、限采区，用水采用地下水。</w:t>
                  </w:r>
                </w:p>
              </w:tc>
              <w:tc>
                <w:tcPr>
                  <w:tcW w:w="639" w:type="dxa"/>
                  <w:vAlign w:val="center"/>
                </w:tcPr>
                <w:p w14:paraId="7D9202B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4737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38" w:type="dxa"/>
                  <w:gridSpan w:val="5"/>
                  <w:vAlign w:val="center"/>
                </w:tcPr>
                <w:p w14:paraId="44846427">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重点区域生态环境管控要求</w:t>
                  </w:r>
                </w:p>
              </w:tc>
            </w:tr>
            <w:tr w14:paraId="3D64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Align w:val="center"/>
                </w:tcPr>
                <w:p w14:paraId="179A3ED9">
                  <w:pPr>
                    <w:pStyle w:val="4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区域</w:t>
                  </w:r>
                </w:p>
              </w:tc>
              <w:tc>
                <w:tcPr>
                  <w:tcW w:w="718" w:type="dxa"/>
                  <w:vAlign w:val="center"/>
                </w:tcPr>
                <w:p w14:paraId="72473661">
                  <w:pPr>
                    <w:pStyle w:val="46"/>
                    <w:rPr>
                      <w:rFonts w:cs="Times New Roman"/>
                      <w:b/>
                      <w:bCs/>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管控类别</w:t>
                  </w:r>
                </w:p>
              </w:tc>
              <w:tc>
                <w:tcPr>
                  <w:tcW w:w="4769" w:type="dxa"/>
                  <w:vAlign w:val="center"/>
                </w:tcPr>
                <w:p w14:paraId="01D8DBC2">
                  <w:pPr>
                    <w:pStyle w:val="46"/>
                    <w:rPr>
                      <w:rFonts w:cs="Times New Roman"/>
                      <w:b/>
                      <w:bCs/>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管控要求</w:t>
                  </w:r>
                </w:p>
              </w:tc>
              <w:tc>
                <w:tcPr>
                  <w:tcW w:w="2803" w:type="dxa"/>
                  <w:vAlign w:val="center"/>
                </w:tcPr>
                <w:p w14:paraId="7F5D823B">
                  <w:pPr>
                    <w:pStyle w:val="46"/>
                    <w:rPr>
                      <w:rFonts w:cs="Times New Roman"/>
                      <w:b/>
                      <w:bCs/>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本项目情况</w:t>
                  </w:r>
                </w:p>
              </w:tc>
              <w:tc>
                <w:tcPr>
                  <w:tcW w:w="639" w:type="dxa"/>
                  <w:vAlign w:val="center"/>
                </w:tcPr>
                <w:p w14:paraId="202A6704">
                  <w:pPr>
                    <w:pStyle w:val="46"/>
                    <w:rPr>
                      <w:rFonts w:cs="Times New Roman"/>
                      <w:b/>
                      <w:bCs/>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是否符合要求</w:t>
                  </w:r>
                </w:p>
              </w:tc>
            </w:tr>
            <w:tr w14:paraId="243C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restart"/>
                  <w:vAlign w:val="center"/>
                </w:tcPr>
                <w:p w14:paraId="0C209F4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京津冀及周边地区</w:t>
                  </w:r>
                </w:p>
              </w:tc>
              <w:tc>
                <w:tcPr>
                  <w:tcW w:w="718" w:type="dxa"/>
                  <w:vMerge w:val="restart"/>
                  <w:vAlign w:val="center"/>
                </w:tcPr>
                <w:p w14:paraId="2428D5CB">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空间布局约束</w:t>
                  </w:r>
                </w:p>
              </w:tc>
              <w:tc>
                <w:tcPr>
                  <w:tcW w:w="4769" w:type="dxa"/>
                  <w:vAlign w:val="center"/>
                </w:tcPr>
                <w:p w14:paraId="0B9FF080">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.坚决遏制“两高”项目盲目发展，落实《中共河南省委 河南省人民政府 关于深入打好污染防治攻坚战的实施意见》中关于空间布局约束的相关要求。</w:t>
                  </w:r>
                </w:p>
              </w:tc>
              <w:tc>
                <w:tcPr>
                  <w:tcW w:w="2803" w:type="dxa"/>
                  <w:vAlign w:val="center"/>
                </w:tcPr>
                <w:p w14:paraId="609A773E">
                  <w:pP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2A7F5A95">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5618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14D719D4">
                  <w:pPr>
                    <w:jc w:val="center"/>
                    <w:rPr>
                      <w:color w:val="000000" w:themeColor="text1"/>
                      <w:sz w:val="21"/>
                      <w:szCs w:val="21"/>
                      <w14:textFill>
                        <w14:solidFill>
                          <w14:schemeClr w14:val="tx1"/>
                        </w14:solidFill>
                      </w14:textFill>
                    </w:rPr>
                  </w:pPr>
                </w:p>
              </w:tc>
              <w:tc>
                <w:tcPr>
                  <w:tcW w:w="718" w:type="dxa"/>
                  <w:vMerge w:val="continue"/>
                  <w:vAlign w:val="center"/>
                </w:tcPr>
                <w:p w14:paraId="0E6EDBD1">
                  <w:pPr>
                    <w:jc w:val="center"/>
                    <w:rPr>
                      <w:color w:val="000000" w:themeColor="text1"/>
                      <w:sz w:val="21"/>
                      <w:szCs w:val="21"/>
                      <w14:textFill>
                        <w14:solidFill>
                          <w14:schemeClr w14:val="tx1"/>
                        </w14:solidFill>
                      </w14:textFill>
                    </w:rPr>
                  </w:pPr>
                </w:p>
              </w:tc>
              <w:tc>
                <w:tcPr>
                  <w:tcW w:w="4769" w:type="dxa"/>
                  <w:vAlign w:val="center"/>
                </w:tcPr>
                <w:p w14:paraId="472C0102">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.严控磷铵、电石、黄磷等行业新增产能，禁止新建用汞的（聚）氯乙烯产能，加快低效落后产能退出。</w:t>
                  </w:r>
                </w:p>
              </w:tc>
              <w:tc>
                <w:tcPr>
                  <w:tcW w:w="2803" w:type="dxa"/>
                  <w:vAlign w:val="center"/>
                </w:tcPr>
                <w:p w14:paraId="0869298F">
                  <w:pP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4A153400">
                  <w:pPr>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43221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3A714018">
                  <w:pPr>
                    <w:jc w:val="center"/>
                    <w:rPr>
                      <w:color w:val="000000" w:themeColor="text1"/>
                      <w:sz w:val="21"/>
                      <w:szCs w:val="21"/>
                      <w14:textFill>
                        <w14:solidFill>
                          <w14:schemeClr w14:val="tx1"/>
                        </w14:solidFill>
                      </w14:textFill>
                    </w:rPr>
                  </w:pPr>
                </w:p>
              </w:tc>
              <w:tc>
                <w:tcPr>
                  <w:tcW w:w="718" w:type="dxa"/>
                  <w:vMerge w:val="continue"/>
                  <w:vAlign w:val="center"/>
                </w:tcPr>
                <w:p w14:paraId="6376F98A">
                  <w:pPr>
                    <w:jc w:val="center"/>
                    <w:rPr>
                      <w:color w:val="000000" w:themeColor="text1"/>
                      <w:sz w:val="21"/>
                      <w:szCs w:val="21"/>
                      <w14:textFill>
                        <w14:solidFill>
                          <w14:schemeClr w14:val="tx1"/>
                        </w14:solidFill>
                      </w14:textFill>
                    </w:rPr>
                  </w:pPr>
                </w:p>
              </w:tc>
              <w:tc>
                <w:tcPr>
                  <w:tcW w:w="4769" w:type="dxa"/>
                  <w:vAlign w:val="center"/>
                </w:tcPr>
                <w:p w14:paraId="15E54424">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.原则上禁止新建企业自备燃煤机组，有序关停整合</w:t>
                  </w:r>
                  <w:r>
                    <w:rPr>
                      <w:color w:val="000000" w:themeColor="text1"/>
                      <w:sz w:val="21"/>
                      <w:szCs w:val="21"/>
                      <w14:textFill>
                        <w14:solidFill>
                          <w14:schemeClr w14:val="tx1"/>
                        </w14:solidFill>
                      </w14:textFill>
                    </w:rPr>
                    <w:t>30</w:t>
                  </w:r>
                  <w:r>
                    <w:rPr>
                      <w:rFonts w:hint="eastAsia"/>
                      <w:color w:val="000000" w:themeColor="text1"/>
                      <w:sz w:val="21"/>
                      <w:szCs w:val="21"/>
                      <w14:textFill>
                        <w14:solidFill>
                          <w14:schemeClr w14:val="tx1"/>
                        </w14:solidFill>
                      </w14:textFill>
                    </w:rPr>
                    <w:t>万千瓦以上热电联产机组供热合理半径范围内的落后燃煤小热电机组（含自备电厂）。</w:t>
                  </w:r>
                </w:p>
              </w:tc>
              <w:tc>
                <w:tcPr>
                  <w:tcW w:w="2803" w:type="dxa"/>
                  <w:vAlign w:val="center"/>
                </w:tcPr>
                <w:p w14:paraId="69474BAC">
                  <w:pP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0192FB8B">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5C5E9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277C3438">
                  <w:pPr>
                    <w:jc w:val="center"/>
                    <w:rPr>
                      <w:color w:val="000000" w:themeColor="text1"/>
                      <w:sz w:val="21"/>
                      <w:szCs w:val="21"/>
                      <w14:textFill>
                        <w14:solidFill>
                          <w14:schemeClr w14:val="tx1"/>
                        </w14:solidFill>
                      </w14:textFill>
                    </w:rPr>
                  </w:pPr>
                </w:p>
              </w:tc>
              <w:tc>
                <w:tcPr>
                  <w:tcW w:w="718" w:type="dxa"/>
                  <w:vMerge w:val="continue"/>
                  <w:vAlign w:val="center"/>
                </w:tcPr>
                <w:p w14:paraId="56602D51">
                  <w:pPr>
                    <w:jc w:val="center"/>
                    <w:rPr>
                      <w:color w:val="000000" w:themeColor="text1"/>
                      <w:sz w:val="21"/>
                      <w:szCs w:val="21"/>
                      <w14:textFill>
                        <w14:solidFill>
                          <w14:schemeClr w14:val="tx1"/>
                        </w14:solidFill>
                      </w14:textFill>
                    </w:rPr>
                  </w:pPr>
                </w:p>
              </w:tc>
              <w:tc>
                <w:tcPr>
                  <w:tcW w:w="4769" w:type="dxa"/>
                  <w:vAlign w:val="center"/>
                </w:tcPr>
                <w:p w14:paraId="393FBEB6">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.优化危险化学品生产布局，禁止在化工园区外新建、扩建危险化学品生产项目。新建危险化学品生产项目必须进入通过认定的一般或较低安全风险的化工园区（与其他行业生产装置配套建设的项目除外）。</w:t>
                  </w:r>
                </w:p>
              </w:tc>
              <w:tc>
                <w:tcPr>
                  <w:tcW w:w="2803" w:type="dxa"/>
                  <w:vAlign w:val="center"/>
                </w:tcPr>
                <w:p w14:paraId="698E4862">
                  <w:pP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65CDFF75">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19B1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325C6F89">
                  <w:pPr>
                    <w:jc w:val="center"/>
                    <w:rPr>
                      <w:color w:val="000000" w:themeColor="text1"/>
                      <w:sz w:val="21"/>
                      <w:szCs w:val="21"/>
                      <w14:textFill>
                        <w14:solidFill>
                          <w14:schemeClr w14:val="tx1"/>
                        </w14:solidFill>
                      </w14:textFill>
                    </w:rPr>
                  </w:pPr>
                </w:p>
              </w:tc>
              <w:tc>
                <w:tcPr>
                  <w:tcW w:w="718" w:type="dxa"/>
                  <w:vMerge w:val="continue"/>
                  <w:vAlign w:val="center"/>
                </w:tcPr>
                <w:p w14:paraId="2C8764F5">
                  <w:pPr>
                    <w:jc w:val="center"/>
                    <w:rPr>
                      <w:color w:val="000000" w:themeColor="text1"/>
                      <w:sz w:val="21"/>
                      <w:szCs w:val="21"/>
                      <w14:textFill>
                        <w14:solidFill>
                          <w14:schemeClr w14:val="tx1"/>
                        </w14:solidFill>
                      </w14:textFill>
                    </w:rPr>
                  </w:pPr>
                </w:p>
              </w:tc>
              <w:tc>
                <w:tcPr>
                  <w:tcW w:w="4769" w:type="dxa"/>
                  <w:vAlign w:val="center"/>
                </w:tcPr>
                <w:p w14:paraId="0A115D20">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w:t>
                  </w:r>
                  <w:r>
                    <w:rPr>
                      <w:rFonts w:hint="eastAsia"/>
                      <w:color w:val="000000" w:themeColor="text1"/>
                      <w:sz w:val="21"/>
                      <w:szCs w:val="21"/>
                      <w14:textFill>
                        <w14:solidFill>
                          <w14:schemeClr w14:val="tx1"/>
                        </w14:solidFill>
                      </w14:textFill>
                    </w:rPr>
                    <w:t>.新建、扩建石化项目不得位于黄河干支流岸线管控范围内等法律法规明令禁止的区域，尽可能远离居民集中区、医院、学校等环境敏感区。</w:t>
                  </w:r>
                </w:p>
              </w:tc>
              <w:tc>
                <w:tcPr>
                  <w:tcW w:w="2803" w:type="dxa"/>
                  <w:vAlign w:val="center"/>
                </w:tcPr>
                <w:p w14:paraId="75160086">
                  <w:pP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4AF0A9EE">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1410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6B23CD6F">
                  <w:pPr>
                    <w:jc w:val="center"/>
                    <w:rPr>
                      <w:color w:val="000000" w:themeColor="text1"/>
                      <w:sz w:val="21"/>
                      <w:szCs w:val="21"/>
                      <w14:textFill>
                        <w14:solidFill>
                          <w14:schemeClr w14:val="tx1"/>
                        </w14:solidFill>
                      </w14:textFill>
                    </w:rPr>
                  </w:pPr>
                </w:p>
              </w:tc>
              <w:tc>
                <w:tcPr>
                  <w:tcW w:w="718" w:type="dxa"/>
                  <w:vMerge w:val="continue"/>
                  <w:vAlign w:val="center"/>
                </w:tcPr>
                <w:p w14:paraId="7575E982">
                  <w:pPr>
                    <w:jc w:val="center"/>
                    <w:rPr>
                      <w:color w:val="000000" w:themeColor="text1"/>
                      <w:sz w:val="21"/>
                      <w:szCs w:val="21"/>
                      <w14:textFill>
                        <w14:solidFill>
                          <w14:schemeClr w14:val="tx1"/>
                        </w14:solidFill>
                      </w14:textFill>
                    </w:rPr>
                  </w:pPr>
                </w:p>
              </w:tc>
              <w:tc>
                <w:tcPr>
                  <w:tcW w:w="4769" w:type="dxa"/>
                  <w:vAlign w:val="center"/>
                </w:tcPr>
                <w:p w14:paraId="19401EB2">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w:t>
                  </w:r>
                  <w:r>
                    <w:rPr>
                      <w:rFonts w:hint="eastAsia"/>
                      <w:color w:val="000000" w:themeColor="text1"/>
                      <w:sz w:val="21"/>
                      <w:szCs w:val="21"/>
                      <w14:textFill>
                        <w14:solidFill>
                          <w14:schemeClr w14:val="tx1"/>
                        </w14:solidFill>
                      </w14:textFill>
                    </w:rPr>
                    <w:t>.严格采矿权准入管理，新建露天矿山项目原则上必须位于省级矿产资源规划划定的重点开采区内，鼓励集中连片规模化开发。</w:t>
                  </w:r>
                </w:p>
              </w:tc>
              <w:tc>
                <w:tcPr>
                  <w:tcW w:w="2803" w:type="dxa"/>
                  <w:vAlign w:val="center"/>
                </w:tcPr>
                <w:p w14:paraId="57B05203">
                  <w:pP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010D1B28">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02BE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16F03F5A">
                  <w:pPr>
                    <w:jc w:val="center"/>
                    <w:rPr>
                      <w:color w:val="000000" w:themeColor="text1"/>
                      <w:sz w:val="21"/>
                      <w:szCs w:val="21"/>
                      <w14:textFill>
                        <w14:solidFill>
                          <w14:schemeClr w14:val="tx1"/>
                        </w14:solidFill>
                      </w14:textFill>
                    </w:rPr>
                  </w:pPr>
                </w:p>
              </w:tc>
              <w:tc>
                <w:tcPr>
                  <w:tcW w:w="718" w:type="dxa"/>
                  <w:vMerge w:val="restart"/>
                  <w:vAlign w:val="center"/>
                </w:tcPr>
                <w:p w14:paraId="7AE15A2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污染物排放管控</w:t>
                  </w:r>
                </w:p>
              </w:tc>
              <w:tc>
                <w:tcPr>
                  <w:tcW w:w="4769" w:type="dxa"/>
                  <w:vAlign w:val="center"/>
                </w:tcPr>
                <w:p w14:paraId="2F59E09D">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.落实超低排放要求、无组织排放特别控制要求。</w:t>
                  </w:r>
                </w:p>
              </w:tc>
              <w:tc>
                <w:tcPr>
                  <w:tcW w:w="2803" w:type="dxa"/>
                  <w:vAlign w:val="center"/>
                </w:tcPr>
                <w:p w14:paraId="0D869CF9">
                  <w:pPr>
                    <w:rPr>
                      <w:color w:val="000000" w:themeColor="text1"/>
                      <w:sz w:val="21"/>
                      <w:szCs w:val="21"/>
                      <w:highlight w:val="yellow"/>
                      <w14:textFill>
                        <w14:solidFill>
                          <w14:schemeClr w14:val="tx1"/>
                        </w14:solidFill>
                      </w14:textFill>
                    </w:rPr>
                  </w:pPr>
                  <w:r>
                    <w:rPr>
                      <w:color w:val="000000" w:themeColor="text1"/>
                      <w:sz w:val="21"/>
                      <w:szCs w:val="21"/>
                      <w14:textFill>
                        <w14:solidFill>
                          <w14:schemeClr w14:val="tx1"/>
                        </w14:solidFill>
                      </w14:textFill>
                    </w:rPr>
                    <w:t>本项目属于</w:t>
                  </w:r>
                  <w:r>
                    <w:rPr>
                      <w:rFonts w:hint="eastAsia"/>
                      <w:color w:val="000000" w:themeColor="text1"/>
                      <w:sz w:val="21"/>
                      <w:szCs w:val="21"/>
                      <w14:textFill>
                        <w14:solidFill>
                          <w14:schemeClr w14:val="tx1"/>
                        </w14:solidFill>
                      </w14:textFill>
                    </w:rPr>
                    <w:t>食品制造业</w:t>
                  </w:r>
                  <w:r>
                    <w:rPr>
                      <w:color w:val="000000" w:themeColor="text1"/>
                      <w:sz w:val="21"/>
                      <w:szCs w:val="21"/>
                      <w14:textFill>
                        <w14:solidFill>
                          <w14:schemeClr w14:val="tx1"/>
                        </w14:solidFill>
                      </w14:textFill>
                    </w:rPr>
                    <w:t>，无超低排放要求。</w:t>
                  </w:r>
                </w:p>
              </w:tc>
              <w:tc>
                <w:tcPr>
                  <w:tcW w:w="639" w:type="dxa"/>
                  <w:vAlign w:val="center"/>
                </w:tcPr>
                <w:p w14:paraId="5028A88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3152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6866A4AF">
                  <w:pPr>
                    <w:jc w:val="center"/>
                    <w:rPr>
                      <w:color w:val="000000" w:themeColor="text1"/>
                      <w:sz w:val="21"/>
                      <w:szCs w:val="21"/>
                      <w14:textFill>
                        <w14:solidFill>
                          <w14:schemeClr w14:val="tx1"/>
                        </w14:solidFill>
                      </w14:textFill>
                    </w:rPr>
                  </w:pPr>
                </w:p>
              </w:tc>
              <w:tc>
                <w:tcPr>
                  <w:tcW w:w="718" w:type="dxa"/>
                  <w:vMerge w:val="continue"/>
                  <w:vAlign w:val="center"/>
                </w:tcPr>
                <w:p w14:paraId="0CE6C64B">
                  <w:pPr>
                    <w:jc w:val="center"/>
                    <w:rPr>
                      <w:color w:val="000000" w:themeColor="text1"/>
                      <w:sz w:val="21"/>
                      <w:szCs w:val="21"/>
                      <w14:textFill>
                        <w14:solidFill>
                          <w14:schemeClr w14:val="tx1"/>
                        </w14:solidFill>
                      </w14:textFill>
                    </w:rPr>
                  </w:pPr>
                </w:p>
              </w:tc>
              <w:tc>
                <w:tcPr>
                  <w:tcW w:w="4769" w:type="dxa"/>
                  <w:vAlign w:val="center"/>
                </w:tcPr>
                <w:p w14:paraId="300366C6">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.聚焦夏秋季臭氧污染，推进挥发性有机物和氮氧化物协同减排。以石化、化工、涂装、医药、包装印刷、油品储运销等行业领域为重点，推进挥发性有机物综合治理，实施原辅材料和产品源头替代工程。</w:t>
                  </w:r>
                </w:p>
              </w:tc>
              <w:tc>
                <w:tcPr>
                  <w:tcW w:w="2803" w:type="dxa"/>
                  <w:vAlign w:val="center"/>
                </w:tcPr>
                <w:p w14:paraId="6E187F32">
                  <w:pP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本项目蒸汽发生器燃烧废气</w:t>
                  </w:r>
                  <w:r>
                    <w:rPr>
                      <w:rFonts w:hint="eastAsia"/>
                      <w:bCs/>
                      <w:color w:val="000000" w:themeColor="text1"/>
                      <w:sz w:val="21"/>
                      <w:szCs w:val="21"/>
                      <w14:textFill>
                        <w14:solidFill>
                          <w14:schemeClr w14:val="tx1"/>
                        </w14:solidFill>
                      </w14:textFill>
                    </w:rPr>
                    <w:t>经自带低氮燃烧设施治理</w:t>
                  </w:r>
                  <w:r>
                    <w:rPr>
                      <w:rFonts w:hint="eastAsia"/>
                      <w:color w:val="000000" w:themeColor="text1"/>
                      <w:sz w:val="21"/>
                      <w:szCs w:val="21"/>
                      <w14:textFill>
                        <w14:solidFill>
                          <w14:schemeClr w14:val="tx1"/>
                        </w14:solidFill>
                      </w14:textFill>
                    </w:rPr>
                    <w:t>。</w:t>
                  </w:r>
                </w:p>
              </w:tc>
              <w:tc>
                <w:tcPr>
                  <w:tcW w:w="639" w:type="dxa"/>
                  <w:vAlign w:val="center"/>
                </w:tcPr>
                <w:p w14:paraId="1EBA90D4">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4CAC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440A800B">
                  <w:pPr>
                    <w:jc w:val="center"/>
                    <w:rPr>
                      <w:color w:val="000000" w:themeColor="text1"/>
                      <w:sz w:val="21"/>
                      <w:szCs w:val="21"/>
                      <w14:textFill>
                        <w14:solidFill>
                          <w14:schemeClr w14:val="tx1"/>
                        </w14:solidFill>
                      </w14:textFill>
                    </w:rPr>
                  </w:pPr>
                </w:p>
              </w:tc>
              <w:tc>
                <w:tcPr>
                  <w:tcW w:w="718" w:type="dxa"/>
                  <w:vMerge w:val="continue"/>
                  <w:vAlign w:val="center"/>
                </w:tcPr>
                <w:p w14:paraId="28EB267C">
                  <w:pPr>
                    <w:jc w:val="center"/>
                    <w:rPr>
                      <w:color w:val="000000" w:themeColor="text1"/>
                      <w:sz w:val="21"/>
                      <w:szCs w:val="21"/>
                      <w14:textFill>
                        <w14:solidFill>
                          <w14:schemeClr w14:val="tx1"/>
                        </w14:solidFill>
                      </w14:textFill>
                    </w:rPr>
                  </w:pPr>
                </w:p>
              </w:tc>
              <w:tc>
                <w:tcPr>
                  <w:tcW w:w="4769" w:type="dxa"/>
                  <w:vAlign w:val="center"/>
                </w:tcPr>
                <w:p w14:paraId="3450C658">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.全面淘汰国三及以下排放标准营运中重型柴油货车；推进大宗货物“公转铁”“公转水”。</w:t>
                  </w:r>
                </w:p>
              </w:tc>
              <w:tc>
                <w:tcPr>
                  <w:tcW w:w="2803" w:type="dxa"/>
                  <w:vAlign w:val="center"/>
                </w:tcPr>
                <w:p w14:paraId="45E08787">
                  <w:pP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本项目不使用国三及以下排放标准营运中重型柴油货车；本项目不涉及大宗货物运输。</w:t>
                  </w:r>
                </w:p>
              </w:tc>
              <w:tc>
                <w:tcPr>
                  <w:tcW w:w="639" w:type="dxa"/>
                  <w:vAlign w:val="center"/>
                </w:tcPr>
                <w:p w14:paraId="29EFC39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3AA8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5E1E6686">
                  <w:pPr>
                    <w:jc w:val="center"/>
                    <w:rPr>
                      <w:color w:val="000000" w:themeColor="text1"/>
                      <w:sz w:val="21"/>
                      <w:szCs w:val="21"/>
                      <w14:textFill>
                        <w14:solidFill>
                          <w14:schemeClr w14:val="tx1"/>
                        </w14:solidFill>
                      </w14:textFill>
                    </w:rPr>
                  </w:pPr>
                </w:p>
              </w:tc>
              <w:tc>
                <w:tcPr>
                  <w:tcW w:w="718" w:type="dxa"/>
                  <w:vMerge w:val="continue"/>
                  <w:vAlign w:val="center"/>
                </w:tcPr>
                <w:p w14:paraId="470FAEB1">
                  <w:pPr>
                    <w:jc w:val="center"/>
                    <w:rPr>
                      <w:color w:val="000000" w:themeColor="text1"/>
                      <w:sz w:val="21"/>
                      <w:szCs w:val="21"/>
                      <w14:textFill>
                        <w14:solidFill>
                          <w14:schemeClr w14:val="tx1"/>
                        </w14:solidFill>
                      </w14:textFill>
                    </w:rPr>
                  </w:pPr>
                </w:p>
              </w:tc>
              <w:tc>
                <w:tcPr>
                  <w:tcW w:w="4769" w:type="dxa"/>
                  <w:vAlign w:val="center"/>
                </w:tcPr>
                <w:p w14:paraId="3143B558">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.全面推广绿色化工制造技术，实现化工原料和反应介质、生产工艺和制造过程绿色化，从源头上控制和减少污染。</w:t>
                  </w:r>
                </w:p>
              </w:tc>
              <w:tc>
                <w:tcPr>
                  <w:tcW w:w="2803" w:type="dxa"/>
                  <w:vAlign w:val="center"/>
                </w:tcPr>
                <w:p w14:paraId="2BEC921C">
                  <w:pP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2EAB05CE">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3826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5EE0F26F">
                  <w:pPr>
                    <w:jc w:val="center"/>
                    <w:rPr>
                      <w:color w:val="000000" w:themeColor="text1"/>
                      <w:sz w:val="21"/>
                      <w:szCs w:val="21"/>
                      <w14:textFill>
                        <w14:solidFill>
                          <w14:schemeClr w14:val="tx1"/>
                        </w14:solidFill>
                      </w14:textFill>
                    </w:rPr>
                  </w:pPr>
                </w:p>
              </w:tc>
              <w:tc>
                <w:tcPr>
                  <w:tcW w:w="718" w:type="dxa"/>
                  <w:vMerge w:val="continue"/>
                  <w:vAlign w:val="center"/>
                </w:tcPr>
                <w:p w14:paraId="0DAE366A">
                  <w:pPr>
                    <w:jc w:val="center"/>
                    <w:rPr>
                      <w:color w:val="000000" w:themeColor="text1"/>
                      <w:sz w:val="21"/>
                      <w:szCs w:val="21"/>
                      <w14:textFill>
                        <w14:solidFill>
                          <w14:schemeClr w14:val="tx1"/>
                        </w14:solidFill>
                      </w14:textFill>
                    </w:rPr>
                  </w:pPr>
                </w:p>
              </w:tc>
              <w:tc>
                <w:tcPr>
                  <w:tcW w:w="4769" w:type="dxa"/>
                  <w:vAlign w:val="center"/>
                </w:tcPr>
                <w:p w14:paraId="10C36861">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w:t>
                  </w:r>
                  <w:r>
                    <w:rPr>
                      <w:rFonts w:hint="eastAsia"/>
                      <w:color w:val="000000" w:themeColor="text1"/>
                      <w:sz w:val="21"/>
                      <w:szCs w:val="21"/>
                      <w14:textFill>
                        <w14:solidFill>
                          <w14:schemeClr w14:val="tx1"/>
                        </w14:solidFill>
                      </w14:textFill>
                    </w:rPr>
                    <w:t>.推行农业绿色生产方式，协同推进种植业、养殖业节能减排与污染治理；推广生物质能、太阳能等绿色用能模式，加快农业及农产品加工设施等可再生能源替代。</w:t>
                  </w:r>
                </w:p>
              </w:tc>
              <w:tc>
                <w:tcPr>
                  <w:tcW w:w="2803" w:type="dxa"/>
                  <w:vAlign w:val="center"/>
                </w:tcPr>
                <w:p w14:paraId="2A7D6F84">
                  <w:pP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7254D468">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12A2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119AB179">
                  <w:pPr>
                    <w:jc w:val="center"/>
                    <w:rPr>
                      <w:color w:val="000000" w:themeColor="text1"/>
                      <w:sz w:val="21"/>
                      <w:szCs w:val="21"/>
                      <w14:textFill>
                        <w14:solidFill>
                          <w14:schemeClr w14:val="tx1"/>
                        </w14:solidFill>
                      </w14:textFill>
                    </w:rPr>
                  </w:pPr>
                </w:p>
              </w:tc>
              <w:tc>
                <w:tcPr>
                  <w:tcW w:w="718" w:type="dxa"/>
                  <w:vMerge w:val="restart"/>
                  <w:vAlign w:val="center"/>
                </w:tcPr>
                <w:p w14:paraId="2E21E65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环境风险防控</w:t>
                  </w:r>
                </w:p>
              </w:tc>
              <w:tc>
                <w:tcPr>
                  <w:tcW w:w="4769" w:type="dxa"/>
                  <w:vAlign w:val="center"/>
                </w:tcPr>
                <w:p w14:paraId="7A207966">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.对无法实现低</w:t>
                  </w:r>
                  <w:r>
                    <w:rPr>
                      <w:color w:val="000000" w:themeColor="text1"/>
                      <w:sz w:val="21"/>
                      <w:szCs w:val="21"/>
                      <w14:textFill>
                        <w14:solidFill>
                          <w14:schemeClr w14:val="tx1"/>
                        </w14:solidFill>
                      </w14:textFill>
                    </w:rPr>
                    <w:t>VOCs</w:t>
                  </w:r>
                  <w:r>
                    <w:rPr>
                      <w:rFonts w:hint="eastAsia"/>
                      <w:color w:val="000000" w:themeColor="text1"/>
                      <w:sz w:val="21"/>
                      <w:szCs w:val="21"/>
                      <w14:textFill>
                        <w14:solidFill>
                          <w14:schemeClr w14:val="tx1"/>
                        </w14:solidFill>
                      </w14:textFill>
                    </w:rPr>
                    <w:t>原辅材料替代的工序，在保证安全情况下，应在密闭设备、密闭空间作业或安装二次密闭设施。</w:t>
                  </w:r>
                </w:p>
              </w:tc>
              <w:tc>
                <w:tcPr>
                  <w:tcW w:w="2803" w:type="dxa"/>
                  <w:vAlign w:val="center"/>
                </w:tcPr>
                <w:p w14:paraId="5BFF6A4A">
                  <w:pP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3E4004B7">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12B8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7B407522">
                  <w:pPr>
                    <w:jc w:val="center"/>
                    <w:rPr>
                      <w:color w:val="000000" w:themeColor="text1"/>
                      <w:sz w:val="21"/>
                      <w:szCs w:val="21"/>
                      <w14:textFill>
                        <w14:solidFill>
                          <w14:schemeClr w14:val="tx1"/>
                        </w14:solidFill>
                      </w14:textFill>
                    </w:rPr>
                  </w:pPr>
                </w:p>
              </w:tc>
              <w:tc>
                <w:tcPr>
                  <w:tcW w:w="718" w:type="dxa"/>
                  <w:vMerge w:val="continue"/>
                  <w:vAlign w:val="center"/>
                </w:tcPr>
                <w:p w14:paraId="4C3E1FC1">
                  <w:pPr>
                    <w:jc w:val="center"/>
                    <w:rPr>
                      <w:color w:val="000000" w:themeColor="text1"/>
                      <w:sz w:val="21"/>
                      <w:szCs w:val="21"/>
                      <w14:textFill>
                        <w14:solidFill>
                          <w14:schemeClr w14:val="tx1"/>
                        </w14:solidFill>
                      </w14:textFill>
                    </w:rPr>
                  </w:pPr>
                </w:p>
              </w:tc>
              <w:tc>
                <w:tcPr>
                  <w:tcW w:w="4769" w:type="dxa"/>
                  <w:vAlign w:val="center"/>
                </w:tcPr>
                <w:p w14:paraId="1AEE6275">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.矿山开采、选矿、运输过程中，应采取相应的防尘措施，化学矿、有色金属矿石及产品堆场应采取“三防”措施。</w:t>
                  </w:r>
                </w:p>
              </w:tc>
              <w:tc>
                <w:tcPr>
                  <w:tcW w:w="2803" w:type="dxa"/>
                  <w:vAlign w:val="center"/>
                </w:tcPr>
                <w:p w14:paraId="72607652">
                  <w:pP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596261B4">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09D6C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vMerge w:val="continue"/>
                  <w:vAlign w:val="center"/>
                </w:tcPr>
                <w:p w14:paraId="223EF9B9">
                  <w:pPr>
                    <w:jc w:val="center"/>
                    <w:rPr>
                      <w:color w:val="000000" w:themeColor="text1"/>
                      <w:sz w:val="21"/>
                      <w:szCs w:val="21"/>
                      <w14:textFill>
                        <w14:solidFill>
                          <w14:schemeClr w14:val="tx1"/>
                        </w14:solidFill>
                      </w14:textFill>
                    </w:rPr>
                  </w:pPr>
                </w:p>
              </w:tc>
              <w:tc>
                <w:tcPr>
                  <w:tcW w:w="718" w:type="dxa"/>
                  <w:vMerge w:val="continue"/>
                  <w:vAlign w:val="center"/>
                </w:tcPr>
                <w:p w14:paraId="232F7B01">
                  <w:pPr>
                    <w:jc w:val="center"/>
                    <w:rPr>
                      <w:color w:val="000000" w:themeColor="text1"/>
                      <w:sz w:val="21"/>
                      <w:szCs w:val="21"/>
                      <w14:textFill>
                        <w14:solidFill>
                          <w14:schemeClr w14:val="tx1"/>
                        </w14:solidFill>
                      </w14:textFill>
                    </w:rPr>
                  </w:pPr>
                </w:p>
              </w:tc>
              <w:tc>
                <w:tcPr>
                  <w:tcW w:w="4769" w:type="dxa"/>
                  <w:vAlign w:val="center"/>
                </w:tcPr>
                <w:p w14:paraId="1941E3FB">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.加强空气质量预测预报能力，完善联动应急响应体系，强化区域联防联控。</w:t>
                  </w:r>
                </w:p>
              </w:tc>
              <w:tc>
                <w:tcPr>
                  <w:tcW w:w="2803" w:type="dxa"/>
                  <w:vAlign w:val="center"/>
                </w:tcPr>
                <w:p w14:paraId="488B2397">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本要求属于政府职责。</w:t>
                  </w:r>
                </w:p>
              </w:tc>
              <w:tc>
                <w:tcPr>
                  <w:tcW w:w="639" w:type="dxa"/>
                  <w:vAlign w:val="center"/>
                </w:tcPr>
                <w:p w14:paraId="45BF0E6B">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r>
            <w:tr w14:paraId="1010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2B2566D2">
                  <w:pPr>
                    <w:jc w:val="center"/>
                    <w:rPr>
                      <w:color w:val="000000" w:themeColor="text1"/>
                      <w:sz w:val="21"/>
                      <w:szCs w:val="21"/>
                      <w14:textFill>
                        <w14:solidFill>
                          <w14:schemeClr w14:val="tx1"/>
                        </w14:solidFill>
                      </w14:textFill>
                    </w:rPr>
                  </w:pPr>
                </w:p>
              </w:tc>
              <w:tc>
                <w:tcPr>
                  <w:tcW w:w="718" w:type="dxa"/>
                  <w:vMerge w:val="restart"/>
                  <w:vAlign w:val="center"/>
                </w:tcPr>
                <w:p w14:paraId="377B5AF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资源利用效率</w:t>
                  </w:r>
                </w:p>
              </w:tc>
              <w:tc>
                <w:tcPr>
                  <w:tcW w:w="4769" w:type="dxa"/>
                  <w:vAlign w:val="center"/>
                </w:tcPr>
                <w:p w14:paraId="493537B3">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.严格合理控制煤炭消费，“十四五”期间完成省定煤炭消费总量控制目标。</w:t>
                  </w:r>
                </w:p>
              </w:tc>
              <w:tc>
                <w:tcPr>
                  <w:tcW w:w="2803" w:type="dxa"/>
                  <w:vAlign w:val="center"/>
                </w:tcPr>
                <w:p w14:paraId="1DA8B455">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6D7425B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59191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22F4B26A">
                  <w:pPr>
                    <w:jc w:val="center"/>
                    <w:rPr>
                      <w:color w:val="000000" w:themeColor="text1"/>
                      <w:sz w:val="21"/>
                      <w:szCs w:val="21"/>
                      <w14:textFill>
                        <w14:solidFill>
                          <w14:schemeClr w14:val="tx1"/>
                        </w14:solidFill>
                      </w14:textFill>
                    </w:rPr>
                  </w:pPr>
                </w:p>
              </w:tc>
              <w:tc>
                <w:tcPr>
                  <w:tcW w:w="718" w:type="dxa"/>
                  <w:vMerge w:val="continue"/>
                  <w:vAlign w:val="center"/>
                </w:tcPr>
                <w:p w14:paraId="61F49E0E">
                  <w:pPr>
                    <w:jc w:val="center"/>
                    <w:rPr>
                      <w:color w:val="000000" w:themeColor="text1"/>
                      <w:sz w:val="21"/>
                      <w:szCs w:val="21"/>
                      <w14:textFill>
                        <w14:solidFill>
                          <w14:schemeClr w14:val="tx1"/>
                        </w14:solidFill>
                      </w14:textFill>
                    </w:rPr>
                  </w:pPr>
                </w:p>
              </w:tc>
              <w:tc>
                <w:tcPr>
                  <w:tcW w:w="4769" w:type="dxa"/>
                  <w:vAlign w:val="center"/>
                </w:tcPr>
                <w:p w14:paraId="2459B8E2">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.到</w:t>
                  </w:r>
                  <w:r>
                    <w:rPr>
                      <w:color w:val="000000" w:themeColor="text1"/>
                      <w:sz w:val="21"/>
                      <w:szCs w:val="21"/>
                      <w14:textFill>
                        <w14:solidFill>
                          <w14:schemeClr w14:val="tx1"/>
                        </w14:solidFill>
                      </w14:textFill>
                    </w:rPr>
                    <w:t>2025</w:t>
                  </w:r>
                  <w:r>
                    <w:rPr>
                      <w:rFonts w:hint="eastAsia"/>
                      <w:color w:val="000000" w:themeColor="text1"/>
                      <w:sz w:val="21"/>
                      <w:szCs w:val="21"/>
                      <w14:textFill>
                        <w14:solidFill>
                          <w14:schemeClr w14:val="tx1"/>
                        </w14:solidFill>
                      </w14:textFill>
                    </w:rPr>
                    <w:t>年，吨钢综合能耗达到国内先进水平。</w:t>
                  </w:r>
                </w:p>
              </w:tc>
              <w:tc>
                <w:tcPr>
                  <w:tcW w:w="2803" w:type="dxa"/>
                  <w:vAlign w:val="center"/>
                </w:tcPr>
                <w:p w14:paraId="7EEB83A2">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760D37B8">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745F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7078A84B">
                  <w:pPr>
                    <w:jc w:val="center"/>
                    <w:rPr>
                      <w:color w:val="000000" w:themeColor="text1"/>
                      <w:sz w:val="21"/>
                      <w:szCs w:val="21"/>
                      <w14:textFill>
                        <w14:solidFill>
                          <w14:schemeClr w14:val="tx1"/>
                        </w14:solidFill>
                      </w14:textFill>
                    </w:rPr>
                  </w:pPr>
                </w:p>
              </w:tc>
              <w:tc>
                <w:tcPr>
                  <w:tcW w:w="718" w:type="dxa"/>
                  <w:vMerge w:val="continue"/>
                  <w:vAlign w:val="center"/>
                </w:tcPr>
                <w:p w14:paraId="7D1697BC">
                  <w:pPr>
                    <w:jc w:val="center"/>
                    <w:rPr>
                      <w:color w:val="000000" w:themeColor="text1"/>
                      <w:sz w:val="21"/>
                      <w:szCs w:val="21"/>
                      <w14:textFill>
                        <w14:solidFill>
                          <w14:schemeClr w14:val="tx1"/>
                        </w14:solidFill>
                      </w14:textFill>
                    </w:rPr>
                  </w:pPr>
                </w:p>
              </w:tc>
              <w:tc>
                <w:tcPr>
                  <w:tcW w:w="4769" w:type="dxa"/>
                  <w:vAlign w:val="center"/>
                </w:tcPr>
                <w:p w14:paraId="53674AE1">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.到</w:t>
                  </w:r>
                  <w:r>
                    <w:rPr>
                      <w:color w:val="000000" w:themeColor="text1"/>
                      <w:sz w:val="21"/>
                      <w:szCs w:val="21"/>
                      <w14:textFill>
                        <w14:solidFill>
                          <w14:schemeClr w14:val="tx1"/>
                        </w14:solidFill>
                      </w14:textFill>
                    </w:rPr>
                    <w:t>2025</w:t>
                  </w:r>
                  <w:r>
                    <w:rPr>
                      <w:rFonts w:hint="eastAsia"/>
                      <w:color w:val="000000" w:themeColor="text1"/>
                      <w:sz w:val="21"/>
                      <w:szCs w:val="21"/>
                      <w14:textFill>
                        <w14:solidFill>
                          <w14:schemeClr w14:val="tx1"/>
                        </w14:solidFill>
                      </w14:textFill>
                    </w:rPr>
                    <w:t>年，钢铁、石化化工、有色金属、建材等行业重点产品能效达到国际先进水平，规模以上工业单位增加值能耗比</w:t>
                  </w:r>
                  <w:r>
                    <w:rPr>
                      <w:color w:val="000000" w:themeColor="text1"/>
                      <w:sz w:val="21"/>
                      <w:szCs w:val="21"/>
                      <w14:textFill>
                        <w14:solidFill>
                          <w14:schemeClr w14:val="tx1"/>
                        </w14:solidFill>
                      </w14:textFill>
                    </w:rPr>
                    <w:t>2020</w:t>
                  </w:r>
                  <w:r>
                    <w:rPr>
                      <w:rFonts w:hint="eastAsia"/>
                      <w:color w:val="000000" w:themeColor="text1"/>
                      <w:sz w:val="21"/>
                      <w:szCs w:val="21"/>
                      <w14:textFill>
                        <w14:solidFill>
                          <w14:schemeClr w14:val="tx1"/>
                        </w14:solidFill>
                      </w14:textFill>
                    </w:rPr>
                    <w:t>年下降</w:t>
                  </w:r>
                  <w:r>
                    <w:rPr>
                      <w:color w:val="000000" w:themeColor="text1"/>
                      <w:sz w:val="21"/>
                      <w:szCs w:val="21"/>
                      <w14:textFill>
                        <w14:solidFill>
                          <w14:schemeClr w14:val="tx1"/>
                        </w14:solidFill>
                      </w14:textFill>
                    </w:rPr>
                    <w:t>13</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5</w:t>
                  </w:r>
                  <w:r>
                    <w:rPr>
                      <w:rFonts w:hint="eastAsia"/>
                      <w:color w:val="000000" w:themeColor="text1"/>
                      <w:sz w:val="21"/>
                      <w:szCs w:val="21"/>
                      <w14:textFill>
                        <w14:solidFill>
                          <w14:schemeClr w14:val="tx1"/>
                        </w14:solidFill>
                      </w14:textFill>
                    </w:rPr>
                    <w:t>%。</w:t>
                  </w:r>
                </w:p>
              </w:tc>
              <w:tc>
                <w:tcPr>
                  <w:tcW w:w="2803" w:type="dxa"/>
                  <w:vAlign w:val="center"/>
                </w:tcPr>
                <w:p w14:paraId="41EE9B5C">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18EE340F">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4383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38" w:type="dxa"/>
                  <w:gridSpan w:val="5"/>
                  <w:vAlign w:val="center"/>
                </w:tcPr>
                <w:p w14:paraId="4029594D">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重点流域生态环境管控要求</w:t>
                  </w:r>
                </w:p>
              </w:tc>
            </w:tr>
            <w:tr w14:paraId="741D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Align w:val="center"/>
                </w:tcPr>
                <w:p w14:paraId="627BF052">
                  <w:pPr>
                    <w:pStyle w:val="4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流域</w:t>
                  </w:r>
                </w:p>
              </w:tc>
              <w:tc>
                <w:tcPr>
                  <w:tcW w:w="718" w:type="dxa"/>
                  <w:vAlign w:val="center"/>
                </w:tcPr>
                <w:p w14:paraId="44683F0D">
                  <w:pPr>
                    <w:pStyle w:val="46"/>
                    <w:rPr>
                      <w:rFonts w:cs="Times New Roman"/>
                      <w:b/>
                      <w:bCs/>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管控类别</w:t>
                  </w:r>
                </w:p>
              </w:tc>
              <w:tc>
                <w:tcPr>
                  <w:tcW w:w="4769" w:type="dxa"/>
                  <w:vAlign w:val="center"/>
                </w:tcPr>
                <w:p w14:paraId="2A5828B4">
                  <w:pPr>
                    <w:pStyle w:val="46"/>
                    <w:rPr>
                      <w:rFonts w:cs="Times New Roman"/>
                      <w:b/>
                      <w:bCs/>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管控要求</w:t>
                  </w:r>
                </w:p>
              </w:tc>
              <w:tc>
                <w:tcPr>
                  <w:tcW w:w="2803" w:type="dxa"/>
                  <w:vAlign w:val="center"/>
                </w:tcPr>
                <w:p w14:paraId="362B6FA1">
                  <w:pPr>
                    <w:pStyle w:val="46"/>
                    <w:rPr>
                      <w:rFonts w:cs="Times New Roman"/>
                      <w:b/>
                      <w:bCs/>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本项目情况</w:t>
                  </w:r>
                </w:p>
              </w:tc>
              <w:tc>
                <w:tcPr>
                  <w:tcW w:w="639" w:type="dxa"/>
                  <w:vAlign w:val="center"/>
                </w:tcPr>
                <w:p w14:paraId="66BE65A3">
                  <w:pPr>
                    <w:pStyle w:val="46"/>
                    <w:rPr>
                      <w:rFonts w:cs="Times New Roman"/>
                      <w:b/>
                      <w:bCs/>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是否符合要求</w:t>
                  </w:r>
                </w:p>
              </w:tc>
            </w:tr>
            <w:tr w14:paraId="19ED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restart"/>
                  <w:vAlign w:val="center"/>
                </w:tcPr>
                <w:p w14:paraId="29C56FA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省辖黄河流域</w:t>
                  </w:r>
                </w:p>
              </w:tc>
              <w:tc>
                <w:tcPr>
                  <w:tcW w:w="718" w:type="dxa"/>
                  <w:vMerge w:val="restart"/>
                  <w:vAlign w:val="center"/>
                </w:tcPr>
                <w:p w14:paraId="33AD328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空间布局约束</w:t>
                  </w:r>
                </w:p>
              </w:tc>
              <w:tc>
                <w:tcPr>
                  <w:tcW w:w="4769" w:type="dxa"/>
                  <w:vAlign w:val="center"/>
                </w:tcPr>
                <w:p w14:paraId="205F83CA">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牢牢把握共同抓好大保护、协同推进大治理的战略导向，对省域范围内需要重点保护的岸线、河段和区域实行严格管控，严控高污染、高耗能、高耗水项目，属于落后产能的项目坚决淘汰；不符合产业政策、生态环境分区管控方案、规划环评以及能耗、水耗等有关要求的工业项目一律不得批准或备案，推动黄河流域高质量发展。</w:t>
                  </w:r>
                </w:p>
              </w:tc>
              <w:tc>
                <w:tcPr>
                  <w:tcW w:w="2803" w:type="dxa"/>
                  <w:vAlign w:val="center"/>
                </w:tcPr>
                <w:p w14:paraId="129EB3A7">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本项目为食品制造业，不属于高污染、高耗能、高耗水项目；符合国家产业政策要求、生态环境分区管控方案、以及能耗、水耗等有关要求。</w:t>
                  </w:r>
                </w:p>
              </w:tc>
              <w:tc>
                <w:tcPr>
                  <w:tcW w:w="639" w:type="dxa"/>
                  <w:vAlign w:val="center"/>
                </w:tcPr>
                <w:p w14:paraId="39EA56A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2BA0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11C01F75">
                  <w:pPr>
                    <w:jc w:val="center"/>
                    <w:rPr>
                      <w:color w:val="000000" w:themeColor="text1"/>
                      <w:sz w:val="21"/>
                      <w:szCs w:val="21"/>
                      <w14:textFill>
                        <w14:solidFill>
                          <w14:schemeClr w14:val="tx1"/>
                        </w14:solidFill>
                      </w14:textFill>
                    </w:rPr>
                  </w:pPr>
                </w:p>
              </w:tc>
              <w:tc>
                <w:tcPr>
                  <w:tcW w:w="718" w:type="dxa"/>
                  <w:vMerge w:val="continue"/>
                  <w:vAlign w:val="center"/>
                </w:tcPr>
                <w:p w14:paraId="6162ABAB">
                  <w:pPr>
                    <w:jc w:val="center"/>
                    <w:rPr>
                      <w:color w:val="000000" w:themeColor="text1"/>
                      <w:sz w:val="21"/>
                      <w:szCs w:val="21"/>
                      <w14:textFill>
                        <w14:solidFill>
                          <w14:schemeClr w14:val="tx1"/>
                        </w14:solidFill>
                      </w14:textFill>
                    </w:rPr>
                  </w:pPr>
                </w:p>
              </w:tc>
              <w:tc>
                <w:tcPr>
                  <w:tcW w:w="4769" w:type="dxa"/>
                  <w:vAlign w:val="center"/>
                </w:tcPr>
                <w:p w14:paraId="1EAB9AAD">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.有序规范水电开发；加强水电站下泄生态水量监督，保障重要断面生态需水。</w:t>
                  </w:r>
                </w:p>
              </w:tc>
              <w:tc>
                <w:tcPr>
                  <w:tcW w:w="2803" w:type="dxa"/>
                  <w:vAlign w:val="center"/>
                </w:tcPr>
                <w:p w14:paraId="3AEF3D37">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3FE12A50">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4216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023CDFE5">
                  <w:pPr>
                    <w:jc w:val="center"/>
                    <w:rPr>
                      <w:color w:val="000000" w:themeColor="text1"/>
                      <w:sz w:val="21"/>
                      <w:szCs w:val="21"/>
                      <w14:textFill>
                        <w14:solidFill>
                          <w14:schemeClr w14:val="tx1"/>
                        </w14:solidFill>
                      </w14:textFill>
                    </w:rPr>
                  </w:pPr>
                </w:p>
              </w:tc>
              <w:tc>
                <w:tcPr>
                  <w:tcW w:w="718" w:type="dxa"/>
                  <w:vMerge w:val="continue"/>
                  <w:vAlign w:val="center"/>
                </w:tcPr>
                <w:p w14:paraId="49DD6A97">
                  <w:pPr>
                    <w:jc w:val="center"/>
                    <w:rPr>
                      <w:color w:val="000000" w:themeColor="text1"/>
                      <w:sz w:val="21"/>
                      <w:szCs w:val="21"/>
                      <w14:textFill>
                        <w14:solidFill>
                          <w14:schemeClr w14:val="tx1"/>
                        </w14:solidFill>
                      </w14:textFill>
                    </w:rPr>
                  </w:pPr>
                </w:p>
              </w:tc>
              <w:tc>
                <w:tcPr>
                  <w:tcW w:w="4769" w:type="dxa"/>
                  <w:vAlign w:val="center"/>
                </w:tcPr>
                <w:p w14:paraId="40617556">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.实施滩区国土空间差别化用途管制，严格限制自发修建生产堤等无序活动，依法打击非法采土、盗挖河砂、私搭乱建等行为。</w:t>
                  </w:r>
                </w:p>
              </w:tc>
              <w:tc>
                <w:tcPr>
                  <w:tcW w:w="2803" w:type="dxa"/>
                  <w:vAlign w:val="center"/>
                </w:tcPr>
                <w:p w14:paraId="0F0D4498">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13CA0C0C">
                  <w:pPr>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3C69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0981BBF2">
                  <w:pPr>
                    <w:jc w:val="center"/>
                    <w:rPr>
                      <w:color w:val="000000" w:themeColor="text1"/>
                      <w:sz w:val="21"/>
                      <w:szCs w:val="21"/>
                      <w14:textFill>
                        <w14:solidFill>
                          <w14:schemeClr w14:val="tx1"/>
                        </w14:solidFill>
                      </w14:textFill>
                    </w:rPr>
                  </w:pPr>
                </w:p>
              </w:tc>
              <w:tc>
                <w:tcPr>
                  <w:tcW w:w="718" w:type="dxa"/>
                  <w:vMerge w:val="continue"/>
                  <w:vAlign w:val="center"/>
                </w:tcPr>
                <w:p w14:paraId="24E7DCAA">
                  <w:pPr>
                    <w:jc w:val="center"/>
                    <w:rPr>
                      <w:color w:val="000000" w:themeColor="text1"/>
                      <w:sz w:val="21"/>
                      <w:szCs w:val="21"/>
                      <w14:textFill>
                        <w14:solidFill>
                          <w14:schemeClr w14:val="tx1"/>
                        </w14:solidFill>
                      </w14:textFill>
                    </w:rPr>
                  </w:pPr>
                </w:p>
              </w:tc>
              <w:tc>
                <w:tcPr>
                  <w:tcW w:w="4769" w:type="dxa"/>
                  <w:vAlign w:val="center"/>
                </w:tcPr>
                <w:p w14:paraId="72356B27">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.推进沿黄重点地区拟建工业项目按要求进入合规工业园区。对不符合安全、环保、用地、取水等规定或手续不齐全的园区，要按相关规定限期整改，整改到位前不得再落地新的工业项目。</w:t>
                  </w:r>
                </w:p>
              </w:tc>
              <w:tc>
                <w:tcPr>
                  <w:tcW w:w="2803" w:type="dxa"/>
                  <w:vAlign w:val="center"/>
                </w:tcPr>
                <w:p w14:paraId="433D9E24">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639" w:type="dxa"/>
                  <w:vAlign w:val="center"/>
                </w:tcPr>
                <w:p w14:paraId="4D8130A1">
                  <w:pPr>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34186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4A6639CD">
                  <w:pPr>
                    <w:jc w:val="center"/>
                    <w:rPr>
                      <w:color w:val="000000" w:themeColor="text1"/>
                      <w:sz w:val="21"/>
                      <w:szCs w:val="21"/>
                      <w14:textFill>
                        <w14:solidFill>
                          <w14:schemeClr w14:val="tx1"/>
                        </w14:solidFill>
                      </w14:textFill>
                    </w:rPr>
                  </w:pPr>
                </w:p>
              </w:tc>
              <w:tc>
                <w:tcPr>
                  <w:tcW w:w="718" w:type="dxa"/>
                  <w:vMerge w:val="continue"/>
                  <w:vAlign w:val="center"/>
                </w:tcPr>
                <w:p w14:paraId="2719B220">
                  <w:pPr>
                    <w:jc w:val="center"/>
                    <w:rPr>
                      <w:color w:val="000000" w:themeColor="text1"/>
                      <w:sz w:val="21"/>
                      <w:szCs w:val="21"/>
                      <w14:textFill>
                        <w14:solidFill>
                          <w14:schemeClr w14:val="tx1"/>
                        </w14:solidFill>
                      </w14:textFill>
                    </w:rPr>
                  </w:pPr>
                </w:p>
              </w:tc>
              <w:tc>
                <w:tcPr>
                  <w:tcW w:w="4769" w:type="dxa"/>
                  <w:vAlign w:val="center"/>
                </w:tcPr>
                <w:p w14:paraId="0DD075E3">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w:t>
                  </w:r>
                  <w:r>
                    <w:rPr>
                      <w:rFonts w:hint="eastAsia"/>
                      <w:color w:val="000000" w:themeColor="text1"/>
                      <w:sz w:val="21"/>
                      <w:szCs w:val="21"/>
                      <w14:textFill>
                        <w14:solidFill>
                          <w14:schemeClr w14:val="tx1"/>
                        </w14:solidFill>
                      </w14:textFill>
                    </w:rPr>
                    <w:t>.禁止将黄河湿地保护区域规划为城市建设用地、商业用地、基本农田；禁止在黄河湿地保护区域内建设居民点、厂房、仓库、餐饮娱乐等设施；禁止其他非防洪防汛和湿地保护的建设活动。</w:t>
                  </w:r>
                </w:p>
              </w:tc>
              <w:tc>
                <w:tcPr>
                  <w:tcW w:w="2803" w:type="dxa"/>
                  <w:vAlign w:val="center"/>
                </w:tcPr>
                <w:p w14:paraId="48F4159E">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本项目位于延津县榆林乡夹堤村西南河南朝东食品有限公司现有厂区内，不位于黄河湿地保护区域。</w:t>
                  </w:r>
                </w:p>
              </w:tc>
              <w:tc>
                <w:tcPr>
                  <w:tcW w:w="639" w:type="dxa"/>
                  <w:vAlign w:val="center"/>
                </w:tcPr>
                <w:p w14:paraId="2FD413A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6D3C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17B05CDF">
                  <w:pPr>
                    <w:jc w:val="center"/>
                    <w:rPr>
                      <w:color w:val="000000" w:themeColor="text1"/>
                      <w:sz w:val="21"/>
                      <w:szCs w:val="21"/>
                      <w14:textFill>
                        <w14:solidFill>
                          <w14:schemeClr w14:val="tx1"/>
                        </w14:solidFill>
                      </w14:textFill>
                    </w:rPr>
                  </w:pPr>
                </w:p>
              </w:tc>
              <w:tc>
                <w:tcPr>
                  <w:tcW w:w="718" w:type="dxa"/>
                  <w:vMerge w:val="continue"/>
                  <w:vAlign w:val="center"/>
                </w:tcPr>
                <w:p w14:paraId="18BE0458">
                  <w:pPr>
                    <w:jc w:val="center"/>
                    <w:rPr>
                      <w:color w:val="000000" w:themeColor="text1"/>
                      <w:sz w:val="21"/>
                      <w:szCs w:val="21"/>
                      <w14:textFill>
                        <w14:solidFill>
                          <w14:schemeClr w14:val="tx1"/>
                        </w14:solidFill>
                      </w14:textFill>
                    </w:rPr>
                  </w:pPr>
                </w:p>
              </w:tc>
              <w:tc>
                <w:tcPr>
                  <w:tcW w:w="4769" w:type="dxa"/>
                  <w:vAlign w:val="center"/>
                </w:tcPr>
                <w:p w14:paraId="61C26318">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w:t>
                  </w:r>
                  <w:r>
                    <w:rPr>
                      <w:rFonts w:hint="eastAsia"/>
                      <w:color w:val="000000" w:themeColor="text1"/>
                      <w:sz w:val="21"/>
                      <w:szCs w:val="21"/>
                      <w14:textFill>
                        <w14:solidFill>
                          <w14:schemeClr w14:val="tx1"/>
                        </w14:solidFill>
                      </w14:textFill>
                    </w:rPr>
                    <w:t>.禁止在黄河干支流岸线管控范围内新建、扩建化工园区和化工项目；禁止在黄河干流岸线和重要支流岸线的管控范围内新建、改建、扩建尾矿库，但是以提升安全水平、生态环境保护水平为目的的改建除外。</w:t>
                  </w:r>
                </w:p>
              </w:tc>
              <w:tc>
                <w:tcPr>
                  <w:tcW w:w="2803" w:type="dxa"/>
                  <w:vAlign w:val="center"/>
                </w:tcPr>
                <w:p w14:paraId="61A8758D">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本项目位于延津县榆林乡夹堤村西南河南朝东食品有限公司现有厂区内，不属于黄河干流岸线和重要支流岸线的管控范围。</w:t>
                  </w:r>
                </w:p>
              </w:tc>
              <w:tc>
                <w:tcPr>
                  <w:tcW w:w="639" w:type="dxa"/>
                  <w:vAlign w:val="center"/>
                </w:tcPr>
                <w:p w14:paraId="466510F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76E7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29DD6EFE">
                  <w:pPr>
                    <w:jc w:val="center"/>
                    <w:rPr>
                      <w:color w:val="000000" w:themeColor="text1"/>
                      <w:sz w:val="21"/>
                      <w:szCs w:val="21"/>
                      <w14:textFill>
                        <w14:solidFill>
                          <w14:schemeClr w14:val="tx1"/>
                        </w14:solidFill>
                      </w14:textFill>
                    </w:rPr>
                  </w:pPr>
                </w:p>
              </w:tc>
              <w:tc>
                <w:tcPr>
                  <w:tcW w:w="718" w:type="dxa"/>
                  <w:vMerge w:val="continue"/>
                  <w:vAlign w:val="center"/>
                </w:tcPr>
                <w:p w14:paraId="320EE665">
                  <w:pPr>
                    <w:jc w:val="center"/>
                    <w:rPr>
                      <w:color w:val="000000" w:themeColor="text1"/>
                      <w:sz w:val="21"/>
                      <w:szCs w:val="21"/>
                      <w14:textFill>
                        <w14:solidFill>
                          <w14:schemeClr w14:val="tx1"/>
                        </w14:solidFill>
                      </w14:textFill>
                    </w:rPr>
                  </w:pPr>
                </w:p>
              </w:tc>
              <w:tc>
                <w:tcPr>
                  <w:tcW w:w="4769" w:type="dxa"/>
                  <w:vAlign w:val="center"/>
                </w:tcPr>
                <w:p w14:paraId="0135A510">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7</w:t>
                  </w:r>
                  <w:r>
                    <w:rPr>
                      <w:rFonts w:hint="eastAsia"/>
                      <w:color w:val="000000" w:themeColor="text1"/>
                      <w:sz w:val="21"/>
                      <w:szCs w:val="21"/>
                      <w14:textFill>
                        <w14:solidFill>
                          <w14:schemeClr w14:val="tx1"/>
                        </w14:solidFill>
                      </w14:textFill>
                    </w:rPr>
                    <w:t>.严格落实南水北调干渠水源地保护的有关规定，避免水体受到污染。</w:t>
                  </w:r>
                </w:p>
              </w:tc>
              <w:tc>
                <w:tcPr>
                  <w:tcW w:w="2803" w:type="dxa"/>
                  <w:vAlign w:val="center"/>
                </w:tcPr>
                <w:p w14:paraId="07FEAFF7">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本项目位于延津县榆林乡夹堤村西南河南朝东食品有限公司现有厂区内，不属于南水北调干渠水源地保护区。</w:t>
                  </w:r>
                </w:p>
              </w:tc>
              <w:tc>
                <w:tcPr>
                  <w:tcW w:w="639" w:type="dxa"/>
                  <w:vAlign w:val="center"/>
                </w:tcPr>
                <w:p w14:paraId="0109EC17">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3CFE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04FCA0BF">
                  <w:pPr>
                    <w:jc w:val="center"/>
                    <w:rPr>
                      <w:color w:val="000000" w:themeColor="text1"/>
                      <w:sz w:val="21"/>
                      <w:szCs w:val="21"/>
                      <w14:textFill>
                        <w14:solidFill>
                          <w14:schemeClr w14:val="tx1"/>
                        </w14:solidFill>
                      </w14:textFill>
                    </w:rPr>
                  </w:pPr>
                </w:p>
              </w:tc>
              <w:tc>
                <w:tcPr>
                  <w:tcW w:w="718" w:type="dxa"/>
                  <w:vMerge w:val="restart"/>
                  <w:vAlign w:val="center"/>
                </w:tcPr>
                <w:p w14:paraId="423B13F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污染物排放管控</w:t>
                  </w:r>
                </w:p>
              </w:tc>
              <w:tc>
                <w:tcPr>
                  <w:tcW w:w="4769" w:type="dxa"/>
                  <w:vAlign w:val="center"/>
                </w:tcPr>
                <w:p w14:paraId="1A452BA0">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.严格执行《河南省黄河流域水污染物排放标准》（</w:t>
                  </w:r>
                  <w:r>
                    <w:rPr>
                      <w:color w:val="000000" w:themeColor="text1"/>
                      <w:sz w:val="21"/>
                      <w:szCs w:val="21"/>
                      <w14:textFill>
                        <w14:solidFill>
                          <w14:schemeClr w14:val="tx1"/>
                        </w14:solidFill>
                      </w14:textFill>
                    </w:rPr>
                    <w:t>DB41</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2087</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2021</w:t>
                  </w:r>
                  <w:r>
                    <w:rPr>
                      <w:rFonts w:hint="eastAsia"/>
                      <w:color w:val="000000" w:themeColor="text1"/>
                      <w:sz w:val="21"/>
                      <w:szCs w:val="21"/>
                      <w14:textFill>
                        <w14:solidFill>
                          <w14:schemeClr w14:val="tx1"/>
                        </w14:solidFill>
                      </w14:textFill>
                    </w:rPr>
                    <w:t>）。</w:t>
                  </w:r>
                </w:p>
              </w:tc>
              <w:tc>
                <w:tcPr>
                  <w:tcW w:w="2803" w:type="dxa"/>
                  <w:vAlign w:val="center"/>
                </w:tcPr>
                <w:p w14:paraId="1F5C5A79">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本项目废水排入</w:t>
                  </w:r>
                  <w:r>
                    <w:rPr>
                      <w:rFonts w:hint="eastAsia"/>
                      <w:color w:val="000000" w:themeColor="text1"/>
                      <w:sz w:val="21"/>
                      <w:szCs w:val="21"/>
                      <w:lang w:eastAsia="zh-CN"/>
                      <w14:textFill>
                        <w14:solidFill>
                          <w14:schemeClr w14:val="tx1"/>
                        </w14:solidFill>
                      </w14:textFill>
                    </w:rPr>
                    <w:t>夹堤村西污水处理站</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由于</w:t>
                  </w:r>
                  <w:r>
                    <w:rPr>
                      <w:rFonts w:hint="eastAsia"/>
                      <w:color w:val="000000" w:themeColor="text1"/>
                      <w:sz w:val="21"/>
                      <w:szCs w:val="21"/>
                      <w:lang w:eastAsia="zh-CN"/>
                      <w14:textFill>
                        <w14:solidFill>
                          <w14:schemeClr w14:val="tx1"/>
                        </w14:solidFill>
                      </w14:textFill>
                    </w:rPr>
                    <w:t>夹堤村西污水处理站</w:t>
                  </w:r>
                  <w:r>
                    <w:rPr>
                      <w:color w:val="000000" w:themeColor="text1"/>
                      <w:sz w:val="21"/>
                      <w:szCs w:val="21"/>
                      <w14:textFill>
                        <w14:solidFill>
                          <w14:schemeClr w14:val="tx1"/>
                        </w14:solidFill>
                      </w14:textFill>
                    </w:rPr>
                    <w:t>暂未建成，本项目废水在</w:t>
                  </w:r>
                  <w:r>
                    <w:rPr>
                      <w:rFonts w:hint="eastAsia"/>
                      <w:color w:val="000000" w:themeColor="text1"/>
                      <w:sz w:val="21"/>
                      <w:szCs w:val="21"/>
                      <w:lang w:eastAsia="zh-CN"/>
                      <w14:textFill>
                        <w14:solidFill>
                          <w14:schemeClr w14:val="tx1"/>
                        </w14:solidFill>
                      </w14:textFill>
                    </w:rPr>
                    <w:t>夹堤村西污水处理站</w:t>
                  </w:r>
                  <w:r>
                    <w:rPr>
                      <w:color w:val="000000" w:themeColor="text1"/>
                      <w:sz w:val="21"/>
                      <w:szCs w:val="21"/>
                      <w14:textFill>
                        <w14:solidFill>
                          <w14:schemeClr w14:val="tx1"/>
                        </w14:solidFill>
                      </w14:textFill>
                    </w:rPr>
                    <w:t>正式运行前用于农灌。</w:t>
                  </w:r>
                </w:p>
              </w:tc>
              <w:tc>
                <w:tcPr>
                  <w:tcW w:w="639" w:type="dxa"/>
                  <w:vAlign w:val="center"/>
                </w:tcPr>
                <w:p w14:paraId="635F4DD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37F2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461DEEB2">
                  <w:pPr>
                    <w:jc w:val="center"/>
                    <w:rPr>
                      <w:color w:val="000000" w:themeColor="text1"/>
                      <w:sz w:val="21"/>
                      <w:szCs w:val="21"/>
                      <w14:textFill>
                        <w14:solidFill>
                          <w14:schemeClr w14:val="tx1"/>
                        </w14:solidFill>
                      </w14:textFill>
                    </w:rPr>
                  </w:pPr>
                </w:p>
              </w:tc>
              <w:tc>
                <w:tcPr>
                  <w:tcW w:w="718" w:type="dxa"/>
                  <w:vMerge w:val="continue"/>
                  <w:vAlign w:val="center"/>
                </w:tcPr>
                <w:p w14:paraId="0425D312">
                  <w:pPr>
                    <w:jc w:val="center"/>
                    <w:rPr>
                      <w:color w:val="000000" w:themeColor="text1"/>
                      <w:sz w:val="21"/>
                      <w:szCs w:val="21"/>
                      <w14:textFill>
                        <w14:solidFill>
                          <w14:schemeClr w14:val="tx1"/>
                        </w14:solidFill>
                      </w14:textFill>
                    </w:rPr>
                  </w:pPr>
                </w:p>
              </w:tc>
              <w:tc>
                <w:tcPr>
                  <w:tcW w:w="4769" w:type="dxa"/>
                  <w:vAlign w:val="center"/>
                </w:tcPr>
                <w:p w14:paraId="494CF791">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因地制宜开展黄河滩区农村生活污水治理，做好农村垃圾污染防治工作；实施大中型灌区农田退水污染治理；提升畜禽养殖粪污资源化利用水平；统筹推进农业面源污染、工业污染、城乡生活污染防治和矿区生态环境综合整治。</w:t>
                  </w:r>
                </w:p>
              </w:tc>
              <w:tc>
                <w:tcPr>
                  <w:tcW w:w="2803" w:type="dxa"/>
                  <w:vAlign w:val="center"/>
                </w:tcPr>
                <w:p w14:paraId="161CB625">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本项目不属于农业项目。</w:t>
                  </w:r>
                </w:p>
              </w:tc>
              <w:tc>
                <w:tcPr>
                  <w:tcW w:w="639" w:type="dxa"/>
                  <w:vAlign w:val="center"/>
                </w:tcPr>
                <w:p w14:paraId="2BB39381">
                  <w:pPr>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4AF1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4B7F9F93">
                  <w:pPr>
                    <w:jc w:val="center"/>
                    <w:rPr>
                      <w:color w:val="000000" w:themeColor="text1"/>
                      <w:sz w:val="21"/>
                      <w:szCs w:val="21"/>
                      <w14:textFill>
                        <w14:solidFill>
                          <w14:schemeClr w14:val="tx1"/>
                        </w14:solidFill>
                      </w14:textFill>
                    </w:rPr>
                  </w:pPr>
                </w:p>
              </w:tc>
              <w:tc>
                <w:tcPr>
                  <w:tcW w:w="718" w:type="dxa"/>
                  <w:vAlign w:val="center"/>
                </w:tcPr>
                <w:p w14:paraId="58EEE05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环境风险防控</w:t>
                  </w:r>
                </w:p>
              </w:tc>
              <w:tc>
                <w:tcPr>
                  <w:tcW w:w="4769" w:type="dxa"/>
                  <w:vAlign w:val="center"/>
                </w:tcPr>
                <w:p w14:paraId="6A03933C">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全面管控“一废一库一品一重”，强化环境风险源头防控、预警应急及固体废物处理处置，有效防范化解重大生态环境风险，保障生态环境安全。</w:t>
                  </w:r>
                </w:p>
              </w:tc>
              <w:tc>
                <w:tcPr>
                  <w:tcW w:w="2803" w:type="dxa"/>
                  <w:vAlign w:val="center"/>
                </w:tcPr>
                <w:p w14:paraId="7556A714">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本项目建成后制定应急预案，明确职责、流程和联络机制，配备专业的应急物资；定期应急演练，提升全员应急能力，保障生态环境安全。</w:t>
                  </w:r>
                </w:p>
              </w:tc>
              <w:tc>
                <w:tcPr>
                  <w:tcW w:w="639" w:type="dxa"/>
                  <w:vAlign w:val="center"/>
                </w:tcPr>
                <w:p w14:paraId="056B3E9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6E49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2FB83E7F">
                  <w:pPr>
                    <w:jc w:val="center"/>
                    <w:rPr>
                      <w:color w:val="000000" w:themeColor="text1"/>
                      <w:sz w:val="21"/>
                      <w:szCs w:val="21"/>
                      <w14:textFill>
                        <w14:solidFill>
                          <w14:schemeClr w14:val="tx1"/>
                        </w14:solidFill>
                      </w14:textFill>
                    </w:rPr>
                  </w:pPr>
                </w:p>
              </w:tc>
              <w:tc>
                <w:tcPr>
                  <w:tcW w:w="718" w:type="dxa"/>
                  <w:vMerge w:val="restart"/>
                  <w:vAlign w:val="center"/>
                </w:tcPr>
                <w:p w14:paraId="5B4CD52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资源利用效率</w:t>
                  </w:r>
                </w:p>
              </w:tc>
              <w:tc>
                <w:tcPr>
                  <w:tcW w:w="4769" w:type="dxa"/>
                  <w:vAlign w:val="center"/>
                </w:tcPr>
                <w:p w14:paraId="7D0D6725">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.加强伊洛河、沁河水资源的统一调度与管理，严格控制区域用水总量，提升水资源利用效率，保障主要控制断面生态流量。到</w:t>
                  </w:r>
                  <w:r>
                    <w:rPr>
                      <w:color w:val="000000" w:themeColor="text1"/>
                      <w:sz w:val="21"/>
                      <w:szCs w:val="21"/>
                      <w14:textFill>
                        <w14:solidFill>
                          <w14:schemeClr w14:val="tx1"/>
                        </w14:solidFill>
                      </w14:textFill>
                    </w:rPr>
                    <w:t>2025</w:t>
                  </w:r>
                  <w:r>
                    <w:rPr>
                      <w:rFonts w:hint="eastAsia"/>
                      <w:color w:val="000000" w:themeColor="text1"/>
                      <w:sz w:val="21"/>
                      <w:szCs w:val="21"/>
                      <w14:textFill>
                        <w14:solidFill>
                          <w14:schemeClr w14:val="tx1"/>
                        </w14:solidFill>
                      </w14:textFill>
                    </w:rPr>
                    <w:t>年，黄河干流及主要支流生态流量得到有效保障。</w:t>
                  </w:r>
                </w:p>
              </w:tc>
              <w:tc>
                <w:tcPr>
                  <w:tcW w:w="2803" w:type="dxa"/>
                  <w:vAlign w:val="center"/>
                </w:tcPr>
                <w:p w14:paraId="038B3DAF">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本项目由自备井供水。</w:t>
                  </w:r>
                </w:p>
              </w:tc>
              <w:tc>
                <w:tcPr>
                  <w:tcW w:w="639" w:type="dxa"/>
                  <w:vMerge w:val="restart"/>
                  <w:vAlign w:val="center"/>
                </w:tcPr>
                <w:p w14:paraId="7B8C011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20C4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66ADC89B">
                  <w:pPr>
                    <w:jc w:val="center"/>
                    <w:rPr>
                      <w:color w:val="000000" w:themeColor="text1"/>
                      <w:sz w:val="21"/>
                      <w:szCs w:val="21"/>
                      <w14:textFill>
                        <w14:solidFill>
                          <w14:schemeClr w14:val="tx1"/>
                        </w14:solidFill>
                      </w14:textFill>
                    </w:rPr>
                  </w:pPr>
                </w:p>
              </w:tc>
              <w:tc>
                <w:tcPr>
                  <w:tcW w:w="718" w:type="dxa"/>
                  <w:vMerge w:val="continue"/>
                  <w:vAlign w:val="center"/>
                </w:tcPr>
                <w:p w14:paraId="4DCC0C15">
                  <w:pPr>
                    <w:jc w:val="center"/>
                    <w:rPr>
                      <w:color w:val="000000" w:themeColor="text1"/>
                      <w:sz w:val="21"/>
                      <w:szCs w:val="21"/>
                      <w14:textFill>
                        <w14:solidFill>
                          <w14:schemeClr w14:val="tx1"/>
                        </w14:solidFill>
                      </w14:textFill>
                    </w:rPr>
                  </w:pPr>
                </w:p>
              </w:tc>
              <w:tc>
                <w:tcPr>
                  <w:tcW w:w="4769" w:type="dxa"/>
                  <w:vAlign w:val="center"/>
                </w:tcPr>
                <w:p w14:paraId="70FBF431">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.在流域及受水区实施深度节水控水行动，加强农业节水增效，加大工业节水减排力度，深化城乡节水降损，完善农村集中供水和节水配套设施，加强非常规水利用。到</w:t>
                  </w:r>
                  <w:r>
                    <w:rPr>
                      <w:color w:val="000000" w:themeColor="text1"/>
                      <w:sz w:val="21"/>
                      <w:szCs w:val="21"/>
                      <w14:textFill>
                        <w14:solidFill>
                          <w14:schemeClr w14:val="tx1"/>
                        </w14:solidFill>
                      </w14:textFill>
                    </w:rPr>
                    <w:t>2025</w:t>
                  </w:r>
                  <w:r>
                    <w:rPr>
                      <w:rFonts w:hint="eastAsia"/>
                      <w:color w:val="000000" w:themeColor="text1"/>
                      <w:sz w:val="21"/>
                      <w:szCs w:val="21"/>
                      <w14:textFill>
                        <w14:solidFill>
                          <w14:schemeClr w14:val="tx1"/>
                        </w14:solidFill>
                      </w14:textFill>
                    </w:rPr>
                    <w:t>年，黄河流域地表水水资源开发利用率小于</w:t>
                  </w:r>
                  <w:r>
                    <w:rPr>
                      <w:color w:val="000000" w:themeColor="text1"/>
                      <w:sz w:val="21"/>
                      <w:szCs w:val="21"/>
                      <w14:textFill>
                        <w14:solidFill>
                          <w14:schemeClr w14:val="tx1"/>
                        </w14:solidFill>
                      </w14:textFill>
                    </w:rPr>
                    <w:t>79</w:t>
                  </w:r>
                  <w:r>
                    <w:rPr>
                      <w:rFonts w:hint="eastAsia"/>
                      <w:color w:val="000000" w:themeColor="text1"/>
                      <w:sz w:val="21"/>
                      <w:szCs w:val="21"/>
                      <w14:textFill>
                        <w14:solidFill>
                          <w14:schemeClr w14:val="tx1"/>
                        </w14:solidFill>
                      </w14:textFill>
                    </w:rPr>
                    <w:t>%，流域内市级缺水城市再生水利用率力争达到</w:t>
                  </w:r>
                  <w:r>
                    <w:rPr>
                      <w:color w:val="000000" w:themeColor="text1"/>
                      <w:sz w:val="21"/>
                      <w:szCs w:val="21"/>
                      <w14:textFill>
                        <w14:solidFill>
                          <w14:schemeClr w14:val="tx1"/>
                        </w14:solidFill>
                      </w14:textFill>
                    </w:rPr>
                    <w:t>30</w:t>
                  </w:r>
                  <w:r>
                    <w:rPr>
                      <w:rFonts w:hint="eastAsia"/>
                      <w:color w:val="000000" w:themeColor="text1"/>
                      <w:sz w:val="21"/>
                      <w:szCs w:val="21"/>
                      <w14:textFill>
                        <w14:solidFill>
                          <w14:schemeClr w14:val="tx1"/>
                        </w14:solidFill>
                      </w14:textFill>
                    </w:rPr>
                    <w:t>%。</w:t>
                  </w:r>
                </w:p>
              </w:tc>
              <w:tc>
                <w:tcPr>
                  <w:tcW w:w="2803" w:type="dxa"/>
                  <w:vMerge w:val="restart"/>
                  <w:vAlign w:val="center"/>
                </w:tcPr>
                <w:p w14:paraId="28DE0C7A">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本项目不属于农业项目。</w:t>
                  </w:r>
                </w:p>
              </w:tc>
              <w:tc>
                <w:tcPr>
                  <w:tcW w:w="639" w:type="dxa"/>
                  <w:vMerge w:val="continue"/>
                  <w:vAlign w:val="center"/>
                </w:tcPr>
                <w:p w14:paraId="02FCD332">
                  <w:pPr>
                    <w:pStyle w:val="46"/>
                    <w:rPr>
                      <w:color w:val="000000" w:themeColor="text1"/>
                      <w14:textFill>
                        <w14:solidFill>
                          <w14:schemeClr w14:val="tx1"/>
                        </w14:solidFill>
                      </w14:textFill>
                    </w:rPr>
                  </w:pPr>
                </w:p>
              </w:tc>
            </w:tr>
            <w:tr w14:paraId="7DFC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0083C3FF">
                  <w:pPr>
                    <w:jc w:val="center"/>
                    <w:rPr>
                      <w:color w:val="000000" w:themeColor="text1"/>
                      <w:sz w:val="21"/>
                      <w:szCs w:val="21"/>
                      <w14:textFill>
                        <w14:solidFill>
                          <w14:schemeClr w14:val="tx1"/>
                        </w14:solidFill>
                      </w14:textFill>
                    </w:rPr>
                  </w:pPr>
                </w:p>
              </w:tc>
              <w:tc>
                <w:tcPr>
                  <w:tcW w:w="718" w:type="dxa"/>
                  <w:vMerge w:val="continue"/>
                  <w:vAlign w:val="center"/>
                </w:tcPr>
                <w:p w14:paraId="46D1A545">
                  <w:pPr>
                    <w:jc w:val="center"/>
                    <w:rPr>
                      <w:color w:val="000000" w:themeColor="text1"/>
                      <w:sz w:val="21"/>
                      <w:szCs w:val="21"/>
                      <w14:textFill>
                        <w14:solidFill>
                          <w14:schemeClr w14:val="tx1"/>
                        </w14:solidFill>
                      </w14:textFill>
                    </w:rPr>
                  </w:pPr>
                </w:p>
              </w:tc>
              <w:tc>
                <w:tcPr>
                  <w:tcW w:w="4769" w:type="dxa"/>
                  <w:vAlign w:val="center"/>
                </w:tcPr>
                <w:p w14:paraId="53FE63F1">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.推广农业高效节水灌溉和蓄水保水技术，扩大低耗水、高耐旱作物种植和节水型畜牧渔业养殖比例，引导适水种植、量水生产。</w:t>
                  </w:r>
                </w:p>
              </w:tc>
              <w:tc>
                <w:tcPr>
                  <w:tcW w:w="2803" w:type="dxa"/>
                  <w:vMerge w:val="continue"/>
                  <w:vAlign w:val="center"/>
                </w:tcPr>
                <w:p w14:paraId="7DB0922B">
                  <w:pPr>
                    <w:rPr>
                      <w:color w:val="000000" w:themeColor="text1"/>
                      <w:sz w:val="21"/>
                      <w:szCs w:val="21"/>
                      <w14:textFill>
                        <w14:solidFill>
                          <w14:schemeClr w14:val="tx1"/>
                        </w14:solidFill>
                      </w14:textFill>
                    </w:rPr>
                  </w:pPr>
                </w:p>
              </w:tc>
              <w:tc>
                <w:tcPr>
                  <w:tcW w:w="639" w:type="dxa"/>
                  <w:vAlign w:val="center"/>
                </w:tcPr>
                <w:p w14:paraId="6DB77E1B">
                  <w:pPr>
                    <w:jc w:val="center"/>
                    <w:rPr>
                      <w:color w:val="000000" w:themeColor="text1"/>
                      <w:sz w:val="21"/>
                      <w:szCs w:val="21"/>
                      <w14:textFill>
                        <w14:solidFill>
                          <w14:schemeClr w14:val="tx1"/>
                        </w14:solidFill>
                      </w14:textFill>
                    </w:rPr>
                  </w:pPr>
                  <w:r>
                    <w:rPr>
                      <w:rFonts w:hint="eastAsia"/>
                      <w:color w:val="000000" w:themeColor="text1"/>
                      <w14:textFill>
                        <w14:solidFill>
                          <w14:schemeClr w14:val="tx1"/>
                        </w14:solidFill>
                      </w14:textFill>
                    </w:rPr>
                    <w:t>符合</w:t>
                  </w:r>
                </w:p>
              </w:tc>
            </w:tr>
          </w:tbl>
          <w:p w14:paraId="041D8F8D">
            <w:pPr>
              <w:spacing w:line="460" w:lineRule="exact"/>
              <w:ind w:firstLine="480" w:firstLineChars="200"/>
              <w:rPr>
                <w:rFonts w:eastAsia="黑体"/>
                <w:color w:val="000000" w:themeColor="text1"/>
                <w:lang w:val="pt-BR"/>
                <w14:textFill>
                  <w14:solidFill>
                    <w14:schemeClr w14:val="tx1"/>
                  </w14:solidFill>
                </w14:textFill>
              </w:rPr>
            </w:pPr>
            <w:r>
              <w:rPr>
                <w:color w:val="000000" w:themeColor="text1"/>
                <w14:textFill>
                  <w14:solidFill>
                    <w14:schemeClr w14:val="tx1"/>
                  </w14:solidFill>
                </w14:textFill>
              </w:rPr>
              <w:t>由上表可知，本项目符合《河南省生态环境分区管控总体要求（2023年版）》中相关内容的要求。</w:t>
            </w:r>
          </w:p>
          <w:p w14:paraId="4BBCB23A">
            <w:pPr>
              <w:spacing w:line="460" w:lineRule="exact"/>
              <w:ind w:firstLine="480" w:firstLineChars="200"/>
              <w:jc w:val="left"/>
              <w:rPr>
                <w:rFonts w:ascii="黑体" w:hAnsi="黑体" w:eastAsia="黑体" w:cs="黑体"/>
                <w:color w:val="000000" w:themeColor="text1"/>
                <w14:textFill>
                  <w14:solidFill>
                    <w14:schemeClr w14:val="tx1"/>
                  </w14:solidFill>
                </w14:textFill>
              </w:rPr>
            </w:pPr>
            <w:r>
              <w:rPr>
                <w:color w:val="000000" w:themeColor="text1"/>
                <w14:textFill>
                  <w14:solidFill>
                    <w14:schemeClr w14:val="tx1"/>
                  </w14:solidFill>
                </w14:textFill>
              </w:rPr>
              <w:t>本项目与《新乡市</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三线一单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生态环境准入清单（2023年版）》</w:t>
            </w:r>
            <w:r>
              <w:rPr>
                <w:rFonts w:hint="eastAsia" w:ascii="宋体" w:hAnsi="宋体" w:cs="宋体"/>
                <w:color w:val="000000" w:themeColor="text1"/>
                <w14:textFill>
                  <w14:solidFill>
                    <w14:schemeClr w14:val="tx1"/>
                  </w14:solidFill>
                </w14:textFill>
              </w:rPr>
              <w:t>（以下简称《清单》）中的相关内容对比一致性分析见下表。</w:t>
            </w:r>
          </w:p>
          <w:p w14:paraId="34A46956">
            <w:pPr>
              <w:spacing w:line="460" w:lineRule="exact"/>
              <w:ind w:firstLine="480" w:firstLineChars="200"/>
              <w:jc w:val="left"/>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表1-</w:t>
            </w:r>
            <w:r>
              <w:rPr>
                <w:rFonts w:hint="eastAsia" w:eastAsia="黑体"/>
                <w:color w:val="000000" w:themeColor="text1"/>
                <w:lang w:val="en-US" w:eastAsia="zh-CN"/>
                <w14:textFill>
                  <w14:solidFill>
                    <w14:schemeClr w14:val="tx1"/>
                  </w14:solidFill>
                </w14:textFill>
              </w:rPr>
              <w:t>5</w:t>
            </w:r>
            <w:r>
              <w:rPr>
                <w:rFonts w:eastAsia="黑体"/>
                <w:color w:val="000000" w:themeColor="text1"/>
                <w14:textFill>
                  <w14:solidFill>
                    <w14:schemeClr w14:val="tx1"/>
                  </w14:solidFill>
                </w14:textFill>
              </w:rPr>
              <w:t xml:space="preserve">              </w:t>
            </w:r>
            <w:r>
              <w:rPr>
                <w:rFonts w:hint="eastAsia" w:eastAsia="黑体"/>
                <w:color w:val="000000" w:themeColor="text1"/>
                <w14:textFill>
                  <w14:solidFill>
                    <w14:schemeClr w14:val="tx1"/>
                  </w14:solidFill>
                </w14:textFill>
              </w:rPr>
              <w:t xml:space="preserve">  </w:t>
            </w:r>
            <w:r>
              <w:rPr>
                <w:rFonts w:eastAsia="黑体"/>
                <w:color w:val="000000" w:themeColor="text1"/>
                <w14:textFill>
                  <w14:solidFill>
                    <w14:schemeClr w14:val="tx1"/>
                  </w14:solidFill>
                </w14:textFill>
              </w:rPr>
              <w:t>本项目与《清单》对比分析一览表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7"/>
              <w:gridCol w:w="909"/>
              <w:gridCol w:w="748"/>
              <w:gridCol w:w="828"/>
              <w:gridCol w:w="3632"/>
              <w:gridCol w:w="2242"/>
              <w:gridCol w:w="682"/>
            </w:tblGrid>
            <w:tr w14:paraId="351D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38" w:type="dxa"/>
                  <w:gridSpan w:val="7"/>
                  <w:vAlign w:val="center"/>
                </w:tcPr>
                <w:p w14:paraId="0A4D349D">
                  <w:pPr>
                    <w:jc w:val="center"/>
                    <w:rPr>
                      <w:rFonts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新乡市生态环境总体准入要求</w:t>
                  </w:r>
                </w:p>
              </w:tc>
            </w:tr>
            <w:tr w14:paraId="16FC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6" w:type="dxa"/>
                  <w:gridSpan w:val="3"/>
                  <w:vAlign w:val="center"/>
                </w:tcPr>
                <w:p w14:paraId="7223D113">
                  <w:pPr>
                    <w:jc w:val="center"/>
                    <w:rPr>
                      <w:rFonts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维度</w:t>
                  </w:r>
                </w:p>
              </w:tc>
              <w:tc>
                <w:tcPr>
                  <w:tcW w:w="4467" w:type="dxa"/>
                  <w:gridSpan w:val="2"/>
                  <w:vAlign w:val="center"/>
                </w:tcPr>
                <w:p w14:paraId="29825D54">
                  <w:pPr>
                    <w:jc w:val="center"/>
                    <w:rPr>
                      <w:rFonts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管控要求</w:t>
                  </w:r>
                </w:p>
              </w:tc>
              <w:tc>
                <w:tcPr>
                  <w:tcW w:w="2242" w:type="dxa"/>
                  <w:vAlign w:val="center"/>
                </w:tcPr>
                <w:p w14:paraId="449C0AD5">
                  <w:pPr>
                    <w:jc w:val="center"/>
                    <w:rPr>
                      <w:rFonts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本项目情况</w:t>
                  </w:r>
                </w:p>
              </w:tc>
              <w:tc>
                <w:tcPr>
                  <w:tcW w:w="683" w:type="dxa"/>
                  <w:vAlign w:val="center"/>
                </w:tcPr>
                <w:p w14:paraId="32C21EBC">
                  <w:pPr>
                    <w:jc w:val="center"/>
                    <w:rPr>
                      <w:rFonts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是否符合要求</w:t>
                  </w:r>
                </w:p>
              </w:tc>
            </w:tr>
            <w:tr w14:paraId="04802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6" w:type="dxa"/>
                  <w:gridSpan w:val="3"/>
                  <w:vMerge w:val="restart"/>
                  <w:vAlign w:val="center"/>
                </w:tcPr>
                <w:p w14:paraId="0F135A2B">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空间布局约束</w:t>
                  </w:r>
                </w:p>
              </w:tc>
              <w:tc>
                <w:tcPr>
                  <w:tcW w:w="4467" w:type="dxa"/>
                  <w:gridSpan w:val="2"/>
                  <w:vAlign w:val="center"/>
                </w:tcPr>
                <w:p w14:paraId="72B43EB8">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.自然保护区相关规定（略）。</w:t>
                  </w:r>
                </w:p>
              </w:tc>
              <w:tc>
                <w:tcPr>
                  <w:tcW w:w="2242" w:type="dxa"/>
                  <w:vMerge w:val="restart"/>
                  <w:vAlign w:val="center"/>
                </w:tcPr>
                <w:p w14:paraId="50379FA1">
                  <w:pP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本项目</w:t>
                  </w:r>
                  <w:r>
                    <w:rPr>
                      <w:rFonts w:hint="eastAsia"/>
                      <w:color w:val="000000" w:themeColor="text1"/>
                      <w:sz w:val="21"/>
                      <w:szCs w:val="21"/>
                      <w14:textFill>
                        <w14:solidFill>
                          <w14:schemeClr w14:val="tx1"/>
                        </w14:solidFill>
                      </w14:textFill>
                    </w:rPr>
                    <w:t>属于食品制造业，位于延津县榆林乡夹堤村西南河南朝东食品有限公司现有厂区内，</w:t>
                  </w:r>
                  <w:r>
                    <w:rPr>
                      <w:rFonts w:hint="eastAsia" w:ascii="宋体" w:hAnsi="宋体" w:cs="宋体"/>
                      <w:color w:val="000000" w:themeColor="text1"/>
                      <w:sz w:val="21"/>
                      <w:szCs w:val="21"/>
                      <w14:textFill>
                        <w14:solidFill>
                          <w14:schemeClr w14:val="tx1"/>
                        </w14:solidFill>
                      </w14:textFill>
                    </w:rPr>
                    <w:t>不涉及自然保护区、风景名胜区、饮用水地表水源各级保护区、南水北调饮用水水源保护区、河湖湿地、森林公园、水产种质资源保护区、南太行旅游度假区。</w:t>
                  </w:r>
                </w:p>
              </w:tc>
              <w:tc>
                <w:tcPr>
                  <w:tcW w:w="683" w:type="dxa"/>
                  <w:vMerge w:val="restart"/>
                  <w:vAlign w:val="center"/>
                </w:tcPr>
                <w:p w14:paraId="00CC691A">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符合</w:t>
                  </w:r>
                </w:p>
              </w:tc>
            </w:tr>
            <w:tr w14:paraId="6A76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6" w:type="dxa"/>
                  <w:gridSpan w:val="3"/>
                  <w:vMerge w:val="continue"/>
                  <w:vAlign w:val="center"/>
                </w:tcPr>
                <w:p w14:paraId="330D8BB5">
                  <w:pPr>
                    <w:jc w:val="center"/>
                    <w:rPr>
                      <w:rFonts w:ascii="宋体" w:hAnsi="宋体" w:cs="宋体"/>
                      <w:color w:val="000000" w:themeColor="text1"/>
                      <w:sz w:val="21"/>
                      <w:szCs w:val="21"/>
                      <w14:textFill>
                        <w14:solidFill>
                          <w14:schemeClr w14:val="tx1"/>
                        </w14:solidFill>
                      </w14:textFill>
                    </w:rPr>
                  </w:pPr>
                </w:p>
              </w:tc>
              <w:tc>
                <w:tcPr>
                  <w:tcW w:w="4467" w:type="dxa"/>
                  <w:gridSpan w:val="2"/>
                  <w:vAlign w:val="center"/>
                </w:tcPr>
                <w:p w14:paraId="7EDFE401">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.风景名胜区相关规定（略）。</w:t>
                  </w:r>
                </w:p>
              </w:tc>
              <w:tc>
                <w:tcPr>
                  <w:tcW w:w="2242" w:type="dxa"/>
                  <w:vMerge w:val="continue"/>
                  <w:vAlign w:val="center"/>
                </w:tcPr>
                <w:p w14:paraId="718E8104">
                  <w:pPr>
                    <w:rPr>
                      <w:rFonts w:ascii="宋体" w:hAnsi="宋体" w:cs="宋体"/>
                      <w:color w:val="000000" w:themeColor="text1"/>
                      <w:sz w:val="21"/>
                      <w:szCs w:val="21"/>
                      <w14:textFill>
                        <w14:solidFill>
                          <w14:schemeClr w14:val="tx1"/>
                        </w14:solidFill>
                      </w14:textFill>
                    </w:rPr>
                  </w:pPr>
                </w:p>
              </w:tc>
              <w:tc>
                <w:tcPr>
                  <w:tcW w:w="683" w:type="dxa"/>
                  <w:vMerge w:val="continue"/>
                  <w:vAlign w:val="center"/>
                </w:tcPr>
                <w:p w14:paraId="63FBF026">
                  <w:pPr>
                    <w:jc w:val="center"/>
                    <w:rPr>
                      <w:rFonts w:ascii="宋体" w:hAnsi="宋体" w:cs="宋体"/>
                      <w:color w:val="000000" w:themeColor="text1"/>
                      <w:sz w:val="21"/>
                      <w:szCs w:val="21"/>
                      <w14:textFill>
                        <w14:solidFill>
                          <w14:schemeClr w14:val="tx1"/>
                        </w14:solidFill>
                      </w14:textFill>
                    </w:rPr>
                  </w:pPr>
                </w:p>
              </w:tc>
            </w:tr>
            <w:tr w14:paraId="284B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6" w:type="dxa"/>
                  <w:gridSpan w:val="3"/>
                  <w:vMerge w:val="continue"/>
                  <w:vAlign w:val="center"/>
                </w:tcPr>
                <w:p w14:paraId="4A95F5B9">
                  <w:pPr>
                    <w:jc w:val="center"/>
                    <w:rPr>
                      <w:rFonts w:ascii="宋体" w:hAnsi="宋体" w:cs="宋体"/>
                      <w:color w:val="000000" w:themeColor="text1"/>
                      <w:sz w:val="21"/>
                      <w:szCs w:val="21"/>
                      <w14:textFill>
                        <w14:solidFill>
                          <w14:schemeClr w14:val="tx1"/>
                        </w14:solidFill>
                      </w14:textFill>
                    </w:rPr>
                  </w:pPr>
                </w:p>
              </w:tc>
              <w:tc>
                <w:tcPr>
                  <w:tcW w:w="4467" w:type="dxa"/>
                  <w:gridSpan w:val="2"/>
                  <w:vAlign w:val="center"/>
                </w:tcPr>
                <w:p w14:paraId="0AED832D">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.饮用水地表水源各级保护区相关规定（略）。</w:t>
                  </w:r>
                </w:p>
              </w:tc>
              <w:tc>
                <w:tcPr>
                  <w:tcW w:w="2242" w:type="dxa"/>
                  <w:vMerge w:val="continue"/>
                  <w:vAlign w:val="center"/>
                </w:tcPr>
                <w:p w14:paraId="07D3B191">
                  <w:pPr>
                    <w:rPr>
                      <w:rFonts w:ascii="宋体" w:hAnsi="宋体" w:cs="宋体"/>
                      <w:color w:val="000000" w:themeColor="text1"/>
                      <w:sz w:val="21"/>
                      <w:szCs w:val="21"/>
                      <w14:textFill>
                        <w14:solidFill>
                          <w14:schemeClr w14:val="tx1"/>
                        </w14:solidFill>
                      </w14:textFill>
                    </w:rPr>
                  </w:pPr>
                </w:p>
              </w:tc>
              <w:tc>
                <w:tcPr>
                  <w:tcW w:w="683" w:type="dxa"/>
                  <w:vMerge w:val="continue"/>
                  <w:vAlign w:val="center"/>
                </w:tcPr>
                <w:p w14:paraId="4499893E">
                  <w:pPr>
                    <w:jc w:val="center"/>
                    <w:rPr>
                      <w:rFonts w:ascii="宋体" w:hAnsi="宋体" w:cs="宋体"/>
                      <w:color w:val="000000" w:themeColor="text1"/>
                      <w:sz w:val="21"/>
                      <w:szCs w:val="21"/>
                      <w14:textFill>
                        <w14:solidFill>
                          <w14:schemeClr w14:val="tx1"/>
                        </w14:solidFill>
                      </w14:textFill>
                    </w:rPr>
                  </w:pPr>
                </w:p>
              </w:tc>
            </w:tr>
            <w:tr w14:paraId="6E44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6" w:type="dxa"/>
                  <w:gridSpan w:val="3"/>
                  <w:vMerge w:val="continue"/>
                  <w:vAlign w:val="center"/>
                </w:tcPr>
                <w:p w14:paraId="5F692F99">
                  <w:pPr>
                    <w:jc w:val="center"/>
                    <w:rPr>
                      <w:rFonts w:ascii="宋体" w:hAnsi="宋体" w:cs="宋体"/>
                      <w:color w:val="000000" w:themeColor="text1"/>
                      <w:sz w:val="21"/>
                      <w:szCs w:val="21"/>
                      <w14:textFill>
                        <w14:solidFill>
                          <w14:schemeClr w14:val="tx1"/>
                        </w14:solidFill>
                      </w14:textFill>
                    </w:rPr>
                  </w:pPr>
                </w:p>
              </w:tc>
              <w:tc>
                <w:tcPr>
                  <w:tcW w:w="4467" w:type="dxa"/>
                  <w:gridSpan w:val="2"/>
                  <w:vAlign w:val="center"/>
                </w:tcPr>
                <w:p w14:paraId="3017B970">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.南水北调饮用水水源保护范围相关规定（略）。</w:t>
                  </w:r>
                </w:p>
              </w:tc>
              <w:tc>
                <w:tcPr>
                  <w:tcW w:w="2242" w:type="dxa"/>
                  <w:vMerge w:val="continue"/>
                  <w:vAlign w:val="center"/>
                </w:tcPr>
                <w:p w14:paraId="481F4A2E">
                  <w:pPr>
                    <w:rPr>
                      <w:rFonts w:ascii="宋体" w:hAnsi="宋体" w:cs="宋体"/>
                      <w:color w:val="000000" w:themeColor="text1"/>
                      <w:sz w:val="21"/>
                      <w:szCs w:val="21"/>
                      <w14:textFill>
                        <w14:solidFill>
                          <w14:schemeClr w14:val="tx1"/>
                        </w14:solidFill>
                      </w14:textFill>
                    </w:rPr>
                  </w:pPr>
                </w:p>
              </w:tc>
              <w:tc>
                <w:tcPr>
                  <w:tcW w:w="683" w:type="dxa"/>
                  <w:vMerge w:val="continue"/>
                  <w:vAlign w:val="center"/>
                </w:tcPr>
                <w:p w14:paraId="349D6008">
                  <w:pPr>
                    <w:jc w:val="center"/>
                    <w:rPr>
                      <w:rFonts w:ascii="宋体" w:hAnsi="宋体" w:cs="宋体"/>
                      <w:color w:val="000000" w:themeColor="text1"/>
                      <w:sz w:val="21"/>
                      <w:szCs w:val="21"/>
                      <w14:textFill>
                        <w14:solidFill>
                          <w14:schemeClr w14:val="tx1"/>
                        </w14:solidFill>
                      </w14:textFill>
                    </w:rPr>
                  </w:pPr>
                </w:p>
              </w:tc>
            </w:tr>
            <w:tr w14:paraId="1D42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6" w:type="dxa"/>
                  <w:gridSpan w:val="3"/>
                  <w:vMerge w:val="continue"/>
                  <w:vAlign w:val="center"/>
                </w:tcPr>
                <w:p w14:paraId="32A51D51">
                  <w:pPr>
                    <w:jc w:val="center"/>
                    <w:rPr>
                      <w:rFonts w:ascii="宋体" w:hAnsi="宋体" w:cs="宋体"/>
                      <w:color w:val="000000" w:themeColor="text1"/>
                      <w:sz w:val="21"/>
                      <w:szCs w:val="21"/>
                      <w14:textFill>
                        <w14:solidFill>
                          <w14:schemeClr w14:val="tx1"/>
                        </w14:solidFill>
                      </w14:textFill>
                    </w:rPr>
                  </w:pPr>
                </w:p>
              </w:tc>
              <w:tc>
                <w:tcPr>
                  <w:tcW w:w="4467" w:type="dxa"/>
                  <w:gridSpan w:val="2"/>
                  <w:vAlign w:val="center"/>
                </w:tcPr>
                <w:p w14:paraId="372D587D">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w:t>
                  </w:r>
                  <w:r>
                    <w:rPr>
                      <w:rFonts w:hint="eastAsia"/>
                      <w:color w:val="000000" w:themeColor="text1"/>
                      <w:sz w:val="21"/>
                      <w:szCs w:val="21"/>
                      <w14:textFill>
                        <w14:solidFill>
                          <w14:schemeClr w14:val="tx1"/>
                        </w14:solidFill>
                      </w14:textFill>
                    </w:rPr>
                    <w:t>.河湖湿地、森林公园相关规定（略）。</w:t>
                  </w:r>
                </w:p>
              </w:tc>
              <w:tc>
                <w:tcPr>
                  <w:tcW w:w="2242" w:type="dxa"/>
                  <w:vMerge w:val="continue"/>
                  <w:vAlign w:val="center"/>
                </w:tcPr>
                <w:p w14:paraId="0AA46A6A">
                  <w:pPr>
                    <w:rPr>
                      <w:rFonts w:ascii="宋体" w:hAnsi="宋体" w:cs="宋体"/>
                      <w:color w:val="000000" w:themeColor="text1"/>
                      <w:sz w:val="21"/>
                      <w:szCs w:val="21"/>
                      <w14:textFill>
                        <w14:solidFill>
                          <w14:schemeClr w14:val="tx1"/>
                        </w14:solidFill>
                      </w14:textFill>
                    </w:rPr>
                  </w:pPr>
                </w:p>
              </w:tc>
              <w:tc>
                <w:tcPr>
                  <w:tcW w:w="683" w:type="dxa"/>
                  <w:vMerge w:val="continue"/>
                  <w:vAlign w:val="center"/>
                </w:tcPr>
                <w:p w14:paraId="678E79FE">
                  <w:pPr>
                    <w:jc w:val="center"/>
                    <w:rPr>
                      <w:rFonts w:ascii="宋体" w:hAnsi="宋体" w:cs="宋体"/>
                      <w:color w:val="000000" w:themeColor="text1"/>
                      <w:sz w:val="21"/>
                      <w:szCs w:val="21"/>
                      <w14:textFill>
                        <w14:solidFill>
                          <w14:schemeClr w14:val="tx1"/>
                        </w14:solidFill>
                      </w14:textFill>
                    </w:rPr>
                  </w:pPr>
                </w:p>
              </w:tc>
            </w:tr>
            <w:tr w14:paraId="555B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6" w:type="dxa"/>
                  <w:gridSpan w:val="3"/>
                  <w:vMerge w:val="continue"/>
                  <w:vAlign w:val="center"/>
                </w:tcPr>
                <w:p w14:paraId="75DAFE2D">
                  <w:pPr>
                    <w:jc w:val="center"/>
                    <w:rPr>
                      <w:rFonts w:ascii="宋体" w:hAnsi="宋体" w:cs="宋体"/>
                      <w:color w:val="000000" w:themeColor="text1"/>
                      <w:sz w:val="21"/>
                      <w:szCs w:val="21"/>
                      <w14:textFill>
                        <w14:solidFill>
                          <w14:schemeClr w14:val="tx1"/>
                        </w14:solidFill>
                      </w14:textFill>
                    </w:rPr>
                  </w:pPr>
                </w:p>
              </w:tc>
              <w:tc>
                <w:tcPr>
                  <w:tcW w:w="4467" w:type="dxa"/>
                  <w:gridSpan w:val="2"/>
                  <w:vAlign w:val="center"/>
                </w:tcPr>
                <w:p w14:paraId="4EE11A34">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w:t>
                  </w:r>
                  <w:r>
                    <w:rPr>
                      <w:rFonts w:hint="eastAsia"/>
                      <w:color w:val="000000" w:themeColor="text1"/>
                      <w:sz w:val="21"/>
                      <w:szCs w:val="21"/>
                      <w14:textFill>
                        <w14:solidFill>
                          <w14:schemeClr w14:val="tx1"/>
                        </w14:solidFill>
                      </w14:textFill>
                    </w:rPr>
                    <w:t>.水产种质资源保护区相关规定（略）。</w:t>
                  </w:r>
                </w:p>
              </w:tc>
              <w:tc>
                <w:tcPr>
                  <w:tcW w:w="2242" w:type="dxa"/>
                  <w:vMerge w:val="continue"/>
                  <w:vAlign w:val="center"/>
                </w:tcPr>
                <w:p w14:paraId="2F89F09D">
                  <w:pPr>
                    <w:rPr>
                      <w:rFonts w:ascii="宋体" w:hAnsi="宋体" w:cs="宋体"/>
                      <w:color w:val="000000" w:themeColor="text1"/>
                      <w:sz w:val="21"/>
                      <w:szCs w:val="21"/>
                      <w14:textFill>
                        <w14:solidFill>
                          <w14:schemeClr w14:val="tx1"/>
                        </w14:solidFill>
                      </w14:textFill>
                    </w:rPr>
                  </w:pPr>
                </w:p>
              </w:tc>
              <w:tc>
                <w:tcPr>
                  <w:tcW w:w="683" w:type="dxa"/>
                  <w:vMerge w:val="continue"/>
                  <w:vAlign w:val="center"/>
                </w:tcPr>
                <w:p w14:paraId="1940938E">
                  <w:pPr>
                    <w:jc w:val="center"/>
                    <w:rPr>
                      <w:rFonts w:ascii="宋体" w:hAnsi="宋体" w:cs="宋体"/>
                      <w:color w:val="000000" w:themeColor="text1"/>
                      <w:sz w:val="21"/>
                      <w:szCs w:val="21"/>
                      <w14:textFill>
                        <w14:solidFill>
                          <w14:schemeClr w14:val="tx1"/>
                        </w14:solidFill>
                      </w14:textFill>
                    </w:rPr>
                  </w:pPr>
                </w:p>
              </w:tc>
            </w:tr>
            <w:tr w14:paraId="6E74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6" w:type="dxa"/>
                  <w:gridSpan w:val="3"/>
                  <w:vMerge w:val="continue"/>
                  <w:vAlign w:val="center"/>
                </w:tcPr>
                <w:p w14:paraId="4ED2481D">
                  <w:pPr>
                    <w:jc w:val="center"/>
                    <w:rPr>
                      <w:rFonts w:ascii="宋体" w:hAnsi="宋体" w:cs="宋体"/>
                      <w:color w:val="000000" w:themeColor="text1"/>
                      <w:sz w:val="21"/>
                      <w:szCs w:val="21"/>
                      <w14:textFill>
                        <w14:solidFill>
                          <w14:schemeClr w14:val="tx1"/>
                        </w14:solidFill>
                      </w14:textFill>
                    </w:rPr>
                  </w:pPr>
                </w:p>
              </w:tc>
              <w:tc>
                <w:tcPr>
                  <w:tcW w:w="4467" w:type="dxa"/>
                  <w:gridSpan w:val="2"/>
                  <w:vAlign w:val="center"/>
                </w:tcPr>
                <w:p w14:paraId="31B0B45B">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7</w:t>
                  </w:r>
                  <w:r>
                    <w:rPr>
                      <w:rFonts w:hint="eastAsia"/>
                      <w:color w:val="000000" w:themeColor="text1"/>
                      <w:sz w:val="21"/>
                      <w:szCs w:val="21"/>
                      <w14:textFill>
                        <w14:solidFill>
                          <w14:schemeClr w14:val="tx1"/>
                        </w14:solidFill>
                      </w14:textFill>
                    </w:rPr>
                    <w:t>.共产主义渠、卫河、天然文岩渠等主要河道除涝标准达到</w:t>
                  </w: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年一遇，防洪标准达到</w:t>
                  </w:r>
                  <w:r>
                    <w:rPr>
                      <w:color w:val="000000" w:themeColor="text1"/>
                      <w:sz w:val="21"/>
                      <w:szCs w:val="21"/>
                      <w14:textFill>
                        <w14:solidFill>
                          <w14:schemeClr w14:val="tx1"/>
                        </w14:solidFill>
                      </w14:textFill>
                    </w:rPr>
                    <w:t>10</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20</w:t>
                  </w:r>
                  <w:r>
                    <w:rPr>
                      <w:rFonts w:hint="eastAsia"/>
                      <w:color w:val="000000" w:themeColor="text1"/>
                      <w:sz w:val="21"/>
                      <w:szCs w:val="21"/>
                      <w14:textFill>
                        <w14:solidFill>
                          <w14:schemeClr w14:val="tx1"/>
                        </w14:solidFill>
                      </w14:textFill>
                    </w:rPr>
                    <w:t>年一遇，重点河段达到</w:t>
                  </w:r>
                  <w:r>
                    <w:rPr>
                      <w:color w:val="000000" w:themeColor="text1"/>
                      <w:sz w:val="21"/>
                      <w:szCs w:val="21"/>
                      <w14:textFill>
                        <w14:solidFill>
                          <w14:schemeClr w14:val="tx1"/>
                        </w14:solidFill>
                      </w14:textFill>
                    </w:rPr>
                    <w:t>50</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100</w:t>
                  </w:r>
                  <w:r>
                    <w:rPr>
                      <w:rFonts w:hint="eastAsia"/>
                      <w:color w:val="000000" w:themeColor="text1"/>
                      <w:sz w:val="21"/>
                      <w:szCs w:val="21"/>
                      <w14:textFill>
                        <w14:solidFill>
                          <w14:schemeClr w14:val="tx1"/>
                        </w14:solidFill>
                      </w14:textFill>
                    </w:rPr>
                    <w:t>年一遇设置堤防。</w:t>
                  </w:r>
                </w:p>
              </w:tc>
              <w:tc>
                <w:tcPr>
                  <w:tcW w:w="2242" w:type="dxa"/>
                  <w:vMerge w:val="continue"/>
                  <w:vAlign w:val="center"/>
                </w:tcPr>
                <w:p w14:paraId="78AC0CD0">
                  <w:pPr>
                    <w:rPr>
                      <w:rFonts w:ascii="宋体" w:hAnsi="宋体" w:cs="宋体"/>
                      <w:color w:val="000000" w:themeColor="text1"/>
                      <w:sz w:val="21"/>
                      <w:szCs w:val="21"/>
                      <w14:textFill>
                        <w14:solidFill>
                          <w14:schemeClr w14:val="tx1"/>
                        </w14:solidFill>
                      </w14:textFill>
                    </w:rPr>
                  </w:pPr>
                </w:p>
              </w:tc>
              <w:tc>
                <w:tcPr>
                  <w:tcW w:w="683" w:type="dxa"/>
                  <w:vMerge w:val="continue"/>
                  <w:vAlign w:val="center"/>
                </w:tcPr>
                <w:p w14:paraId="133FD752">
                  <w:pPr>
                    <w:jc w:val="center"/>
                    <w:rPr>
                      <w:rFonts w:ascii="宋体" w:hAnsi="宋体" w:cs="宋体"/>
                      <w:color w:val="000000" w:themeColor="text1"/>
                      <w:sz w:val="21"/>
                      <w:szCs w:val="21"/>
                      <w14:textFill>
                        <w14:solidFill>
                          <w14:schemeClr w14:val="tx1"/>
                        </w14:solidFill>
                      </w14:textFill>
                    </w:rPr>
                  </w:pPr>
                </w:p>
              </w:tc>
            </w:tr>
            <w:tr w14:paraId="7E4C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6" w:type="dxa"/>
                  <w:gridSpan w:val="3"/>
                  <w:vMerge w:val="continue"/>
                  <w:vAlign w:val="center"/>
                </w:tcPr>
                <w:p w14:paraId="1D03612C">
                  <w:pPr>
                    <w:jc w:val="center"/>
                    <w:rPr>
                      <w:rFonts w:ascii="宋体" w:hAnsi="宋体" w:cs="宋体"/>
                      <w:color w:val="000000" w:themeColor="text1"/>
                      <w:sz w:val="21"/>
                      <w:szCs w:val="21"/>
                      <w14:textFill>
                        <w14:solidFill>
                          <w14:schemeClr w14:val="tx1"/>
                        </w14:solidFill>
                      </w14:textFill>
                    </w:rPr>
                  </w:pPr>
                </w:p>
              </w:tc>
              <w:tc>
                <w:tcPr>
                  <w:tcW w:w="4467" w:type="dxa"/>
                  <w:gridSpan w:val="2"/>
                  <w:vAlign w:val="center"/>
                </w:tcPr>
                <w:p w14:paraId="21A362DA">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8</w:t>
                  </w:r>
                  <w:r>
                    <w:rPr>
                      <w:rFonts w:hint="eastAsia"/>
                      <w:color w:val="000000" w:themeColor="text1"/>
                      <w:sz w:val="21"/>
                      <w:szCs w:val="21"/>
                      <w14:textFill>
                        <w14:solidFill>
                          <w14:schemeClr w14:val="tx1"/>
                        </w14:solidFill>
                      </w14:textFill>
                    </w:rPr>
                    <w:t>.南太行旅游度假区相关规定（略）。</w:t>
                  </w:r>
                </w:p>
              </w:tc>
              <w:tc>
                <w:tcPr>
                  <w:tcW w:w="2242" w:type="dxa"/>
                  <w:vMerge w:val="continue"/>
                  <w:vAlign w:val="center"/>
                </w:tcPr>
                <w:p w14:paraId="67B45BB9">
                  <w:pPr>
                    <w:rPr>
                      <w:rFonts w:ascii="宋体" w:hAnsi="宋体" w:cs="宋体"/>
                      <w:color w:val="000000" w:themeColor="text1"/>
                      <w:sz w:val="21"/>
                      <w:szCs w:val="21"/>
                      <w14:textFill>
                        <w14:solidFill>
                          <w14:schemeClr w14:val="tx1"/>
                        </w14:solidFill>
                      </w14:textFill>
                    </w:rPr>
                  </w:pPr>
                </w:p>
              </w:tc>
              <w:tc>
                <w:tcPr>
                  <w:tcW w:w="683" w:type="dxa"/>
                  <w:vMerge w:val="continue"/>
                  <w:vAlign w:val="center"/>
                </w:tcPr>
                <w:p w14:paraId="36A61671">
                  <w:pPr>
                    <w:jc w:val="center"/>
                    <w:rPr>
                      <w:rFonts w:ascii="宋体" w:hAnsi="宋体" w:cs="宋体"/>
                      <w:color w:val="000000" w:themeColor="text1"/>
                      <w:sz w:val="21"/>
                      <w:szCs w:val="21"/>
                      <w14:textFill>
                        <w14:solidFill>
                          <w14:schemeClr w14:val="tx1"/>
                        </w14:solidFill>
                      </w14:textFill>
                    </w:rPr>
                  </w:pPr>
                </w:p>
              </w:tc>
            </w:tr>
            <w:tr w14:paraId="7526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6" w:type="dxa"/>
                  <w:gridSpan w:val="3"/>
                  <w:vMerge w:val="continue"/>
                  <w:vAlign w:val="center"/>
                </w:tcPr>
                <w:p w14:paraId="3154ED80">
                  <w:pPr>
                    <w:jc w:val="center"/>
                    <w:rPr>
                      <w:rFonts w:ascii="宋体" w:hAnsi="宋体" w:cs="宋体"/>
                      <w:b/>
                      <w:bCs/>
                      <w:color w:val="000000" w:themeColor="text1"/>
                      <w:sz w:val="21"/>
                      <w:szCs w:val="21"/>
                      <w14:textFill>
                        <w14:solidFill>
                          <w14:schemeClr w14:val="tx1"/>
                        </w14:solidFill>
                      </w14:textFill>
                    </w:rPr>
                  </w:pPr>
                </w:p>
              </w:tc>
              <w:tc>
                <w:tcPr>
                  <w:tcW w:w="4467" w:type="dxa"/>
                  <w:gridSpan w:val="2"/>
                  <w:vAlign w:val="center"/>
                </w:tcPr>
                <w:p w14:paraId="7EEB02DB">
                  <w:pPr>
                    <w:rPr>
                      <w:rFonts w:ascii="宋体" w:hAnsi="宋体" w:cs="宋体"/>
                      <w:b/>
                      <w:bCs/>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9</w:t>
                  </w:r>
                  <w:r>
                    <w:rPr>
                      <w:rFonts w:hint="eastAsia"/>
                      <w:color w:val="000000" w:themeColor="text1"/>
                      <w:sz w:val="21"/>
                      <w:szCs w:val="21"/>
                      <w14:textFill>
                        <w14:solidFill>
                          <w14:schemeClr w14:val="tx1"/>
                        </w14:solidFill>
                      </w14:textFill>
                    </w:rPr>
                    <w:t>.严格控制新建、扩建钢铁冶炼、水泥、有色金属冶炼、平板玻璃、化工、建筑陶瓷、耐火材料、砖瓦、矿山开采等行业的高排放、高污染项目，促进传统煤化工、水泥行业绿色转型、智能升级。城市建成区内人口密集区、环境脆弱敏感区周边的钢铁冶炼、水泥、有色金属冶炼、平板玻璃、化工、建筑陶瓷、耐火材料、砖瓦、矿山开采等行业中的高排放、高污染项目，应当限期搬迁、升级改造或者转型、退出。新建、改建、扩建“两高”项目须符合生态环境保护法律法规和相关法定规划，满足重点污染物排放总量控制、碳排放达峰目标、生态环境准入清单、相关规划环评和相应行业建设项目环境准入条件、环评文件审批原则要求。新建“两高”项目应按照《生态环境部办公厅关于加强重点行业建设项目区域削减措施监督管理的通知》（环办环评〔</w:t>
                  </w:r>
                  <w:r>
                    <w:rPr>
                      <w:color w:val="000000" w:themeColor="text1"/>
                      <w:sz w:val="21"/>
                      <w:szCs w:val="21"/>
                      <w14:textFill>
                        <w14:solidFill>
                          <w14:schemeClr w14:val="tx1"/>
                        </w14:solidFill>
                      </w14:textFill>
                    </w:rPr>
                    <w:t>2020</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36</w:t>
                  </w:r>
                  <w:r>
                    <w:rPr>
                      <w:rFonts w:hint="eastAsia"/>
                      <w:color w:val="000000" w:themeColor="text1"/>
                      <w:sz w:val="21"/>
                      <w:szCs w:val="21"/>
                      <w14:textFill>
                        <w14:solidFill>
                          <w14:schemeClr w14:val="tx1"/>
                        </w14:solidFill>
                      </w14:textFill>
                    </w:rPr>
                    <w:t>号）要求，制定配套区域污染物削减方案，环境质量超标区域实行重点污染物排放倍量削减，环境质量达标区域原则上实施等量削减。新建耗煤项目还应严格按规定采取煤炭消费减量替代措施，不得使用高污染燃料作为煤炭减量替代措施。原则上禁止新增钢铁、电解铝、水泥、平板玻璃、传统煤化工（甲醇、合成氨）、焦化、铝用炭素、砖瓦窑、耐火材料、铅锌冶炼（含再生铅）等行业产能。</w:t>
                  </w:r>
                </w:p>
              </w:tc>
              <w:tc>
                <w:tcPr>
                  <w:tcW w:w="2242" w:type="dxa"/>
                  <w:vAlign w:val="center"/>
                </w:tcPr>
                <w:p w14:paraId="7E1903A3">
                  <w:pPr>
                    <w:rPr>
                      <w:rFonts w:ascii="宋体" w:hAnsi="宋体" w:cs="宋体"/>
                      <w:b/>
                      <w:bCs/>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本项目</w:t>
                  </w:r>
                  <w:r>
                    <w:rPr>
                      <w:rFonts w:hint="eastAsia"/>
                      <w:color w:val="000000" w:themeColor="text1"/>
                      <w:sz w:val="21"/>
                      <w:szCs w:val="21"/>
                      <w14:textFill>
                        <w14:solidFill>
                          <w14:schemeClr w14:val="tx1"/>
                        </w14:solidFill>
                      </w14:textFill>
                    </w:rPr>
                    <w:t>属于食品制造业，</w:t>
                  </w:r>
                  <w:r>
                    <w:rPr>
                      <w:rFonts w:hint="eastAsia" w:ascii="宋体" w:hAnsi="宋体" w:cs="宋体"/>
                      <w:color w:val="000000" w:themeColor="text1"/>
                      <w:sz w:val="21"/>
                      <w:szCs w:val="21"/>
                      <w14:textFill>
                        <w14:solidFill>
                          <w14:schemeClr w14:val="tx1"/>
                        </w14:solidFill>
                      </w14:textFill>
                    </w:rPr>
                    <w:t>不涉及钢铁冶炼、水泥、有色金属冶炼、平板玻璃、化工、建筑陶瓷、耐火材料、砖瓦、矿山开采等行业，不属于“两高”项目，不属于耗煤项目，不新增钢铁、电解铝、水泥、平板玻璃、传统煤化工、焦化、铝用炭素、砖瓦窑、耐火材料、铅锌冶炼等行业产能。</w:t>
                  </w:r>
                </w:p>
              </w:tc>
              <w:tc>
                <w:tcPr>
                  <w:tcW w:w="683" w:type="dxa"/>
                  <w:vAlign w:val="center"/>
                </w:tcPr>
                <w:p w14:paraId="6887288A">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符合</w:t>
                  </w:r>
                </w:p>
              </w:tc>
            </w:tr>
            <w:tr w14:paraId="3514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6" w:type="dxa"/>
                  <w:gridSpan w:val="3"/>
                  <w:vMerge w:val="restart"/>
                  <w:vAlign w:val="center"/>
                </w:tcPr>
                <w:p w14:paraId="5867348E">
                  <w:pPr>
                    <w:jc w:val="center"/>
                    <w:rPr>
                      <w:rFonts w:ascii="宋体" w:hAnsi="宋体" w:cs="宋体"/>
                      <w:b/>
                      <w:bCs/>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污染物排放管控</w:t>
                  </w:r>
                </w:p>
              </w:tc>
              <w:tc>
                <w:tcPr>
                  <w:tcW w:w="4467" w:type="dxa"/>
                  <w:gridSpan w:val="2"/>
                  <w:vAlign w:val="center"/>
                </w:tcPr>
                <w:p w14:paraId="17493B7E">
                  <w:pPr>
                    <w:rPr>
                      <w:rFonts w:ascii="宋体" w:hAnsi="宋体" w:cs="宋体"/>
                      <w:b/>
                      <w:bCs/>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1</w:t>
                  </w:r>
                  <w:r>
                    <w:rPr>
                      <w:rFonts w:hint="eastAsia" w:ascii="宋体" w:hAnsi="宋体" w:cs="仿宋"/>
                      <w:color w:val="000000" w:themeColor="text1"/>
                      <w:kern w:val="0"/>
                      <w:sz w:val="21"/>
                      <w:szCs w:val="21"/>
                      <w:lang w:bidi="ar"/>
                      <w14:textFill>
                        <w14:solidFill>
                          <w14:schemeClr w14:val="tx1"/>
                        </w14:solidFill>
                      </w14:textFill>
                    </w:rPr>
                    <w:t>.新、改、扩建项目主要污染物排放要求满足当地总量减排要求。</w:t>
                  </w:r>
                </w:p>
              </w:tc>
              <w:tc>
                <w:tcPr>
                  <w:tcW w:w="2242" w:type="dxa"/>
                  <w:vAlign w:val="center"/>
                </w:tcPr>
                <w:p w14:paraId="3939E924">
                  <w:pPr>
                    <w:rPr>
                      <w:rFonts w:ascii="宋体" w:hAnsi="宋体" w:cs="宋体"/>
                      <w:b/>
                      <w:bCs/>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本项目为改建项目，主要污染物排放满足当地总量减排要求。</w:t>
                  </w:r>
                </w:p>
              </w:tc>
              <w:tc>
                <w:tcPr>
                  <w:tcW w:w="683" w:type="dxa"/>
                  <w:vAlign w:val="center"/>
                </w:tcPr>
                <w:p w14:paraId="6EB08A76">
                  <w:pPr>
                    <w:jc w:val="center"/>
                    <w:rPr>
                      <w:rFonts w:ascii="宋体" w:hAnsi="宋体" w:cs="宋体"/>
                      <w:b/>
                      <w:bCs/>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符合</w:t>
                  </w:r>
                </w:p>
              </w:tc>
            </w:tr>
            <w:tr w14:paraId="7213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6" w:type="dxa"/>
                  <w:gridSpan w:val="3"/>
                  <w:vMerge w:val="continue"/>
                  <w:vAlign w:val="center"/>
                </w:tcPr>
                <w:p w14:paraId="32E5108C">
                  <w:pPr>
                    <w:jc w:val="center"/>
                    <w:rPr>
                      <w:rFonts w:ascii="宋体" w:hAnsi="宋体" w:cs="宋体"/>
                      <w:b/>
                      <w:bCs/>
                      <w:color w:val="000000" w:themeColor="text1"/>
                      <w:sz w:val="21"/>
                      <w:szCs w:val="21"/>
                      <w14:textFill>
                        <w14:solidFill>
                          <w14:schemeClr w14:val="tx1"/>
                        </w14:solidFill>
                      </w14:textFill>
                    </w:rPr>
                  </w:pPr>
                </w:p>
              </w:tc>
              <w:tc>
                <w:tcPr>
                  <w:tcW w:w="4467" w:type="dxa"/>
                  <w:gridSpan w:val="2"/>
                  <w:vAlign w:val="center"/>
                </w:tcPr>
                <w:p w14:paraId="4CC2E13A">
                  <w:pPr>
                    <w:rPr>
                      <w:rFonts w:ascii="宋体" w:hAnsi="宋体" w:cs="宋体"/>
                      <w:b/>
                      <w:bCs/>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严控新增重金属污染物排放量，在重有色金属冶炼业（铜、铅锌、镍、钴、锡、锑和汞冶炼等）、铅蓄电池制造业、皮革及其制品业（皮革鞣制加工等）、化学原料及化学制品制造业（电石法聚氯乙烯行业、铬盐行业等）、电镀行业等重点行业实施重点重金属减量替代。新、改、扩建涉重金属重点行业建设项目应遵循重点重金属污染物排放“减量替代”原则，应符合《新乡市“十四五”重金属污染防控工作方案》相关要求。</w:t>
                  </w:r>
                </w:p>
              </w:tc>
              <w:tc>
                <w:tcPr>
                  <w:tcW w:w="2242" w:type="dxa"/>
                  <w:vAlign w:val="center"/>
                </w:tcPr>
                <w:p w14:paraId="74FC708F">
                  <w:pPr>
                    <w:rPr>
                      <w:rFonts w:ascii="宋体" w:hAnsi="宋体" w:cs="宋体"/>
                      <w:b/>
                      <w:bCs/>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本项目不涉及重金属污染物排放。</w:t>
                  </w:r>
                </w:p>
              </w:tc>
              <w:tc>
                <w:tcPr>
                  <w:tcW w:w="683" w:type="dxa"/>
                  <w:vAlign w:val="center"/>
                </w:tcPr>
                <w:p w14:paraId="78BC24B4">
                  <w:pPr>
                    <w:jc w:val="center"/>
                    <w:rPr>
                      <w:rFonts w:ascii="宋体" w:hAnsi="宋体" w:cs="宋体"/>
                      <w:b/>
                      <w:bCs/>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符合</w:t>
                  </w:r>
                </w:p>
              </w:tc>
            </w:tr>
            <w:tr w14:paraId="7B18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6" w:type="dxa"/>
                  <w:gridSpan w:val="3"/>
                  <w:vAlign w:val="center"/>
                </w:tcPr>
                <w:p w14:paraId="5DC80DD9">
                  <w:pPr>
                    <w:jc w:val="center"/>
                    <w:rPr>
                      <w:rFonts w:ascii="宋体" w:hAnsi="宋体" w:cs="宋体"/>
                      <w:b/>
                      <w:bCs/>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环境风险防控</w:t>
                  </w:r>
                </w:p>
              </w:tc>
              <w:tc>
                <w:tcPr>
                  <w:tcW w:w="4467" w:type="dxa"/>
                  <w:gridSpan w:val="2"/>
                  <w:vAlign w:val="center"/>
                </w:tcPr>
                <w:p w14:paraId="170C3FC5">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、地下水漏斗区、重金属污染区、生态严重退化区等区域：探索开展耕地轮作休耕试点；实行休耕补贴，引导农民自愿将重度污染耕地退出农业生产。</w:t>
                  </w:r>
                </w:p>
              </w:tc>
              <w:tc>
                <w:tcPr>
                  <w:tcW w:w="2242" w:type="dxa"/>
                  <w:vAlign w:val="center"/>
                </w:tcPr>
                <w:p w14:paraId="362EC2AA">
                  <w:pPr>
                    <w:rPr>
                      <w:rFonts w:ascii="宋体" w:hAnsi="宋体" w:cs="宋体"/>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本项目选址不属于地下水漏斗区、重金属污染区、生态严重退化区等区域。</w:t>
                  </w:r>
                </w:p>
              </w:tc>
              <w:tc>
                <w:tcPr>
                  <w:tcW w:w="683" w:type="dxa"/>
                  <w:vAlign w:val="center"/>
                </w:tcPr>
                <w:p w14:paraId="385BBAED">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符合</w:t>
                  </w:r>
                </w:p>
              </w:tc>
            </w:tr>
            <w:tr w14:paraId="4FBB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6" w:type="dxa"/>
                  <w:gridSpan w:val="3"/>
                  <w:vAlign w:val="center"/>
                </w:tcPr>
                <w:p w14:paraId="5D9782DC">
                  <w:pPr>
                    <w:jc w:val="center"/>
                    <w:rPr>
                      <w:rFonts w:ascii="宋体" w:hAnsi="宋体" w:cs="宋体"/>
                      <w:b/>
                      <w:bCs/>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资源开发效率要求</w:t>
                  </w:r>
                </w:p>
              </w:tc>
              <w:tc>
                <w:tcPr>
                  <w:tcW w:w="4467" w:type="dxa"/>
                  <w:gridSpan w:val="2"/>
                  <w:vAlign w:val="center"/>
                </w:tcPr>
                <w:p w14:paraId="386EB9CD">
                  <w:pPr>
                    <w:rPr>
                      <w:rFonts w:ascii="宋体" w:hAnsi="宋体" w:cs="宋体"/>
                      <w:b/>
                      <w:bCs/>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.“十四五”期间按照政府目标控制能耗增量指标。严控新增耗煤项目，新、改、扩建项目实施煤炭减量替代，重点削减非电力用煤。鼓励使用清洁燃料，重点区域建设项目原则上不新建燃煤自备锅炉。</w:t>
                  </w:r>
                  <w:r>
                    <w:rPr>
                      <w:color w:val="000000" w:themeColor="text1"/>
                      <w:sz w:val="21"/>
                      <w:szCs w:val="21"/>
                      <w14:textFill>
                        <w14:solidFill>
                          <w14:schemeClr w14:val="tx1"/>
                        </w14:solidFill>
                      </w14:textFill>
                    </w:rPr>
                    <w:t>2023</w:t>
                  </w:r>
                  <w:r>
                    <w:rPr>
                      <w:rFonts w:hint="eastAsia"/>
                      <w:color w:val="000000" w:themeColor="text1"/>
                      <w:sz w:val="21"/>
                      <w:szCs w:val="21"/>
                      <w14:textFill>
                        <w14:solidFill>
                          <w14:schemeClr w14:val="tx1"/>
                        </w14:solidFill>
                      </w14:textFill>
                    </w:rPr>
                    <w:t>年底，全面淘汰</w:t>
                  </w:r>
                  <w:r>
                    <w:rPr>
                      <w:color w:val="000000" w:themeColor="text1"/>
                      <w:sz w:val="21"/>
                      <w:szCs w:val="21"/>
                      <w14:textFill>
                        <w14:solidFill>
                          <w14:schemeClr w14:val="tx1"/>
                        </w14:solidFill>
                      </w14:textFill>
                    </w:rPr>
                    <w:t>35</w:t>
                  </w:r>
                  <w:r>
                    <w:rPr>
                      <w:rFonts w:hint="eastAsia"/>
                      <w:color w:val="000000" w:themeColor="text1"/>
                      <w:sz w:val="21"/>
                      <w:szCs w:val="21"/>
                      <w14:textFill>
                        <w14:solidFill>
                          <w14:schemeClr w14:val="tx1"/>
                        </w14:solidFill>
                      </w14:textFill>
                    </w:rPr>
                    <w:t>蒸吨/小时及以下的燃煤锅炉，鼓励淘汰</w:t>
                  </w: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蒸吨/小时以下生物质锅炉，保留现有生物质锅炉应采用专用炉具，禁止掺烧煤炭、垃圾、工业固体废物等其他物料。</w:t>
                  </w:r>
                </w:p>
              </w:tc>
              <w:tc>
                <w:tcPr>
                  <w:tcW w:w="2242" w:type="dxa"/>
                  <w:vAlign w:val="center"/>
                </w:tcPr>
                <w:p w14:paraId="22983702">
                  <w:pPr>
                    <w:rPr>
                      <w:rFonts w:ascii="宋体" w:hAnsi="宋体" w:cs="宋体"/>
                      <w:b/>
                      <w:bCs/>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本项目不涉及燃煤锅炉、生物质锅炉。</w:t>
                  </w:r>
                </w:p>
              </w:tc>
              <w:tc>
                <w:tcPr>
                  <w:tcW w:w="683" w:type="dxa"/>
                  <w:vAlign w:val="center"/>
                </w:tcPr>
                <w:p w14:paraId="082AA370">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符合</w:t>
                  </w:r>
                </w:p>
              </w:tc>
            </w:tr>
            <w:tr w14:paraId="58DA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38" w:type="dxa"/>
                  <w:gridSpan w:val="7"/>
                  <w:vAlign w:val="center"/>
                </w:tcPr>
                <w:p w14:paraId="07A51B8B">
                  <w:pPr>
                    <w:jc w:val="center"/>
                    <w:rPr>
                      <w:rFonts w:ascii="宋体" w:hAnsi="宋体" w:cs="宋体"/>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新乡市各县区分区管控单元生态环境准入清单</w:t>
                  </w:r>
                </w:p>
              </w:tc>
            </w:tr>
            <w:tr w14:paraId="35CC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7" w:type="dxa"/>
                  <w:vAlign w:val="center"/>
                </w:tcPr>
                <w:p w14:paraId="236D9893">
                  <w:pPr>
                    <w:jc w:val="center"/>
                    <w:rPr>
                      <w:rFonts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行政区划</w:t>
                  </w:r>
                </w:p>
              </w:tc>
              <w:tc>
                <w:tcPr>
                  <w:tcW w:w="910" w:type="dxa"/>
                  <w:vAlign w:val="center"/>
                </w:tcPr>
                <w:p w14:paraId="7224B3EB">
                  <w:pPr>
                    <w:jc w:val="center"/>
                    <w:rPr>
                      <w:rFonts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环境管控单元名称</w:t>
                  </w:r>
                </w:p>
              </w:tc>
              <w:tc>
                <w:tcPr>
                  <w:tcW w:w="749" w:type="dxa"/>
                  <w:vAlign w:val="center"/>
                </w:tcPr>
                <w:p w14:paraId="3BA93A92">
                  <w:pPr>
                    <w:jc w:val="center"/>
                    <w:rPr>
                      <w:rFonts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管控单元分类</w:t>
                  </w:r>
                </w:p>
              </w:tc>
              <w:tc>
                <w:tcPr>
                  <w:tcW w:w="4467" w:type="dxa"/>
                  <w:gridSpan w:val="2"/>
                  <w:vAlign w:val="center"/>
                </w:tcPr>
                <w:p w14:paraId="771A40D5">
                  <w:pPr>
                    <w:jc w:val="center"/>
                    <w:rPr>
                      <w:rFonts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管控要求</w:t>
                  </w:r>
                </w:p>
              </w:tc>
              <w:tc>
                <w:tcPr>
                  <w:tcW w:w="2242" w:type="dxa"/>
                  <w:vAlign w:val="center"/>
                </w:tcPr>
                <w:p w14:paraId="267B53EE">
                  <w:pPr>
                    <w:jc w:val="center"/>
                    <w:rPr>
                      <w:rFonts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本项目情况</w:t>
                  </w:r>
                </w:p>
              </w:tc>
              <w:tc>
                <w:tcPr>
                  <w:tcW w:w="683" w:type="dxa"/>
                  <w:vAlign w:val="center"/>
                </w:tcPr>
                <w:p w14:paraId="387297D8">
                  <w:pPr>
                    <w:jc w:val="center"/>
                    <w:rPr>
                      <w:rFonts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是否符合要求</w:t>
                  </w:r>
                </w:p>
              </w:tc>
            </w:tr>
            <w:tr w14:paraId="6E26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7" w:type="dxa"/>
                  <w:vMerge w:val="restart"/>
                  <w:vAlign w:val="center"/>
                </w:tcPr>
                <w:p w14:paraId="7108080B">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延津县</w:t>
                  </w:r>
                </w:p>
              </w:tc>
              <w:tc>
                <w:tcPr>
                  <w:tcW w:w="910" w:type="dxa"/>
                  <w:vMerge w:val="restart"/>
                  <w:vAlign w:val="center"/>
                </w:tcPr>
                <w:p w14:paraId="5AA709D0">
                  <w:pPr>
                    <w:jc w:val="center"/>
                    <w:rPr>
                      <w:rFonts w:ascii="宋体" w:hAnsi="宋体" w:cs="宋体"/>
                      <w:color w:val="000000" w:themeColor="text1"/>
                      <w:sz w:val="21"/>
                      <w:szCs w:val="21"/>
                      <w14:textFill>
                        <w14:solidFill>
                          <w14:schemeClr w14:val="tx1"/>
                        </w14:solidFill>
                      </w14:textFill>
                    </w:rPr>
                  </w:pPr>
                  <w:r>
                    <w:rPr>
                      <w:rFonts w:ascii="宋体" w:hAnsi="宋体" w:cs="宋体"/>
                      <w:sz w:val="21"/>
                      <w:szCs w:val="21"/>
                    </w:rPr>
                    <w:t>延津县水重点、大 气布局敏感区</w:t>
                  </w:r>
                </w:p>
              </w:tc>
              <w:tc>
                <w:tcPr>
                  <w:tcW w:w="749" w:type="dxa"/>
                  <w:vMerge w:val="restart"/>
                  <w:vAlign w:val="center"/>
                </w:tcPr>
                <w:p w14:paraId="21D4EDF6">
                  <w:pPr>
                    <w:jc w:val="center"/>
                    <w:rPr>
                      <w:rFonts w:ascii="宋体" w:hAnsi="宋体" w:cs="宋体"/>
                      <w:color w:val="000000" w:themeColor="text1"/>
                      <w:sz w:val="21"/>
                      <w:szCs w:val="21"/>
                      <w14:textFill>
                        <w14:solidFill>
                          <w14:schemeClr w14:val="tx1"/>
                        </w14:solidFill>
                      </w14:textFill>
                    </w:rPr>
                  </w:pPr>
                  <w:r>
                    <w:rPr>
                      <w:sz w:val="21"/>
                      <w:szCs w:val="21"/>
                    </w:rPr>
                    <w:t>重点管控单元 5</w:t>
                  </w:r>
                </w:p>
              </w:tc>
              <w:tc>
                <w:tcPr>
                  <w:tcW w:w="829" w:type="dxa"/>
                  <w:vMerge w:val="restart"/>
                  <w:vAlign w:val="center"/>
                </w:tcPr>
                <w:p w14:paraId="7CDB43A2">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空间布局约束</w:t>
                  </w:r>
                </w:p>
              </w:tc>
              <w:tc>
                <w:tcPr>
                  <w:tcW w:w="3638" w:type="dxa"/>
                  <w:vAlign w:val="center"/>
                </w:tcPr>
                <w:p w14:paraId="23EF0C08">
                  <w:pPr>
                    <w:rPr>
                      <w:rFonts w:eastAsia="仿宋"/>
                      <w:color w:val="000000" w:themeColor="text1"/>
                      <w:kern w:val="0"/>
                      <w:sz w:val="21"/>
                      <w:szCs w:val="21"/>
                      <w:lang w:bidi="ar"/>
                      <w14:textFill>
                        <w14:solidFill>
                          <w14:schemeClr w14:val="tx1"/>
                        </w14:solidFill>
                      </w14:textFill>
                    </w:rPr>
                  </w:pPr>
                  <w:r>
                    <w:rPr>
                      <w:sz w:val="21"/>
                      <w:szCs w:val="21"/>
                    </w:rPr>
                    <w:t>1、严格控制新建、扩建高排放、高污染项目，包括钢铁、水泥、有色、平板玻璃、建筑陶瓷等行业及其他排放重金属、持久性有机污染物的工业项目等。</w:t>
                  </w:r>
                </w:p>
              </w:tc>
              <w:tc>
                <w:tcPr>
                  <w:tcW w:w="2242" w:type="dxa"/>
                  <w:vAlign w:val="center"/>
                </w:tcPr>
                <w:p w14:paraId="6681E308">
                  <w:pPr>
                    <w:rPr>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本项目</w:t>
                  </w:r>
                  <w:r>
                    <w:rPr>
                      <w:rFonts w:hint="eastAsia"/>
                      <w:color w:val="000000" w:themeColor="text1"/>
                      <w:sz w:val="21"/>
                      <w:szCs w:val="21"/>
                      <w14:textFill>
                        <w14:solidFill>
                          <w14:schemeClr w14:val="tx1"/>
                        </w14:solidFill>
                      </w14:textFill>
                    </w:rPr>
                    <w:t>属于食品制造业，不属于</w:t>
                  </w:r>
                  <w:r>
                    <w:rPr>
                      <w:sz w:val="21"/>
                      <w:szCs w:val="21"/>
                    </w:rPr>
                    <w:t>高排放、高污染及其他排放重金属、持久性有机污染物的工业项目。</w:t>
                  </w:r>
                </w:p>
              </w:tc>
              <w:tc>
                <w:tcPr>
                  <w:tcW w:w="683" w:type="dxa"/>
                  <w:vAlign w:val="center"/>
                </w:tcPr>
                <w:p w14:paraId="7257F956">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符合</w:t>
                  </w:r>
                </w:p>
              </w:tc>
            </w:tr>
            <w:tr w14:paraId="63BB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7" w:type="dxa"/>
                  <w:vMerge w:val="continue"/>
                  <w:vAlign w:val="center"/>
                </w:tcPr>
                <w:p w14:paraId="41A9F5BA">
                  <w:pPr>
                    <w:jc w:val="center"/>
                    <w:rPr>
                      <w:rFonts w:ascii="宋体" w:hAnsi="宋体" w:cs="宋体"/>
                      <w:color w:val="000000" w:themeColor="text1"/>
                      <w:sz w:val="21"/>
                      <w:szCs w:val="21"/>
                      <w14:textFill>
                        <w14:solidFill>
                          <w14:schemeClr w14:val="tx1"/>
                        </w14:solidFill>
                      </w14:textFill>
                    </w:rPr>
                  </w:pPr>
                </w:p>
              </w:tc>
              <w:tc>
                <w:tcPr>
                  <w:tcW w:w="910" w:type="dxa"/>
                  <w:vMerge w:val="continue"/>
                  <w:vAlign w:val="center"/>
                </w:tcPr>
                <w:p w14:paraId="615F35A1">
                  <w:pPr>
                    <w:jc w:val="center"/>
                    <w:rPr>
                      <w:rFonts w:ascii="宋体" w:hAnsi="宋体" w:cs="宋体"/>
                      <w:color w:val="000000" w:themeColor="text1"/>
                      <w:sz w:val="21"/>
                      <w:szCs w:val="21"/>
                      <w14:textFill>
                        <w14:solidFill>
                          <w14:schemeClr w14:val="tx1"/>
                        </w14:solidFill>
                      </w14:textFill>
                    </w:rPr>
                  </w:pPr>
                </w:p>
              </w:tc>
              <w:tc>
                <w:tcPr>
                  <w:tcW w:w="749" w:type="dxa"/>
                  <w:vMerge w:val="continue"/>
                  <w:vAlign w:val="center"/>
                </w:tcPr>
                <w:p w14:paraId="33707DCF">
                  <w:pPr>
                    <w:jc w:val="center"/>
                    <w:rPr>
                      <w:rFonts w:ascii="宋体" w:hAnsi="宋体" w:cs="宋体"/>
                      <w:color w:val="000000" w:themeColor="text1"/>
                      <w:sz w:val="21"/>
                      <w:szCs w:val="21"/>
                      <w14:textFill>
                        <w14:solidFill>
                          <w14:schemeClr w14:val="tx1"/>
                        </w14:solidFill>
                      </w14:textFill>
                    </w:rPr>
                  </w:pPr>
                </w:p>
              </w:tc>
              <w:tc>
                <w:tcPr>
                  <w:tcW w:w="829" w:type="dxa"/>
                  <w:vMerge w:val="continue"/>
                  <w:vAlign w:val="center"/>
                </w:tcPr>
                <w:p w14:paraId="79C75EAD">
                  <w:pPr>
                    <w:jc w:val="center"/>
                    <w:rPr>
                      <w:rFonts w:ascii="宋体" w:hAnsi="宋体" w:cs="宋体"/>
                      <w:color w:val="000000" w:themeColor="text1"/>
                      <w:sz w:val="21"/>
                      <w:szCs w:val="21"/>
                      <w14:textFill>
                        <w14:solidFill>
                          <w14:schemeClr w14:val="tx1"/>
                        </w14:solidFill>
                      </w14:textFill>
                    </w:rPr>
                  </w:pPr>
                </w:p>
              </w:tc>
              <w:tc>
                <w:tcPr>
                  <w:tcW w:w="3638" w:type="dxa"/>
                  <w:vAlign w:val="center"/>
                </w:tcPr>
                <w:p w14:paraId="10161CE6">
                  <w:pPr>
                    <w:rPr>
                      <w:color w:val="000000" w:themeColor="text1"/>
                      <w:sz w:val="21"/>
                      <w:szCs w:val="21"/>
                      <w14:textFill>
                        <w14:solidFill>
                          <w14:schemeClr w14:val="tx1"/>
                        </w14:solidFill>
                      </w14:textFill>
                    </w:rPr>
                  </w:pPr>
                  <w:r>
                    <w:rPr>
                      <w:sz w:val="21"/>
                      <w:szCs w:val="21"/>
                    </w:rPr>
                    <w:t>2、严格控制新、改、扩</w:t>
                  </w:r>
                  <w:r>
                    <w:rPr>
                      <w:rFonts w:hint="eastAsia" w:ascii="宋体" w:hAnsi="宋体" w:cs="宋体"/>
                      <w:sz w:val="21"/>
                      <w:szCs w:val="21"/>
                    </w:rPr>
                    <w:t>建“两高”项</w:t>
                  </w:r>
                  <w:r>
                    <w:rPr>
                      <w:sz w:val="21"/>
                      <w:szCs w:val="21"/>
                    </w:rPr>
                    <w:t>目。</w:t>
                  </w:r>
                </w:p>
              </w:tc>
              <w:tc>
                <w:tcPr>
                  <w:tcW w:w="2242" w:type="dxa"/>
                  <w:vAlign w:val="center"/>
                </w:tcPr>
                <w:p w14:paraId="0082FB4B">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w:t>
                  </w:r>
                  <w:r>
                    <w:rPr>
                      <w:rFonts w:hint="eastAsia"/>
                      <w:color w:val="000000" w:themeColor="text1"/>
                      <w:sz w:val="21"/>
                      <w:szCs w:val="21"/>
                      <w14:textFill>
                        <w14:solidFill>
                          <w14:schemeClr w14:val="tx1"/>
                        </w14:solidFill>
                      </w14:textFill>
                    </w:rPr>
                    <w:t>不涉及</w:t>
                  </w:r>
                  <w:r>
                    <w:rPr>
                      <w:color w:val="000000" w:themeColor="text1"/>
                      <w:sz w:val="21"/>
                      <w:szCs w:val="21"/>
                      <w14:textFill>
                        <w14:solidFill>
                          <w14:schemeClr w14:val="tx1"/>
                        </w14:solidFill>
                      </w14:textFill>
                    </w:rPr>
                    <w:t>。</w:t>
                  </w:r>
                </w:p>
              </w:tc>
              <w:tc>
                <w:tcPr>
                  <w:tcW w:w="683" w:type="dxa"/>
                  <w:vAlign w:val="center"/>
                </w:tcPr>
                <w:p w14:paraId="139EE8F4">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w:t>
                  </w:r>
                </w:p>
              </w:tc>
            </w:tr>
            <w:tr w14:paraId="38CE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7" w:type="dxa"/>
                  <w:vMerge w:val="continue"/>
                  <w:vAlign w:val="center"/>
                </w:tcPr>
                <w:p w14:paraId="33BCFFE1">
                  <w:pPr>
                    <w:jc w:val="center"/>
                    <w:rPr>
                      <w:rFonts w:ascii="宋体" w:hAnsi="宋体" w:cs="宋体"/>
                      <w:color w:val="000000" w:themeColor="text1"/>
                      <w:sz w:val="21"/>
                      <w:szCs w:val="21"/>
                      <w14:textFill>
                        <w14:solidFill>
                          <w14:schemeClr w14:val="tx1"/>
                        </w14:solidFill>
                      </w14:textFill>
                    </w:rPr>
                  </w:pPr>
                </w:p>
              </w:tc>
              <w:tc>
                <w:tcPr>
                  <w:tcW w:w="910" w:type="dxa"/>
                  <w:vMerge w:val="continue"/>
                  <w:vAlign w:val="center"/>
                </w:tcPr>
                <w:p w14:paraId="5600842E">
                  <w:pPr>
                    <w:jc w:val="center"/>
                    <w:rPr>
                      <w:rFonts w:ascii="宋体" w:hAnsi="宋体" w:cs="宋体"/>
                      <w:color w:val="000000" w:themeColor="text1"/>
                      <w:sz w:val="21"/>
                      <w:szCs w:val="21"/>
                      <w14:textFill>
                        <w14:solidFill>
                          <w14:schemeClr w14:val="tx1"/>
                        </w14:solidFill>
                      </w14:textFill>
                    </w:rPr>
                  </w:pPr>
                </w:p>
              </w:tc>
              <w:tc>
                <w:tcPr>
                  <w:tcW w:w="749" w:type="dxa"/>
                  <w:vMerge w:val="continue"/>
                  <w:vAlign w:val="center"/>
                </w:tcPr>
                <w:p w14:paraId="4B50CAD4">
                  <w:pPr>
                    <w:jc w:val="center"/>
                    <w:rPr>
                      <w:rFonts w:ascii="宋体" w:hAnsi="宋体" w:cs="宋体"/>
                      <w:color w:val="000000" w:themeColor="text1"/>
                      <w:sz w:val="21"/>
                      <w:szCs w:val="21"/>
                      <w14:textFill>
                        <w14:solidFill>
                          <w14:schemeClr w14:val="tx1"/>
                        </w14:solidFill>
                      </w14:textFill>
                    </w:rPr>
                  </w:pPr>
                </w:p>
              </w:tc>
              <w:tc>
                <w:tcPr>
                  <w:tcW w:w="829" w:type="dxa"/>
                  <w:vMerge w:val="restart"/>
                  <w:vAlign w:val="center"/>
                </w:tcPr>
                <w:p w14:paraId="0789FC40">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污染物排放管控</w:t>
                  </w:r>
                </w:p>
              </w:tc>
              <w:tc>
                <w:tcPr>
                  <w:tcW w:w="3638" w:type="dxa"/>
                  <w:vAlign w:val="center"/>
                </w:tcPr>
                <w:p w14:paraId="78667B41">
                  <w:pPr>
                    <w:rPr>
                      <w:color w:val="000000" w:themeColor="text1"/>
                      <w:sz w:val="21"/>
                      <w:szCs w:val="21"/>
                      <w14:textFill>
                        <w14:solidFill>
                          <w14:schemeClr w14:val="tx1"/>
                        </w14:solidFill>
                      </w14:textFill>
                    </w:rPr>
                  </w:pPr>
                  <w:r>
                    <w:rPr>
                      <w:sz w:val="21"/>
                      <w:szCs w:val="21"/>
                    </w:rPr>
                    <w:t>1、二氧化硫、氮氧化物、颗粒物、VOCs全面执行大气污染物特别排放限值。</w:t>
                  </w:r>
                </w:p>
              </w:tc>
              <w:tc>
                <w:tcPr>
                  <w:tcW w:w="2242" w:type="dxa"/>
                  <w:vAlign w:val="center"/>
                </w:tcPr>
                <w:p w14:paraId="156FB19B">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w:t>
                  </w:r>
                  <w:r>
                    <w:rPr>
                      <w:rFonts w:hint="eastAsia"/>
                      <w:color w:val="000000" w:themeColor="text1"/>
                      <w:sz w:val="21"/>
                      <w:szCs w:val="21"/>
                      <w14:textFill>
                        <w14:solidFill>
                          <w14:schemeClr w14:val="tx1"/>
                        </w14:solidFill>
                      </w14:textFill>
                    </w:rPr>
                    <w:t>蒸汽发生器天然气燃烧废气颗粒物、SO</w:t>
                  </w:r>
                  <w:r>
                    <w:rPr>
                      <w:rFonts w:hint="eastAsia"/>
                      <w:color w:val="000000" w:themeColor="text1"/>
                      <w:sz w:val="21"/>
                      <w:szCs w:val="21"/>
                      <w:vertAlign w:val="subscript"/>
                      <w14:textFill>
                        <w14:solidFill>
                          <w14:schemeClr w14:val="tx1"/>
                        </w14:solidFill>
                      </w14:textFill>
                    </w:rPr>
                    <w:t>2</w:t>
                  </w:r>
                  <w:r>
                    <w:rPr>
                      <w:rFonts w:hint="eastAsia"/>
                      <w:color w:val="000000" w:themeColor="text1"/>
                      <w:sz w:val="21"/>
                      <w:szCs w:val="21"/>
                      <w14:textFill>
                        <w14:solidFill>
                          <w14:schemeClr w14:val="tx1"/>
                        </w14:solidFill>
                      </w14:textFill>
                    </w:rPr>
                    <w:t>、NOx</w:t>
                  </w:r>
                  <w:r>
                    <w:rPr>
                      <w:color w:val="000000" w:themeColor="text1"/>
                      <w:sz w:val="21"/>
                      <w:szCs w:val="21"/>
                      <w14:textFill>
                        <w14:solidFill>
                          <w14:schemeClr w14:val="tx1"/>
                        </w14:solidFill>
                      </w14:textFill>
                    </w:rPr>
                    <w:t>满足《锅炉大气污染物排放标准》（DB41/2089-2021）的要求</w:t>
                  </w:r>
                  <w:r>
                    <w:rPr>
                      <w:rFonts w:hint="eastAsia"/>
                      <w:color w:val="000000" w:themeColor="text1"/>
                      <w:sz w:val="21"/>
                      <w:szCs w:val="21"/>
                      <w14:textFill>
                        <w14:solidFill>
                          <w14:schemeClr w14:val="tx1"/>
                        </w14:solidFill>
                      </w14:textFill>
                    </w:rPr>
                    <w:t>，同</w:t>
                  </w:r>
                  <w:r>
                    <w:rPr>
                      <w:rFonts w:hint="eastAsia"/>
                      <w:sz w:val="21"/>
                      <w:szCs w:val="21"/>
                    </w:rPr>
                    <w:t>时满足</w:t>
                  </w:r>
                  <w:r>
                    <w:rPr>
                      <w:color w:val="000000" w:themeColor="text1"/>
                      <w:sz w:val="21"/>
                      <w:szCs w:val="21"/>
                      <w14:textFill>
                        <w14:solidFill>
                          <w14:schemeClr w14:val="tx1"/>
                        </w14:solidFill>
                      </w14:textFill>
                    </w:rPr>
                    <w:t>《河南省重污染天气通用行业应急减排措施制定技术指南》中涉锅炉A级绩效分级排放要求</w:t>
                  </w:r>
                  <w:r>
                    <w:rPr>
                      <w:rFonts w:hint="eastAsia"/>
                      <w:color w:val="000000" w:themeColor="text1"/>
                      <w:sz w:val="21"/>
                      <w:szCs w:val="21"/>
                      <w14:textFill>
                        <w14:solidFill>
                          <w14:schemeClr w14:val="tx1"/>
                        </w14:solidFill>
                      </w14:textFill>
                    </w:rPr>
                    <w:t>。</w:t>
                  </w:r>
                </w:p>
              </w:tc>
              <w:tc>
                <w:tcPr>
                  <w:tcW w:w="683" w:type="dxa"/>
                  <w:vAlign w:val="center"/>
                </w:tcPr>
                <w:p w14:paraId="03980334">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符合</w:t>
                  </w:r>
                </w:p>
              </w:tc>
            </w:tr>
            <w:tr w14:paraId="45903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7" w:type="dxa"/>
                  <w:vMerge w:val="continue"/>
                  <w:vAlign w:val="center"/>
                </w:tcPr>
                <w:p w14:paraId="035675A9">
                  <w:pPr>
                    <w:jc w:val="center"/>
                    <w:rPr>
                      <w:rFonts w:ascii="宋体" w:hAnsi="宋体" w:cs="宋体"/>
                      <w:color w:val="000000" w:themeColor="text1"/>
                      <w:sz w:val="21"/>
                      <w:szCs w:val="21"/>
                      <w14:textFill>
                        <w14:solidFill>
                          <w14:schemeClr w14:val="tx1"/>
                        </w14:solidFill>
                      </w14:textFill>
                    </w:rPr>
                  </w:pPr>
                </w:p>
              </w:tc>
              <w:tc>
                <w:tcPr>
                  <w:tcW w:w="910" w:type="dxa"/>
                  <w:vMerge w:val="continue"/>
                  <w:vAlign w:val="center"/>
                </w:tcPr>
                <w:p w14:paraId="551F50D2">
                  <w:pPr>
                    <w:jc w:val="center"/>
                    <w:rPr>
                      <w:rFonts w:ascii="宋体" w:hAnsi="宋体" w:cs="宋体"/>
                      <w:color w:val="000000" w:themeColor="text1"/>
                      <w:sz w:val="21"/>
                      <w:szCs w:val="21"/>
                      <w14:textFill>
                        <w14:solidFill>
                          <w14:schemeClr w14:val="tx1"/>
                        </w14:solidFill>
                      </w14:textFill>
                    </w:rPr>
                  </w:pPr>
                </w:p>
              </w:tc>
              <w:tc>
                <w:tcPr>
                  <w:tcW w:w="749" w:type="dxa"/>
                  <w:vMerge w:val="continue"/>
                  <w:vAlign w:val="center"/>
                </w:tcPr>
                <w:p w14:paraId="02FA7443">
                  <w:pPr>
                    <w:jc w:val="center"/>
                    <w:rPr>
                      <w:rFonts w:ascii="宋体" w:hAnsi="宋体" w:cs="宋体"/>
                      <w:color w:val="000000" w:themeColor="text1"/>
                      <w:sz w:val="21"/>
                      <w:szCs w:val="21"/>
                      <w14:textFill>
                        <w14:solidFill>
                          <w14:schemeClr w14:val="tx1"/>
                        </w14:solidFill>
                      </w14:textFill>
                    </w:rPr>
                  </w:pPr>
                </w:p>
              </w:tc>
              <w:tc>
                <w:tcPr>
                  <w:tcW w:w="829" w:type="dxa"/>
                  <w:vMerge w:val="continue"/>
                  <w:vAlign w:val="center"/>
                </w:tcPr>
                <w:p w14:paraId="68C2483E">
                  <w:pPr>
                    <w:jc w:val="center"/>
                    <w:rPr>
                      <w:rFonts w:ascii="宋体" w:hAnsi="宋体" w:cs="宋体"/>
                      <w:color w:val="000000" w:themeColor="text1"/>
                      <w:sz w:val="21"/>
                      <w:szCs w:val="21"/>
                      <w14:textFill>
                        <w14:solidFill>
                          <w14:schemeClr w14:val="tx1"/>
                        </w14:solidFill>
                      </w14:textFill>
                    </w:rPr>
                  </w:pPr>
                </w:p>
              </w:tc>
              <w:tc>
                <w:tcPr>
                  <w:tcW w:w="3638" w:type="dxa"/>
                  <w:vAlign w:val="center"/>
                </w:tcPr>
                <w:p w14:paraId="69E605B3">
                  <w:pPr>
                    <w:rPr>
                      <w:color w:val="000000" w:themeColor="text1"/>
                      <w:sz w:val="21"/>
                      <w:szCs w:val="21"/>
                      <w14:textFill>
                        <w14:solidFill>
                          <w14:schemeClr w14:val="tx1"/>
                        </w14:solidFill>
                      </w14:textFill>
                    </w:rPr>
                  </w:pPr>
                  <w:r>
                    <w:rPr>
                      <w:sz w:val="21"/>
                      <w:szCs w:val="21"/>
                    </w:rPr>
                    <w:t>2、</w:t>
                  </w:r>
                  <w:r>
                    <w:rPr>
                      <w:rFonts w:hint="eastAsia" w:ascii="宋体" w:hAnsi="宋体" w:cs="宋体"/>
                      <w:sz w:val="21"/>
                      <w:szCs w:val="21"/>
                    </w:rPr>
                    <w:t>鼓励规模以下畜禽养殖户采用“种养结合”“截污建池、收运还田”等模式处理。</w:t>
                  </w:r>
                </w:p>
              </w:tc>
              <w:tc>
                <w:tcPr>
                  <w:tcW w:w="2242" w:type="dxa"/>
                  <w:vAlign w:val="center"/>
                </w:tcPr>
                <w:p w14:paraId="698575AA">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w:t>
                  </w:r>
                  <w:r>
                    <w:rPr>
                      <w:rFonts w:hint="eastAsia"/>
                      <w:color w:val="000000" w:themeColor="text1"/>
                      <w:sz w:val="21"/>
                      <w:szCs w:val="21"/>
                      <w14:textFill>
                        <w14:solidFill>
                          <w14:schemeClr w14:val="tx1"/>
                        </w14:solidFill>
                      </w14:textFill>
                    </w:rPr>
                    <w:t>不涉及</w:t>
                  </w:r>
                  <w:r>
                    <w:rPr>
                      <w:color w:val="000000" w:themeColor="text1"/>
                      <w:sz w:val="21"/>
                      <w:szCs w:val="21"/>
                      <w14:textFill>
                        <w14:solidFill>
                          <w14:schemeClr w14:val="tx1"/>
                        </w14:solidFill>
                      </w14:textFill>
                    </w:rPr>
                    <w:t>。</w:t>
                  </w:r>
                </w:p>
              </w:tc>
              <w:tc>
                <w:tcPr>
                  <w:tcW w:w="683" w:type="dxa"/>
                  <w:vAlign w:val="center"/>
                </w:tcPr>
                <w:p w14:paraId="0EAA969A">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w:t>
                  </w:r>
                </w:p>
              </w:tc>
            </w:tr>
            <w:tr w14:paraId="029A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7" w:type="dxa"/>
                  <w:vMerge w:val="continue"/>
                  <w:vAlign w:val="center"/>
                </w:tcPr>
                <w:p w14:paraId="60C2ACC8">
                  <w:pPr>
                    <w:jc w:val="center"/>
                    <w:rPr>
                      <w:rFonts w:ascii="宋体" w:hAnsi="宋体" w:cs="宋体"/>
                      <w:color w:val="000000" w:themeColor="text1"/>
                      <w:sz w:val="21"/>
                      <w:szCs w:val="21"/>
                      <w14:textFill>
                        <w14:solidFill>
                          <w14:schemeClr w14:val="tx1"/>
                        </w14:solidFill>
                      </w14:textFill>
                    </w:rPr>
                  </w:pPr>
                </w:p>
              </w:tc>
              <w:tc>
                <w:tcPr>
                  <w:tcW w:w="910" w:type="dxa"/>
                  <w:vMerge w:val="continue"/>
                  <w:vAlign w:val="center"/>
                </w:tcPr>
                <w:p w14:paraId="3C3E7C44">
                  <w:pPr>
                    <w:jc w:val="center"/>
                    <w:rPr>
                      <w:rFonts w:ascii="宋体" w:hAnsi="宋体" w:cs="宋体"/>
                      <w:color w:val="000000" w:themeColor="text1"/>
                      <w:sz w:val="21"/>
                      <w:szCs w:val="21"/>
                      <w14:textFill>
                        <w14:solidFill>
                          <w14:schemeClr w14:val="tx1"/>
                        </w14:solidFill>
                      </w14:textFill>
                    </w:rPr>
                  </w:pPr>
                </w:p>
              </w:tc>
              <w:tc>
                <w:tcPr>
                  <w:tcW w:w="749" w:type="dxa"/>
                  <w:vMerge w:val="continue"/>
                  <w:vAlign w:val="center"/>
                </w:tcPr>
                <w:p w14:paraId="2F454A9A">
                  <w:pPr>
                    <w:jc w:val="center"/>
                    <w:rPr>
                      <w:rFonts w:ascii="宋体" w:hAnsi="宋体" w:cs="宋体"/>
                      <w:color w:val="000000" w:themeColor="text1"/>
                      <w:sz w:val="21"/>
                      <w:szCs w:val="21"/>
                      <w14:textFill>
                        <w14:solidFill>
                          <w14:schemeClr w14:val="tx1"/>
                        </w14:solidFill>
                      </w14:textFill>
                    </w:rPr>
                  </w:pPr>
                </w:p>
              </w:tc>
              <w:tc>
                <w:tcPr>
                  <w:tcW w:w="829" w:type="dxa"/>
                  <w:vMerge w:val="restart"/>
                  <w:vAlign w:val="center"/>
                </w:tcPr>
                <w:p w14:paraId="4803EE91">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环境风险防控</w:t>
                  </w:r>
                </w:p>
              </w:tc>
              <w:tc>
                <w:tcPr>
                  <w:tcW w:w="3638" w:type="dxa"/>
                  <w:vAlign w:val="center"/>
                </w:tcPr>
                <w:p w14:paraId="020C06FC">
                  <w:pPr>
                    <w:rPr>
                      <w:color w:val="000000" w:themeColor="text1"/>
                      <w:sz w:val="21"/>
                      <w:szCs w:val="21"/>
                      <w14:textFill>
                        <w14:solidFill>
                          <w14:schemeClr w14:val="tx1"/>
                        </w14:solidFill>
                      </w14:textFill>
                    </w:rPr>
                  </w:pPr>
                  <w:r>
                    <w:rPr>
                      <w:sz w:val="21"/>
                      <w:szCs w:val="21"/>
                    </w:rPr>
                    <w:t>1、在基础设施和企业内部生产运营管理中，认真落实环境风险防范措施，杜绝发生污染事故。</w:t>
                  </w:r>
                </w:p>
              </w:tc>
              <w:tc>
                <w:tcPr>
                  <w:tcW w:w="2242" w:type="dxa"/>
                  <w:vAlign w:val="center"/>
                </w:tcPr>
                <w:p w14:paraId="4FC50BB3">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本项目建成后制定应急预案，配备专业的应急物资，</w:t>
                  </w:r>
                  <w:r>
                    <w:rPr>
                      <w:sz w:val="21"/>
                      <w:szCs w:val="21"/>
                    </w:rPr>
                    <w:t>认真落实环境风险防范措施，杜绝发生污染事故。</w:t>
                  </w:r>
                </w:p>
              </w:tc>
              <w:tc>
                <w:tcPr>
                  <w:tcW w:w="683" w:type="dxa"/>
                  <w:vAlign w:val="center"/>
                </w:tcPr>
                <w:p w14:paraId="12AB0271">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符合</w:t>
                  </w:r>
                </w:p>
              </w:tc>
            </w:tr>
            <w:tr w14:paraId="690F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7" w:type="dxa"/>
                  <w:vMerge w:val="continue"/>
                  <w:vAlign w:val="center"/>
                </w:tcPr>
                <w:p w14:paraId="0D4118F0">
                  <w:pPr>
                    <w:jc w:val="center"/>
                    <w:rPr>
                      <w:rFonts w:ascii="宋体" w:hAnsi="宋体" w:cs="宋体"/>
                      <w:color w:val="000000" w:themeColor="text1"/>
                      <w:sz w:val="21"/>
                      <w:szCs w:val="21"/>
                      <w14:textFill>
                        <w14:solidFill>
                          <w14:schemeClr w14:val="tx1"/>
                        </w14:solidFill>
                      </w14:textFill>
                    </w:rPr>
                  </w:pPr>
                </w:p>
              </w:tc>
              <w:tc>
                <w:tcPr>
                  <w:tcW w:w="910" w:type="dxa"/>
                  <w:vMerge w:val="continue"/>
                  <w:vAlign w:val="center"/>
                </w:tcPr>
                <w:p w14:paraId="295E1E9F">
                  <w:pPr>
                    <w:jc w:val="center"/>
                    <w:rPr>
                      <w:rFonts w:ascii="宋体" w:hAnsi="宋体" w:cs="宋体"/>
                      <w:color w:val="000000" w:themeColor="text1"/>
                      <w:sz w:val="21"/>
                      <w:szCs w:val="21"/>
                      <w14:textFill>
                        <w14:solidFill>
                          <w14:schemeClr w14:val="tx1"/>
                        </w14:solidFill>
                      </w14:textFill>
                    </w:rPr>
                  </w:pPr>
                </w:p>
              </w:tc>
              <w:tc>
                <w:tcPr>
                  <w:tcW w:w="749" w:type="dxa"/>
                  <w:vMerge w:val="continue"/>
                  <w:vAlign w:val="center"/>
                </w:tcPr>
                <w:p w14:paraId="28C023D1">
                  <w:pPr>
                    <w:jc w:val="center"/>
                    <w:rPr>
                      <w:rFonts w:ascii="宋体" w:hAnsi="宋体" w:cs="宋体"/>
                      <w:color w:val="000000" w:themeColor="text1"/>
                      <w:sz w:val="21"/>
                      <w:szCs w:val="21"/>
                      <w14:textFill>
                        <w14:solidFill>
                          <w14:schemeClr w14:val="tx1"/>
                        </w14:solidFill>
                      </w14:textFill>
                    </w:rPr>
                  </w:pPr>
                </w:p>
              </w:tc>
              <w:tc>
                <w:tcPr>
                  <w:tcW w:w="829" w:type="dxa"/>
                  <w:vMerge w:val="continue"/>
                  <w:vAlign w:val="center"/>
                </w:tcPr>
                <w:p w14:paraId="0B60536C">
                  <w:pPr>
                    <w:jc w:val="center"/>
                    <w:rPr>
                      <w:rFonts w:ascii="宋体" w:hAnsi="宋体" w:cs="宋体"/>
                      <w:color w:val="000000" w:themeColor="text1"/>
                      <w:sz w:val="21"/>
                      <w:szCs w:val="21"/>
                      <w14:textFill>
                        <w14:solidFill>
                          <w14:schemeClr w14:val="tx1"/>
                        </w14:solidFill>
                      </w14:textFill>
                    </w:rPr>
                  </w:pPr>
                </w:p>
              </w:tc>
              <w:tc>
                <w:tcPr>
                  <w:tcW w:w="3638" w:type="dxa"/>
                  <w:vAlign w:val="center"/>
                </w:tcPr>
                <w:p w14:paraId="5812915B">
                  <w:pPr>
                    <w:rPr>
                      <w:color w:val="000000" w:themeColor="text1"/>
                      <w:sz w:val="21"/>
                      <w:szCs w:val="21"/>
                      <w14:textFill>
                        <w14:solidFill>
                          <w14:schemeClr w14:val="tx1"/>
                        </w14:solidFill>
                      </w14:textFill>
                    </w:rPr>
                  </w:pPr>
                  <w:r>
                    <w:rPr>
                      <w:sz w:val="21"/>
                      <w:szCs w:val="21"/>
                    </w:rPr>
                    <w:t>2、区内具有重大危险源的企业应在厂区内修建消防废水应急水池，在发生事故时，对消防废水或未经处理的高浓度废水进行收集，防止对地表水产生影响。</w:t>
                  </w:r>
                </w:p>
              </w:tc>
              <w:tc>
                <w:tcPr>
                  <w:tcW w:w="2242" w:type="dxa"/>
                  <w:vAlign w:val="center"/>
                </w:tcPr>
                <w:p w14:paraId="2C355DA6">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本项目不涉及重大危险源，天然气储罐配备</w:t>
                  </w:r>
                  <w:r>
                    <w:rPr>
                      <w:color w:val="000000" w:themeColor="text1"/>
                      <w:sz w:val="21"/>
                      <w:szCs w:val="21"/>
                      <w14:textFill>
                        <w14:solidFill>
                          <w14:schemeClr w14:val="tx1"/>
                        </w14:solidFill>
                      </w14:textFill>
                    </w:rPr>
                    <w:t>可燃气体探测器</w:t>
                  </w:r>
                  <w:r>
                    <w:rPr>
                      <w:rFonts w:hint="eastAsia"/>
                      <w:color w:val="000000" w:themeColor="text1"/>
                      <w:sz w:val="21"/>
                      <w:szCs w:val="21"/>
                      <w14:textFill>
                        <w14:solidFill>
                          <w14:schemeClr w14:val="tx1"/>
                        </w14:solidFill>
                      </w14:textFill>
                    </w:rPr>
                    <w:t>，发现泄露立即切断阀门，采用泡</w:t>
                  </w:r>
                  <w:r>
                    <w:rPr>
                      <w:color w:val="000000" w:themeColor="text1"/>
                      <w:sz w:val="21"/>
                      <w:szCs w:val="21"/>
                      <w14:textFill>
                        <w14:solidFill>
                          <w14:schemeClr w14:val="tx1"/>
                        </w14:solidFill>
                      </w14:textFill>
                    </w:rPr>
                    <w:t>沫、二氧化碳、干粉</w:t>
                  </w:r>
                  <w:r>
                    <w:rPr>
                      <w:rFonts w:hint="eastAsia"/>
                      <w:color w:val="000000" w:themeColor="text1"/>
                      <w:sz w:val="21"/>
                      <w:szCs w:val="21"/>
                      <w14:textFill>
                        <w14:solidFill>
                          <w14:schemeClr w14:val="tx1"/>
                        </w14:solidFill>
                      </w14:textFill>
                    </w:rPr>
                    <w:t>灭火剂</w:t>
                  </w:r>
                  <w:r>
                    <w:rPr>
                      <w:color w:val="000000" w:themeColor="text1"/>
                      <w:sz w:val="21"/>
                      <w:szCs w:val="21"/>
                      <w14:textFill>
                        <w14:solidFill>
                          <w14:schemeClr w14:val="tx1"/>
                        </w14:solidFill>
                      </w14:textFill>
                    </w:rPr>
                    <w:t>。</w:t>
                  </w:r>
                </w:p>
              </w:tc>
              <w:tc>
                <w:tcPr>
                  <w:tcW w:w="683" w:type="dxa"/>
                  <w:vAlign w:val="center"/>
                </w:tcPr>
                <w:p w14:paraId="1DD56111">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符合</w:t>
                  </w:r>
                </w:p>
              </w:tc>
            </w:tr>
            <w:tr w14:paraId="0542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7" w:type="dxa"/>
                  <w:vMerge w:val="continue"/>
                  <w:vAlign w:val="center"/>
                </w:tcPr>
                <w:p w14:paraId="0CC767D4">
                  <w:pPr>
                    <w:jc w:val="center"/>
                    <w:rPr>
                      <w:rFonts w:ascii="宋体" w:hAnsi="宋体" w:cs="宋体"/>
                      <w:color w:val="000000" w:themeColor="text1"/>
                      <w:sz w:val="21"/>
                      <w:szCs w:val="21"/>
                      <w14:textFill>
                        <w14:solidFill>
                          <w14:schemeClr w14:val="tx1"/>
                        </w14:solidFill>
                      </w14:textFill>
                    </w:rPr>
                  </w:pPr>
                </w:p>
              </w:tc>
              <w:tc>
                <w:tcPr>
                  <w:tcW w:w="910" w:type="dxa"/>
                  <w:vMerge w:val="continue"/>
                  <w:vAlign w:val="center"/>
                </w:tcPr>
                <w:p w14:paraId="6EDB345B">
                  <w:pPr>
                    <w:jc w:val="center"/>
                    <w:rPr>
                      <w:rFonts w:ascii="宋体" w:hAnsi="宋体" w:cs="宋体"/>
                      <w:color w:val="000000" w:themeColor="text1"/>
                      <w:sz w:val="21"/>
                      <w:szCs w:val="21"/>
                      <w14:textFill>
                        <w14:solidFill>
                          <w14:schemeClr w14:val="tx1"/>
                        </w14:solidFill>
                      </w14:textFill>
                    </w:rPr>
                  </w:pPr>
                </w:p>
              </w:tc>
              <w:tc>
                <w:tcPr>
                  <w:tcW w:w="749" w:type="dxa"/>
                  <w:vMerge w:val="continue"/>
                  <w:vAlign w:val="center"/>
                </w:tcPr>
                <w:p w14:paraId="45A01935">
                  <w:pPr>
                    <w:jc w:val="center"/>
                    <w:rPr>
                      <w:rFonts w:ascii="宋体" w:hAnsi="宋体" w:cs="宋体"/>
                      <w:color w:val="000000" w:themeColor="text1"/>
                      <w:sz w:val="21"/>
                      <w:szCs w:val="21"/>
                      <w14:textFill>
                        <w14:solidFill>
                          <w14:schemeClr w14:val="tx1"/>
                        </w14:solidFill>
                      </w14:textFill>
                    </w:rPr>
                  </w:pPr>
                </w:p>
              </w:tc>
              <w:tc>
                <w:tcPr>
                  <w:tcW w:w="829" w:type="dxa"/>
                  <w:vMerge w:val="restart"/>
                  <w:vAlign w:val="center"/>
                </w:tcPr>
                <w:p w14:paraId="20C6C3F7">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资源利用效率要求</w:t>
                  </w:r>
                </w:p>
              </w:tc>
              <w:tc>
                <w:tcPr>
                  <w:tcW w:w="3638" w:type="dxa"/>
                  <w:vAlign w:val="center"/>
                </w:tcPr>
                <w:p w14:paraId="70EC81BF">
                  <w:pPr>
                    <w:rPr>
                      <w:color w:val="000000" w:themeColor="text1"/>
                      <w:sz w:val="21"/>
                      <w:szCs w:val="21"/>
                      <w14:textFill>
                        <w14:solidFill>
                          <w14:schemeClr w14:val="tx1"/>
                        </w14:solidFill>
                      </w14:textFill>
                    </w:rPr>
                  </w:pPr>
                  <w:r>
                    <w:rPr>
                      <w:sz w:val="21"/>
                      <w:szCs w:val="21"/>
                    </w:rPr>
                    <w:t>1、依托延津县长青生物质热电厂将辖区内秸秆及枯枝烂叶用于生物质发电，将废弃资源最大化利用。</w:t>
                  </w:r>
                </w:p>
              </w:tc>
              <w:tc>
                <w:tcPr>
                  <w:tcW w:w="2242" w:type="dxa"/>
                  <w:vAlign w:val="center"/>
                </w:tcPr>
                <w:p w14:paraId="37E77599">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w:t>
                  </w:r>
                  <w:r>
                    <w:rPr>
                      <w:rFonts w:hint="eastAsia"/>
                      <w:color w:val="000000" w:themeColor="text1"/>
                      <w:sz w:val="21"/>
                      <w:szCs w:val="21"/>
                      <w14:textFill>
                        <w14:solidFill>
                          <w14:schemeClr w14:val="tx1"/>
                        </w14:solidFill>
                      </w14:textFill>
                    </w:rPr>
                    <w:t>不涉及</w:t>
                  </w:r>
                  <w:r>
                    <w:rPr>
                      <w:color w:val="000000" w:themeColor="text1"/>
                      <w:sz w:val="21"/>
                      <w:szCs w:val="21"/>
                      <w14:textFill>
                        <w14:solidFill>
                          <w14:schemeClr w14:val="tx1"/>
                        </w14:solidFill>
                      </w14:textFill>
                    </w:rPr>
                    <w:t>。</w:t>
                  </w:r>
                </w:p>
              </w:tc>
              <w:tc>
                <w:tcPr>
                  <w:tcW w:w="683" w:type="dxa"/>
                  <w:vAlign w:val="center"/>
                </w:tcPr>
                <w:p w14:paraId="645729B5">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w:t>
                  </w:r>
                </w:p>
              </w:tc>
            </w:tr>
            <w:tr w14:paraId="3CA3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7" w:type="dxa"/>
                  <w:vMerge w:val="continue"/>
                  <w:vAlign w:val="center"/>
                </w:tcPr>
                <w:p w14:paraId="1AA544B5">
                  <w:pPr>
                    <w:jc w:val="center"/>
                    <w:rPr>
                      <w:rFonts w:ascii="宋体" w:hAnsi="宋体" w:cs="宋体"/>
                      <w:color w:val="000000" w:themeColor="text1"/>
                      <w:sz w:val="21"/>
                      <w:szCs w:val="21"/>
                      <w14:textFill>
                        <w14:solidFill>
                          <w14:schemeClr w14:val="tx1"/>
                        </w14:solidFill>
                      </w14:textFill>
                    </w:rPr>
                  </w:pPr>
                </w:p>
              </w:tc>
              <w:tc>
                <w:tcPr>
                  <w:tcW w:w="910" w:type="dxa"/>
                  <w:vMerge w:val="continue"/>
                  <w:vAlign w:val="center"/>
                </w:tcPr>
                <w:p w14:paraId="705E055F">
                  <w:pPr>
                    <w:jc w:val="center"/>
                    <w:rPr>
                      <w:rFonts w:ascii="宋体" w:hAnsi="宋体" w:cs="宋体"/>
                      <w:color w:val="000000" w:themeColor="text1"/>
                      <w:sz w:val="21"/>
                      <w:szCs w:val="21"/>
                      <w14:textFill>
                        <w14:solidFill>
                          <w14:schemeClr w14:val="tx1"/>
                        </w14:solidFill>
                      </w14:textFill>
                    </w:rPr>
                  </w:pPr>
                </w:p>
              </w:tc>
              <w:tc>
                <w:tcPr>
                  <w:tcW w:w="749" w:type="dxa"/>
                  <w:vMerge w:val="continue"/>
                  <w:vAlign w:val="center"/>
                </w:tcPr>
                <w:p w14:paraId="722695DF">
                  <w:pPr>
                    <w:jc w:val="center"/>
                    <w:rPr>
                      <w:rFonts w:ascii="宋体" w:hAnsi="宋体" w:cs="宋体"/>
                      <w:color w:val="000000" w:themeColor="text1"/>
                      <w:sz w:val="21"/>
                      <w:szCs w:val="21"/>
                      <w14:textFill>
                        <w14:solidFill>
                          <w14:schemeClr w14:val="tx1"/>
                        </w14:solidFill>
                      </w14:textFill>
                    </w:rPr>
                  </w:pPr>
                </w:p>
              </w:tc>
              <w:tc>
                <w:tcPr>
                  <w:tcW w:w="829" w:type="dxa"/>
                  <w:vMerge w:val="continue"/>
                  <w:vAlign w:val="center"/>
                </w:tcPr>
                <w:p w14:paraId="1A115DDE">
                  <w:pPr>
                    <w:jc w:val="center"/>
                    <w:rPr>
                      <w:rFonts w:ascii="宋体" w:hAnsi="宋体" w:cs="宋体"/>
                      <w:color w:val="000000" w:themeColor="text1"/>
                      <w:sz w:val="21"/>
                      <w:szCs w:val="21"/>
                      <w14:textFill>
                        <w14:solidFill>
                          <w14:schemeClr w14:val="tx1"/>
                        </w14:solidFill>
                      </w14:textFill>
                    </w:rPr>
                  </w:pPr>
                </w:p>
              </w:tc>
              <w:tc>
                <w:tcPr>
                  <w:tcW w:w="3638" w:type="dxa"/>
                  <w:vAlign w:val="center"/>
                </w:tcPr>
                <w:p w14:paraId="5C67D07E">
                  <w:pPr>
                    <w:rPr>
                      <w:color w:val="000000" w:themeColor="text1"/>
                      <w:sz w:val="21"/>
                      <w:szCs w:val="21"/>
                      <w14:textFill>
                        <w14:solidFill>
                          <w14:schemeClr w14:val="tx1"/>
                        </w14:solidFill>
                      </w14:textFill>
                    </w:rPr>
                  </w:pPr>
                  <w:r>
                    <w:rPr>
                      <w:sz w:val="21"/>
                      <w:szCs w:val="21"/>
                    </w:rPr>
                    <w:t>2、加快村镇污水管网系统建设。</w:t>
                  </w:r>
                </w:p>
              </w:tc>
              <w:tc>
                <w:tcPr>
                  <w:tcW w:w="2242" w:type="dxa"/>
                  <w:vAlign w:val="center"/>
                </w:tcPr>
                <w:p w14:paraId="6179DA0D">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本项目废水排入</w:t>
                  </w:r>
                  <w:r>
                    <w:rPr>
                      <w:rFonts w:hint="eastAsia"/>
                      <w:color w:val="000000" w:themeColor="text1"/>
                      <w:sz w:val="21"/>
                      <w:szCs w:val="21"/>
                      <w:lang w:eastAsia="zh-CN"/>
                      <w14:textFill>
                        <w14:solidFill>
                          <w14:schemeClr w14:val="tx1"/>
                        </w14:solidFill>
                      </w14:textFill>
                    </w:rPr>
                    <w:t>夹堤村西污水处理站</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由于</w:t>
                  </w:r>
                  <w:r>
                    <w:rPr>
                      <w:rFonts w:hint="eastAsia"/>
                      <w:color w:val="000000" w:themeColor="text1"/>
                      <w:sz w:val="21"/>
                      <w:szCs w:val="21"/>
                      <w:lang w:eastAsia="zh-CN"/>
                      <w14:textFill>
                        <w14:solidFill>
                          <w14:schemeClr w14:val="tx1"/>
                        </w14:solidFill>
                      </w14:textFill>
                    </w:rPr>
                    <w:t>夹堤村西污水处理站</w:t>
                  </w:r>
                  <w:r>
                    <w:rPr>
                      <w:color w:val="000000" w:themeColor="text1"/>
                      <w:sz w:val="21"/>
                      <w:szCs w:val="21"/>
                      <w14:textFill>
                        <w14:solidFill>
                          <w14:schemeClr w14:val="tx1"/>
                        </w14:solidFill>
                      </w14:textFill>
                    </w:rPr>
                    <w:t>暂未建成，本项目废水在</w:t>
                  </w:r>
                  <w:r>
                    <w:rPr>
                      <w:rFonts w:hint="eastAsia"/>
                      <w:color w:val="000000" w:themeColor="text1"/>
                      <w:sz w:val="21"/>
                      <w:szCs w:val="21"/>
                      <w:lang w:eastAsia="zh-CN"/>
                      <w14:textFill>
                        <w14:solidFill>
                          <w14:schemeClr w14:val="tx1"/>
                        </w14:solidFill>
                      </w14:textFill>
                    </w:rPr>
                    <w:t>夹堤村西污水处理站</w:t>
                  </w:r>
                  <w:r>
                    <w:rPr>
                      <w:color w:val="000000" w:themeColor="text1"/>
                      <w:sz w:val="21"/>
                      <w:szCs w:val="21"/>
                      <w14:textFill>
                        <w14:solidFill>
                          <w14:schemeClr w14:val="tx1"/>
                        </w14:solidFill>
                      </w14:textFill>
                    </w:rPr>
                    <w:t>正式运行前用于农灌。</w:t>
                  </w:r>
                </w:p>
              </w:tc>
              <w:tc>
                <w:tcPr>
                  <w:tcW w:w="683" w:type="dxa"/>
                  <w:vAlign w:val="center"/>
                </w:tcPr>
                <w:p w14:paraId="001521EF">
                  <w:pPr>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符合</w:t>
                  </w:r>
                </w:p>
              </w:tc>
            </w:tr>
          </w:tbl>
          <w:p w14:paraId="0DE3034E">
            <w:pPr>
              <w:spacing w:line="460" w:lineRule="exact"/>
              <w:ind w:firstLine="48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由上表可知，本项目符合《</w:t>
            </w:r>
            <w:bookmarkStart w:id="2" w:name="OLE_LINK56"/>
            <w:r>
              <w:rPr>
                <w:color w:val="000000" w:themeColor="text1"/>
                <w14:textFill>
                  <w14:solidFill>
                    <w14:schemeClr w14:val="tx1"/>
                  </w14:solidFill>
                </w14:textFill>
              </w:rPr>
              <w:t>新乡市</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三线一单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生态环境准入清单（2023年版）</w:t>
            </w:r>
            <w:bookmarkEnd w:id="2"/>
            <w:r>
              <w:rPr>
                <w:rFonts w:hint="eastAsia"/>
                <w:color w:val="000000" w:themeColor="text1"/>
                <w14:textFill>
                  <w14:solidFill>
                    <w14:schemeClr w14:val="tx1"/>
                  </w14:solidFill>
                </w14:textFill>
              </w:rPr>
              <w:t>-</w:t>
            </w:r>
            <w:bookmarkStart w:id="3" w:name="OLE_LINK49"/>
            <w:r>
              <w:rPr>
                <w:color w:val="000000" w:themeColor="text1"/>
                <w14:textFill>
                  <w14:solidFill>
                    <w14:schemeClr w14:val="tx1"/>
                  </w14:solidFill>
                </w14:textFill>
              </w:rPr>
              <w:t>延津县水重点、大气布局敏感区</w:t>
            </w:r>
            <w:r>
              <w:rPr>
                <w:rFonts w:hint="eastAsia"/>
                <w:color w:val="000000" w:themeColor="text1"/>
                <w14:textFill>
                  <w14:solidFill>
                    <w14:schemeClr w14:val="tx1"/>
                  </w14:solidFill>
                </w14:textFill>
              </w:rPr>
              <w:t>环境管控单元生态环境准</w:t>
            </w:r>
            <w:r>
              <w:rPr>
                <w:rFonts w:hint="eastAsia" w:ascii="宋体" w:hAnsi="宋体" w:cs="宋体"/>
                <w:color w:val="000000" w:themeColor="text1"/>
                <w14:textFill>
                  <w14:solidFill>
                    <w14:schemeClr w14:val="tx1"/>
                  </w14:solidFill>
                </w14:textFill>
              </w:rPr>
              <w:t>入清单</w:t>
            </w:r>
            <w:bookmarkEnd w:id="3"/>
            <w:r>
              <w:rPr>
                <w:rFonts w:hint="eastAsia" w:ascii="宋体" w:hAnsi="宋体" w:cs="宋体"/>
                <w:color w:val="000000" w:themeColor="text1"/>
                <w14:textFill>
                  <w14:solidFill>
                    <w14:schemeClr w14:val="tx1"/>
                  </w14:solidFill>
                </w14:textFill>
              </w:rPr>
              <w:t>》中的相关要求。</w:t>
            </w:r>
          </w:p>
          <w:p w14:paraId="01FB7EE7">
            <w:pPr>
              <w:pStyle w:val="5"/>
              <w:rPr>
                <w:rFonts w:ascii="宋体" w:hAnsi="宋体" w:cs="宋体"/>
                <w:color w:val="000000" w:themeColor="text1"/>
                <w14:textFill>
                  <w14:solidFill>
                    <w14:schemeClr w14:val="tx1"/>
                  </w14:solidFill>
                </w14:textFill>
              </w:rPr>
            </w:pPr>
          </w:p>
          <w:p w14:paraId="41F2562F">
            <w:pPr>
              <w:rPr>
                <w:rFonts w:ascii="宋体" w:hAnsi="宋体" w:cs="宋体"/>
                <w:color w:val="000000" w:themeColor="text1"/>
                <w14:textFill>
                  <w14:solidFill>
                    <w14:schemeClr w14:val="tx1"/>
                  </w14:solidFill>
                </w14:textFill>
              </w:rPr>
            </w:pPr>
          </w:p>
          <w:p w14:paraId="0BAF41D8">
            <w:pPr>
              <w:pStyle w:val="5"/>
              <w:rPr>
                <w:rFonts w:ascii="宋体" w:hAnsi="宋体" w:cs="宋体"/>
                <w:color w:val="000000" w:themeColor="text1"/>
                <w14:textFill>
                  <w14:solidFill>
                    <w14:schemeClr w14:val="tx1"/>
                  </w14:solidFill>
                </w14:textFill>
              </w:rPr>
            </w:pPr>
          </w:p>
          <w:p w14:paraId="26718095">
            <w:pPr>
              <w:rPr>
                <w:rFonts w:ascii="宋体" w:hAnsi="宋体" w:cs="宋体"/>
                <w:color w:val="000000" w:themeColor="text1"/>
                <w14:textFill>
                  <w14:solidFill>
                    <w14:schemeClr w14:val="tx1"/>
                  </w14:solidFill>
                </w14:textFill>
              </w:rPr>
            </w:pPr>
          </w:p>
          <w:p w14:paraId="1228C377">
            <w:pPr>
              <w:pStyle w:val="5"/>
              <w:rPr>
                <w:rFonts w:ascii="宋体" w:hAnsi="宋体" w:cs="宋体"/>
                <w:color w:val="000000" w:themeColor="text1"/>
                <w14:textFill>
                  <w14:solidFill>
                    <w14:schemeClr w14:val="tx1"/>
                  </w14:solidFill>
                </w14:textFill>
              </w:rPr>
            </w:pPr>
          </w:p>
          <w:p w14:paraId="586242EE">
            <w:pPr>
              <w:rPr>
                <w:rFonts w:ascii="宋体" w:hAnsi="宋体" w:cs="宋体"/>
                <w:color w:val="000000" w:themeColor="text1"/>
                <w14:textFill>
                  <w14:solidFill>
                    <w14:schemeClr w14:val="tx1"/>
                  </w14:solidFill>
                </w14:textFill>
              </w:rPr>
            </w:pPr>
          </w:p>
          <w:p w14:paraId="472A850C">
            <w:pPr>
              <w:pStyle w:val="5"/>
              <w:rPr>
                <w:rFonts w:ascii="宋体" w:hAnsi="宋体" w:cs="宋体"/>
                <w:color w:val="000000" w:themeColor="text1"/>
                <w14:textFill>
                  <w14:solidFill>
                    <w14:schemeClr w14:val="tx1"/>
                  </w14:solidFill>
                </w14:textFill>
              </w:rPr>
            </w:pPr>
          </w:p>
          <w:p w14:paraId="1AB4296B">
            <w:pPr>
              <w:pStyle w:val="5"/>
            </w:pPr>
          </w:p>
          <w:p w14:paraId="1B367B3F"/>
          <w:p w14:paraId="629C2FFC"/>
          <w:p w14:paraId="24779C69"/>
          <w:p w14:paraId="098B9825"/>
        </w:tc>
      </w:tr>
    </w:tbl>
    <w:p w14:paraId="49CD025F">
      <w:pPr>
        <w:spacing w:before="100" w:beforeAutospacing="1" w:after="100" w:afterAutospacing="1"/>
        <w:jc w:val="center"/>
        <w:rPr>
          <w:rFonts w:ascii="黑体" w:hAnsi="黑体" w:eastAsia="黑体" w:cs="黑体"/>
          <w:color w:val="000000" w:themeColor="text1"/>
          <w:sz w:val="30"/>
          <w:szCs w:val="30"/>
          <w14:textFill>
            <w14:solidFill>
              <w14:schemeClr w14:val="tx1"/>
            </w14:solidFill>
          </w14:textFill>
        </w:rPr>
        <w:sectPr>
          <w:pgSz w:w="11906" w:h="16838"/>
          <w:pgMar w:top="1701" w:right="1134" w:bottom="1701" w:left="1134" w:header="851" w:footer="992" w:gutter="0"/>
          <w:cols w:space="720" w:num="1"/>
          <w:docGrid w:type="lines" w:linePitch="312" w:charSpace="0"/>
        </w:sectPr>
      </w:pP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8408"/>
      </w:tblGrid>
      <w:tr w14:paraId="4038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1" w:hRule="atLeast"/>
          <w:jc w:val="center"/>
        </w:trPr>
        <w:tc>
          <w:tcPr>
            <w:tcW w:w="1413" w:type="dxa"/>
            <w:vAlign w:val="center"/>
          </w:tcPr>
          <w:p w14:paraId="25DCE69B">
            <w:pPr>
              <w:jc w:val="center"/>
              <w:rPr>
                <w:rFonts w:ascii="黑体" w:hAnsi="黑体" w:eastAsia="黑体" w:cs="黑体"/>
                <w:color w:val="000000" w:themeColor="text1"/>
                <w:sz w:val="30"/>
                <w:szCs w:val="30"/>
                <w14:textFill>
                  <w14:solidFill>
                    <w14:schemeClr w14:val="tx1"/>
                  </w14:solidFill>
                </w14:textFill>
              </w:rPr>
            </w:pPr>
          </w:p>
        </w:tc>
        <w:tc>
          <w:tcPr>
            <w:tcW w:w="8215" w:type="dxa"/>
            <w:vAlign w:val="center"/>
          </w:tcPr>
          <w:p w14:paraId="62F245F4">
            <w:pPr>
              <w:ind w:left="480"/>
              <w:jc w:val="left"/>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6</w:t>
            </w:r>
            <w:r>
              <w:rPr>
                <w:b/>
                <w:bCs/>
                <w:color w:val="000000" w:themeColor="text1"/>
                <w14:textFill>
                  <w14:solidFill>
                    <w14:schemeClr w14:val="tx1"/>
                  </w14:solidFill>
                </w14:textFill>
              </w:rPr>
              <w:t>、与其他相关政策文件相符性分析</w:t>
            </w:r>
          </w:p>
          <w:p w14:paraId="700F9732">
            <w:pPr>
              <w:spacing w:line="460" w:lineRule="exact"/>
              <w:ind w:firstLine="480" w:firstLineChars="20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（1）本项目与</w:t>
            </w:r>
            <w:bookmarkStart w:id="4" w:name="OLE_LINK65"/>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新乡市</w:t>
            </w:r>
            <w:bookmarkEnd w:id="4"/>
            <w:r>
              <w:rPr>
                <w:rFonts w:hint="eastAsia" w:ascii="Times New Roman" w:hAnsi="Times New Roman" w:cs="Times New Roman"/>
                <w:color w:val="000000" w:themeColor="text1"/>
                <w14:textFill>
                  <w14:solidFill>
                    <w14:schemeClr w14:val="tx1"/>
                  </w14:solidFill>
                </w14:textFill>
              </w:rPr>
              <w:t>202</w:t>
            </w:r>
            <w:r>
              <w:rPr>
                <w:rFonts w:hint="eastAsia" w:ascii="Times New Roman" w:hAnsi="Times New Roman" w:cs="Times New Roman"/>
                <w:color w:val="000000" w:themeColor="text1"/>
                <w:lang w:val="en-US" w:eastAsia="zh-CN"/>
                <w14:textFill>
                  <w14:solidFill>
                    <w14:schemeClr w14:val="tx1"/>
                  </w14:solidFill>
                </w14:textFill>
              </w:rPr>
              <w:t>6</w:t>
            </w:r>
            <w:r>
              <w:rPr>
                <w:rFonts w:hint="eastAsia" w:ascii="Times New Roman" w:hAnsi="Times New Roman" w:cs="Times New Roman"/>
                <w:color w:val="000000" w:themeColor="text1"/>
                <w14:textFill>
                  <w14:solidFill>
                    <w14:schemeClr w14:val="tx1"/>
                  </w14:solidFill>
                </w14:textFill>
              </w:rPr>
              <w:t>年蓝天保卫战实施方案</w:t>
            </w:r>
            <w:r>
              <w:rPr>
                <w:rFonts w:hint="eastAsia" w:ascii="Times New Roman" w:hAnsi="Times New Roman" w:cs="Times New Roman"/>
                <w:color w:val="000000" w:themeColor="text1"/>
                <w:lang w:eastAsia="zh-CN"/>
                <w14:textFill>
                  <w14:solidFill>
                    <w14:schemeClr w14:val="tx1"/>
                  </w14:solidFill>
                </w14:textFill>
              </w:rPr>
              <w:t>》﹝新环委办[2026]18号﹞、</w:t>
            </w:r>
            <w:r>
              <w:rPr>
                <w:rFonts w:hint="eastAsia" w:ascii="Times New Roman" w:hAnsi="Times New Roman" w:cs="Times New Roman"/>
                <w:color w:val="000000" w:themeColor="text1"/>
                <w:lang w:val="en-US" w:eastAsia="zh-CN"/>
                <w14:textFill>
                  <w14:solidFill>
                    <w14:schemeClr w14:val="tx1"/>
                  </w14:solidFill>
                </w14:textFill>
              </w:rPr>
              <w:t>《新乡市2026年碧水保卫战实施方案》、</w:t>
            </w:r>
            <w:r>
              <w:rPr>
                <w:rFonts w:hint="eastAsia" w:ascii="Times New Roman" w:hAnsi="Times New Roman" w:cs="Times New Roman"/>
                <w:color w:val="000000" w:themeColor="text1"/>
                <w14:textFill>
                  <w14:solidFill>
                    <w14:schemeClr w14:val="tx1"/>
                  </w14:solidFill>
                </w14:textFill>
              </w:rPr>
              <w:t>《新乡市2026年净土保卫战实施方案》</w:t>
            </w:r>
            <w:r>
              <w:rPr>
                <w:rFonts w:hint="eastAsia" w:ascii="Times New Roman" w:hAnsi="Times New Roman" w:cs="Times New Roman"/>
                <w:color w:val="000000" w:themeColor="text1"/>
                <w:lang w:eastAsia="zh-CN"/>
                <w14:textFill>
                  <w14:solidFill>
                    <w14:schemeClr w14:val="tx1"/>
                  </w14:solidFill>
                </w14:textFill>
              </w:rPr>
              <w:t>﹝新环委办</w:t>
            </w:r>
            <w:r>
              <w:rPr>
                <w:rFonts w:hint="default"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2026]20号﹞、《</w:t>
            </w:r>
            <w:r>
              <w:rPr>
                <w:rFonts w:hint="eastAsia" w:ascii="Times New Roman" w:hAnsi="Times New Roman" w:cs="Times New Roman"/>
                <w:color w:val="000000" w:themeColor="text1"/>
                <w14:textFill>
                  <w14:solidFill>
                    <w14:schemeClr w14:val="tx1"/>
                  </w14:solidFill>
                </w14:textFill>
              </w:rPr>
              <w:t>新乡市2026年柴油货车污染治理攻坚战实施方案》</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新环委办[2026]21号</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以下简称“</w:t>
            </w:r>
            <w:r>
              <w:rPr>
                <w:rFonts w:hint="eastAsia" w:ascii="Times New Roman" w:hAnsi="Times New Roman" w:cs="Times New Roman"/>
                <w:color w:val="000000" w:themeColor="text1"/>
                <w14:textFill>
                  <w14:solidFill>
                    <w14:schemeClr w14:val="tx1"/>
                  </w14:solidFill>
                </w14:textFill>
              </w:rPr>
              <w:t>攻坚战实施方案</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）相符性</w:t>
            </w:r>
            <w:r>
              <w:rPr>
                <w:rFonts w:hint="eastAsia" w:ascii="Times New Roman" w:hAnsi="Times New Roman" w:cs="Times New Roman"/>
                <w:color w:val="000000" w:themeColor="text1"/>
                <w14:textFill>
                  <w14:solidFill>
                    <w14:schemeClr w14:val="tx1"/>
                  </w14:solidFill>
                </w14:textFill>
              </w:rPr>
              <w:t>分析</w:t>
            </w:r>
          </w:p>
          <w:p w14:paraId="2D311925">
            <w:pPr>
              <w:spacing w:line="460" w:lineRule="exact"/>
              <w:ind w:firstLine="480" w:firstLineChars="200"/>
              <w:jc w:val="left"/>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表1-</w:t>
            </w:r>
            <w:r>
              <w:rPr>
                <w:rFonts w:hint="eastAsia" w:eastAsia="黑体"/>
                <w:color w:val="000000" w:themeColor="text1"/>
                <w:lang w:val="en-US" w:eastAsia="zh-CN"/>
                <w14:textFill>
                  <w14:solidFill>
                    <w14:schemeClr w14:val="tx1"/>
                  </w14:solidFill>
                </w14:textFill>
              </w:rPr>
              <w:t>6</w:t>
            </w:r>
            <w:r>
              <w:rPr>
                <w:rFonts w:eastAsia="黑体"/>
                <w:color w:val="000000" w:themeColor="text1"/>
                <w14:textFill>
                  <w14:solidFill>
                    <w14:schemeClr w14:val="tx1"/>
                  </w14:solidFill>
                </w14:textFill>
              </w:rPr>
              <w:t xml:space="preserve">           本项目与《攻坚战实施方案》对比表</w:t>
            </w:r>
          </w:p>
          <w:tbl>
            <w:tblPr>
              <w:tblStyle w:val="18"/>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4303"/>
              <w:gridCol w:w="2118"/>
              <w:gridCol w:w="690"/>
            </w:tblGrid>
            <w:tr w14:paraId="76F527C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84" w:type="dxa"/>
                  <w:gridSpan w:val="2"/>
                  <w:tcBorders>
                    <w:top w:val="single" w:color="auto" w:sz="8" w:space="0"/>
                    <w:left w:val="nil"/>
                    <w:bottom w:val="single" w:color="auto" w:sz="4" w:space="0"/>
                    <w:right w:val="single" w:color="auto" w:sz="4" w:space="0"/>
                  </w:tcBorders>
                  <w:noWrap w:val="0"/>
                  <w:vAlign w:val="center"/>
                </w:tcPr>
                <w:p w14:paraId="2F0D90FE">
                  <w:pPr>
                    <w:adjustRightInd w:val="0"/>
                    <w:snapToGrid w:val="0"/>
                    <w:jc w:val="center"/>
                    <w:rPr>
                      <w:b/>
                      <w:bCs/>
                      <w:sz w:val="21"/>
                      <w:szCs w:val="21"/>
                    </w:rPr>
                  </w:pPr>
                  <w:r>
                    <w:rPr>
                      <w:rFonts w:hint="eastAsia" w:ascii="宋体" w:hAnsi="宋体" w:eastAsia="宋体" w:cs="宋体"/>
                      <w:b/>
                      <w:bCs/>
                      <w:sz w:val="21"/>
                      <w:szCs w:val="21"/>
                    </w:rPr>
                    <w:t>与本项目相关条文</w:t>
                  </w:r>
                </w:p>
              </w:tc>
              <w:tc>
                <w:tcPr>
                  <w:tcW w:w="2118" w:type="dxa"/>
                  <w:tcBorders>
                    <w:top w:val="single" w:color="auto" w:sz="8" w:space="0"/>
                    <w:left w:val="single" w:color="auto" w:sz="4" w:space="0"/>
                    <w:bottom w:val="single" w:color="auto" w:sz="4" w:space="0"/>
                    <w:right w:val="single" w:color="auto" w:sz="4" w:space="0"/>
                  </w:tcBorders>
                  <w:noWrap w:val="0"/>
                  <w:vAlign w:val="center"/>
                </w:tcPr>
                <w:p w14:paraId="20417B4D">
                  <w:pPr>
                    <w:adjustRightInd w:val="0"/>
                    <w:snapToGrid w:val="0"/>
                    <w:jc w:val="center"/>
                    <w:rPr>
                      <w:b/>
                      <w:bCs/>
                      <w:sz w:val="21"/>
                      <w:szCs w:val="21"/>
                    </w:rPr>
                  </w:pPr>
                  <w:r>
                    <w:rPr>
                      <w:rFonts w:hint="eastAsia" w:ascii="宋体" w:hAnsi="宋体" w:eastAsia="宋体" w:cs="宋体"/>
                      <w:b/>
                      <w:bCs/>
                      <w:sz w:val="21"/>
                      <w:szCs w:val="21"/>
                    </w:rPr>
                    <w:t>本项目情况</w:t>
                  </w:r>
                </w:p>
              </w:tc>
              <w:tc>
                <w:tcPr>
                  <w:tcW w:w="690" w:type="dxa"/>
                  <w:tcBorders>
                    <w:top w:val="single" w:color="auto" w:sz="8" w:space="0"/>
                    <w:left w:val="single" w:color="auto" w:sz="4" w:space="0"/>
                    <w:bottom w:val="single" w:color="auto" w:sz="4" w:space="0"/>
                    <w:right w:val="nil"/>
                  </w:tcBorders>
                  <w:noWrap w:val="0"/>
                  <w:vAlign w:val="center"/>
                </w:tcPr>
                <w:p w14:paraId="1F1A8380">
                  <w:pPr>
                    <w:adjustRightInd w:val="0"/>
                    <w:snapToGrid w:val="0"/>
                    <w:jc w:val="center"/>
                    <w:rPr>
                      <w:b/>
                      <w:bCs/>
                      <w:sz w:val="21"/>
                      <w:szCs w:val="21"/>
                    </w:rPr>
                  </w:pPr>
                  <w:r>
                    <w:rPr>
                      <w:rFonts w:hint="eastAsia" w:ascii="宋体" w:hAnsi="宋体" w:eastAsia="宋体" w:cs="宋体"/>
                      <w:b/>
                      <w:bCs/>
                      <w:sz w:val="21"/>
                      <w:szCs w:val="21"/>
                    </w:rPr>
                    <w:t>对比结果</w:t>
                  </w:r>
                </w:p>
              </w:tc>
            </w:tr>
            <w:tr w14:paraId="28A96D0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92" w:type="dxa"/>
                  <w:gridSpan w:val="4"/>
                  <w:tcBorders>
                    <w:top w:val="single" w:color="auto" w:sz="4" w:space="0"/>
                    <w:left w:val="nil"/>
                    <w:bottom w:val="single" w:color="auto" w:sz="4" w:space="0"/>
                    <w:right w:val="nil"/>
                  </w:tcBorders>
                  <w:noWrap w:val="0"/>
                  <w:vAlign w:val="center"/>
                </w:tcPr>
                <w:p w14:paraId="163A76E2">
                  <w:pPr>
                    <w:jc w:val="center"/>
                    <w:rPr>
                      <w:b/>
                      <w:bCs/>
                      <w:sz w:val="21"/>
                      <w:szCs w:val="21"/>
                    </w:rPr>
                  </w:pPr>
                  <w:r>
                    <w:rPr>
                      <w:rFonts w:hint="eastAsia" w:ascii="宋体" w:hAnsi="宋体" w:eastAsia="宋体" w:cs="宋体"/>
                      <w:b/>
                      <w:bCs/>
                      <w:sz w:val="21"/>
                      <w:szCs w:val="21"/>
                    </w:rPr>
                    <w:t>《新乡市</w:t>
                  </w:r>
                  <w:r>
                    <w:rPr>
                      <w:b/>
                      <w:bCs/>
                      <w:sz w:val="21"/>
                      <w:szCs w:val="21"/>
                    </w:rPr>
                    <w:t>202</w:t>
                  </w:r>
                  <w:r>
                    <w:rPr>
                      <w:rFonts w:hint="eastAsia"/>
                      <w:b/>
                      <w:bCs/>
                      <w:sz w:val="21"/>
                      <w:szCs w:val="21"/>
                      <w:lang w:val="en-US" w:eastAsia="zh-CN"/>
                    </w:rPr>
                    <w:t>6</w:t>
                  </w:r>
                  <w:r>
                    <w:rPr>
                      <w:rFonts w:hint="eastAsia" w:ascii="宋体" w:hAnsi="宋体" w:eastAsia="宋体" w:cs="宋体"/>
                      <w:b/>
                      <w:bCs/>
                      <w:sz w:val="21"/>
                      <w:szCs w:val="21"/>
                    </w:rPr>
                    <w:t>年蓝天保卫战实施方案》</w:t>
                  </w:r>
                </w:p>
              </w:tc>
            </w:tr>
            <w:tr w14:paraId="24DBA0C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1" w:type="dxa"/>
                  <w:vMerge w:val="restart"/>
                  <w:tcBorders>
                    <w:top w:val="single" w:color="auto" w:sz="4" w:space="0"/>
                    <w:left w:val="nil"/>
                    <w:bottom w:val="single" w:color="auto" w:sz="4" w:space="0"/>
                    <w:right w:val="single" w:color="auto" w:sz="4" w:space="0"/>
                  </w:tcBorders>
                  <w:noWrap w:val="0"/>
                  <w:vAlign w:val="center"/>
                </w:tcPr>
                <w:p w14:paraId="23B9526B">
                  <w:pPr>
                    <w:rPr>
                      <w:bCs/>
                      <w:sz w:val="21"/>
                      <w:szCs w:val="21"/>
                    </w:rPr>
                  </w:pPr>
                  <w:r>
                    <w:rPr>
                      <w:rFonts w:hint="eastAsia" w:ascii="宋体" w:hAnsi="宋体" w:eastAsia="宋体" w:cs="宋体"/>
                      <w:sz w:val="21"/>
                      <w:szCs w:val="21"/>
                    </w:rPr>
                    <w:t>(一)持续推进产业结构优化调整</w:t>
                  </w:r>
                </w:p>
              </w:tc>
              <w:tc>
                <w:tcPr>
                  <w:tcW w:w="4303" w:type="dxa"/>
                  <w:tcBorders>
                    <w:top w:val="single" w:color="auto" w:sz="4" w:space="0"/>
                    <w:left w:val="single" w:color="auto" w:sz="4" w:space="0"/>
                    <w:bottom w:val="single" w:color="auto" w:sz="4" w:space="0"/>
                    <w:right w:val="single" w:color="auto" w:sz="4" w:space="0"/>
                  </w:tcBorders>
                  <w:noWrap w:val="0"/>
                  <w:vAlign w:val="center"/>
                </w:tcPr>
                <w:p w14:paraId="03ECB5C8">
                  <w:pPr>
                    <w:rPr>
                      <w:bCs/>
                      <w:sz w:val="21"/>
                      <w:szCs w:val="21"/>
                    </w:rPr>
                  </w:pPr>
                  <w:r>
                    <w:rPr>
                      <w:rFonts w:hint="eastAsia"/>
                      <w:bCs/>
                      <w:sz w:val="21"/>
                      <w:szCs w:val="21"/>
                    </w:rPr>
                    <w:t>2.依法依规淘汰落后低效产能。严格执行质量、环保、能耗、安全等法规标准，依法依规全面退出淘汰类产能和设备，加快整合退出一批涉气行业限制类产能，建立清单台账，2026年10月底前完成淘汰退出。(市工信局牵头负责)按照《工业重点领域能效标杆水平和基准水平(2023年版)》，对炼油、煤制焦炭、煤制甲醇、煤制烯烃、煤制乙二醇、烧碱、纯碱、电石、乙烯、对二甲苯、黄磷、合成氨、磷酸一铵、磷酸二铵、水泥熟料、平板玻璃、建筑陶瓷、卫生陶瓷、炼铁、炼钢、铁合金冶炼、铜冶炼、铅冶炼、锌冶炼、电解铝等25个领域及乙二醇，尿素，钛白粉，聚氯乙烯，精对苯二甲酸，子午线轮胎，工业硅，卫生纸原纸、纸巾原纸，棉、化纤及混纺机织物，针织物、纱线，粘胶短纤维等11个领域持续开展能源利用状况审核，实现能效低于基准水平项目“动态清零”。(市发改委牵头负责)</w:t>
                  </w:r>
                </w:p>
              </w:tc>
              <w:tc>
                <w:tcPr>
                  <w:tcW w:w="2118" w:type="dxa"/>
                  <w:tcBorders>
                    <w:top w:val="single" w:color="auto" w:sz="4" w:space="0"/>
                    <w:left w:val="single" w:color="auto" w:sz="4" w:space="0"/>
                    <w:bottom w:val="single" w:color="auto" w:sz="4" w:space="0"/>
                    <w:right w:val="single" w:color="auto" w:sz="4" w:space="0"/>
                  </w:tcBorders>
                  <w:noWrap w:val="0"/>
                  <w:vAlign w:val="center"/>
                </w:tcPr>
                <w:p w14:paraId="39A56516">
                  <w:pPr>
                    <w:rPr>
                      <w:rFonts w:hint="eastAsia" w:eastAsia="宋体"/>
                      <w:bCs/>
                      <w:color w:val="FF0000"/>
                      <w:sz w:val="21"/>
                      <w:szCs w:val="21"/>
                      <w:lang w:val="en-US" w:eastAsia="zh-CN"/>
                    </w:rPr>
                  </w:pPr>
                  <w:r>
                    <w:rPr>
                      <w:rFonts w:hint="eastAsia" w:ascii="Times New Roman" w:hAnsi="Times New Roman" w:eastAsia="宋体" w:cs="Times New Roman"/>
                      <w:kern w:val="0"/>
                      <w:sz w:val="21"/>
                      <w:szCs w:val="21"/>
                    </w:rPr>
                    <w:t>本项目属于方便食品制造，为《产业结构调整指导目</w:t>
                  </w:r>
                  <w:r>
                    <w:rPr>
                      <w:rFonts w:hint="eastAsia"/>
                      <w:kern w:val="0"/>
                      <w:sz w:val="21"/>
                      <w:szCs w:val="21"/>
                    </w:rPr>
                    <w:t>录（2024年版）》中的鼓励类</w:t>
                  </w:r>
                  <w:r>
                    <w:rPr>
                      <w:rFonts w:hint="eastAsia"/>
                      <w:kern w:val="0"/>
                      <w:sz w:val="21"/>
                      <w:szCs w:val="21"/>
                      <w:lang w:eastAsia="zh-CN"/>
                    </w:rPr>
                    <w:t>，</w:t>
                  </w:r>
                  <w:r>
                    <w:rPr>
                      <w:rFonts w:hint="eastAsia"/>
                      <w:kern w:val="0"/>
                      <w:sz w:val="21"/>
                      <w:szCs w:val="21"/>
                      <w:lang w:val="en-US" w:eastAsia="zh-CN"/>
                    </w:rPr>
                    <w:t>不属于</w:t>
                  </w:r>
                  <w:r>
                    <w:rPr>
                      <w:rFonts w:hint="eastAsia"/>
                      <w:bCs/>
                      <w:sz w:val="21"/>
                      <w:szCs w:val="21"/>
                    </w:rPr>
                    <w:t>落后低效产能</w:t>
                  </w:r>
                  <w:r>
                    <w:rPr>
                      <w:rFonts w:hint="eastAsia"/>
                      <w:bCs/>
                      <w:sz w:val="21"/>
                      <w:szCs w:val="21"/>
                      <w:lang w:eastAsia="zh-CN"/>
                    </w:rPr>
                    <w:t>。</w:t>
                  </w:r>
                </w:p>
              </w:tc>
              <w:tc>
                <w:tcPr>
                  <w:tcW w:w="690" w:type="dxa"/>
                  <w:tcBorders>
                    <w:top w:val="single" w:color="auto" w:sz="4" w:space="0"/>
                    <w:left w:val="single" w:color="auto" w:sz="4" w:space="0"/>
                    <w:bottom w:val="single" w:color="auto" w:sz="4" w:space="0"/>
                    <w:right w:val="nil"/>
                  </w:tcBorders>
                  <w:noWrap w:val="0"/>
                  <w:vAlign w:val="center"/>
                </w:tcPr>
                <w:p w14:paraId="793601EC">
                  <w:pPr>
                    <w:jc w:val="center"/>
                    <w:rPr>
                      <w:sz w:val="21"/>
                      <w:szCs w:val="21"/>
                    </w:rPr>
                  </w:pPr>
                  <w:r>
                    <w:rPr>
                      <w:rFonts w:hint="eastAsia" w:ascii="宋体" w:hAnsi="宋体" w:eastAsia="宋体" w:cs="宋体"/>
                      <w:sz w:val="21"/>
                      <w:szCs w:val="21"/>
                    </w:rPr>
                    <w:t>符合</w:t>
                  </w:r>
                </w:p>
              </w:tc>
            </w:tr>
            <w:tr w14:paraId="634A453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1" w:type="dxa"/>
                  <w:vMerge w:val="continue"/>
                  <w:tcBorders>
                    <w:top w:val="single" w:color="auto" w:sz="4" w:space="0"/>
                    <w:left w:val="nil"/>
                    <w:bottom w:val="single" w:color="auto" w:sz="4" w:space="0"/>
                    <w:right w:val="single" w:color="auto" w:sz="4" w:space="0"/>
                  </w:tcBorders>
                  <w:noWrap w:val="0"/>
                  <w:vAlign w:val="center"/>
                </w:tcPr>
                <w:p w14:paraId="59340A05">
                  <w:pPr>
                    <w:rPr>
                      <w:sz w:val="21"/>
                      <w:szCs w:val="21"/>
                      <w:highlight w:val="green"/>
                    </w:rPr>
                  </w:pPr>
                </w:p>
              </w:tc>
              <w:tc>
                <w:tcPr>
                  <w:tcW w:w="4303" w:type="dxa"/>
                  <w:tcBorders>
                    <w:top w:val="single" w:color="auto" w:sz="4" w:space="0"/>
                    <w:left w:val="single" w:color="auto" w:sz="4" w:space="0"/>
                    <w:bottom w:val="single" w:color="auto" w:sz="4" w:space="0"/>
                    <w:right w:val="single" w:color="auto" w:sz="4" w:space="0"/>
                  </w:tcBorders>
                  <w:noWrap w:val="0"/>
                  <w:vAlign w:val="center"/>
                </w:tcPr>
                <w:p w14:paraId="7A57E245">
                  <w:pPr>
                    <w:rPr>
                      <w:bCs/>
                      <w:sz w:val="21"/>
                      <w:szCs w:val="21"/>
                    </w:rPr>
                  </w:pPr>
                  <w:r>
                    <w:rPr>
                      <w:rFonts w:hint="eastAsia"/>
                      <w:bCs/>
                      <w:sz w:val="21"/>
                      <w:szCs w:val="21"/>
                    </w:rPr>
                    <w:t>3.坚决压减过剩产能。加快推进砖瓦窑行业整合退出，2026年9月底前，整合退出26条1亿标砖/年以下烧结砖生产线(以窑体计);对存量在产企业，同一企业内部整合实施产能等量或减量置换，跨企业整合实施产能倍量置换，已退出或“僵尸”产能不得作为置换产能</w:t>
                  </w:r>
                  <w:r>
                    <w:rPr>
                      <w:rFonts w:hint="eastAsia"/>
                      <w:bCs/>
                      <w:sz w:val="21"/>
                      <w:szCs w:val="21"/>
                      <w:lang w:eastAsia="zh-CN"/>
                    </w:rPr>
                    <w:t>；</w:t>
                  </w:r>
                  <w:r>
                    <w:rPr>
                      <w:rFonts w:hint="eastAsia"/>
                      <w:bCs/>
                      <w:sz w:val="21"/>
                      <w:szCs w:val="21"/>
                    </w:rPr>
                    <w:t>每个县(市)保留砖瓦窑企业不超过2家，每家企业所有生产工序应位于同一厂区内。协同推进石灰窑整合退出与清洁能源替代，2026年9月底前，辉县市11家石灰窑企业整合为2家，卫辉市3家石灰窑企业整合为1家，整合完成后不再使用高污染燃料。严禁新增砖瓦窑、石灰窑产能，新改扩建及整合后项目应达到环保绩效A级水平，未达到的秋冬季期间实施生产调控。</w:t>
                  </w:r>
                </w:p>
              </w:tc>
              <w:tc>
                <w:tcPr>
                  <w:tcW w:w="2118" w:type="dxa"/>
                  <w:tcBorders>
                    <w:top w:val="single" w:color="auto" w:sz="4" w:space="0"/>
                    <w:left w:val="single" w:color="auto" w:sz="4" w:space="0"/>
                    <w:bottom w:val="single" w:color="auto" w:sz="4" w:space="0"/>
                    <w:right w:val="single" w:color="auto" w:sz="4" w:space="0"/>
                  </w:tcBorders>
                  <w:noWrap w:val="0"/>
                  <w:vAlign w:val="center"/>
                </w:tcPr>
                <w:p w14:paraId="0DEA050C">
                  <w:pPr>
                    <w:rPr>
                      <w:color w:val="FF0000"/>
                      <w:sz w:val="21"/>
                      <w:szCs w:val="21"/>
                    </w:rPr>
                  </w:pPr>
                  <w:r>
                    <w:rPr>
                      <w:rFonts w:hint="eastAsia" w:ascii="Times New Roman" w:hAnsi="Times New Roman" w:eastAsia="宋体" w:cs="Times New Roman"/>
                      <w:kern w:val="0"/>
                      <w:sz w:val="21"/>
                      <w:szCs w:val="21"/>
                    </w:rPr>
                    <w:t>本项</w:t>
                  </w:r>
                  <w:r>
                    <w:rPr>
                      <w:rFonts w:hint="eastAsia" w:ascii="Times New Roman" w:hAnsi="Times New Roman" w:cs="Times New Roman"/>
                      <w:kern w:val="0"/>
                      <w:sz w:val="21"/>
                      <w:szCs w:val="21"/>
                      <w:lang w:val="en-US" w:eastAsia="zh-CN"/>
                    </w:rPr>
                    <w:t>目属于方便食品制造，为《产业结构调整指导</w:t>
                  </w:r>
                  <w:r>
                    <w:rPr>
                      <w:rFonts w:hint="eastAsia" w:ascii="Times New Roman" w:hAnsi="Times New Roman" w:eastAsia="宋体" w:cs="Times New Roman"/>
                      <w:kern w:val="0"/>
                      <w:sz w:val="21"/>
                      <w:szCs w:val="21"/>
                    </w:rPr>
                    <w:t>目</w:t>
                  </w:r>
                  <w:r>
                    <w:rPr>
                      <w:rFonts w:hint="eastAsia"/>
                      <w:kern w:val="0"/>
                      <w:sz w:val="21"/>
                      <w:szCs w:val="21"/>
                    </w:rPr>
                    <w:t>录（2024年版）》中的鼓励类</w:t>
                  </w:r>
                  <w:r>
                    <w:rPr>
                      <w:rFonts w:hint="eastAsia"/>
                      <w:kern w:val="0"/>
                      <w:sz w:val="21"/>
                      <w:szCs w:val="21"/>
                      <w:lang w:eastAsia="zh-CN"/>
                    </w:rPr>
                    <w:t>，</w:t>
                  </w:r>
                  <w:r>
                    <w:rPr>
                      <w:rFonts w:hint="eastAsia"/>
                      <w:kern w:val="0"/>
                      <w:sz w:val="21"/>
                      <w:szCs w:val="21"/>
                      <w:lang w:val="en-US" w:eastAsia="zh-CN"/>
                    </w:rPr>
                    <w:t>不属于</w:t>
                  </w:r>
                  <w:r>
                    <w:rPr>
                      <w:rFonts w:hint="eastAsia"/>
                      <w:bCs/>
                      <w:sz w:val="21"/>
                      <w:szCs w:val="21"/>
                    </w:rPr>
                    <w:t>过剩产能</w:t>
                  </w:r>
                  <w:r>
                    <w:rPr>
                      <w:rFonts w:hint="eastAsia"/>
                      <w:bCs/>
                      <w:sz w:val="21"/>
                      <w:szCs w:val="21"/>
                      <w:lang w:eastAsia="zh-CN"/>
                    </w:rPr>
                    <w:t>。</w:t>
                  </w:r>
                </w:p>
              </w:tc>
              <w:tc>
                <w:tcPr>
                  <w:tcW w:w="690" w:type="dxa"/>
                  <w:tcBorders>
                    <w:top w:val="single" w:color="auto" w:sz="4" w:space="0"/>
                    <w:left w:val="single" w:color="auto" w:sz="4" w:space="0"/>
                    <w:bottom w:val="single" w:color="auto" w:sz="4" w:space="0"/>
                    <w:right w:val="nil"/>
                  </w:tcBorders>
                  <w:noWrap w:val="0"/>
                  <w:vAlign w:val="center"/>
                </w:tcPr>
                <w:p w14:paraId="236640E3">
                  <w:pPr>
                    <w:jc w:val="center"/>
                    <w:rPr>
                      <w:sz w:val="21"/>
                      <w:szCs w:val="21"/>
                    </w:rPr>
                  </w:pPr>
                  <w:r>
                    <w:rPr>
                      <w:rFonts w:hint="eastAsia" w:ascii="宋体" w:hAnsi="宋体" w:eastAsia="宋体" w:cs="宋体"/>
                      <w:sz w:val="21"/>
                      <w:szCs w:val="21"/>
                    </w:rPr>
                    <w:t>符合</w:t>
                  </w:r>
                </w:p>
              </w:tc>
            </w:tr>
            <w:tr w14:paraId="47E7ACF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1" w:type="dxa"/>
                  <w:tcBorders>
                    <w:top w:val="single" w:color="auto" w:sz="4" w:space="0"/>
                    <w:left w:val="nil"/>
                    <w:bottom w:val="single" w:color="auto" w:sz="4" w:space="0"/>
                    <w:right w:val="single" w:color="auto" w:sz="4" w:space="0"/>
                  </w:tcBorders>
                  <w:noWrap w:val="0"/>
                  <w:vAlign w:val="center"/>
                </w:tcPr>
                <w:p w14:paraId="49FB2F6B">
                  <w:pPr>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(四)推进工业企业综合治理</w:t>
                  </w:r>
                </w:p>
              </w:tc>
              <w:tc>
                <w:tcPr>
                  <w:tcW w:w="4303" w:type="dxa"/>
                  <w:tcBorders>
                    <w:top w:val="single" w:color="auto" w:sz="4" w:space="0"/>
                    <w:left w:val="single" w:color="auto" w:sz="4" w:space="0"/>
                    <w:bottom w:val="single" w:color="auto" w:sz="4" w:space="0"/>
                    <w:right w:val="single" w:color="auto" w:sz="4" w:space="0"/>
                  </w:tcBorders>
                  <w:noWrap w:val="0"/>
                  <w:vAlign w:val="center"/>
                </w:tcPr>
                <w:p w14:paraId="58C79A19">
                  <w:pPr>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15.推动重点行业企业环境绩效等级提升。聚焦火电、垃圾发电、水泥熟料、煤制氮肥、耐火材料、日用玻璃、烧结砖瓦、砂石骨料、炭素、铸造、石灰窑及商砼(沥青)搅拌站等重点行业，按照“轻重缓急”原则，建立梯度化培育提升清单。对照绩效分级技术指南，编制“一企一策”提标改造方案，强化全过程监督帮扶指导。2026年底，全市创建A、B级及绩效引领性企业50家，其中A级企业不少于8家。严格按照国家和省级相关政策规定，在项目审批、环保税减免、资金奖补、差别化电价等方面给予支持，充分发挥标杆企业示范引领作用。(市生态环境局牵头负责)。</w:t>
                  </w:r>
                </w:p>
              </w:tc>
              <w:tc>
                <w:tcPr>
                  <w:tcW w:w="2118" w:type="dxa"/>
                  <w:tcBorders>
                    <w:top w:val="single" w:color="auto" w:sz="4" w:space="0"/>
                    <w:left w:val="single" w:color="auto" w:sz="4" w:space="0"/>
                    <w:bottom w:val="single" w:color="auto" w:sz="4" w:space="0"/>
                    <w:right w:val="single" w:color="auto" w:sz="4" w:space="0"/>
                  </w:tcBorders>
                  <w:noWrap w:val="0"/>
                  <w:vAlign w:val="center"/>
                </w:tcPr>
                <w:p w14:paraId="484FE0E1">
                  <w:pP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pacing w:val="3"/>
                      <w:sz w:val="21"/>
                      <w:szCs w:val="21"/>
                    </w:rPr>
                    <w:t>本项目</w:t>
                  </w:r>
                  <w:r>
                    <w:rPr>
                      <w:rFonts w:hint="eastAsia" w:ascii="Times New Roman" w:hAnsi="Times New Roman" w:eastAsia="宋体" w:cs="Times New Roman"/>
                      <w:spacing w:val="3"/>
                      <w:sz w:val="21"/>
                      <w:szCs w:val="21"/>
                    </w:rPr>
                    <w:t>属于食品制造业，不属于国家39个重点行业，也不属于河南省省级12个重点行业</w:t>
                  </w:r>
                  <w:r>
                    <w:rPr>
                      <w:rFonts w:hint="eastAsia" w:ascii="Times New Roman" w:hAnsi="Times New Roman" w:eastAsia="宋体" w:cs="Times New Roman"/>
                      <w:spacing w:val="3"/>
                      <w:sz w:val="21"/>
                      <w:szCs w:val="21"/>
                      <w:lang w:val="en-US" w:eastAsia="zh-CN"/>
                    </w:rPr>
                    <w:t>，</w:t>
                  </w:r>
                  <w:r>
                    <w:rPr>
                      <w:rFonts w:hint="eastAsia" w:ascii="Times New Roman" w:hAnsi="Times New Roman" w:eastAsia="宋体" w:cs="Times New Roman"/>
                      <w:spacing w:val="3"/>
                      <w:sz w:val="21"/>
                      <w:szCs w:val="21"/>
                    </w:rPr>
                    <w:t>本项目涉及锅炉</w:t>
                  </w:r>
                  <w:r>
                    <w:rPr>
                      <w:rFonts w:hint="eastAsia" w:ascii="Times New Roman" w:hAnsi="Times New Roman" w:eastAsia="宋体" w:cs="Times New Roman"/>
                      <w:spacing w:val="3"/>
                      <w:sz w:val="21"/>
                      <w:szCs w:val="21"/>
                      <w:lang w:eastAsia="zh-CN"/>
                    </w:rPr>
                    <w:t>，</w:t>
                  </w:r>
                  <w:r>
                    <w:rPr>
                      <w:rFonts w:hint="eastAsia" w:ascii="Times New Roman" w:hAnsi="Times New Roman" w:eastAsia="宋体" w:cs="Times New Roman"/>
                      <w:spacing w:val="3"/>
                      <w:sz w:val="21"/>
                      <w:szCs w:val="21"/>
                    </w:rPr>
                    <w:t>企业按照《河南省重污染天气通用行业应急减排措施制定技术指南》（2024年修订版）中涉锅炉A级企业要求建设。</w:t>
                  </w:r>
                </w:p>
              </w:tc>
              <w:tc>
                <w:tcPr>
                  <w:tcW w:w="690" w:type="dxa"/>
                  <w:tcBorders>
                    <w:top w:val="single" w:color="auto" w:sz="4" w:space="0"/>
                    <w:left w:val="single" w:color="auto" w:sz="4" w:space="0"/>
                    <w:bottom w:val="single" w:color="auto" w:sz="4" w:space="0"/>
                    <w:right w:val="nil"/>
                  </w:tcBorders>
                  <w:noWrap w:val="0"/>
                  <w:vAlign w:val="center"/>
                </w:tcPr>
                <w:p w14:paraId="7F256D9E">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相符</w:t>
                  </w:r>
                </w:p>
              </w:tc>
            </w:tr>
            <w:tr w14:paraId="048EA0D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92" w:type="dxa"/>
                  <w:gridSpan w:val="4"/>
                  <w:tcBorders>
                    <w:top w:val="single" w:color="auto" w:sz="4" w:space="0"/>
                    <w:left w:val="nil"/>
                    <w:bottom w:val="single" w:color="auto" w:sz="4" w:space="0"/>
                    <w:right w:val="nil"/>
                  </w:tcBorders>
                  <w:noWrap w:val="0"/>
                  <w:vAlign w:val="center"/>
                </w:tcPr>
                <w:p w14:paraId="17ADA29B">
                  <w:pPr>
                    <w:jc w:val="center"/>
                    <w:rPr>
                      <w:b/>
                      <w:bCs/>
                      <w:sz w:val="21"/>
                      <w:szCs w:val="21"/>
                      <w:highlight w:val="green"/>
                    </w:rPr>
                  </w:pPr>
                  <w:r>
                    <w:rPr>
                      <w:rFonts w:hint="eastAsia" w:ascii="宋体" w:hAnsi="宋体" w:eastAsia="宋体" w:cs="宋体"/>
                      <w:b/>
                      <w:bCs/>
                      <w:sz w:val="21"/>
                      <w:szCs w:val="21"/>
                    </w:rPr>
                    <w:t>《新乡市</w:t>
                  </w:r>
                  <w:r>
                    <w:rPr>
                      <w:b/>
                      <w:bCs/>
                      <w:sz w:val="21"/>
                      <w:szCs w:val="21"/>
                    </w:rPr>
                    <w:t>202</w:t>
                  </w:r>
                  <w:r>
                    <w:rPr>
                      <w:rFonts w:hint="eastAsia"/>
                      <w:b/>
                      <w:bCs/>
                      <w:sz w:val="21"/>
                      <w:szCs w:val="21"/>
                      <w:lang w:val="en-US" w:eastAsia="zh-CN"/>
                    </w:rPr>
                    <w:t>6</w:t>
                  </w:r>
                  <w:r>
                    <w:rPr>
                      <w:rFonts w:hint="eastAsia" w:ascii="宋体" w:hAnsi="宋体" w:eastAsia="宋体" w:cs="宋体"/>
                      <w:b/>
                      <w:bCs/>
                      <w:sz w:val="21"/>
                      <w:szCs w:val="21"/>
                    </w:rPr>
                    <w:t>年碧水保卫战实施方案》</w:t>
                  </w:r>
                </w:p>
              </w:tc>
            </w:tr>
            <w:tr w14:paraId="2CB646D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1" w:type="dxa"/>
                  <w:tcBorders>
                    <w:top w:val="single" w:color="auto" w:sz="4" w:space="0"/>
                    <w:left w:val="nil"/>
                    <w:bottom w:val="single" w:color="auto" w:sz="4" w:space="0"/>
                    <w:right w:val="single" w:color="auto" w:sz="4" w:space="0"/>
                  </w:tcBorders>
                  <w:noWrap w:val="0"/>
                  <w:vAlign w:val="center"/>
                </w:tcPr>
                <w:p w14:paraId="1B34611E">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（三）持续推进环境基础设施补短板</w:t>
                  </w:r>
                </w:p>
                <w:p w14:paraId="7E8FB330">
                  <w:pPr>
                    <w:rPr>
                      <w:sz w:val="21"/>
                      <w:szCs w:val="21"/>
                    </w:rPr>
                  </w:pPr>
                </w:p>
              </w:tc>
              <w:tc>
                <w:tcPr>
                  <w:tcW w:w="4303" w:type="dxa"/>
                  <w:tcBorders>
                    <w:top w:val="single" w:color="auto" w:sz="4" w:space="0"/>
                    <w:left w:val="single" w:color="auto" w:sz="4" w:space="0"/>
                    <w:bottom w:val="single" w:color="auto" w:sz="4" w:space="0"/>
                    <w:right w:val="single" w:color="auto" w:sz="4" w:space="0"/>
                  </w:tcBorders>
                  <w:noWrap w:val="0"/>
                  <w:vAlign w:val="center"/>
                </w:tcPr>
                <w:p w14:paraId="09A2F221">
                  <w:pPr>
                    <w:rPr>
                      <w:sz w:val="21"/>
                      <w:szCs w:val="21"/>
                    </w:rPr>
                  </w:pPr>
                  <w:r>
                    <w:rPr>
                      <w:rFonts w:hint="default" w:ascii="Times New Roman" w:hAnsi="Times New Roman" w:eastAsia="宋体" w:cs="Times New Roman"/>
                      <w:spacing w:val="3"/>
                      <w:sz w:val="21"/>
                      <w:szCs w:val="21"/>
                      <w:lang w:val="en-US" w:eastAsia="zh-CN"/>
                    </w:rPr>
                    <w:t>8.持续开展工业废水处理降碳协同增效。</w:t>
                  </w:r>
                  <w:r>
                    <w:rPr>
                      <w:rFonts w:hint="eastAsia" w:ascii="Times New Roman" w:hAnsi="Times New Roman" w:eastAsia="宋体" w:cs="Times New Roman"/>
                      <w:spacing w:val="3"/>
                      <w:sz w:val="21"/>
                      <w:szCs w:val="21"/>
                      <w:lang w:val="en-US" w:eastAsia="zh-CN"/>
                    </w:rPr>
                    <w:t>以千味央厨食品有限公司、河南省藏营桥食品有限公司、新乡市娃哈哈昌盛饮料有限公司</w:t>
                  </w:r>
                  <w:r>
                    <w:rPr>
                      <w:rFonts w:hint="default" w:ascii="Times New Roman" w:hAnsi="Times New Roman" w:eastAsia="宋体" w:cs="Times New Roman"/>
                      <w:spacing w:val="3"/>
                      <w:sz w:val="21"/>
                      <w:szCs w:val="21"/>
                      <w:lang w:val="en-US" w:eastAsia="zh-CN"/>
                    </w:rPr>
                    <w:t>等</w:t>
                  </w:r>
                  <w:r>
                    <w:rPr>
                      <w:rFonts w:hint="eastAsia" w:ascii="Times New Roman" w:hAnsi="Times New Roman" w:eastAsia="宋体" w:cs="Times New Roman"/>
                      <w:spacing w:val="3"/>
                      <w:sz w:val="21"/>
                      <w:szCs w:val="21"/>
                      <w:lang w:val="en-US" w:eastAsia="zh-CN"/>
                    </w:rPr>
                    <w:t>企业与污水处理厂协商间接排放为典型案例，以废水可生化性较强的酒类、淀粉、酵母、食品加工等行业企业为重点，实施工业废水</w:t>
                  </w:r>
                  <w:r>
                    <w:rPr>
                      <w:rFonts w:hint="default" w:ascii="Times New Roman" w:hAnsi="Times New Roman" w:eastAsia="宋体" w:cs="Times New Roman"/>
                      <w:spacing w:val="3"/>
                      <w:sz w:val="21"/>
                      <w:szCs w:val="21"/>
                      <w:lang w:val="en-US" w:eastAsia="zh-CN"/>
                    </w:rPr>
                    <w:t>协商间接排放，推动涉水企业、污水处理厂降本增效。2026年，持续推动延津县第三污水处理厂与克明面业等食品加工企业，原阳县产业集聚区污水处理厂与鸿创、鸿图食品园区预处理设施签订废水协议浓度，进一步提升污水处理厂减污降碳，实现企业与污水处理厂“双赢”模式。</w:t>
                  </w:r>
                </w:p>
              </w:tc>
              <w:tc>
                <w:tcPr>
                  <w:tcW w:w="2118" w:type="dxa"/>
                  <w:tcBorders>
                    <w:top w:val="single" w:color="auto" w:sz="4" w:space="0"/>
                    <w:left w:val="single" w:color="auto" w:sz="4" w:space="0"/>
                    <w:bottom w:val="single" w:color="auto" w:sz="4" w:space="0"/>
                    <w:right w:val="single" w:color="auto" w:sz="4" w:space="0"/>
                  </w:tcBorders>
                  <w:noWrap w:val="0"/>
                  <w:vAlign w:val="center"/>
                </w:tcPr>
                <w:p w14:paraId="038BFAF3">
                  <w:pPr>
                    <w:rPr>
                      <w:color w:val="FF0000"/>
                      <w:sz w:val="21"/>
                      <w:szCs w:val="21"/>
                    </w:rPr>
                  </w:pPr>
                  <w:r>
                    <w:rPr>
                      <w:rFonts w:hint="default" w:ascii="Times New Roman" w:hAnsi="Times New Roman" w:eastAsia="宋体" w:cs="Times New Roman"/>
                      <w:color w:val="auto"/>
                      <w:sz w:val="21"/>
                      <w:szCs w:val="21"/>
                    </w:rPr>
                    <w:t>本项目</w:t>
                  </w:r>
                  <w:r>
                    <w:rPr>
                      <w:rFonts w:hint="default" w:ascii="Times New Roman" w:hAnsi="Times New Roman" w:cs="Times New Roman"/>
                      <w:bCs/>
                      <w:color w:val="000000" w:themeColor="text1"/>
                      <w:sz w:val="21"/>
                      <w:szCs w:val="21"/>
                      <w14:textFill>
                        <w14:solidFill>
                          <w14:schemeClr w14:val="tx1"/>
                        </w14:solidFill>
                      </w14:textFill>
                    </w:rPr>
                    <w:t>生活污水经化粪池沉淀、含油废水经隔油池隔油，与其他废水一并经“水解酸化+气浮+厌氧+好氧+曝气+二次沉淀”处理后经厂区总排口排入</w:t>
                  </w:r>
                  <w:r>
                    <w:rPr>
                      <w:rFonts w:hint="default" w:ascii="Times New Roman" w:hAnsi="Times New Roman" w:cs="Times New Roman"/>
                      <w:bCs/>
                      <w:color w:val="000000" w:themeColor="text1"/>
                      <w:sz w:val="21"/>
                      <w:szCs w:val="21"/>
                      <w:lang w:eastAsia="zh-CN"/>
                      <w14:textFill>
                        <w14:solidFill>
                          <w14:schemeClr w14:val="tx1"/>
                        </w14:solidFill>
                      </w14:textFill>
                    </w:rPr>
                    <w:t>夹堤村西污水处理站</w:t>
                  </w:r>
                  <w:r>
                    <w:rPr>
                      <w:rFonts w:hint="default" w:ascii="Times New Roman" w:hAnsi="Times New Roman" w:cs="Times New Roman"/>
                      <w:bCs/>
                      <w:color w:val="000000" w:themeColor="text1"/>
                      <w:sz w:val="21"/>
                      <w:szCs w:val="21"/>
                      <w14:textFill>
                        <w14:solidFill>
                          <w14:schemeClr w14:val="tx1"/>
                        </w14:solidFill>
                      </w14:textFill>
                    </w:rPr>
                    <w:t>。目前，</w:t>
                  </w:r>
                  <w:r>
                    <w:rPr>
                      <w:rFonts w:hint="default" w:ascii="Times New Roman" w:hAnsi="Times New Roman" w:cs="Times New Roman"/>
                      <w:bCs/>
                      <w:color w:val="000000" w:themeColor="text1"/>
                      <w:sz w:val="21"/>
                      <w:szCs w:val="21"/>
                      <w:lang w:eastAsia="zh-CN"/>
                      <w14:textFill>
                        <w14:solidFill>
                          <w14:schemeClr w14:val="tx1"/>
                        </w14:solidFill>
                      </w14:textFill>
                    </w:rPr>
                    <w:t>夹堤村西污水处理站</w:t>
                  </w:r>
                  <w:r>
                    <w:rPr>
                      <w:rFonts w:hint="default" w:ascii="Times New Roman" w:hAnsi="Times New Roman" w:cs="Times New Roman"/>
                      <w:bCs/>
                      <w:color w:val="000000" w:themeColor="text1"/>
                      <w:sz w:val="21"/>
                      <w:szCs w:val="21"/>
                      <w14:textFill>
                        <w14:solidFill>
                          <w14:schemeClr w14:val="tx1"/>
                        </w14:solidFill>
                      </w14:textFill>
                    </w:rPr>
                    <w:t>尚未建成运行，在此之前厂区</w:t>
                  </w:r>
                  <w:r>
                    <w:rPr>
                      <w:rFonts w:hint="eastAsia" w:ascii="Times New Roman" w:hAnsi="Times New Roman" w:cs="Times New Roman"/>
                      <w:bCs/>
                      <w:color w:val="000000" w:themeColor="text1"/>
                      <w:sz w:val="21"/>
                      <w:szCs w:val="21"/>
                      <w:lang w:val="en-US" w:eastAsia="zh-CN"/>
                      <w14:textFill>
                        <w14:solidFill>
                          <w14:schemeClr w14:val="tx1"/>
                        </w14:solidFill>
                      </w14:textFill>
                    </w:rPr>
                    <w:t>污水处理站尾水</w:t>
                  </w:r>
                  <w:r>
                    <w:rPr>
                      <w:rFonts w:hint="default" w:ascii="Times New Roman" w:hAnsi="Times New Roman" w:cs="Times New Roman"/>
                      <w:bCs/>
                      <w:color w:val="000000" w:themeColor="text1"/>
                      <w:sz w:val="21"/>
                      <w:szCs w:val="21"/>
                      <w14:textFill>
                        <w14:solidFill>
                          <w14:schemeClr w14:val="tx1"/>
                        </w14:solidFill>
                      </w14:textFill>
                    </w:rPr>
                    <w:t>进行农灌。</w:t>
                  </w:r>
                </w:p>
              </w:tc>
              <w:tc>
                <w:tcPr>
                  <w:tcW w:w="690" w:type="dxa"/>
                  <w:tcBorders>
                    <w:top w:val="single" w:color="auto" w:sz="4" w:space="0"/>
                    <w:left w:val="single" w:color="auto" w:sz="4" w:space="0"/>
                    <w:bottom w:val="single" w:color="auto" w:sz="4" w:space="0"/>
                    <w:right w:val="nil"/>
                  </w:tcBorders>
                  <w:noWrap w:val="0"/>
                  <w:vAlign w:val="center"/>
                </w:tcPr>
                <w:p w14:paraId="28A5D112">
                  <w:pPr>
                    <w:jc w:val="center"/>
                    <w:rPr>
                      <w:sz w:val="21"/>
                      <w:szCs w:val="21"/>
                    </w:rPr>
                  </w:pPr>
                  <w:r>
                    <w:rPr>
                      <w:rFonts w:hint="eastAsia" w:ascii="宋体" w:hAnsi="宋体" w:eastAsia="宋体" w:cs="宋体"/>
                      <w:sz w:val="21"/>
                      <w:szCs w:val="21"/>
                    </w:rPr>
                    <w:t>符合</w:t>
                  </w:r>
                </w:p>
              </w:tc>
            </w:tr>
            <w:tr w14:paraId="42FF519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92" w:type="dxa"/>
                  <w:gridSpan w:val="4"/>
                  <w:tcBorders>
                    <w:top w:val="single" w:color="auto" w:sz="4" w:space="0"/>
                    <w:left w:val="nil"/>
                    <w:bottom w:val="single" w:color="auto" w:sz="4" w:space="0"/>
                    <w:right w:val="nil"/>
                  </w:tcBorders>
                  <w:noWrap w:val="0"/>
                  <w:vAlign w:val="center"/>
                </w:tcPr>
                <w:p w14:paraId="2DE84834">
                  <w:pPr>
                    <w:jc w:val="center"/>
                    <w:rPr>
                      <w:b/>
                      <w:bCs/>
                      <w:sz w:val="21"/>
                      <w:szCs w:val="21"/>
                      <w:highlight w:val="green"/>
                    </w:rPr>
                  </w:pPr>
                  <w:r>
                    <w:rPr>
                      <w:rFonts w:hint="eastAsia" w:ascii="宋体" w:hAnsi="宋体" w:eastAsia="宋体" w:cs="宋体"/>
                      <w:b/>
                      <w:bCs/>
                      <w:sz w:val="21"/>
                      <w:szCs w:val="21"/>
                    </w:rPr>
                    <w:t>《新乡市</w:t>
                  </w:r>
                  <w:r>
                    <w:rPr>
                      <w:b/>
                      <w:bCs/>
                      <w:sz w:val="21"/>
                      <w:szCs w:val="21"/>
                    </w:rPr>
                    <w:t>202</w:t>
                  </w:r>
                  <w:r>
                    <w:rPr>
                      <w:rFonts w:hint="eastAsia"/>
                      <w:b/>
                      <w:bCs/>
                      <w:sz w:val="21"/>
                      <w:szCs w:val="21"/>
                      <w:lang w:val="en-US" w:eastAsia="zh-CN"/>
                    </w:rPr>
                    <w:t>6</w:t>
                  </w:r>
                  <w:r>
                    <w:rPr>
                      <w:rFonts w:hint="eastAsia" w:ascii="宋体" w:hAnsi="宋体" w:eastAsia="宋体" w:cs="宋体"/>
                      <w:b/>
                      <w:bCs/>
                      <w:sz w:val="21"/>
                      <w:szCs w:val="21"/>
                    </w:rPr>
                    <w:t>年净土保卫战实施方案》</w:t>
                  </w:r>
                </w:p>
              </w:tc>
            </w:tr>
            <w:tr w14:paraId="0011CA2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1" w:type="dxa"/>
                  <w:tcBorders>
                    <w:top w:val="single" w:color="auto" w:sz="4" w:space="0"/>
                    <w:left w:val="nil"/>
                    <w:bottom w:val="single" w:color="auto" w:sz="4" w:space="0"/>
                    <w:right w:val="single" w:color="auto" w:sz="4" w:space="0"/>
                  </w:tcBorders>
                  <w:noWrap w:val="0"/>
                  <w:vAlign w:val="center"/>
                </w:tcPr>
                <w:p w14:paraId="1CC3A7D7">
                  <w:pPr>
                    <w:rPr>
                      <w:sz w:val="21"/>
                      <w:szCs w:val="21"/>
                    </w:rPr>
                  </w:pPr>
                  <w:r>
                    <w:rPr>
                      <w:rFonts w:hint="eastAsia" w:ascii="宋体" w:hAnsi="宋体" w:eastAsia="宋体" w:cs="宋体"/>
                      <w:sz w:val="21"/>
                      <w:szCs w:val="21"/>
                    </w:rPr>
                    <w:t>(一)统筹推进土壤污染防治管控</w:t>
                  </w:r>
                </w:p>
              </w:tc>
              <w:tc>
                <w:tcPr>
                  <w:tcW w:w="4303" w:type="dxa"/>
                  <w:tcBorders>
                    <w:top w:val="single" w:color="auto" w:sz="4" w:space="0"/>
                    <w:left w:val="single" w:color="auto" w:sz="4" w:space="0"/>
                    <w:bottom w:val="single" w:color="auto" w:sz="4" w:space="0"/>
                    <w:right w:val="single" w:color="auto" w:sz="4" w:space="0"/>
                  </w:tcBorders>
                  <w:noWrap w:val="0"/>
                  <w:vAlign w:val="center"/>
                </w:tcPr>
                <w:p w14:paraId="6B76BB53">
                  <w:pPr>
                    <w:rPr>
                      <w:sz w:val="21"/>
                      <w:szCs w:val="21"/>
                    </w:rPr>
                  </w:pPr>
                  <w:r>
                    <w:rPr>
                      <w:rFonts w:hint="eastAsia"/>
                      <w:sz w:val="21"/>
                      <w:szCs w:val="21"/>
                    </w:rPr>
                    <w:t>1.持续推进土壤污染源头防控。持续落实《新乡市土壤污染源头防控行动实施方案》，严格保护未污染土壤，推动污染防治关口前移。开展土壤污染重点监管单位隐患排查抽查整治行动，强化对纳入排污许可管理的重点监管单位监督管理，督促指导其按照排污许可证规定和标准规范落实控制有毒有害物质排放、土壤污染隐患排查、自行监测等要求，将隐患排查报告及相关材料上传至重点监管单位环境管理信息系统，推动突出环境问题整改</w:t>
                  </w:r>
                  <w:r>
                    <w:rPr>
                      <w:rFonts w:hint="eastAsia"/>
                      <w:sz w:val="21"/>
                      <w:szCs w:val="21"/>
                      <w:lang w:eastAsia="zh-CN"/>
                    </w:rPr>
                    <w:t>；</w:t>
                  </w:r>
                  <w:r>
                    <w:rPr>
                      <w:rFonts w:hint="eastAsia"/>
                      <w:sz w:val="21"/>
                      <w:szCs w:val="21"/>
                    </w:rPr>
                    <w:t>向社会公开年度土壤污染重点监管单位名录。依法督促涉镉等重金属的大气、水环境重点排污单位对排放口和周边环境进行定期监测，评估对周边农用地土壤重金属累积性风险，并采取有效措施防范环境风险。(市生态环境局牵头，各县(市、区)政府、管委会负责落实。以下均需各县(市、区)政府、管委会落实，不再列出)</w:t>
                  </w:r>
                </w:p>
              </w:tc>
              <w:tc>
                <w:tcPr>
                  <w:tcW w:w="2118" w:type="dxa"/>
                  <w:tcBorders>
                    <w:top w:val="single" w:color="auto" w:sz="4" w:space="0"/>
                    <w:left w:val="single" w:color="auto" w:sz="4" w:space="0"/>
                    <w:bottom w:val="single" w:color="auto" w:sz="4" w:space="0"/>
                    <w:right w:val="single" w:color="auto" w:sz="4" w:space="0"/>
                  </w:tcBorders>
                  <w:noWrap w:val="0"/>
                  <w:vAlign w:val="center"/>
                </w:tcPr>
                <w:p w14:paraId="0C547831">
                  <w:pPr>
                    <w:rPr>
                      <w:rFonts w:hint="default" w:eastAsia="宋体"/>
                      <w:sz w:val="21"/>
                      <w:szCs w:val="21"/>
                      <w:lang w:val="en-US" w:eastAsia="zh-CN"/>
                    </w:rPr>
                  </w:pPr>
                  <w:r>
                    <w:rPr>
                      <w:rFonts w:hint="eastAsia" w:ascii="Times New Roman" w:hAnsi="Times New Roman" w:eastAsia="宋体" w:cs="Times New Roman"/>
                      <w:sz w:val="21"/>
                      <w:szCs w:val="21"/>
                    </w:rPr>
                    <w:t>本项目加强环保</w:t>
                  </w:r>
                  <w:r>
                    <w:rPr>
                      <w:rFonts w:hint="eastAsia" w:ascii="Times New Roman" w:hAnsi="Times New Roman" w:eastAsia="宋体" w:cs="Times New Roman"/>
                      <w:sz w:val="21"/>
                      <w:szCs w:val="21"/>
                      <w:lang w:val="en-US" w:eastAsia="zh-CN"/>
                    </w:rPr>
                    <w:t>设施</w:t>
                  </w:r>
                  <w:r>
                    <w:rPr>
                      <w:rFonts w:hint="eastAsia" w:ascii="Times New Roman" w:hAnsi="Times New Roman" w:eastAsia="宋体" w:cs="Times New Roman"/>
                      <w:sz w:val="21"/>
                      <w:szCs w:val="21"/>
                    </w:rPr>
                    <w:t>运行维护</w:t>
                  </w:r>
                  <w:r>
                    <w:rPr>
                      <w:rFonts w:hint="eastAsia" w:ascii="Times New Roman" w:hAnsi="Times New Roman" w:eastAsia="宋体" w:cs="Times New Roman"/>
                      <w:sz w:val="21"/>
                      <w:szCs w:val="21"/>
                      <w:lang w:eastAsia="zh-CN"/>
                    </w:rPr>
                    <w:t>，对</w:t>
                  </w:r>
                  <w:r>
                    <w:rPr>
                      <w:rFonts w:hint="eastAsia" w:ascii="Times New Roman" w:hAnsi="Times New Roman" w:eastAsia="宋体" w:cs="Times New Roman"/>
                      <w:sz w:val="21"/>
                      <w:szCs w:val="21"/>
                      <w:lang w:val="en-US" w:eastAsia="zh-CN"/>
                    </w:rPr>
                    <w:t>污水处理站</w:t>
                  </w:r>
                  <w:r>
                    <w:rPr>
                      <w:rFonts w:hint="eastAsia" w:ascii="Times New Roman" w:hAnsi="Times New Roman" w:eastAsia="宋体" w:cs="Times New Roman"/>
                      <w:sz w:val="21"/>
                      <w:szCs w:val="21"/>
                    </w:rPr>
                    <w:t>进行重点防渗，不会对土壤和地下水造成污染</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运行时按管理部门要求进行</w:t>
                  </w:r>
                  <w:r>
                    <w:rPr>
                      <w:rFonts w:hint="eastAsia"/>
                      <w:sz w:val="21"/>
                      <w:szCs w:val="21"/>
                    </w:rPr>
                    <w:t>土壤污染隐患排查、自行监测等要求</w:t>
                  </w:r>
                  <w:r>
                    <w:rPr>
                      <w:rFonts w:hint="eastAsia"/>
                      <w:sz w:val="21"/>
                      <w:szCs w:val="21"/>
                      <w:lang w:eastAsia="zh-CN"/>
                    </w:rPr>
                    <w:t>，</w:t>
                  </w:r>
                  <w:r>
                    <w:rPr>
                      <w:rFonts w:hint="eastAsia"/>
                      <w:sz w:val="21"/>
                      <w:szCs w:val="21"/>
                      <w:lang w:val="en-US" w:eastAsia="zh-CN"/>
                    </w:rPr>
                    <w:t>从源头防控土壤污染。</w:t>
                  </w:r>
                </w:p>
              </w:tc>
              <w:tc>
                <w:tcPr>
                  <w:tcW w:w="690" w:type="dxa"/>
                  <w:tcBorders>
                    <w:top w:val="single" w:color="auto" w:sz="4" w:space="0"/>
                    <w:left w:val="single" w:color="auto" w:sz="4" w:space="0"/>
                    <w:bottom w:val="single" w:color="auto" w:sz="4" w:space="0"/>
                    <w:right w:val="nil"/>
                  </w:tcBorders>
                  <w:noWrap w:val="0"/>
                  <w:vAlign w:val="center"/>
                </w:tcPr>
                <w:p w14:paraId="4AB8F0BB">
                  <w:pPr>
                    <w:jc w:val="center"/>
                    <w:rPr>
                      <w:sz w:val="21"/>
                      <w:szCs w:val="21"/>
                    </w:rPr>
                  </w:pPr>
                  <w:r>
                    <w:rPr>
                      <w:rFonts w:hint="eastAsia" w:ascii="宋体" w:hAnsi="宋体" w:eastAsia="宋体" w:cs="宋体"/>
                      <w:sz w:val="21"/>
                      <w:szCs w:val="21"/>
                    </w:rPr>
                    <w:t>符合</w:t>
                  </w:r>
                </w:p>
              </w:tc>
            </w:tr>
            <w:tr w14:paraId="3CE362F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92" w:type="dxa"/>
                  <w:gridSpan w:val="4"/>
                  <w:tcBorders>
                    <w:top w:val="single" w:color="auto" w:sz="4" w:space="0"/>
                    <w:left w:val="nil"/>
                    <w:bottom w:val="single" w:color="auto" w:sz="4" w:space="0"/>
                    <w:right w:val="nil"/>
                  </w:tcBorders>
                  <w:noWrap w:val="0"/>
                  <w:vAlign w:val="center"/>
                </w:tcPr>
                <w:p w14:paraId="4C62A912">
                  <w:pPr>
                    <w:jc w:val="center"/>
                    <w:rPr>
                      <w:b/>
                      <w:bCs/>
                      <w:sz w:val="21"/>
                      <w:szCs w:val="21"/>
                      <w:highlight w:val="green"/>
                    </w:rPr>
                  </w:pPr>
                  <w:r>
                    <w:rPr>
                      <w:rFonts w:hint="eastAsia" w:ascii="宋体" w:hAnsi="宋体" w:eastAsia="宋体" w:cs="宋体"/>
                      <w:b/>
                      <w:bCs/>
                      <w:sz w:val="21"/>
                      <w:szCs w:val="21"/>
                    </w:rPr>
                    <w:t>《新乡市</w:t>
                  </w:r>
                  <w:r>
                    <w:rPr>
                      <w:b/>
                      <w:bCs/>
                      <w:sz w:val="21"/>
                      <w:szCs w:val="21"/>
                    </w:rPr>
                    <w:t>202</w:t>
                  </w:r>
                  <w:r>
                    <w:rPr>
                      <w:rFonts w:hint="eastAsia"/>
                      <w:b/>
                      <w:bCs/>
                      <w:sz w:val="21"/>
                      <w:szCs w:val="21"/>
                      <w:lang w:val="en-US" w:eastAsia="zh-CN"/>
                    </w:rPr>
                    <w:t>6</w:t>
                  </w:r>
                  <w:r>
                    <w:rPr>
                      <w:rFonts w:hint="eastAsia" w:ascii="宋体" w:hAnsi="宋体" w:eastAsia="宋体" w:cs="宋体"/>
                      <w:b/>
                      <w:bCs/>
                      <w:sz w:val="21"/>
                      <w:szCs w:val="21"/>
                    </w:rPr>
                    <w:t>年柴油货车污染治理攻坚战实施方案》</w:t>
                  </w:r>
                </w:p>
              </w:tc>
            </w:tr>
            <w:tr w14:paraId="1918C5C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1" w:type="dxa"/>
                  <w:vMerge w:val="restart"/>
                  <w:tcBorders>
                    <w:top w:val="single" w:color="auto" w:sz="4" w:space="0"/>
                    <w:left w:val="nil"/>
                    <w:bottom w:val="single" w:color="auto" w:sz="4" w:space="0"/>
                    <w:right w:val="single" w:color="auto" w:sz="4" w:space="0"/>
                  </w:tcBorders>
                  <w:noWrap w:val="0"/>
                  <w:vAlign w:val="center"/>
                </w:tcPr>
                <w:p w14:paraId="3A7A88D2">
                  <w:pPr>
                    <w:rPr>
                      <w:sz w:val="21"/>
                      <w:szCs w:val="21"/>
                    </w:rPr>
                  </w:pPr>
                  <w:r>
                    <w:rPr>
                      <w:rFonts w:hint="eastAsia" w:ascii="宋体" w:hAnsi="宋体" w:eastAsia="宋体" w:cs="宋体"/>
                      <w:sz w:val="21"/>
                      <w:szCs w:val="21"/>
                    </w:rPr>
                    <w:t>（五）强化重点用车单位监管</w:t>
                  </w:r>
                </w:p>
              </w:tc>
              <w:tc>
                <w:tcPr>
                  <w:tcW w:w="4303" w:type="dxa"/>
                  <w:tcBorders>
                    <w:top w:val="single" w:color="auto" w:sz="4" w:space="0"/>
                    <w:left w:val="single" w:color="auto" w:sz="4" w:space="0"/>
                    <w:bottom w:val="single" w:color="auto" w:sz="4" w:space="0"/>
                    <w:right w:val="single" w:color="auto" w:sz="4" w:space="0"/>
                  </w:tcBorders>
                  <w:noWrap w:val="0"/>
                  <w:vAlign w:val="center"/>
                </w:tcPr>
                <w:p w14:paraId="7362D4C4">
                  <w:pPr>
                    <w:rPr>
                      <w:sz w:val="21"/>
                      <w:szCs w:val="21"/>
                    </w:rPr>
                  </w:pPr>
                  <w:r>
                    <w:rPr>
                      <w:rFonts w:hint="eastAsia"/>
                      <w:sz w:val="21"/>
                      <w:szCs w:val="21"/>
                    </w:rPr>
                    <w:t>16.强化门禁及视频监控系统管理。持续深化重点用车单位门禁监控及视频监控系统建设与应用，提升精细化监管水平。对年度日均载货车辆进出20辆次及以上、日运输量150吨以上的重点用车单位进行动态摸排，做到应装尽装、应联尽联。督促企业完善门禁系统管理制度，规范填报电子台账，如实记录进出厂时间、车型、排放阶段、燃油类型等信息，确保数据真实、完整、可追溯。加大平台巡检与现场核查力度，严查长期抬杆、违规手工抬杆、旁门豁口、异常离线等行为;对不规范使用门禁、达不到运输监管要求的绩效企业，实施动态管理。(市生态环境局负责)</w:t>
                  </w:r>
                </w:p>
              </w:tc>
              <w:tc>
                <w:tcPr>
                  <w:tcW w:w="2118" w:type="dxa"/>
                  <w:tcBorders>
                    <w:top w:val="single" w:color="auto" w:sz="4" w:space="0"/>
                    <w:left w:val="single" w:color="auto" w:sz="4" w:space="0"/>
                    <w:bottom w:val="single" w:color="auto" w:sz="4" w:space="0"/>
                    <w:right w:val="single" w:color="auto" w:sz="4" w:space="0"/>
                  </w:tcBorders>
                  <w:noWrap w:val="0"/>
                  <w:vAlign w:val="center"/>
                </w:tcPr>
                <w:p w14:paraId="3F651B42">
                  <w:pPr>
                    <w:rPr>
                      <w:color w:val="FF0000"/>
                      <w:sz w:val="21"/>
                      <w:szCs w:val="21"/>
                    </w:rPr>
                  </w:pPr>
                  <w:r>
                    <w:rPr>
                      <w:rFonts w:hint="eastAsia" w:ascii="宋体" w:hAnsi="宋体" w:eastAsia="宋体" w:cs="宋体"/>
                      <w:color w:val="auto"/>
                      <w:kern w:val="0"/>
                      <w:sz w:val="21"/>
                      <w:szCs w:val="21"/>
                      <w:lang w:val="en-US" w:eastAsia="zh-CN"/>
                    </w:rPr>
                    <w:t>本项</w:t>
                  </w:r>
                  <w:r>
                    <w:rPr>
                      <w:rFonts w:hint="eastAsia" w:ascii="Times New Roman" w:hAnsi="Times New Roman" w:cs="Times New Roman"/>
                      <w:sz w:val="21"/>
                      <w:szCs w:val="21"/>
                      <w:lang w:val="en-US" w:eastAsia="zh-CN"/>
                    </w:rPr>
                    <w:t>目为</w:t>
                  </w:r>
                  <w:r>
                    <w:rPr>
                      <w:rFonts w:hint="eastAsia" w:ascii="Times New Roman" w:hAnsi="Times New Roman" w:cs="Times New Roman"/>
                      <w:sz w:val="21"/>
                      <w:szCs w:val="21"/>
                    </w:rPr>
                    <w:t>方便食品制造</w:t>
                  </w:r>
                  <w:r>
                    <w:rPr>
                      <w:rFonts w:hint="eastAsia" w:ascii="Times New Roman" w:hAnsi="Times New Roman" w:cs="Times New Roman"/>
                      <w:sz w:val="21"/>
                      <w:szCs w:val="21"/>
                      <w:lang w:val="en-US" w:eastAsia="zh-CN"/>
                    </w:rPr>
                    <w:t>，</w:t>
                  </w:r>
                  <w:r>
                    <w:rPr>
                      <w:rFonts w:hint="eastAsia"/>
                      <w:sz w:val="21"/>
                      <w:szCs w:val="21"/>
                    </w:rPr>
                    <w:t>日运输</w:t>
                  </w:r>
                  <w:r>
                    <w:rPr>
                      <w:rFonts w:hint="eastAsia"/>
                      <w:sz w:val="21"/>
                      <w:szCs w:val="21"/>
                      <w:lang w:val="en-US" w:eastAsia="zh-CN"/>
                    </w:rPr>
                    <w:t>物料</w:t>
                  </w:r>
                  <w:r>
                    <w:rPr>
                      <w:rFonts w:hint="eastAsia"/>
                      <w:sz w:val="21"/>
                      <w:szCs w:val="21"/>
                    </w:rPr>
                    <w:t>量</w:t>
                  </w:r>
                  <w:r>
                    <w:rPr>
                      <w:rFonts w:hint="eastAsia"/>
                      <w:sz w:val="21"/>
                      <w:szCs w:val="21"/>
                      <w:lang w:val="en-US" w:eastAsia="zh-CN"/>
                    </w:rPr>
                    <w:t>约10</w:t>
                  </w:r>
                  <w:r>
                    <w:rPr>
                      <w:rFonts w:hint="eastAsia"/>
                      <w:sz w:val="21"/>
                      <w:szCs w:val="21"/>
                    </w:rPr>
                    <w:t>吨</w:t>
                  </w:r>
                  <w:r>
                    <w:rPr>
                      <w:rFonts w:hint="eastAsia"/>
                      <w:sz w:val="21"/>
                      <w:szCs w:val="21"/>
                      <w:lang w:eastAsia="zh-CN"/>
                    </w:rPr>
                    <w:t>，</w:t>
                  </w:r>
                  <w:r>
                    <w:rPr>
                      <w:rFonts w:hint="eastAsia"/>
                      <w:sz w:val="21"/>
                      <w:szCs w:val="21"/>
                      <w:lang w:val="en-US" w:eastAsia="zh-CN"/>
                    </w:rPr>
                    <w:t>不属于</w:t>
                  </w:r>
                  <w:r>
                    <w:rPr>
                      <w:rFonts w:hint="eastAsia"/>
                      <w:sz w:val="21"/>
                      <w:szCs w:val="21"/>
                    </w:rPr>
                    <w:t>重点用车单位</w:t>
                  </w:r>
                  <w:r>
                    <w:rPr>
                      <w:rFonts w:hint="eastAsia"/>
                      <w:sz w:val="21"/>
                      <w:szCs w:val="21"/>
                      <w:lang w:eastAsia="zh-CN"/>
                    </w:rPr>
                    <w:t>，</w:t>
                  </w:r>
                  <w:r>
                    <w:rPr>
                      <w:rFonts w:hint="eastAsia"/>
                      <w:sz w:val="21"/>
                      <w:szCs w:val="21"/>
                      <w:lang w:val="en-US" w:eastAsia="zh-CN"/>
                    </w:rPr>
                    <w:t>本项目建成后按政府管理要求进行门禁及视频监控的安装与管理</w:t>
                  </w:r>
                  <w:r>
                    <w:rPr>
                      <w:rFonts w:hint="eastAsia" w:ascii="宋体" w:hAnsi="宋体" w:eastAsia="宋体" w:cs="宋体"/>
                      <w:color w:val="auto"/>
                      <w:kern w:val="0"/>
                      <w:sz w:val="21"/>
                      <w:szCs w:val="21"/>
                    </w:rPr>
                    <w:t>。</w:t>
                  </w:r>
                </w:p>
              </w:tc>
              <w:tc>
                <w:tcPr>
                  <w:tcW w:w="690" w:type="dxa"/>
                  <w:tcBorders>
                    <w:top w:val="single" w:color="auto" w:sz="4" w:space="0"/>
                    <w:left w:val="single" w:color="auto" w:sz="4" w:space="0"/>
                    <w:bottom w:val="single" w:color="auto" w:sz="4" w:space="0"/>
                    <w:right w:val="nil"/>
                  </w:tcBorders>
                  <w:noWrap w:val="0"/>
                  <w:vAlign w:val="center"/>
                </w:tcPr>
                <w:p w14:paraId="576C39BC">
                  <w:pPr>
                    <w:jc w:val="center"/>
                    <w:rPr>
                      <w:sz w:val="21"/>
                      <w:szCs w:val="21"/>
                    </w:rPr>
                  </w:pPr>
                  <w:r>
                    <w:rPr>
                      <w:rFonts w:hint="eastAsia" w:ascii="宋体" w:hAnsi="宋体" w:eastAsia="宋体" w:cs="宋体"/>
                      <w:sz w:val="21"/>
                      <w:szCs w:val="21"/>
                    </w:rPr>
                    <w:t>符合</w:t>
                  </w:r>
                </w:p>
              </w:tc>
            </w:tr>
            <w:tr w14:paraId="2CF9BA1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1" w:type="dxa"/>
                  <w:vMerge w:val="continue"/>
                  <w:tcBorders>
                    <w:top w:val="single" w:color="auto" w:sz="4" w:space="0"/>
                    <w:left w:val="nil"/>
                    <w:bottom w:val="single" w:color="auto" w:sz="8" w:space="0"/>
                    <w:right w:val="single" w:color="auto" w:sz="4" w:space="0"/>
                  </w:tcBorders>
                  <w:noWrap w:val="0"/>
                  <w:vAlign w:val="center"/>
                </w:tcPr>
                <w:p w14:paraId="3F26CF12">
                  <w:pPr>
                    <w:rPr>
                      <w:sz w:val="21"/>
                      <w:szCs w:val="21"/>
                    </w:rPr>
                  </w:pPr>
                </w:p>
              </w:tc>
              <w:tc>
                <w:tcPr>
                  <w:tcW w:w="4303" w:type="dxa"/>
                  <w:tcBorders>
                    <w:top w:val="single" w:color="auto" w:sz="4" w:space="0"/>
                    <w:left w:val="single" w:color="auto" w:sz="4" w:space="0"/>
                    <w:bottom w:val="single" w:color="auto" w:sz="8" w:space="0"/>
                    <w:right w:val="single" w:color="auto" w:sz="4" w:space="0"/>
                  </w:tcBorders>
                  <w:noWrap w:val="0"/>
                  <w:vAlign w:val="center"/>
                </w:tcPr>
                <w:p w14:paraId="6BCCFCB2">
                  <w:pPr>
                    <w:rPr>
                      <w:sz w:val="21"/>
                      <w:szCs w:val="21"/>
                    </w:rPr>
                  </w:pPr>
                  <w:r>
                    <w:rPr>
                      <w:rFonts w:hint="eastAsia"/>
                      <w:sz w:val="21"/>
                      <w:szCs w:val="21"/>
                    </w:rPr>
                    <w:t>17.严格落实重污染天气移动源管控。2026年9月20日前，更新完善用车大户清单和货车白名单，确保清单精准、信息完整，实现动态管理。重污染天气预警期间，除列入“白名单”的民生保障车辆外，全市范围内停止使用国五及以下排放阶段的重型柴油货车(含燃气货车)以及国三及以下排放阶段的非道路移动机械。纳入重点民生保障的建设项目及应急抢险工程，原则上使用新能源运输车辆和非道路移动机械。指导大宗物料运输企业合理安排运力，提前做好生产物资储备。(市生态环境局牵头，市公安局、住建局、城管局、交通运输局配合)</w:t>
                  </w:r>
                </w:p>
              </w:tc>
              <w:tc>
                <w:tcPr>
                  <w:tcW w:w="2118" w:type="dxa"/>
                  <w:tcBorders>
                    <w:top w:val="single" w:color="auto" w:sz="4" w:space="0"/>
                    <w:left w:val="single" w:color="auto" w:sz="4" w:space="0"/>
                    <w:bottom w:val="single" w:color="auto" w:sz="8" w:space="0"/>
                    <w:right w:val="single" w:color="auto" w:sz="4" w:space="0"/>
                  </w:tcBorders>
                  <w:noWrap w:val="0"/>
                  <w:vAlign w:val="center"/>
                </w:tcPr>
                <w:p w14:paraId="0EB7B324">
                  <w:pPr>
                    <w:rPr>
                      <w:color w:val="FF0000"/>
                      <w:sz w:val="21"/>
                      <w:szCs w:val="21"/>
                    </w:rPr>
                  </w:pPr>
                  <w:r>
                    <w:rPr>
                      <w:rFonts w:hint="eastAsia" w:ascii="宋体" w:hAnsi="宋体" w:eastAsia="宋体" w:cs="宋体"/>
                      <w:color w:val="auto"/>
                      <w:sz w:val="21"/>
                      <w:szCs w:val="21"/>
                    </w:rPr>
                    <w:t>企业按要求进行运输车辆、厂内车辆和非道路移动机械应急管理。</w:t>
                  </w:r>
                </w:p>
              </w:tc>
              <w:tc>
                <w:tcPr>
                  <w:tcW w:w="690" w:type="dxa"/>
                  <w:tcBorders>
                    <w:top w:val="single" w:color="auto" w:sz="4" w:space="0"/>
                    <w:left w:val="single" w:color="auto" w:sz="4" w:space="0"/>
                    <w:bottom w:val="single" w:color="auto" w:sz="8" w:space="0"/>
                    <w:right w:val="nil"/>
                  </w:tcBorders>
                  <w:noWrap w:val="0"/>
                  <w:vAlign w:val="center"/>
                </w:tcPr>
                <w:p w14:paraId="0AC41C9C">
                  <w:pPr>
                    <w:jc w:val="center"/>
                    <w:rPr>
                      <w:sz w:val="21"/>
                      <w:szCs w:val="21"/>
                    </w:rPr>
                  </w:pPr>
                  <w:r>
                    <w:rPr>
                      <w:rFonts w:hint="eastAsia" w:ascii="宋体" w:hAnsi="宋体" w:eastAsia="宋体" w:cs="宋体"/>
                      <w:sz w:val="21"/>
                      <w:szCs w:val="21"/>
                    </w:rPr>
                    <w:t>符合</w:t>
                  </w:r>
                </w:p>
              </w:tc>
            </w:tr>
          </w:tbl>
          <w:p w14:paraId="38520BE7">
            <w:pPr>
              <w:spacing w:line="460" w:lineRule="exact"/>
              <w:ind w:firstLine="48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由上表可知，本项目符合《攻坚战实施方案》相关要求。</w:t>
            </w:r>
          </w:p>
          <w:p w14:paraId="02EB31C3">
            <w:pPr>
              <w:spacing w:line="460" w:lineRule="exact"/>
              <w:ind w:firstLine="480" w:firstLineChars="200"/>
              <w:rPr>
                <w:rFonts w:ascii="宋体" w:hAnsi="宋体" w:cs="宋体"/>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本项目与《新乡市人民政府关于印发新乡市空气质量持续改善实施方案的通知》（新政文[</w:t>
            </w:r>
            <w:r>
              <w:rPr>
                <w:color w:val="000000" w:themeColor="text1"/>
                <w14:textFill>
                  <w14:solidFill>
                    <w14:schemeClr w14:val="tx1"/>
                  </w14:solidFill>
                </w14:textFill>
              </w:rPr>
              <w:t>2024</w:t>
            </w:r>
            <w:r>
              <w:rPr>
                <w:rFonts w:hint="eastAsia" w:ascii="宋体" w:hAnsi="宋体" w:cs="宋体"/>
                <w:color w:val="000000" w:themeColor="text1"/>
                <w14:textFill>
                  <w14:solidFill>
                    <w14:schemeClr w14:val="tx1"/>
                  </w14:solidFill>
                </w14:textFill>
              </w:rPr>
              <w:t>]</w:t>
            </w:r>
            <w:r>
              <w:rPr>
                <w:color w:val="000000" w:themeColor="text1"/>
                <w14:textFill>
                  <w14:solidFill>
                    <w14:schemeClr w14:val="tx1"/>
                  </w14:solidFill>
                </w14:textFill>
              </w:rPr>
              <w:t>92</w:t>
            </w:r>
            <w:r>
              <w:rPr>
                <w:rFonts w:hint="eastAsia" w:ascii="宋体" w:hAnsi="宋体" w:cs="宋体"/>
                <w:color w:val="000000" w:themeColor="text1"/>
                <w14:textFill>
                  <w14:solidFill>
                    <w14:schemeClr w14:val="tx1"/>
                  </w14:solidFill>
                </w14:textFill>
              </w:rPr>
              <w:t>号）（以下简称《空气质量持续改善方案》）对比分析</w:t>
            </w:r>
          </w:p>
          <w:p w14:paraId="75DD1CED">
            <w:pPr>
              <w:pStyle w:val="11"/>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表1-</w:t>
            </w:r>
            <w:r>
              <w:rPr>
                <w:rFonts w:hint="eastAsia" w:eastAsia="黑体"/>
                <w:color w:val="000000" w:themeColor="text1"/>
                <w:lang w:val="en-US" w:eastAsia="zh-CN"/>
                <w14:textFill>
                  <w14:solidFill>
                    <w14:schemeClr w14:val="tx1"/>
                  </w14:solidFill>
                </w14:textFill>
              </w:rPr>
              <w:t>7</w:t>
            </w:r>
            <w:r>
              <w:rPr>
                <w:rFonts w:eastAsia="黑体"/>
                <w:color w:val="000000" w:themeColor="text1"/>
                <w14:textFill>
                  <w14:solidFill>
                    <w14:schemeClr w14:val="tx1"/>
                  </w14:solidFill>
                </w14:textFill>
              </w:rPr>
              <w:t xml:space="preserve">      本项目与《空气质量持续改善方案》对比分析一览表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
              <w:gridCol w:w="4487"/>
              <w:gridCol w:w="2096"/>
              <w:gridCol w:w="686"/>
            </w:tblGrid>
            <w:tr w14:paraId="0D20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10" w:type="dxa"/>
                  <w:gridSpan w:val="2"/>
                  <w:vAlign w:val="center"/>
                </w:tcPr>
                <w:p w14:paraId="64D425EE">
                  <w:pPr>
                    <w:pStyle w:val="4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与本项目相关条文</w:t>
                  </w:r>
                </w:p>
              </w:tc>
              <w:tc>
                <w:tcPr>
                  <w:tcW w:w="2099" w:type="dxa"/>
                  <w:vAlign w:val="center"/>
                </w:tcPr>
                <w:p w14:paraId="3D5048C3">
                  <w:pPr>
                    <w:pStyle w:val="4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本项目情况</w:t>
                  </w:r>
                </w:p>
              </w:tc>
              <w:tc>
                <w:tcPr>
                  <w:tcW w:w="683" w:type="dxa"/>
                  <w:vAlign w:val="center"/>
                </w:tcPr>
                <w:p w14:paraId="45F3BD6E">
                  <w:pPr>
                    <w:pStyle w:val="4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对比结果</w:t>
                  </w:r>
                </w:p>
              </w:tc>
            </w:tr>
            <w:tr w14:paraId="298B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 w:type="dxa"/>
                  <w:vMerge w:val="restart"/>
                  <w:vAlign w:val="center"/>
                </w:tcPr>
                <w:p w14:paraId="7EFE2028">
                  <w:pPr>
                    <w:pStyle w:val="46"/>
                    <w:rPr>
                      <w:color w:val="000000" w:themeColor="text1"/>
                      <w14:textFill>
                        <w14:solidFill>
                          <w14:schemeClr w14:val="tx1"/>
                        </w14:solidFill>
                      </w14:textFill>
                    </w:rPr>
                  </w:pPr>
                  <w:r>
                    <w:rPr>
                      <w:rFonts w:hint="eastAsia"/>
                      <w:color w:val="000000" w:themeColor="text1"/>
                      <w14:textFill>
                        <w14:solidFill>
                          <w14:schemeClr w14:val="tx1"/>
                        </w14:solidFill>
                      </w14:textFill>
                    </w:rPr>
                    <w:t>二、优化产业结构，促进产业绿色发展</w:t>
                  </w:r>
                </w:p>
              </w:tc>
              <w:tc>
                <w:tcPr>
                  <w:tcW w:w="4500" w:type="dxa"/>
                  <w:vAlign w:val="center"/>
                </w:tcPr>
                <w:p w14:paraId="5C7E7C78">
                  <w:pPr>
                    <w:pStyle w:val="4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一）严管严控“两高”项目。严格落实国家和我省“两高”项目相关要求。严格执行有关行业产能置换政策，被置换产能及其配套设施关停后，新建项目方可投产。国家、省绩效分级重点行业以及锅炉炉窑的其他行业，新（改、扩）建项目原则上达到环境绩效</w:t>
                  </w:r>
                  <w:r>
                    <w:rPr>
                      <w:rFonts w:cs="Times New Roman"/>
                      <w:color w:val="000000" w:themeColor="text1"/>
                      <w14:textFill>
                        <w14:solidFill>
                          <w14:schemeClr w14:val="tx1"/>
                        </w14:solidFill>
                      </w14:textFill>
                    </w:rPr>
                    <w:t>A</w:t>
                  </w:r>
                  <w:r>
                    <w:rPr>
                      <w:rFonts w:hint="eastAsia"/>
                      <w:color w:val="000000" w:themeColor="text1"/>
                      <w14:textFill>
                        <w14:solidFill>
                          <w14:schemeClr w14:val="tx1"/>
                        </w14:solidFill>
                      </w14:textFill>
                    </w:rPr>
                    <w:t>级和国内清洁生产先进水平。</w:t>
                  </w:r>
                </w:p>
              </w:tc>
              <w:tc>
                <w:tcPr>
                  <w:tcW w:w="2099" w:type="dxa"/>
                  <w:vAlign w:val="center"/>
                </w:tcPr>
                <w:p w14:paraId="68758F9D">
                  <w:pPr>
                    <w:pStyle w:val="4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本项目不属于“两高”项目，不涉及产能置换。本项目为食品制造业，涉及锅炉按照通用行业涉锅炉A级企业要求进行建设。</w:t>
                  </w:r>
                </w:p>
              </w:tc>
              <w:tc>
                <w:tcPr>
                  <w:tcW w:w="683" w:type="dxa"/>
                  <w:vAlign w:val="center"/>
                </w:tcPr>
                <w:p w14:paraId="2547F784">
                  <w:pPr>
                    <w:pStyle w:val="46"/>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14:paraId="1BBF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 w:type="dxa"/>
                  <w:vMerge w:val="continue"/>
                  <w:vAlign w:val="center"/>
                </w:tcPr>
                <w:p w14:paraId="44BB0F97">
                  <w:pPr>
                    <w:pStyle w:val="46"/>
                    <w:rPr>
                      <w:color w:val="000000" w:themeColor="text1"/>
                      <w14:textFill>
                        <w14:solidFill>
                          <w14:schemeClr w14:val="tx1"/>
                        </w14:solidFill>
                      </w14:textFill>
                    </w:rPr>
                  </w:pPr>
                </w:p>
              </w:tc>
              <w:tc>
                <w:tcPr>
                  <w:tcW w:w="4500" w:type="dxa"/>
                  <w:vAlign w:val="center"/>
                </w:tcPr>
                <w:p w14:paraId="281AB278">
                  <w:pPr>
                    <w:pStyle w:val="4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（二）加快淘汰落后产能。落实《产业结构调整指导目录（</w:t>
                  </w:r>
                  <w:r>
                    <w:rPr>
                      <w:rFonts w:cs="Times New Roman"/>
                      <w:color w:val="000000" w:themeColor="text1"/>
                      <w14:textFill>
                        <w14:solidFill>
                          <w14:schemeClr w14:val="tx1"/>
                        </w14:solidFill>
                      </w14:textFill>
                    </w:rPr>
                    <w:t>2024</w:t>
                  </w:r>
                  <w:r>
                    <w:rPr>
                      <w:rFonts w:hint="eastAsia"/>
                      <w:color w:val="000000" w:themeColor="text1"/>
                      <w14:textFill>
                        <w14:solidFill>
                          <w14:schemeClr w14:val="tx1"/>
                        </w14:solidFill>
                      </w14:textFill>
                    </w:rPr>
                    <w:t>年本）》，进一步提高落后产能能耗、环保、质量、安全、技术等要求，将大气污染物排放强度高、清洁生产水平低、治理难度大以及产能过剩行业的工艺和装备纳入淘汰范围，逐步退出限制类涉气行业工艺和装备。推动封丘县兴立新型建材有限公司</w:t>
                  </w:r>
                  <w:r>
                    <w:rPr>
                      <w:rFonts w:cs="Times New Roman"/>
                      <w:color w:val="000000" w:themeColor="text1"/>
                      <w14:textFill>
                        <w14:solidFill>
                          <w14:schemeClr w14:val="tx1"/>
                        </w14:solidFill>
                      </w14:textFill>
                    </w:rPr>
                    <w:t>2</w:t>
                  </w:r>
                  <w:r>
                    <w:rPr>
                      <w:rFonts w:hint="eastAsia"/>
                      <w:color w:val="000000" w:themeColor="text1"/>
                      <w14:textFill>
                        <w14:solidFill>
                          <w14:schemeClr w14:val="tx1"/>
                        </w14:solidFill>
                      </w14:textFill>
                    </w:rPr>
                    <w:t>条</w:t>
                  </w:r>
                  <w:r>
                    <w:rPr>
                      <w:rFonts w:cs="Times New Roman"/>
                      <w:color w:val="000000" w:themeColor="text1"/>
                      <w14:textFill>
                        <w14:solidFill>
                          <w14:schemeClr w14:val="tx1"/>
                        </w14:solidFill>
                      </w14:textFill>
                    </w:rPr>
                    <w:t>3000</w:t>
                  </w:r>
                  <w:r>
                    <w:rPr>
                      <w:rFonts w:hint="eastAsia"/>
                      <w:color w:val="000000" w:themeColor="text1"/>
                      <w14:textFill>
                        <w14:solidFill>
                          <w14:schemeClr w14:val="tx1"/>
                        </w14:solidFill>
                      </w14:textFill>
                    </w:rPr>
                    <w:t>万块隧道窑生产线淘汰或整合升级，推动全市</w:t>
                  </w:r>
                  <w:r>
                    <w:rPr>
                      <w:rFonts w:cs="Times New Roman"/>
                      <w:color w:val="000000" w:themeColor="text1"/>
                      <w14:textFill>
                        <w14:solidFill>
                          <w14:schemeClr w14:val="tx1"/>
                        </w14:solidFill>
                      </w14:textFill>
                    </w:rPr>
                    <w:t>1</w:t>
                  </w:r>
                  <w:r>
                    <w:rPr>
                      <w:rFonts w:hint="eastAsia"/>
                      <w:color w:val="000000" w:themeColor="text1"/>
                      <w14:textFill>
                        <w14:solidFill>
                          <w14:schemeClr w14:val="tx1"/>
                        </w14:solidFill>
                      </w14:textFill>
                    </w:rPr>
                    <w:t>亿块/年以下产能烧结砖瓦窑企业整合升级。对烧结砖瓦企业关停推出实施逐年递减的资金奖补方式，对</w:t>
                  </w:r>
                  <w:r>
                    <w:rPr>
                      <w:rFonts w:cs="Times New Roman"/>
                      <w:color w:val="000000" w:themeColor="text1"/>
                      <w14:textFill>
                        <w14:solidFill>
                          <w14:schemeClr w14:val="tx1"/>
                        </w14:solidFill>
                      </w14:textFill>
                    </w:rPr>
                    <w:t>2025</w:t>
                  </w:r>
                  <w:r>
                    <w:rPr>
                      <w:rFonts w:hint="eastAsia"/>
                      <w:color w:val="000000" w:themeColor="text1"/>
                      <w14:textFill>
                        <w14:solidFill>
                          <w14:schemeClr w14:val="tx1"/>
                        </w14:solidFill>
                      </w14:textFill>
                    </w:rPr>
                    <w:t>年之后完成的，不再给予资金奖补。</w:t>
                  </w:r>
                </w:p>
              </w:tc>
              <w:tc>
                <w:tcPr>
                  <w:tcW w:w="2099" w:type="dxa"/>
                  <w:vAlign w:val="center"/>
                </w:tcPr>
                <w:p w14:paraId="5649FF49">
                  <w:pPr>
                    <w:pStyle w:val="4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经查阅《产业结构调整指导目录（</w:t>
                  </w:r>
                  <w:r>
                    <w:rPr>
                      <w:rFonts w:cs="Times New Roman"/>
                      <w:color w:val="000000" w:themeColor="text1"/>
                      <w14:textFill>
                        <w14:solidFill>
                          <w14:schemeClr w14:val="tx1"/>
                        </w14:solidFill>
                      </w14:textFill>
                    </w:rPr>
                    <w:t>2024</w:t>
                  </w:r>
                  <w:r>
                    <w:rPr>
                      <w:rFonts w:hint="eastAsia"/>
                      <w:color w:val="000000" w:themeColor="text1"/>
                      <w14:textFill>
                        <w14:solidFill>
                          <w14:schemeClr w14:val="tx1"/>
                        </w14:solidFill>
                      </w14:textFill>
                    </w:rPr>
                    <w:t>年本）》，本项目属于允许类。</w:t>
                  </w:r>
                </w:p>
              </w:tc>
              <w:tc>
                <w:tcPr>
                  <w:tcW w:w="683" w:type="dxa"/>
                  <w:vAlign w:val="center"/>
                </w:tcPr>
                <w:p w14:paraId="1315846E">
                  <w:pPr>
                    <w:pStyle w:val="46"/>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14:paraId="315E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 w:type="dxa"/>
                  <w:vAlign w:val="center"/>
                </w:tcPr>
                <w:p w14:paraId="491E304E">
                  <w:pPr>
                    <w:pStyle w:val="46"/>
                    <w:rPr>
                      <w:color w:val="000000" w:themeColor="text1"/>
                      <w14:textFill>
                        <w14:solidFill>
                          <w14:schemeClr w14:val="tx1"/>
                        </w14:solidFill>
                      </w14:textFill>
                    </w:rPr>
                  </w:pPr>
                  <w:r>
                    <w:rPr>
                      <w:rFonts w:hint="eastAsia"/>
                      <w:color w:val="000000" w:themeColor="text1"/>
                      <w14:textFill>
                        <w14:solidFill>
                          <w14:schemeClr w14:val="tx1"/>
                        </w14:solidFill>
                      </w14:textFill>
                    </w:rPr>
                    <w:t>六、加强多污染物减排，降低排放强度和总量</w:t>
                  </w:r>
                </w:p>
              </w:tc>
              <w:tc>
                <w:tcPr>
                  <w:tcW w:w="4500" w:type="dxa"/>
                  <w:vAlign w:val="center"/>
                </w:tcPr>
                <w:p w14:paraId="31D6F1F2">
                  <w:pPr>
                    <w:pStyle w:val="4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（一）加快实施低</w:t>
                  </w:r>
                  <w:r>
                    <w:rPr>
                      <w:rFonts w:cs="Times New Roman"/>
                      <w:color w:val="000000" w:themeColor="text1"/>
                      <w14:textFill>
                        <w14:solidFill>
                          <w14:schemeClr w14:val="tx1"/>
                        </w14:solidFill>
                      </w14:textFill>
                    </w:rPr>
                    <w:t>VOCs</w:t>
                  </w:r>
                  <w:r>
                    <w:rPr>
                      <w:rFonts w:hint="eastAsia"/>
                      <w:color w:val="000000" w:themeColor="text1"/>
                      <w14:textFill>
                        <w14:solidFill>
                          <w14:schemeClr w14:val="tx1"/>
                        </w14:solidFill>
                      </w14:textFill>
                    </w:rPr>
                    <w:t>含量原辅材料替代。严格执行涂料、油墨、胶粘剂、清洗剂</w:t>
                  </w:r>
                  <w:r>
                    <w:rPr>
                      <w:rFonts w:cs="Times New Roman"/>
                      <w:color w:val="000000" w:themeColor="text1"/>
                      <w14:textFill>
                        <w14:solidFill>
                          <w14:schemeClr w14:val="tx1"/>
                        </w14:solidFill>
                      </w14:textFill>
                    </w:rPr>
                    <w:t>VOCs</w:t>
                  </w:r>
                  <w:r>
                    <w:rPr>
                      <w:rFonts w:hint="eastAsia"/>
                      <w:color w:val="000000" w:themeColor="text1"/>
                      <w14:textFill>
                        <w14:solidFill>
                          <w14:schemeClr w14:val="tx1"/>
                        </w14:solidFill>
                      </w14:textFill>
                    </w:rPr>
                    <w:t>含量限值标准，建立多部门联合执法机制，定期对生产企业、销售场所、使用环节进行监督检查。鼓励引导企业生产和使用低</w:t>
                  </w:r>
                  <w:r>
                    <w:rPr>
                      <w:rFonts w:cs="Times New Roman"/>
                      <w:color w:val="000000" w:themeColor="text1"/>
                      <w14:textFill>
                        <w14:solidFill>
                          <w14:schemeClr w14:val="tx1"/>
                        </w14:solidFill>
                      </w14:textFill>
                    </w:rPr>
                    <w:t>VOCs</w:t>
                  </w:r>
                  <w:r>
                    <w:rPr>
                      <w:rFonts w:hint="eastAsia"/>
                      <w:color w:val="000000" w:themeColor="text1"/>
                      <w14:textFill>
                        <w14:solidFill>
                          <w14:schemeClr w14:val="tx1"/>
                        </w14:solidFill>
                      </w14:textFill>
                    </w:rPr>
                    <w:t>含量涂料、油墨、胶粘剂、清洗剂，推动现有高</w:t>
                  </w:r>
                  <w:r>
                    <w:rPr>
                      <w:rFonts w:cs="Times New Roman"/>
                      <w:color w:val="000000" w:themeColor="text1"/>
                      <w14:textFill>
                        <w14:solidFill>
                          <w14:schemeClr w14:val="tx1"/>
                        </w14:solidFill>
                      </w14:textFill>
                    </w:rPr>
                    <w:t>VOCs</w:t>
                  </w:r>
                  <w:r>
                    <w:rPr>
                      <w:rFonts w:hint="eastAsia"/>
                      <w:color w:val="000000" w:themeColor="text1"/>
                      <w14:textFill>
                        <w14:solidFill>
                          <w14:schemeClr w14:val="tx1"/>
                        </w14:solidFill>
                      </w14:textFill>
                    </w:rPr>
                    <w:t>含量产品生产企业加快升级转型，提高水性、高固体分、无溶剂、粉末等低（无）</w:t>
                  </w:r>
                  <w:r>
                    <w:rPr>
                      <w:rFonts w:cs="Times New Roman"/>
                      <w:color w:val="000000" w:themeColor="text1"/>
                      <w14:textFill>
                        <w14:solidFill>
                          <w14:schemeClr w14:val="tx1"/>
                        </w14:solidFill>
                      </w14:textFill>
                    </w:rPr>
                    <w:t>VOCs</w:t>
                  </w:r>
                  <w:r>
                    <w:rPr>
                      <w:rFonts w:hint="eastAsia"/>
                      <w:color w:val="000000" w:themeColor="text1"/>
                      <w14:textFill>
                        <w14:solidFill>
                          <w14:schemeClr w14:val="tx1"/>
                        </w14:solidFill>
                      </w14:textFill>
                    </w:rPr>
                    <w:t>含量产品比重。加大工业涂装、包装印刷、电子制造等行业低（无）</w:t>
                  </w:r>
                  <w:r>
                    <w:rPr>
                      <w:rFonts w:cs="Times New Roman"/>
                      <w:color w:val="000000" w:themeColor="text1"/>
                      <w14:textFill>
                        <w14:solidFill>
                          <w14:schemeClr w14:val="tx1"/>
                        </w14:solidFill>
                      </w14:textFill>
                    </w:rPr>
                    <w:t>VOCs</w:t>
                  </w:r>
                  <w:r>
                    <w:rPr>
                      <w:rFonts w:hint="eastAsia"/>
                      <w:color w:val="000000" w:themeColor="text1"/>
                      <w14:textFill>
                        <w14:solidFill>
                          <w14:schemeClr w14:val="tx1"/>
                        </w14:solidFill>
                      </w14:textFill>
                    </w:rPr>
                    <w:t>含量原辅材料替代力度。室外构筑物防护和城市道路交通标志基本使用低（无）</w:t>
                  </w:r>
                  <w:r>
                    <w:rPr>
                      <w:rFonts w:cs="Times New Roman"/>
                      <w:color w:val="000000" w:themeColor="text1"/>
                      <w14:textFill>
                        <w14:solidFill>
                          <w14:schemeClr w14:val="tx1"/>
                        </w14:solidFill>
                      </w14:textFill>
                    </w:rPr>
                    <w:t>VOCs</w:t>
                  </w:r>
                  <w:r>
                    <w:rPr>
                      <w:rFonts w:hint="eastAsia"/>
                      <w:color w:val="000000" w:themeColor="text1"/>
                      <w14:textFill>
                        <w14:solidFill>
                          <w14:schemeClr w14:val="tx1"/>
                        </w14:solidFill>
                      </w14:textFill>
                    </w:rPr>
                    <w:t>含量涂料。</w:t>
                  </w:r>
                </w:p>
              </w:tc>
              <w:tc>
                <w:tcPr>
                  <w:tcW w:w="2099" w:type="dxa"/>
                  <w:vAlign w:val="center"/>
                </w:tcPr>
                <w:p w14:paraId="09744CCC">
                  <w:pPr>
                    <w:pStyle w:val="46"/>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本项目不涉及涂料、油墨、胶粘剂、清洗剂。</w:t>
                  </w:r>
                </w:p>
              </w:tc>
              <w:tc>
                <w:tcPr>
                  <w:tcW w:w="683" w:type="dxa"/>
                  <w:vAlign w:val="center"/>
                </w:tcPr>
                <w:p w14:paraId="33F3AF36">
                  <w:pPr>
                    <w:pStyle w:val="46"/>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bl>
          <w:p w14:paraId="00A6F6A6">
            <w:pPr>
              <w:spacing w:line="460" w:lineRule="exact"/>
              <w:ind w:firstLine="480" w:firstLineChars="20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由上表可知，本项目符合《空气质量持续改善方案》相关要求。</w:t>
            </w:r>
          </w:p>
          <w:p w14:paraId="1E27D18B">
            <w:pPr>
              <w:spacing w:line="46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（3）本项目与《河南省重污染天气通用行业应急减排措施制定技术指南》（2024 年修订稿）对照分析</w:t>
            </w:r>
          </w:p>
          <w:p w14:paraId="45015FA7">
            <w:pPr>
              <w:spacing w:line="460" w:lineRule="exact"/>
              <w:ind w:firstLine="480" w:firstLineChars="200"/>
              <w:rPr>
                <w:rFonts w:ascii="宋体" w:hAnsi="宋体" w:cs="宋体"/>
                <w:color w:val="000000" w:themeColor="text1"/>
                <w14:textFill>
                  <w14:solidFill>
                    <w14:schemeClr w14:val="tx1"/>
                  </w14:solidFill>
                </w14:textFill>
              </w:rPr>
            </w:pPr>
            <w:r>
              <w:t>本项目</w:t>
            </w:r>
            <w:r>
              <w:rPr>
                <w:rFonts w:hint="eastAsia"/>
              </w:rPr>
              <w:t>属于</w:t>
            </w:r>
            <w:r>
              <w:rPr>
                <w:rFonts w:hint="eastAsia"/>
                <w:color w:val="000000" w:themeColor="text1"/>
                <w14:textFill>
                  <w14:solidFill>
                    <w14:schemeClr w14:val="tx1"/>
                  </w14:solidFill>
                </w14:textFill>
              </w:rPr>
              <w:t>食品制造业</w:t>
            </w:r>
            <w:r>
              <w:rPr>
                <w:rFonts w:hint="eastAsia"/>
              </w:rPr>
              <w:t>，不属于国家39个重点行业，也不属于河南省省级12个重点行业。本项目涉及锅炉与</w:t>
            </w:r>
            <w:r>
              <w:rPr>
                <w:bCs/>
              </w:rPr>
              <w:t>《</w:t>
            </w:r>
            <w:r>
              <w:rPr>
                <w:rFonts w:hint="eastAsia"/>
                <w:bCs/>
              </w:rPr>
              <w:t>河南省重污染天气通用行业应急减排措施制定技术指南</w:t>
            </w:r>
            <w:r>
              <w:rPr>
                <w:bCs/>
              </w:rPr>
              <w:t>》</w:t>
            </w:r>
            <w:r>
              <w:rPr>
                <w:rFonts w:hint="eastAsia"/>
                <w:bCs/>
              </w:rPr>
              <w:t>（2024年修订稿）</w:t>
            </w:r>
            <w:r>
              <w:t>对照分析</w:t>
            </w:r>
            <w:r>
              <w:rPr>
                <w:lang w:val="pt-BR"/>
              </w:rPr>
              <w:t>见下表。</w:t>
            </w:r>
          </w:p>
          <w:p w14:paraId="178BF1A7">
            <w:pPr>
              <w:pStyle w:val="11"/>
              <w:ind w:firstLine="748" w:firstLineChars="312"/>
              <w:rPr>
                <w:rFonts w:eastAsia="黑体"/>
                <w:color w:val="000000" w:themeColor="text1"/>
                <w14:textFill>
                  <w14:solidFill>
                    <w14:schemeClr w14:val="tx1"/>
                  </w14:solidFill>
                </w14:textFill>
              </w:rPr>
            </w:pPr>
            <w:r>
              <w:rPr>
                <w:rFonts w:hint="eastAsia" w:eastAsia="黑体"/>
                <w:color w:val="000000" w:themeColor="text1"/>
                <w14:textFill>
                  <w14:solidFill>
                    <w14:schemeClr w14:val="tx1"/>
                  </w14:solidFill>
                </w14:textFill>
              </w:rPr>
              <w:t>表1-</w:t>
            </w:r>
            <w:r>
              <w:rPr>
                <w:rFonts w:hint="eastAsia" w:eastAsia="黑体"/>
                <w:color w:val="000000" w:themeColor="text1"/>
                <w:lang w:val="en-US" w:eastAsia="zh-CN"/>
                <w14:textFill>
                  <w14:solidFill>
                    <w14:schemeClr w14:val="tx1"/>
                  </w14:solidFill>
                </w14:textFill>
              </w:rPr>
              <w:t>8</w:t>
            </w:r>
            <w:r>
              <w:rPr>
                <w:rFonts w:hint="eastAsia" w:eastAsia="黑体"/>
                <w:color w:val="000000" w:themeColor="text1"/>
                <w14:textFill>
                  <w14:solidFill>
                    <w14:schemeClr w14:val="tx1"/>
                  </w14:solidFill>
                </w14:textFill>
              </w:rPr>
              <w:t xml:space="preserve">  本项目与通用行业涉锅炉/炉窑企业绩效分级指标对照分析</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355"/>
              <w:gridCol w:w="603"/>
              <w:gridCol w:w="3345"/>
              <w:gridCol w:w="2605"/>
              <w:gridCol w:w="561"/>
            </w:tblGrid>
            <w:tr w14:paraId="5FDC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Align w:val="center"/>
                </w:tcPr>
                <w:p w14:paraId="5734C8BE">
                  <w:pPr>
                    <w:jc w:val="center"/>
                    <w:rPr>
                      <w:rFonts w:hAnsi="宋体"/>
                      <w:b/>
                      <w:bCs/>
                      <w:color w:val="000000"/>
                      <w:sz w:val="21"/>
                      <w:szCs w:val="21"/>
                    </w:rPr>
                  </w:pPr>
                  <w:r>
                    <w:rPr>
                      <w:rFonts w:hint="eastAsia" w:hAnsi="宋体"/>
                      <w:b/>
                      <w:bCs/>
                      <w:color w:val="000000"/>
                      <w:sz w:val="21"/>
                      <w:szCs w:val="21"/>
                    </w:rPr>
                    <w:t>分类</w:t>
                  </w:r>
                </w:p>
              </w:tc>
              <w:tc>
                <w:tcPr>
                  <w:tcW w:w="950" w:type="dxa"/>
                  <w:gridSpan w:val="2"/>
                  <w:vAlign w:val="center"/>
                </w:tcPr>
                <w:p w14:paraId="77423204">
                  <w:pPr>
                    <w:jc w:val="center"/>
                    <w:rPr>
                      <w:rFonts w:hAnsi="宋体"/>
                      <w:b/>
                      <w:bCs/>
                      <w:color w:val="000000"/>
                      <w:sz w:val="21"/>
                      <w:szCs w:val="21"/>
                    </w:rPr>
                  </w:pPr>
                  <w:r>
                    <w:rPr>
                      <w:rFonts w:hint="eastAsia" w:hAnsi="宋体"/>
                      <w:b/>
                      <w:bCs/>
                      <w:color w:val="000000"/>
                      <w:sz w:val="21"/>
                      <w:szCs w:val="21"/>
                    </w:rPr>
                    <w:t>差异化指标</w:t>
                  </w:r>
                </w:p>
              </w:tc>
              <w:tc>
                <w:tcPr>
                  <w:tcW w:w="3360" w:type="dxa"/>
                  <w:vAlign w:val="center"/>
                </w:tcPr>
                <w:p w14:paraId="67117CE3">
                  <w:pPr>
                    <w:jc w:val="center"/>
                    <w:rPr>
                      <w:rFonts w:hAnsi="宋体"/>
                      <w:b/>
                      <w:bCs/>
                      <w:color w:val="000000"/>
                      <w:sz w:val="21"/>
                      <w:szCs w:val="21"/>
                    </w:rPr>
                  </w:pPr>
                  <w:r>
                    <w:rPr>
                      <w:rFonts w:hint="eastAsia" w:hAnsi="宋体"/>
                      <w:b/>
                      <w:bCs/>
                      <w:color w:val="000000"/>
                      <w:sz w:val="21"/>
                      <w:szCs w:val="21"/>
                    </w:rPr>
                    <w:t>A级企业</w:t>
                  </w:r>
                </w:p>
              </w:tc>
              <w:tc>
                <w:tcPr>
                  <w:tcW w:w="2615" w:type="dxa"/>
                  <w:vAlign w:val="center"/>
                </w:tcPr>
                <w:p w14:paraId="6DF73DC4">
                  <w:pPr>
                    <w:jc w:val="center"/>
                    <w:rPr>
                      <w:rFonts w:hAnsi="宋体"/>
                      <w:b/>
                      <w:bCs/>
                      <w:color w:val="000000"/>
                      <w:sz w:val="21"/>
                      <w:szCs w:val="21"/>
                    </w:rPr>
                  </w:pPr>
                  <w:r>
                    <w:rPr>
                      <w:rFonts w:hint="eastAsia" w:hAnsi="宋体"/>
                      <w:b/>
                      <w:bCs/>
                      <w:color w:val="000000"/>
                      <w:sz w:val="21"/>
                      <w:szCs w:val="21"/>
                    </w:rPr>
                    <w:t>本项目情况</w:t>
                  </w:r>
                </w:p>
              </w:tc>
              <w:tc>
                <w:tcPr>
                  <w:tcW w:w="558" w:type="dxa"/>
                  <w:vAlign w:val="center"/>
                </w:tcPr>
                <w:p w14:paraId="3D0410F5">
                  <w:pPr>
                    <w:jc w:val="center"/>
                    <w:rPr>
                      <w:rFonts w:hAnsi="宋体"/>
                      <w:b/>
                      <w:bCs/>
                      <w:color w:val="000000"/>
                      <w:sz w:val="21"/>
                      <w:szCs w:val="21"/>
                    </w:rPr>
                  </w:pPr>
                  <w:r>
                    <w:rPr>
                      <w:rFonts w:hint="eastAsia" w:hAnsi="宋体"/>
                      <w:b/>
                      <w:bCs/>
                      <w:color w:val="000000"/>
                      <w:sz w:val="21"/>
                      <w:szCs w:val="21"/>
                    </w:rPr>
                    <w:t>相符性</w:t>
                  </w:r>
                </w:p>
              </w:tc>
            </w:tr>
            <w:tr w14:paraId="5AFD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restart"/>
                  <w:vAlign w:val="center"/>
                </w:tcPr>
                <w:p w14:paraId="263F1743">
                  <w:pPr>
                    <w:jc w:val="center"/>
                    <w:rPr>
                      <w:rFonts w:hAnsi="宋体"/>
                      <w:color w:val="000000"/>
                      <w:sz w:val="21"/>
                      <w:szCs w:val="21"/>
                    </w:rPr>
                  </w:pPr>
                  <w:r>
                    <w:rPr>
                      <w:rFonts w:hint="eastAsia" w:hAnsi="宋体"/>
                      <w:color w:val="000000"/>
                      <w:sz w:val="21"/>
                      <w:szCs w:val="21"/>
                    </w:rPr>
                    <w:t>二、涉锅炉/炉窑排放差异化管控要求</w:t>
                  </w:r>
                </w:p>
              </w:tc>
              <w:tc>
                <w:tcPr>
                  <w:tcW w:w="950" w:type="dxa"/>
                  <w:gridSpan w:val="2"/>
                  <w:vAlign w:val="center"/>
                </w:tcPr>
                <w:p w14:paraId="4DFFF63A">
                  <w:pPr>
                    <w:jc w:val="center"/>
                    <w:rPr>
                      <w:rFonts w:hAnsi="宋体"/>
                      <w:color w:val="000000"/>
                      <w:sz w:val="21"/>
                      <w:szCs w:val="21"/>
                    </w:rPr>
                  </w:pPr>
                  <w:r>
                    <w:rPr>
                      <w:rFonts w:hint="eastAsia" w:hAnsi="宋体"/>
                      <w:color w:val="000000"/>
                      <w:sz w:val="21"/>
                      <w:szCs w:val="21"/>
                    </w:rPr>
                    <w:t>能源类型</w:t>
                  </w:r>
                </w:p>
              </w:tc>
              <w:tc>
                <w:tcPr>
                  <w:tcW w:w="3360" w:type="dxa"/>
                  <w:vAlign w:val="center"/>
                </w:tcPr>
                <w:p w14:paraId="4D9BCBAC">
                  <w:pPr>
                    <w:widowControl/>
                    <w:jc w:val="center"/>
                    <w:rPr>
                      <w:sz w:val="21"/>
                      <w:szCs w:val="21"/>
                    </w:rPr>
                  </w:pPr>
                  <w:r>
                    <w:rPr>
                      <w:rFonts w:hint="eastAsia"/>
                      <w:sz w:val="21"/>
                      <w:szCs w:val="21"/>
                    </w:rPr>
                    <w:t>以电、天然气为能源</w:t>
                  </w:r>
                </w:p>
              </w:tc>
              <w:tc>
                <w:tcPr>
                  <w:tcW w:w="2615" w:type="dxa"/>
                  <w:vAlign w:val="center"/>
                </w:tcPr>
                <w:p w14:paraId="2471A33E">
                  <w:pPr>
                    <w:rPr>
                      <w:rFonts w:hAnsi="宋体"/>
                      <w:color w:val="000000"/>
                      <w:sz w:val="21"/>
                      <w:szCs w:val="21"/>
                    </w:rPr>
                  </w:pPr>
                  <w:r>
                    <w:rPr>
                      <w:rFonts w:hint="eastAsia" w:hAnsi="宋体"/>
                      <w:color w:val="000000"/>
                      <w:sz w:val="21"/>
                      <w:szCs w:val="21"/>
                    </w:rPr>
                    <w:t>本项目蒸汽发生器使用天然气为能源。</w:t>
                  </w:r>
                </w:p>
              </w:tc>
              <w:tc>
                <w:tcPr>
                  <w:tcW w:w="558" w:type="dxa"/>
                  <w:vAlign w:val="center"/>
                </w:tcPr>
                <w:p w14:paraId="2A7A5B69">
                  <w:pPr>
                    <w:jc w:val="center"/>
                    <w:rPr>
                      <w:rFonts w:hAnsi="宋体"/>
                      <w:color w:val="000000"/>
                      <w:sz w:val="21"/>
                      <w:szCs w:val="21"/>
                    </w:rPr>
                  </w:pPr>
                  <w:r>
                    <w:rPr>
                      <w:rFonts w:hint="eastAsia" w:hAnsi="宋体"/>
                      <w:color w:val="000000"/>
                      <w:sz w:val="21"/>
                      <w:szCs w:val="21"/>
                    </w:rPr>
                    <w:t>符合</w:t>
                  </w:r>
                </w:p>
              </w:tc>
            </w:tr>
            <w:tr w14:paraId="44BFB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581A49C1">
                  <w:pPr>
                    <w:jc w:val="center"/>
                    <w:rPr>
                      <w:rFonts w:hAnsi="宋体"/>
                      <w:color w:val="000000"/>
                      <w:sz w:val="21"/>
                      <w:szCs w:val="21"/>
                    </w:rPr>
                  </w:pPr>
                </w:p>
              </w:tc>
              <w:tc>
                <w:tcPr>
                  <w:tcW w:w="950" w:type="dxa"/>
                  <w:gridSpan w:val="2"/>
                  <w:vAlign w:val="center"/>
                </w:tcPr>
                <w:p w14:paraId="1B39DA1D">
                  <w:pPr>
                    <w:jc w:val="center"/>
                    <w:rPr>
                      <w:rFonts w:hAnsi="宋体"/>
                      <w:color w:val="000000"/>
                      <w:sz w:val="21"/>
                      <w:szCs w:val="21"/>
                    </w:rPr>
                  </w:pPr>
                  <w:r>
                    <w:rPr>
                      <w:rFonts w:hint="eastAsia" w:hAnsi="宋体"/>
                      <w:color w:val="000000"/>
                      <w:sz w:val="21"/>
                      <w:szCs w:val="21"/>
                    </w:rPr>
                    <w:t>生产工艺</w:t>
                  </w:r>
                </w:p>
              </w:tc>
              <w:tc>
                <w:tcPr>
                  <w:tcW w:w="3360" w:type="dxa"/>
                  <w:vAlign w:val="center"/>
                </w:tcPr>
                <w:p w14:paraId="79BB3F67">
                  <w:pPr>
                    <w:widowControl/>
                    <w:rPr>
                      <w:sz w:val="21"/>
                      <w:szCs w:val="21"/>
                    </w:rPr>
                  </w:pPr>
                  <w:r>
                    <w:rPr>
                      <w:color w:val="000000"/>
                      <w:kern w:val="0"/>
                      <w:sz w:val="21"/>
                      <w:szCs w:val="21"/>
                      <w:lang w:bidi="ar"/>
                    </w:rPr>
                    <w:t>1.</w:t>
                  </w:r>
                  <w:r>
                    <w:rPr>
                      <w:rFonts w:hint="eastAsia" w:ascii="宋体" w:hAnsi="宋体" w:cs="宋体"/>
                      <w:color w:val="000000"/>
                      <w:kern w:val="0"/>
                      <w:sz w:val="21"/>
                      <w:szCs w:val="21"/>
                      <w:lang w:bidi="ar"/>
                    </w:rPr>
                    <w:t>属于《产业结构调整指导目录（</w:t>
                  </w:r>
                  <w:r>
                    <w:rPr>
                      <w:color w:val="000000"/>
                      <w:kern w:val="0"/>
                      <w:sz w:val="21"/>
                      <w:szCs w:val="21"/>
                      <w:lang w:bidi="ar"/>
                    </w:rPr>
                    <w:t>20</w:t>
                  </w:r>
                  <w:r>
                    <w:rPr>
                      <w:rFonts w:hint="eastAsia"/>
                      <w:color w:val="000000"/>
                      <w:kern w:val="0"/>
                      <w:sz w:val="21"/>
                      <w:szCs w:val="21"/>
                      <w:lang w:bidi="ar"/>
                    </w:rPr>
                    <w:t>24</w:t>
                  </w:r>
                  <w:r>
                    <w:rPr>
                      <w:rFonts w:hint="eastAsia" w:ascii="宋体" w:hAnsi="宋体" w:cs="宋体"/>
                      <w:color w:val="000000"/>
                      <w:kern w:val="0"/>
                      <w:sz w:val="21"/>
                      <w:szCs w:val="21"/>
                      <w:lang w:bidi="ar"/>
                    </w:rPr>
                    <w:t>）》鼓励类和允许类；</w:t>
                  </w:r>
                  <w:r>
                    <w:rPr>
                      <w:color w:val="000000"/>
                      <w:kern w:val="0"/>
                      <w:sz w:val="21"/>
                      <w:szCs w:val="21"/>
                      <w:lang w:bidi="ar"/>
                    </w:rPr>
                    <w:t>2.</w:t>
                  </w:r>
                  <w:r>
                    <w:rPr>
                      <w:rFonts w:hint="eastAsia" w:ascii="宋体" w:hAnsi="宋体" w:cs="宋体"/>
                      <w:color w:val="000000"/>
                      <w:kern w:val="0"/>
                      <w:sz w:val="21"/>
                      <w:szCs w:val="21"/>
                      <w:lang w:bidi="ar"/>
                    </w:rPr>
                    <w:t>符合相关行业产业政策；</w:t>
                  </w:r>
                  <w:r>
                    <w:rPr>
                      <w:color w:val="000000"/>
                      <w:kern w:val="0"/>
                      <w:sz w:val="21"/>
                      <w:szCs w:val="21"/>
                      <w:lang w:bidi="ar"/>
                    </w:rPr>
                    <w:t>3.</w:t>
                  </w:r>
                  <w:r>
                    <w:rPr>
                      <w:rFonts w:hint="eastAsia" w:ascii="宋体" w:hAnsi="宋体" w:cs="宋体"/>
                      <w:color w:val="000000"/>
                      <w:kern w:val="0"/>
                      <w:sz w:val="21"/>
                      <w:szCs w:val="21"/>
                      <w:lang w:bidi="ar"/>
                    </w:rPr>
                    <w:t>符合河南省相关政策要求；</w:t>
                  </w:r>
                  <w:r>
                    <w:rPr>
                      <w:color w:val="000000"/>
                      <w:kern w:val="0"/>
                      <w:sz w:val="21"/>
                      <w:szCs w:val="21"/>
                      <w:lang w:bidi="ar"/>
                    </w:rPr>
                    <w:t>4.</w:t>
                  </w:r>
                  <w:r>
                    <w:rPr>
                      <w:rFonts w:hint="eastAsia" w:ascii="宋体" w:hAnsi="宋体" w:cs="宋体"/>
                      <w:color w:val="000000"/>
                      <w:kern w:val="0"/>
                      <w:sz w:val="21"/>
                      <w:szCs w:val="21"/>
                      <w:lang w:bidi="ar"/>
                    </w:rPr>
                    <w:t>符合市级规划。</w:t>
                  </w:r>
                </w:p>
              </w:tc>
              <w:tc>
                <w:tcPr>
                  <w:tcW w:w="2615" w:type="dxa"/>
                  <w:vAlign w:val="center"/>
                </w:tcPr>
                <w:p w14:paraId="3FA309CE">
                  <w:pPr>
                    <w:rPr>
                      <w:sz w:val="21"/>
                      <w:szCs w:val="21"/>
                    </w:rPr>
                  </w:pPr>
                  <w:r>
                    <w:rPr>
                      <w:rFonts w:hint="eastAsia" w:hAnsi="宋体"/>
                      <w:color w:val="000000"/>
                      <w:sz w:val="21"/>
                      <w:szCs w:val="21"/>
                    </w:rPr>
                    <w:t>1、</w:t>
                  </w:r>
                  <w:r>
                    <w:rPr>
                      <w:rFonts w:hint="eastAsia"/>
                      <w:sz w:val="21"/>
                      <w:szCs w:val="21"/>
                    </w:rPr>
                    <w:t>经查阅《产业结构调整指导目录（2024年本）》，本项目属于允许类；</w:t>
                  </w:r>
                </w:p>
                <w:p w14:paraId="61E420A8">
                  <w:pPr>
                    <w:rPr>
                      <w:sz w:val="21"/>
                      <w:szCs w:val="21"/>
                    </w:rPr>
                  </w:pPr>
                  <w:r>
                    <w:rPr>
                      <w:rFonts w:hint="eastAsia"/>
                      <w:sz w:val="21"/>
                      <w:szCs w:val="21"/>
                    </w:rPr>
                    <w:t>2、本项目符合相关产业政策；</w:t>
                  </w:r>
                </w:p>
                <w:p w14:paraId="731C926A">
                  <w:pPr>
                    <w:rPr>
                      <w:sz w:val="21"/>
                      <w:szCs w:val="21"/>
                    </w:rPr>
                  </w:pPr>
                  <w:r>
                    <w:rPr>
                      <w:rFonts w:hint="eastAsia"/>
                      <w:sz w:val="21"/>
                      <w:szCs w:val="21"/>
                    </w:rPr>
                    <w:t>3、本项目符合</w:t>
                  </w:r>
                  <w:r>
                    <w:rPr>
                      <w:rFonts w:hint="eastAsia"/>
                      <w:bCs/>
                      <w:color w:val="000000"/>
                      <w:sz w:val="21"/>
                      <w:szCs w:val="21"/>
                    </w:rPr>
                    <w:t>《河南省生态环境分区管控总体要求》（2023年版）、</w:t>
                  </w:r>
                  <w:r>
                    <w:rPr>
                      <w:rFonts w:hint="eastAsia" w:ascii="宋体" w:hAnsi="宋体"/>
                      <w:bCs/>
                      <w:color w:val="000000"/>
                      <w:sz w:val="21"/>
                      <w:szCs w:val="21"/>
                    </w:rPr>
                    <w:t>《新乡市“三线一单”生态环境准入清单》（</w:t>
                  </w:r>
                  <w:r>
                    <w:rPr>
                      <w:bCs/>
                      <w:color w:val="000000"/>
                      <w:sz w:val="21"/>
                      <w:szCs w:val="21"/>
                    </w:rPr>
                    <w:t>2023</w:t>
                  </w:r>
                  <w:r>
                    <w:rPr>
                      <w:rFonts w:hint="eastAsia" w:ascii="宋体" w:hAnsi="宋体"/>
                      <w:bCs/>
                      <w:color w:val="000000"/>
                      <w:sz w:val="21"/>
                      <w:szCs w:val="21"/>
                    </w:rPr>
                    <w:t>年版）等政策要求。</w:t>
                  </w:r>
                </w:p>
              </w:tc>
              <w:tc>
                <w:tcPr>
                  <w:tcW w:w="558" w:type="dxa"/>
                  <w:vAlign w:val="center"/>
                </w:tcPr>
                <w:p w14:paraId="1C61F0EB">
                  <w:pPr>
                    <w:jc w:val="center"/>
                    <w:rPr>
                      <w:rFonts w:hAnsi="宋体"/>
                      <w:color w:val="000000"/>
                      <w:sz w:val="21"/>
                      <w:szCs w:val="21"/>
                    </w:rPr>
                  </w:pPr>
                  <w:r>
                    <w:rPr>
                      <w:color w:val="000000" w:themeColor="text1"/>
                      <w:sz w:val="21"/>
                      <w:szCs w:val="21"/>
                      <w14:textFill>
                        <w14:solidFill>
                          <w14:schemeClr w14:val="tx1"/>
                        </w14:solidFill>
                      </w14:textFill>
                    </w:rPr>
                    <w:t>符合</w:t>
                  </w:r>
                </w:p>
              </w:tc>
            </w:tr>
            <w:tr w14:paraId="6EAC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09" w:type="dxa"/>
                  <w:vMerge w:val="continue"/>
                  <w:vAlign w:val="center"/>
                </w:tcPr>
                <w:p w14:paraId="70E14B78">
                  <w:pPr>
                    <w:jc w:val="center"/>
                    <w:rPr>
                      <w:rFonts w:hAnsi="宋体"/>
                      <w:color w:val="000000"/>
                      <w:sz w:val="21"/>
                      <w:szCs w:val="21"/>
                    </w:rPr>
                  </w:pPr>
                </w:p>
              </w:tc>
              <w:tc>
                <w:tcPr>
                  <w:tcW w:w="950" w:type="dxa"/>
                  <w:gridSpan w:val="2"/>
                  <w:vAlign w:val="center"/>
                </w:tcPr>
                <w:p w14:paraId="27F8AD24">
                  <w:pPr>
                    <w:jc w:val="center"/>
                    <w:rPr>
                      <w:rFonts w:hAnsi="宋体"/>
                      <w:color w:val="000000"/>
                      <w:sz w:val="21"/>
                      <w:szCs w:val="21"/>
                    </w:rPr>
                  </w:pPr>
                  <w:r>
                    <w:rPr>
                      <w:rFonts w:hint="eastAsia" w:hAnsi="宋体"/>
                      <w:color w:val="000000"/>
                      <w:sz w:val="21"/>
                      <w:szCs w:val="21"/>
                    </w:rPr>
                    <w:t>污染治理技术</w:t>
                  </w:r>
                </w:p>
              </w:tc>
              <w:tc>
                <w:tcPr>
                  <w:tcW w:w="3360" w:type="dxa"/>
                  <w:vAlign w:val="center"/>
                </w:tcPr>
                <w:p w14:paraId="5E92A26A">
                  <w:pPr>
                    <w:widowControl/>
                    <w:rPr>
                      <w:sz w:val="21"/>
                      <w:szCs w:val="21"/>
                    </w:rPr>
                  </w:pPr>
                  <w:r>
                    <w:rPr>
                      <w:color w:val="000000"/>
                      <w:kern w:val="0"/>
                      <w:sz w:val="21"/>
                      <w:szCs w:val="21"/>
                      <w:lang w:bidi="ar"/>
                    </w:rPr>
                    <w:t>1.</w:t>
                  </w:r>
                  <w:r>
                    <w:rPr>
                      <w:rFonts w:hint="eastAsia" w:ascii="宋体" w:hAnsi="宋体" w:cs="宋体"/>
                      <w:color w:val="000000"/>
                      <w:kern w:val="0"/>
                      <w:sz w:val="21"/>
                      <w:szCs w:val="21"/>
                      <w:lang w:bidi="ar"/>
                    </w:rPr>
                    <w:t xml:space="preserve">电窑： </w:t>
                  </w:r>
                </w:p>
                <w:p w14:paraId="2508EE95">
                  <w:pPr>
                    <w:widowControl/>
                    <w:rPr>
                      <w:sz w:val="21"/>
                      <w:szCs w:val="21"/>
                    </w:rPr>
                  </w:pPr>
                  <w:r>
                    <w:rPr>
                      <w:color w:val="000000"/>
                      <w:kern w:val="0"/>
                      <w:sz w:val="21"/>
                      <w:szCs w:val="21"/>
                      <w:lang w:bidi="ar"/>
                    </w:rPr>
                    <w:t xml:space="preserve">PM </w:t>
                  </w:r>
                  <w:r>
                    <w:rPr>
                      <w:rFonts w:hint="eastAsia" w:ascii="宋体" w:hAnsi="宋体" w:cs="宋体"/>
                      <w:color w:val="000000"/>
                      <w:kern w:val="0"/>
                      <w:sz w:val="21"/>
                      <w:szCs w:val="21"/>
                      <w:lang w:bidi="ar"/>
                    </w:rPr>
                    <w:t xml:space="preserve">采用袋式除尘、电袋复合除尘、湿电除尘、静电除尘等高效除尘技术。 </w:t>
                  </w:r>
                </w:p>
                <w:p w14:paraId="367EF20E">
                  <w:pPr>
                    <w:widowControl/>
                    <w:rPr>
                      <w:sz w:val="21"/>
                      <w:szCs w:val="21"/>
                    </w:rPr>
                  </w:pPr>
                  <w:r>
                    <w:rPr>
                      <w:color w:val="000000"/>
                      <w:kern w:val="0"/>
                      <w:sz w:val="21"/>
                      <w:szCs w:val="21"/>
                      <w:lang w:bidi="ar"/>
                    </w:rPr>
                    <w:t>2.</w:t>
                  </w:r>
                  <w:r>
                    <w:rPr>
                      <w:rFonts w:hint="eastAsia" w:ascii="宋体" w:hAnsi="宋体" w:cs="宋体"/>
                      <w:color w:val="000000"/>
                      <w:kern w:val="0"/>
                      <w:sz w:val="21"/>
                      <w:szCs w:val="21"/>
                      <w:lang w:bidi="ar"/>
                    </w:rPr>
                    <w:t>燃气锅炉</w:t>
                  </w:r>
                  <w:r>
                    <w:rPr>
                      <w:color w:val="000000"/>
                      <w:kern w:val="0"/>
                      <w:sz w:val="21"/>
                      <w:szCs w:val="21"/>
                      <w:lang w:bidi="ar"/>
                    </w:rPr>
                    <w:t>/</w:t>
                  </w:r>
                  <w:r>
                    <w:rPr>
                      <w:rFonts w:hint="eastAsia" w:ascii="宋体" w:hAnsi="宋体" w:cs="宋体"/>
                      <w:color w:val="000000"/>
                      <w:kern w:val="0"/>
                      <w:sz w:val="21"/>
                      <w:szCs w:val="21"/>
                      <w:lang w:bidi="ar"/>
                    </w:rPr>
                    <w:t xml:space="preserve">炉窑： </w:t>
                  </w:r>
                </w:p>
                <w:p w14:paraId="0BC83ECF">
                  <w:pPr>
                    <w:widowControl/>
                    <w:rPr>
                      <w:sz w:val="21"/>
                      <w:szCs w:val="21"/>
                    </w:rPr>
                  </w:pPr>
                  <w:r>
                    <w:rPr>
                      <w:rFonts w:hint="eastAsia" w:ascii="宋体" w:hAnsi="宋体" w:cs="宋体"/>
                      <w:color w:val="000000"/>
                      <w:kern w:val="0"/>
                      <w:sz w:val="21"/>
                      <w:szCs w:val="21"/>
                      <w:lang w:bidi="ar"/>
                    </w:rPr>
                    <w:t>（</w:t>
                  </w:r>
                  <w:r>
                    <w:rPr>
                      <w:color w:val="000000"/>
                      <w:kern w:val="0"/>
                      <w:sz w:val="21"/>
                      <w:szCs w:val="21"/>
                      <w:lang w:bidi="ar"/>
                    </w:rPr>
                    <w:t>1</w:t>
                  </w:r>
                  <w:r>
                    <w:rPr>
                      <w:rFonts w:hint="eastAsia" w:ascii="宋体" w:hAnsi="宋体" w:cs="宋体"/>
                      <w:color w:val="000000"/>
                      <w:kern w:val="0"/>
                      <w:sz w:val="21"/>
                      <w:szCs w:val="21"/>
                      <w:lang w:bidi="ar"/>
                    </w:rPr>
                    <w:t>）</w:t>
                  </w:r>
                  <w:r>
                    <w:rPr>
                      <w:color w:val="000000"/>
                      <w:kern w:val="0"/>
                      <w:sz w:val="21"/>
                      <w:szCs w:val="21"/>
                      <w:lang w:bidi="ar"/>
                    </w:rPr>
                    <w:t>PM</w:t>
                  </w:r>
                  <w:r>
                    <w:rPr>
                      <w:rFonts w:hint="eastAsia" w:ascii="宋体" w:hAnsi="宋体" w:cs="宋体"/>
                      <w:color w:val="000000"/>
                      <w:kern w:val="0"/>
                      <w:sz w:val="21"/>
                      <w:szCs w:val="21"/>
                      <w:vertAlign w:val="superscript"/>
                      <w:lang w:bidi="ar"/>
                    </w:rPr>
                    <w:t>【</w:t>
                  </w:r>
                  <w:r>
                    <w:rPr>
                      <w:color w:val="000000"/>
                      <w:kern w:val="0"/>
                      <w:sz w:val="21"/>
                      <w:szCs w:val="21"/>
                      <w:vertAlign w:val="superscript"/>
                      <w:lang w:bidi="ar"/>
                    </w:rPr>
                    <w:t>1</w:t>
                  </w:r>
                  <w:r>
                    <w:rPr>
                      <w:rFonts w:hint="eastAsia" w:ascii="宋体" w:hAnsi="宋体" w:cs="宋体"/>
                      <w:color w:val="000000"/>
                      <w:kern w:val="0"/>
                      <w:sz w:val="21"/>
                      <w:szCs w:val="21"/>
                      <w:vertAlign w:val="superscript"/>
                      <w:lang w:bidi="ar"/>
                    </w:rPr>
                    <w:t>】</w:t>
                  </w:r>
                  <w:r>
                    <w:rPr>
                      <w:rFonts w:hint="eastAsia" w:ascii="宋体" w:hAnsi="宋体" w:cs="宋体"/>
                      <w:color w:val="000000"/>
                      <w:kern w:val="0"/>
                      <w:sz w:val="21"/>
                      <w:szCs w:val="21"/>
                      <w:lang w:bidi="ar"/>
                    </w:rPr>
                    <w:t xml:space="preserve">采用袋式除尘、静电除尘、湿电除尘等高效除尘技术； </w:t>
                  </w:r>
                </w:p>
                <w:p w14:paraId="341D734C">
                  <w:pPr>
                    <w:widowControl/>
                  </w:pPr>
                  <w:r>
                    <w:rPr>
                      <w:rFonts w:hint="eastAsia" w:ascii="宋体" w:hAnsi="宋体" w:cs="宋体"/>
                      <w:color w:val="000000"/>
                      <w:kern w:val="0"/>
                      <w:sz w:val="21"/>
                      <w:szCs w:val="21"/>
                      <w:lang w:bidi="ar"/>
                    </w:rPr>
                    <w:t>（</w:t>
                  </w:r>
                  <w:r>
                    <w:rPr>
                      <w:color w:val="000000"/>
                      <w:kern w:val="0"/>
                      <w:sz w:val="21"/>
                      <w:szCs w:val="21"/>
                      <w:lang w:bidi="ar"/>
                    </w:rPr>
                    <w:t>2</w:t>
                  </w:r>
                  <w:r>
                    <w:rPr>
                      <w:rFonts w:hint="eastAsia" w:ascii="宋体" w:hAnsi="宋体" w:cs="宋体"/>
                      <w:color w:val="000000"/>
                      <w:kern w:val="0"/>
                      <w:sz w:val="21"/>
                      <w:szCs w:val="21"/>
                      <w:lang w:bidi="ar"/>
                    </w:rPr>
                    <w:t>）</w:t>
                  </w:r>
                  <w:r>
                    <w:rPr>
                      <w:color w:val="000000"/>
                      <w:kern w:val="0"/>
                      <w:sz w:val="21"/>
                      <w:szCs w:val="21"/>
                      <w:lang w:bidi="ar"/>
                    </w:rPr>
                    <w:t>NOx</w:t>
                  </w:r>
                  <w:r>
                    <w:rPr>
                      <w:rFonts w:hint="eastAsia" w:ascii="宋体" w:hAnsi="宋体" w:cs="宋体"/>
                      <w:color w:val="000000"/>
                      <w:kern w:val="0"/>
                      <w:sz w:val="21"/>
                      <w:szCs w:val="21"/>
                      <w:vertAlign w:val="superscript"/>
                      <w:lang w:bidi="ar"/>
                    </w:rPr>
                    <w:t>【</w:t>
                  </w:r>
                  <w:r>
                    <w:rPr>
                      <w:color w:val="000000"/>
                      <w:kern w:val="0"/>
                      <w:sz w:val="21"/>
                      <w:szCs w:val="21"/>
                      <w:vertAlign w:val="superscript"/>
                      <w:lang w:bidi="ar"/>
                    </w:rPr>
                    <w:t>2</w:t>
                  </w:r>
                  <w:r>
                    <w:rPr>
                      <w:rFonts w:hint="eastAsia" w:ascii="宋体" w:hAnsi="宋体" w:cs="宋体"/>
                      <w:color w:val="000000"/>
                      <w:kern w:val="0"/>
                      <w:sz w:val="21"/>
                      <w:szCs w:val="21"/>
                      <w:vertAlign w:val="superscript"/>
                      <w:lang w:bidi="ar"/>
                    </w:rPr>
                    <w:t>】</w:t>
                  </w:r>
                  <w:r>
                    <w:rPr>
                      <w:rFonts w:hint="eastAsia" w:ascii="宋体" w:hAnsi="宋体" w:cs="宋体"/>
                      <w:color w:val="000000"/>
                      <w:kern w:val="0"/>
                      <w:sz w:val="21"/>
                      <w:szCs w:val="21"/>
                      <w:lang w:bidi="ar"/>
                    </w:rPr>
                    <w:t>采用低氮燃烧或</w:t>
                  </w:r>
                  <w:r>
                    <w:rPr>
                      <w:color w:val="000000"/>
                      <w:kern w:val="0"/>
                      <w:sz w:val="21"/>
                      <w:szCs w:val="21"/>
                      <w:lang w:bidi="ar"/>
                    </w:rPr>
                    <w:t xml:space="preserve">SNCR/SCR </w:t>
                  </w:r>
                  <w:r>
                    <w:rPr>
                      <w:rFonts w:hint="eastAsia" w:ascii="宋体" w:hAnsi="宋体" w:cs="宋体"/>
                      <w:color w:val="000000"/>
                      <w:kern w:val="0"/>
                      <w:sz w:val="21"/>
                      <w:szCs w:val="21"/>
                      <w:lang w:bidi="ar"/>
                    </w:rPr>
                    <w:t>等技术。使用氨法脱硝的企业，氨的装卸、储存、输送、制备等过程全密闭，并采取有氨气泄漏检测和收集措施；采用尿素作为还原剂的配备有尿素加热水解制氨系统。</w:t>
                  </w:r>
                </w:p>
                <w:p w14:paraId="6D65394B">
                  <w:pPr>
                    <w:widowControl/>
                    <w:rPr>
                      <w:sz w:val="21"/>
                      <w:szCs w:val="21"/>
                    </w:rPr>
                  </w:pPr>
                  <w:r>
                    <w:rPr>
                      <w:color w:val="000000"/>
                      <w:kern w:val="0"/>
                      <w:sz w:val="21"/>
                      <w:szCs w:val="21"/>
                      <w:lang w:bidi="ar"/>
                    </w:rPr>
                    <w:t>3.</w:t>
                  </w:r>
                  <w:r>
                    <w:rPr>
                      <w:rFonts w:hint="eastAsia" w:ascii="宋体" w:hAnsi="宋体" w:cs="宋体"/>
                      <w:color w:val="000000"/>
                      <w:kern w:val="0"/>
                      <w:sz w:val="21"/>
                      <w:szCs w:val="21"/>
                      <w:lang w:bidi="ar"/>
                    </w:rPr>
                    <w:t>其他工序（非锅炉</w:t>
                  </w:r>
                  <w:r>
                    <w:rPr>
                      <w:color w:val="000000"/>
                      <w:kern w:val="0"/>
                      <w:sz w:val="21"/>
                      <w:szCs w:val="21"/>
                      <w:lang w:bidi="ar"/>
                    </w:rPr>
                    <w:t>/</w:t>
                  </w:r>
                  <w:r>
                    <w:rPr>
                      <w:rFonts w:hint="eastAsia" w:ascii="宋体" w:hAnsi="宋体" w:cs="宋体"/>
                      <w:color w:val="000000"/>
                      <w:kern w:val="0"/>
                      <w:sz w:val="21"/>
                      <w:szCs w:val="21"/>
                      <w:lang w:bidi="ar"/>
                    </w:rPr>
                    <w:t xml:space="preserve">炉窑）： </w:t>
                  </w:r>
                </w:p>
                <w:p w14:paraId="34F2FDD2">
                  <w:pPr>
                    <w:widowControl/>
                    <w:rPr>
                      <w:rFonts w:cs="宋体"/>
                      <w:sz w:val="21"/>
                      <w:szCs w:val="21"/>
                    </w:rPr>
                  </w:pPr>
                  <w:r>
                    <w:rPr>
                      <w:color w:val="000000"/>
                      <w:kern w:val="0"/>
                      <w:sz w:val="21"/>
                      <w:szCs w:val="21"/>
                      <w:lang w:bidi="ar"/>
                    </w:rPr>
                    <w:t xml:space="preserve">PM </w:t>
                  </w:r>
                  <w:r>
                    <w:rPr>
                      <w:rFonts w:hint="eastAsia" w:ascii="宋体" w:hAnsi="宋体" w:cs="宋体"/>
                      <w:color w:val="000000"/>
                      <w:kern w:val="0"/>
                      <w:sz w:val="21"/>
                      <w:szCs w:val="21"/>
                      <w:lang w:bidi="ar"/>
                    </w:rPr>
                    <w:t>采用覆膜袋式除尘或其他先进除尘工艺。</w:t>
                  </w:r>
                </w:p>
              </w:tc>
              <w:tc>
                <w:tcPr>
                  <w:tcW w:w="2615" w:type="dxa"/>
                  <w:vAlign w:val="center"/>
                </w:tcPr>
                <w:p w14:paraId="4DDD43FB">
                  <w:pPr>
                    <w:numPr>
                      <w:ilvl w:val="0"/>
                      <w:numId w:val="1"/>
                    </w:numPr>
                    <w:rPr>
                      <w:rFonts w:hAnsi="宋体"/>
                      <w:color w:val="000000"/>
                      <w:sz w:val="21"/>
                      <w:szCs w:val="21"/>
                    </w:rPr>
                  </w:pPr>
                  <w:r>
                    <w:rPr>
                      <w:rFonts w:hint="eastAsia" w:hAnsi="宋体"/>
                      <w:color w:val="000000"/>
                      <w:sz w:val="21"/>
                      <w:szCs w:val="21"/>
                    </w:rPr>
                    <w:t>本项目蒸汽发生器废气污染物PM能够稳定达标排放，NOx采用低氮燃烧技术。</w:t>
                  </w:r>
                </w:p>
                <w:p w14:paraId="0BF8A9A0">
                  <w:pPr>
                    <w:numPr>
                      <w:ilvl w:val="0"/>
                      <w:numId w:val="1"/>
                    </w:numPr>
                    <w:rPr>
                      <w:rFonts w:hAnsi="宋体"/>
                      <w:color w:val="000000"/>
                      <w:sz w:val="21"/>
                      <w:szCs w:val="21"/>
                    </w:rPr>
                  </w:pPr>
                  <w:r>
                    <w:rPr>
                      <w:rFonts w:hint="eastAsia" w:hAnsi="宋体"/>
                      <w:color w:val="000000"/>
                      <w:sz w:val="21"/>
                      <w:szCs w:val="21"/>
                    </w:rPr>
                    <w:t>本项目其他工序不涉及颗粒物排放。</w:t>
                  </w:r>
                </w:p>
              </w:tc>
              <w:tc>
                <w:tcPr>
                  <w:tcW w:w="558" w:type="dxa"/>
                  <w:vAlign w:val="center"/>
                </w:tcPr>
                <w:p w14:paraId="503E6589">
                  <w:pPr>
                    <w:jc w:val="center"/>
                    <w:rPr>
                      <w:rFonts w:hAnsi="宋体"/>
                      <w:color w:val="000000"/>
                      <w:sz w:val="21"/>
                      <w:szCs w:val="21"/>
                    </w:rPr>
                  </w:pPr>
                  <w:r>
                    <w:rPr>
                      <w:rFonts w:hint="eastAsia" w:hAnsi="宋体"/>
                      <w:color w:val="000000"/>
                      <w:sz w:val="21"/>
                      <w:szCs w:val="21"/>
                    </w:rPr>
                    <w:t>符合</w:t>
                  </w:r>
                </w:p>
              </w:tc>
            </w:tr>
            <w:tr w14:paraId="3903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1264A0E5">
                  <w:pPr>
                    <w:jc w:val="center"/>
                    <w:rPr>
                      <w:rFonts w:hAnsi="宋体"/>
                      <w:color w:val="000000"/>
                      <w:sz w:val="21"/>
                      <w:szCs w:val="21"/>
                    </w:rPr>
                  </w:pPr>
                </w:p>
              </w:tc>
              <w:tc>
                <w:tcPr>
                  <w:tcW w:w="350" w:type="dxa"/>
                  <w:vMerge w:val="restart"/>
                  <w:vAlign w:val="center"/>
                </w:tcPr>
                <w:p w14:paraId="3B3B79DC">
                  <w:pPr>
                    <w:jc w:val="center"/>
                    <w:rPr>
                      <w:rFonts w:hAnsi="宋体"/>
                      <w:color w:val="000000"/>
                      <w:sz w:val="21"/>
                      <w:szCs w:val="21"/>
                    </w:rPr>
                  </w:pPr>
                  <w:r>
                    <w:rPr>
                      <w:rFonts w:hint="eastAsia" w:hAnsi="宋体"/>
                      <w:color w:val="000000"/>
                      <w:sz w:val="21"/>
                      <w:szCs w:val="21"/>
                    </w:rPr>
                    <w:t>排放限值</w:t>
                  </w:r>
                </w:p>
              </w:tc>
              <w:tc>
                <w:tcPr>
                  <w:tcW w:w="600" w:type="dxa"/>
                  <w:vMerge w:val="restart"/>
                  <w:vAlign w:val="center"/>
                </w:tcPr>
                <w:p w14:paraId="617EB013">
                  <w:pPr>
                    <w:jc w:val="center"/>
                    <w:rPr>
                      <w:rFonts w:hAnsi="宋体"/>
                      <w:color w:val="000000"/>
                      <w:sz w:val="21"/>
                      <w:szCs w:val="21"/>
                    </w:rPr>
                  </w:pPr>
                  <w:r>
                    <w:rPr>
                      <w:rFonts w:hint="eastAsia" w:hAnsi="宋体"/>
                      <w:color w:val="000000"/>
                      <w:sz w:val="21"/>
                      <w:szCs w:val="21"/>
                    </w:rPr>
                    <w:t>锅炉</w:t>
                  </w:r>
                </w:p>
              </w:tc>
              <w:tc>
                <w:tcPr>
                  <w:tcW w:w="3360" w:type="dxa"/>
                  <w:vAlign w:val="center"/>
                </w:tcPr>
                <w:p w14:paraId="3AAFED6C">
                  <w:pPr>
                    <w:widowControl/>
                    <w:rPr>
                      <w:color w:val="000000"/>
                      <w:kern w:val="0"/>
                      <w:sz w:val="21"/>
                      <w:szCs w:val="21"/>
                      <w:lang w:bidi="ar"/>
                    </w:rPr>
                  </w:pPr>
                  <w:r>
                    <w:rPr>
                      <w:color w:val="000000"/>
                      <w:kern w:val="0"/>
                      <w:sz w:val="21"/>
                      <w:szCs w:val="21"/>
                      <w:lang w:bidi="ar"/>
                    </w:rPr>
                    <w:t>PM、SO</w:t>
                  </w:r>
                  <w:r>
                    <w:rPr>
                      <w:color w:val="000000"/>
                      <w:kern w:val="0"/>
                      <w:sz w:val="21"/>
                      <w:szCs w:val="21"/>
                      <w:vertAlign w:val="subscript"/>
                      <w:lang w:bidi="ar"/>
                    </w:rPr>
                    <w:t>2</w:t>
                  </w:r>
                  <w:r>
                    <w:rPr>
                      <w:color w:val="000000"/>
                      <w:kern w:val="0"/>
                      <w:sz w:val="21"/>
                      <w:szCs w:val="21"/>
                      <w:lang w:bidi="ar"/>
                    </w:rPr>
                    <w:t xml:space="preserve">、NOx 排放浓度分别不高于： </w:t>
                  </w:r>
                </w:p>
                <w:p w14:paraId="52A19B5A">
                  <w:pPr>
                    <w:widowControl/>
                    <w:rPr>
                      <w:color w:val="000000"/>
                      <w:kern w:val="0"/>
                      <w:sz w:val="21"/>
                      <w:szCs w:val="21"/>
                      <w:lang w:bidi="ar"/>
                    </w:rPr>
                  </w:pPr>
                  <w:r>
                    <w:rPr>
                      <w:color w:val="000000"/>
                      <w:kern w:val="0"/>
                      <w:sz w:val="21"/>
                      <w:szCs w:val="21"/>
                      <w:lang w:bidi="ar"/>
                    </w:rPr>
                    <w:t>燃气：5、10、50/30</w:t>
                  </w:r>
                  <w:r>
                    <w:rPr>
                      <w:rFonts w:hint="eastAsia" w:ascii="宋体" w:hAnsi="宋体" w:cs="宋体"/>
                      <w:color w:val="000000"/>
                      <w:kern w:val="0"/>
                      <w:sz w:val="21"/>
                      <w:szCs w:val="21"/>
                      <w:vertAlign w:val="superscript"/>
                      <w:lang w:bidi="ar"/>
                    </w:rPr>
                    <w:t>【</w:t>
                  </w:r>
                  <w:r>
                    <w:rPr>
                      <w:rFonts w:hint="eastAsia"/>
                      <w:color w:val="000000"/>
                      <w:kern w:val="0"/>
                      <w:sz w:val="21"/>
                      <w:szCs w:val="21"/>
                      <w:vertAlign w:val="superscript"/>
                      <w:lang w:bidi="ar"/>
                    </w:rPr>
                    <w:t>4</w:t>
                  </w:r>
                  <w:r>
                    <w:rPr>
                      <w:rFonts w:hint="eastAsia" w:ascii="宋体" w:hAnsi="宋体" w:cs="宋体"/>
                      <w:color w:val="000000"/>
                      <w:kern w:val="0"/>
                      <w:sz w:val="21"/>
                      <w:szCs w:val="21"/>
                      <w:vertAlign w:val="superscript"/>
                      <w:lang w:bidi="ar"/>
                    </w:rPr>
                    <w:t>】</w:t>
                  </w:r>
                  <w:r>
                    <w:rPr>
                      <w:color w:val="000000"/>
                      <w:kern w:val="0"/>
                      <w:sz w:val="21"/>
                      <w:szCs w:val="21"/>
                      <w:lang w:bidi="ar"/>
                    </w:rPr>
                    <w:t>mg/m</w:t>
                  </w:r>
                  <w:r>
                    <w:rPr>
                      <w:color w:val="000000"/>
                      <w:kern w:val="0"/>
                      <w:sz w:val="21"/>
                      <w:szCs w:val="21"/>
                      <w:vertAlign w:val="superscript"/>
                      <w:lang w:bidi="ar"/>
                    </w:rPr>
                    <w:t>3</w:t>
                  </w:r>
                  <w:r>
                    <w:rPr>
                      <w:color w:val="000000"/>
                      <w:kern w:val="0"/>
                      <w:sz w:val="21"/>
                      <w:szCs w:val="21"/>
                      <w:lang w:bidi="ar"/>
                    </w:rPr>
                    <w:t xml:space="preserve"> </w:t>
                  </w:r>
                </w:p>
                <w:p w14:paraId="33DDC6ED">
                  <w:pPr>
                    <w:widowControl/>
                    <w:rPr>
                      <w:rFonts w:ascii="宋体" w:hAnsi="宋体" w:cs="宋体"/>
                      <w:color w:val="000000"/>
                      <w:kern w:val="0"/>
                      <w:sz w:val="21"/>
                      <w:szCs w:val="21"/>
                      <w:lang w:bidi="ar"/>
                    </w:rPr>
                  </w:pPr>
                  <w:r>
                    <w:rPr>
                      <w:color w:val="000000"/>
                      <w:kern w:val="0"/>
                      <w:sz w:val="21"/>
                      <w:szCs w:val="21"/>
                      <w:lang w:bidi="ar"/>
                    </w:rPr>
                    <w:t xml:space="preserve">（基准含氧量：3.5%） </w:t>
                  </w:r>
                </w:p>
              </w:tc>
              <w:tc>
                <w:tcPr>
                  <w:tcW w:w="2615" w:type="dxa"/>
                  <w:vAlign w:val="center"/>
                </w:tcPr>
                <w:p w14:paraId="33CD30F8">
                  <w:pPr>
                    <w:rPr>
                      <w:rFonts w:hAnsi="宋体"/>
                      <w:color w:val="000000"/>
                      <w:sz w:val="21"/>
                      <w:szCs w:val="21"/>
                    </w:rPr>
                  </w:pPr>
                  <w:r>
                    <w:rPr>
                      <w:rFonts w:hint="eastAsia" w:hAnsi="宋体"/>
                      <w:color w:val="000000"/>
                      <w:sz w:val="21"/>
                      <w:szCs w:val="21"/>
                    </w:rPr>
                    <w:t>本项目锅炉废气排放满足</w:t>
                  </w:r>
                  <w:r>
                    <w:rPr>
                      <w:color w:val="000000"/>
                      <w:kern w:val="0"/>
                      <w:sz w:val="21"/>
                      <w:szCs w:val="21"/>
                      <w:lang w:bidi="ar"/>
                    </w:rPr>
                    <w:t>5、10、</w:t>
                  </w:r>
                  <w:r>
                    <w:rPr>
                      <w:rFonts w:hint="eastAsia"/>
                      <w:color w:val="000000"/>
                      <w:kern w:val="0"/>
                      <w:sz w:val="21"/>
                      <w:szCs w:val="21"/>
                      <w:lang w:bidi="ar"/>
                    </w:rPr>
                    <w:t>3</w:t>
                  </w:r>
                  <w:r>
                    <w:rPr>
                      <w:color w:val="000000"/>
                      <w:kern w:val="0"/>
                      <w:sz w:val="21"/>
                      <w:szCs w:val="21"/>
                      <w:lang w:bidi="ar"/>
                    </w:rPr>
                    <w:t>0mg/m</w:t>
                  </w:r>
                  <w:r>
                    <w:rPr>
                      <w:color w:val="000000"/>
                      <w:kern w:val="0"/>
                      <w:sz w:val="18"/>
                      <w:szCs w:val="18"/>
                      <w:vertAlign w:val="superscript"/>
                      <w:lang w:bidi="ar"/>
                    </w:rPr>
                    <w:t>3</w:t>
                  </w:r>
                  <w:r>
                    <w:rPr>
                      <w:rFonts w:hint="eastAsia"/>
                      <w:color w:val="000000"/>
                      <w:kern w:val="0"/>
                      <w:sz w:val="21"/>
                      <w:szCs w:val="21"/>
                      <w:lang w:bidi="ar"/>
                    </w:rPr>
                    <w:t>的限值要求</w:t>
                  </w:r>
                </w:p>
              </w:tc>
              <w:tc>
                <w:tcPr>
                  <w:tcW w:w="558" w:type="dxa"/>
                  <w:vAlign w:val="center"/>
                </w:tcPr>
                <w:p w14:paraId="301B7FD6">
                  <w:pPr>
                    <w:jc w:val="center"/>
                    <w:rPr>
                      <w:rFonts w:hAnsi="宋体"/>
                      <w:color w:val="000000"/>
                      <w:sz w:val="21"/>
                      <w:szCs w:val="21"/>
                    </w:rPr>
                  </w:pPr>
                  <w:r>
                    <w:rPr>
                      <w:rFonts w:hint="eastAsia" w:hAnsi="宋体"/>
                      <w:color w:val="000000"/>
                      <w:sz w:val="21"/>
                      <w:szCs w:val="21"/>
                    </w:rPr>
                    <w:t>符合</w:t>
                  </w:r>
                </w:p>
              </w:tc>
            </w:tr>
            <w:tr w14:paraId="4917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5DAEE78A">
                  <w:pPr>
                    <w:jc w:val="center"/>
                    <w:rPr>
                      <w:rFonts w:hAnsi="宋体"/>
                      <w:color w:val="000000"/>
                      <w:sz w:val="21"/>
                      <w:szCs w:val="21"/>
                    </w:rPr>
                  </w:pPr>
                </w:p>
              </w:tc>
              <w:tc>
                <w:tcPr>
                  <w:tcW w:w="350" w:type="dxa"/>
                  <w:vMerge w:val="continue"/>
                  <w:vAlign w:val="center"/>
                </w:tcPr>
                <w:p w14:paraId="10A85C20">
                  <w:pPr>
                    <w:jc w:val="center"/>
                    <w:rPr>
                      <w:rFonts w:hAnsi="宋体"/>
                      <w:color w:val="000000"/>
                      <w:sz w:val="21"/>
                      <w:szCs w:val="21"/>
                    </w:rPr>
                  </w:pPr>
                </w:p>
              </w:tc>
              <w:tc>
                <w:tcPr>
                  <w:tcW w:w="600" w:type="dxa"/>
                  <w:vMerge w:val="continue"/>
                  <w:vAlign w:val="center"/>
                </w:tcPr>
                <w:p w14:paraId="433563FF">
                  <w:pPr>
                    <w:jc w:val="center"/>
                    <w:rPr>
                      <w:rFonts w:hAnsi="宋体"/>
                      <w:color w:val="000000"/>
                      <w:sz w:val="21"/>
                      <w:szCs w:val="21"/>
                    </w:rPr>
                  </w:pPr>
                </w:p>
              </w:tc>
              <w:tc>
                <w:tcPr>
                  <w:tcW w:w="3360" w:type="dxa"/>
                  <w:vAlign w:val="center"/>
                </w:tcPr>
                <w:p w14:paraId="79583CE8">
                  <w:pPr>
                    <w:widowControl/>
                    <w:jc w:val="left"/>
                    <w:rPr>
                      <w:color w:val="000000"/>
                      <w:kern w:val="0"/>
                      <w:sz w:val="21"/>
                      <w:szCs w:val="21"/>
                      <w:lang w:bidi="ar"/>
                    </w:rPr>
                  </w:pPr>
                  <w:r>
                    <w:rPr>
                      <w:rFonts w:hint="eastAsia" w:ascii="宋体" w:hAnsi="宋体" w:cs="宋体"/>
                      <w:color w:val="000000"/>
                      <w:kern w:val="0"/>
                      <w:sz w:val="21"/>
                      <w:szCs w:val="21"/>
                      <w:lang w:bidi="ar"/>
                    </w:rPr>
                    <w:t xml:space="preserve">氨逃逸排放浓度不高于 </w:t>
                  </w:r>
                  <w:r>
                    <w:rPr>
                      <w:color w:val="000000"/>
                      <w:kern w:val="0"/>
                      <w:sz w:val="21"/>
                      <w:szCs w:val="21"/>
                      <w:lang w:bidi="ar"/>
                    </w:rPr>
                    <w:t>8mg/m</w:t>
                  </w:r>
                  <w:r>
                    <w:rPr>
                      <w:color w:val="000000"/>
                      <w:kern w:val="0"/>
                      <w:sz w:val="21"/>
                      <w:szCs w:val="21"/>
                      <w:vertAlign w:val="superscript"/>
                      <w:lang w:bidi="ar"/>
                    </w:rPr>
                    <w:t>3</w:t>
                  </w:r>
                  <w:r>
                    <w:rPr>
                      <w:rFonts w:hint="eastAsia" w:ascii="宋体" w:hAnsi="宋体" w:cs="宋体"/>
                      <w:color w:val="000000"/>
                      <w:kern w:val="0"/>
                      <w:sz w:val="21"/>
                      <w:szCs w:val="21"/>
                      <w:lang w:bidi="ar"/>
                    </w:rPr>
                    <w:t>（使用氨水、尿素作还原剂）</w:t>
                  </w:r>
                </w:p>
              </w:tc>
              <w:tc>
                <w:tcPr>
                  <w:tcW w:w="2615" w:type="dxa"/>
                  <w:vAlign w:val="center"/>
                </w:tcPr>
                <w:p w14:paraId="0C33EC9D">
                  <w:pPr>
                    <w:rPr>
                      <w:color w:val="000000"/>
                      <w:sz w:val="21"/>
                      <w:szCs w:val="21"/>
                    </w:rPr>
                  </w:pPr>
                  <w:r>
                    <w:rPr>
                      <w:rFonts w:hint="eastAsia"/>
                      <w:color w:val="000000"/>
                      <w:sz w:val="21"/>
                      <w:szCs w:val="21"/>
                    </w:rPr>
                    <w:t>本项目不使用氨水、尿素作还原剂。</w:t>
                  </w:r>
                </w:p>
              </w:tc>
              <w:tc>
                <w:tcPr>
                  <w:tcW w:w="558" w:type="dxa"/>
                  <w:vAlign w:val="center"/>
                </w:tcPr>
                <w:p w14:paraId="7901A698">
                  <w:pPr>
                    <w:jc w:val="center"/>
                    <w:rPr>
                      <w:rFonts w:hAnsi="宋体"/>
                      <w:color w:val="000000"/>
                      <w:sz w:val="21"/>
                      <w:szCs w:val="21"/>
                    </w:rPr>
                  </w:pPr>
                  <w:r>
                    <w:rPr>
                      <w:rFonts w:hint="eastAsia" w:hAnsi="宋体"/>
                      <w:color w:val="000000"/>
                      <w:sz w:val="21"/>
                      <w:szCs w:val="21"/>
                    </w:rPr>
                    <w:t>不涉及</w:t>
                  </w:r>
                </w:p>
              </w:tc>
            </w:tr>
            <w:tr w14:paraId="108F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04B72509">
                  <w:pPr>
                    <w:jc w:val="center"/>
                    <w:rPr>
                      <w:rFonts w:hAnsi="宋体"/>
                      <w:color w:val="000000"/>
                      <w:sz w:val="21"/>
                      <w:szCs w:val="21"/>
                    </w:rPr>
                  </w:pPr>
                </w:p>
              </w:tc>
              <w:tc>
                <w:tcPr>
                  <w:tcW w:w="350" w:type="dxa"/>
                  <w:vMerge w:val="continue"/>
                  <w:vAlign w:val="center"/>
                </w:tcPr>
                <w:p w14:paraId="7F24BB7F">
                  <w:pPr>
                    <w:jc w:val="center"/>
                    <w:rPr>
                      <w:rFonts w:hAnsi="宋体"/>
                      <w:color w:val="000000"/>
                      <w:sz w:val="21"/>
                      <w:szCs w:val="21"/>
                    </w:rPr>
                  </w:pPr>
                </w:p>
              </w:tc>
              <w:tc>
                <w:tcPr>
                  <w:tcW w:w="600" w:type="dxa"/>
                  <w:vAlign w:val="center"/>
                </w:tcPr>
                <w:p w14:paraId="384F12E4">
                  <w:pPr>
                    <w:jc w:val="center"/>
                    <w:rPr>
                      <w:rFonts w:hAnsi="宋体"/>
                      <w:color w:val="000000"/>
                      <w:sz w:val="21"/>
                      <w:szCs w:val="21"/>
                    </w:rPr>
                  </w:pPr>
                  <w:r>
                    <w:rPr>
                      <w:rFonts w:hint="eastAsia" w:hAnsi="宋体"/>
                      <w:color w:val="000000"/>
                      <w:sz w:val="21"/>
                      <w:szCs w:val="21"/>
                    </w:rPr>
                    <w:t>加热炉、热处理炉、干燥炉</w:t>
                  </w:r>
                </w:p>
              </w:tc>
              <w:tc>
                <w:tcPr>
                  <w:tcW w:w="3360" w:type="dxa"/>
                  <w:vAlign w:val="center"/>
                </w:tcPr>
                <w:p w14:paraId="5A4B01C6">
                  <w:pPr>
                    <w:widowControl/>
                    <w:jc w:val="left"/>
                  </w:pPr>
                  <w:r>
                    <w:rPr>
                      <w:color w:val="000000"/>
                      <w:kern w:val="0"/>
                      <w:sz w:val="21"/>
                      <w:szCs w:val="21"/>
                      <w:lang w:bidi="ar"/>
                    </w:rPr>
                    <w:t xml:space="preserve"> PM</w:t>
                  </w:r>
                  <w:r>
                    <w:rPr>
                      <w:rFonts w:hint="eastAsia" w:ascii="宋体" w:hAnsi="宋体" w:cs="宋体"/>
                      <w:color w:val="000000"/>
                      <w:kern w:val="0"/>
                      <w:sz w:val="21"/>
                      <w:szCs w:val="21"/>
                      <w:lang w:bidi="ar"/>
                    </w:rPr>
                    <w:t>、</w:t>
                  </w:r>
                  <w:r>
                    <w:rPr>
                      <w:color w:val="000000"/>
                      <w:kern w:val="0"/>
                      <w:sz w:val="21"/>
                      <w:szCs w:val="21"/>
                      <w:lang w:bidi="ar"/>
                    </w:rPr>
                    <w:t>SO</w:t>
                  </w:r>
                  <w:r>
                    <w:rPr>
                      <w:color w:val="000000"/>
                      <w:kern w:val="0"/>
                      <w:sz w:val="13"/>
                      <w:szCs w:val="13"/>
                      <w:lang w:bidi="ar"/>
                    </w:rPr>
                    <w:t>2</w:t>
                  </w:r>
                  <w:r>
                    <w:rPr>
                      <w:rFonts w:hint="eastAsia" w:ascii="宋体" w:hAnsi="宋体" w:cs="宋体"/>
                      <w:color w:val="000000"/>
                      <w:kern w:val="0"/>
                      <w:sz w:val="21"/>
                      <w:szCs w:val="21"/>
                      <w:lang w:bidi="ar"/>
                    </w:rPr>
                    <w:t>、</w:t>
                  </w:r>
                  <w:r>
                    <w:rPr>
                      <w:color w:val="000000"/>
                      <w:kern w:val="0"/>
                      <w:sz w:val="21"/>
                      <w:szCs w:val="21"/>
                      <w:lang w:bidi="ar"/>
                    </w:rPr>
                    <w:t xml:space="preserve">NOx </w:t>
                  </w:r>
                  <w:r>
                    <w:rPr>
                      <w:rFonts w:hint="eastAsia" w:ascii="宋体" w:hAnsi="宋体" w:cs="宋体"/>
                      <w:color w:val="000000"/>
                      <w:kern w:val="0"/>
                      <w:sz w:val="21"/>
                      <w:szCs w:val="21"/>
                      <w:lang w:bidi="ar"/>
                    </w:rPr>
                    <w:t xml:space="preserve">排放浓度分别不高于： </w:t>
                  </w:r>
                </w:p>
                <w:p w14:paraId="5F36908C">
                  <w:pPr>
                    <w:widowControl/>
                    <w:jc w:val="left"/>
                  </w:pPr>
                  <w:r>
                    <w:rPr>
                      <w:rFonts w:hint="eastAsia" w:ascii="宋体" w:hAnsi="宋体" w:cs="宋体"/>
                      <w:color w:val="000000"/>
                      <w:kern w:val="0"/>
                      <w:sz w:val="21"/>
                      <w:szCs w:val="21"/>
                      <w:lang w:bidi="ar"/>
                    </w:rPr>
                    <w:t>电窑：</w:t>
                  </w:r>
                  <w:r>
                    <w:rPr>
                      <w:color w:val="000000"/>
                      <w:kern w:val="0"/>
                      <w:sz w:val="21"/>
                      <w:szCs w:val="21"/>
                      <w:lang w:bidi="ar"/>
                    </w:rPr>
                    <w:t>10 mg/m</w:t>
                  </w:r>
                  <w:r>
                    <w:rPr>
                      <w:color w:val="000000"/>
                      <w:kern w:val="0"/>
                      <w:sz w:val="21"/>
                      <w:szCs w:val="21"/>
                      <w:vertAlign w:val="superscript"/>
                      <w:lang w:bidi="ar"/>
                    </w:rPr>
                    <w:t>3</w:t>
                  </w:r>
                  <w:r>
                    <w:rPr>
                      <w:rFonts w:hint="eastAsia" w:ascii="宋体" w:hAnsi="宋体" w:cs="宋体"/>
                      <w:color w:val="000000"/>
                      <w:kern w:val="0"/>
                      <w:sz w:val="21"/>
                      <w:szCs w:val="21"/>
                      <w:lang w:bidi="ar"/>
                    </w:rPr>
                    <w:t>（</w:t>
                  </w:r>
                  <w:r>
                    <w:rPr>
                      <w:color w:val="000000"/>
                      <w:kern w:val="0"/>
                      <w:sz w:val="21"/>
                      <w:szCs w:val="21"/>
                      <w:lang w:bidi="ar"/>
                    </w:rPr>
                    <w:t>PM</w:t>
                  </w:r>
                  <w:r>
                    <w:rPr>
                      <w:rFonts w:hint="eastAsia" w:ascii="宋体" w:hAnsi="宋体" w:cs="宋体"/>
                      <w:color w:val="000000"/>
                      <w:kern w:val="0"/>
                      <w:sz w:val="21"/>
                      <w:szCs w:val="21"/>
                      <w:lang w:bidi="ar"/>
                    </w:rPr>
                    <w:t xml:space="preserve">） </w:t>
                  </w:r>
                </w:p>
                <w:p w14:paraId="5495091E">
                  <w:pPr>
                    <w:widowControl/>
                    <w:jc w:val="left"/>
                  </w:pPr>
                  <w:r>
                    <w:rPr>
                      <w:rFonts w:hint="eastAsia" w:ascii="宋体" w:hAnsi="宋体" w:cs="宋体"/>
                      <w:color w:val="000000"/>
                      <w:kern w:val="0"/>
                      <w:sz w:val="21"/>
                      <w:szCs w:val="21"/>
                      <w:lang w:bidi="ar"/>
                    </w:rPr>
                    <w:t>燃气：</w:t>
                  </w:r>
                  <w:r>
                    <w:rPr>
                      <w:color w:val="000000"/>
                      <w:kern w:val="0"/>
                      <w:sz w:val="21"/>
                      <w:szCs w:val="21"/>
                      <w:lang w:bidi="ar"/>
                    </w:rPr>
                    <w:t>10</w:t>
                  </w:r>
                  <w:r>
                    <w:rPr>
                      <w:rFonts w:hint="eastAsia" w:ascii="宋体" w:hAnsi="宋体" w:cs="宋体"/>
                      <w:color w:val="000000"/>
                      <w:kern w:val="0"/>
                      <w:sz w:val="21"/>
                      <w:szCs w:val="21"/>
                      <w:lang w:bidi="ar"/>
                    </w:rPr>
                    <w:t>、</w:t>
                  </w:r>
                  <w:r>
                    <w:rPr>
                      <w:color w:val="000000"/>
                      <w:kern w:val="0"/>
                      <w:sz w:val="21"/>
                      <w:szCs w:val="21"/>
                      <w:lang w:bidi="ar"/>
                    </w:rPr>
                    <w:t>35</w:t>
                  </w:r>
                  <w:r>
                    <w:rPr>
                      <w:rFonts w:hint="eastAsia" w:ascii="宋体" w:hAnsi="宋体" w:cs="宋体"/>
                      <w:color w:val="000000"/>
                      <w:kern w:val="0"/>
                      <w:sz w:val="21"/>
                      <w:szCs w:val="21"/>
                      <w:lang w:bidi="ar"/>
                    </w:rPr>
                    <w:t>、</w:t>
                  </w:r>
                  <w:r>
                    <w:rPr>
                      <w:color w:val="000000"/>
                      <w:kern w:val="0"/>
                      <w:sz w:val="21"/>
                      <w:szCs w:val="21"/>
                      <w:lang w:bidi="ar"/>
                    </w:rPr>
                    <w:t>50mg/m</w:t>
                  </w:r>
                  <w:r>
                    <w:rPr>
                      <w:color w:val="000000"/>
                      <w:kern w:val="0"/>
                      <w:sz w:val="21"/>
                      <w:szCs w:val="21"/>
                      <w:vertAlign w:val="superscript"/>
                      <w:lang w:bidi="ar"/>
                    </w:rPr>
                    <w:t xml:space="preserve">3 </w:t>
                  </w:r>
                </w:p>
                <w:p w14:paraId="250D89D7">
                  <w:pPr>
                    <w:widowControl/>
                    <w:jc w:val="left"/>
                    <w:rPr>
                      <w:rFonts w:ascii="宋体" w:hAnsi="宋体" w:cs="宋体"/>
                      <w:color w:val="000000"/>
                      <w:kern w:val="0"/>
                      <w:sz w:val="21"/>
                      <w:szCs w:val="21"/>
                      <w:lang w:bidi="ar"/>
                    </w:rPr>
                  </w:pPr>
                  <w:r>
                    <w:rPr>
                      <w:rFonts w:hint="eastAsia" w:ascii="宋体" w:hAnsi="宋体" w:cs="宋体"/>
                      <w:color w:val="000000"/>
                      <w:kern w:val="0"/>
                      <w:sz w:val="21"/>
                      <w:szCs w:val="21"/>
                      <w:lang w:bidi="ar"/>
                    </w:rPr>
                    <w:t>（基准含氧量：燃气</w:t>
                  </w:r>
                  <w:r>
                    <w:rPr>
                      <w:color w:val="000000"/>
                      <w:kern w:val="0"/>
                      <w:sz w:val="21"/>
                      <w:szCs w:val="21"/>
                      <w:lang w:bidi="ar"/>
                    </w:rPr>
                    <w:t>3.5%</w:t>
                  </w:r>
                  <w:r>
                    <w:rPr>
                      <w:rFonts w:hint="eastAsia" w:ascii="宋体" w:hAnsi="宋体" w:cs="宋体"/>
                      <w:color w:val="000000"/>
                      <w:kern w:val="0"/>
                      <w:sz w:val="21"/>
                      <w:szCs w:val="21"/>
                      <w:lang w:bidi="ar"/>
                    </w:rPr>
                    <w:t>，电窑和因工艺需要掺入空气</w:t>
                  </w:r>
                  <w:r>
                    <w:rPr>
                      <w:color w:val="000000"/>
                      <w:kern w:val="0"/>
                      <w:sz w:val="21"/>
                      <w:szCs w:val="21"/>
                      <w:lang w:bidi="ar"/>
                    </w:rPr>
                    <w:t>/</w:t>
                  </w:r>
                  <w:r>
                    <w:rPr>
                      <w:rFonts w:hint="eastAsia" w:ascii="宋体" w:hAnsi="宋体" w:cs="宋体"/>
                      <w:color w:val="000000"/>
                      <w:kern w:val="0"/>
                      <w:sz w:val="21"/>
                      <w:szCs w:val="21"/>
                      <w:lang w:bidi="ar"/>
                    </w:rPr>
                    <w:t xml:space="preserve">非密闭式生产的按实测浓度计） </w:t>
                  </w:r>
                </w:p>
              </w:tc>
              <w:tc>
                <w:tcPr>
                  <w:tcW w:w="2615" w:type="dxa"/>
                  <w:vAlign w:val="center"/>
                </w:tcPr>
                <w:p w14:paraId="7809A5B6">
                  <w:pPr>
                    <w:rPr>
                      <w:rFonts w:hAnsi="宋体"/>
                      <w:color w:val="000000"/>
                      <w:sz w:val="21"/>
                      <w:szCs w:val="21"/>
                    </w:rPr>
                  </w:pPr>
                  <w:r>
                    <w:rPr>
                      <w:rFonts w:hint="eastAsia" w:hAnsi="宋体"/>
                      <w:color w:val="000000"/>
                      <w:sz w:val="21"/>
                      <w:szCs w:val="21"/>
                    </w:rPr>
                    <w:t>本项目使用</w:t>
                  </w:r>
                  <w:r>
                    <w:rPr>
                      <w:rFonts w:hint="eastAsia"/>
                      <w:color w:val="000000" w:themeColor="text1"/>
                      <w:sz w:val="21"/>
                      <w:szCs w:val="21"/>
                      <w14:textFill>
                        <w14:solidFill>
                          <w14:schemeClr w14:val="tx1"/>
                        </w14:solidFill>
                      </w14:textFill>
                    </w:rPr>
                    <w:t>电加热油炸锅</w:t>
                  </w:r>
                  <w:r>
                    <w:rPr>
                      <w:rFonts w:hint="eastAsia"/>
                      <w:color w:val="000000"/>
                      <w:kern w:val="0"/>
                      <w:sz w:val="21"/>
                      <w:szCs w:val="21"/>
                      <w:lang w:bidi="ar"/>
                    </w:rPr>
                    <w:t>。</w:t>
                  </w:r>
                  <w:r>
                    <w:rPr>
                      <w:color w:val="000000"/>
                      <w:kern w:val="0"/>
                      <w:sz w:val="21"/>
                      <w:szCs w:val="21"/>
                      <w:lang w:bidi="ar"/>
                    </w:rPr>
                    <w:t xml:space="preserve"> </w:t>
                  </w:r>
                </w:p>
              </w:tc>
              <w:tc>
                <w:tcPr>
                  <w:tcW w:w="558" w:type="dxa"/>
                  <w:vAlign w:val="center"/>
                </w:tcPr>
                <w:p w14:paraId="7D9BB7A7">
                  <w:pPr>
                    <w:jc w:val="center"/>
                    <w:rPr>
                      <w:rFonts w:hAnsi="宋体"/>
                      <w:color w:val="000000"/>
                      <w:sz w:val="21"/>
                      <w:szCs w:val="21"/>
                    </w:rPr>
                  </w:pPr>
                  <w:r>
                    <w:rPr>
                      <w:rFonts w:hint="eastAsia" w:hAnsi="宋体"/>
                      <w:color w:val="000000"/>
                      <w:sz w:val="21"/>
                      <w:szCs w:val="21"/>
                    </w:rPr>
                    <w:t>符合</w:t>
                  </w:r>
                </w:p>
              </w:tc>
            </w:tr>
            <w:tr w14:paraId="06C8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163D4187">
                  <w:pPr>
                    <w:jc w:val="center"/>
                    <w:rPr>
                      <w:rFonts w:hAnsi="宋体"/>
                      <w:color w:val="000000"/>
                      <w:sz w:val="21"/>
                      <w:szCs w:val="21"/>
                    </w:rPr>
                  </w:pPr>
                </w:p>
              </w:tc>
              <w:tc>
                <w:tcPr>
                  <w:tcW w:w="350" w:type="dxa"/>
                  <w:vMerge w:val="continue"/>
                  <w:vAlign w:val="center"/>
                </w:tcPr>
                <w:p w14:paraId="3FAB4EA0">
                  <w:pPr>
                    <w:jc w:val="center"/>
                    <w:rPr>
                      <w:rFonts w:hAnsi="宋体"/>
                      <w:color w:val="000000"/>
                      <w:sz w:val="21"/>
                      <w:szCs w:val="21"/>
                    </w:rPr>
                  </w:pPr>
                </w:p>
              </w:tc>
              <w:tc>
                <w:tcPr>
                  <w:tcW w:w="600" w:type="dxa"/>
                  <w:vAlign w:val="center"/>
                </w:tcPr>
                <w:p w14:paraId="43BD13A2">
                  <w:pPr>
                    <w:jc w:val="center"/>
                    <w:rPr>
                      <w:rFonts w:hAnsi="宋体"/>
                      <w:color w:val="000000"/>
                      <w:sz w:val="21"/>
                      <w:szCs w:val="21"/>
                    </w:rPr>
                  </w:pPr>
                  <w:r>
                    <w:rPr>
                      <w:rFonts w:hint="eastAsia" w:hAnsi="宋体"/>
                      <w:color w:val="000000"/>
                      <w:sz w:val="21"/>
                      <w:szCs w:val="21"/>
                    </w:rPr>
                    <w:t>其他炉窑</w:t>
                  </w:r>
                </w:p>
              </w:tc>
              <w:tc>
                <w:tcPr>
                  <w:tcW w:w="3360" w:type="dxa"/>
                  <w:vAlign w:val="center"/>
                </w:tcPr>
                <w:p w14:paraId="714A5D59">
                  <w:pPr>
                    <w:widowControl/>
                    <w:jc w:val="left"/>
                    <w:rPr>
                      <w:color w:val="000000"/>
                      <w:kern w:val="0"/>
                      <w:sz w:val="21"/>
                      <w:szCs w:val="21"/>
                      <w:lang w:bidi="ar"/>
                    </w:rPr>
                  </w:pPr>
                  <w:r>
                    <w:rPr>
                      <w:color w:val="000000"/>
                      <w:kern w:val="0"/>
                      <w:sz w:val="21"/>
                      <w:szCs w:val="21"/>
                      <w:lang w:bidi="ar"/>
                    </w:rPr>
                    <w:t>PM</w:t>
                  </w:r>
                  <w:r>
                    <w:rPr>
                      <w:rFonts w:hint="eastAsia" w:ascii="宋体" w:hAnsi="宋体" w:cs="宋体"/>
                      <w:color w:val="000000"/>
                      <w:kern w:val="0"/>
                      <w:sz w:val="21"/>
                      <w:szCs w:val="21"/>
                      <w:lang w:bidi="ar"/>
                    </w:rPr>
                    <w:t>、</w:t>
                  </w:r>
                  <w:r>
                    <w:rPr>
                      <w:color w:val="000000"/>
                      <w:kern w:val="0"/>
                      <w:sz w:val="21"/>
                      <w:szCs w:val="21"/>
                      <w:lang w:bidi="ar"/>
                    </w:rPr>
                    <w:t>SO</w:t>
                  </w:r>
                  <w:r>
                    <w:rPr>
                      <w:color w:val="000000"/>
                      <w:kern w:val="0"/>
                      <w:sz w:val="13"/>
                      <w:szCs w:val="13"/>
                      <w:lang w:bidi="ar"/>
                    </w:rPr>
                    <w:t>2</w:t>
                  </w:r>
                  <w:r>
                    <w:rPr>
                      <w:rFonts w:hint="eastAsia" w:ascii="宋体" w:hAnsi="宋体" w:cs="宋体"/>
                      <w:color w:val="000000"/>
                      <w:kern w:val="0"/>
                      <w:sz w:val="21"/>
                      <w:szCs w:val="21"/>
                      <w:lang w:bidi="ar"/>
                    </w:rPr>
                    <w:t>、</w:t>
                  </w:r>
                  <w:r>
                    <w:rPr>
                      <w:color w:val="000000"/>
                      <w:kern w:val="0"/>
                      <w:sz w:val="21"/>
                      <w:szCs w:val="21"/>
                      <w:lang w:bidi="ar"/>
                    </w:rPr>
                    <w:t xml:space="preserve">NOx </w:t>
                  </w:r>
                  <w:r>
                    <w:rPr>
                      <w:rFonts w:hint="eastAsia" w:ascii="宋体" w:hAnsi="宋体" w:cs="宋体"/>
                      <w:color w:val="000000"/>
                      <w:kern w:val="0"/>
                      <w:sz w:val="21"/>
                      <w:szCs w:val="21"/>
                      <w:lang w:bidi="ar"/>
                    </w:rPr>
                    <w:t xml:space="preserve">排放浓度分别不高于 </w:t>
                  </w:r>
                  <w:r>
                    <w:rPr>
                      <w:color w:val="000000"/>
                      <w:kern w:val="0"/>
                      <w:sz w:val="21"/>
                      <w:szCs w:val="21"/>
                      <w:lang w:bidi="ar"/>
                    </w:rPr>
                    <w:t>10</w:t>
                  </w:r>
                  <w:r>
                    <w:rPr>
                      <w:rFonts w:hint="eastAsia" w:ascii="宋体" w:hAnsi="宋体" w:cs="宋体"/>
                      <w:color w:val="000000"/>
                      <w:kern w:val="0"/>
                      <w:sz w:val="21"/>
                      <w:szCs w:val="21"/>
                      <w:lang w:bidi="ar"/>
                    </w:rPr>
                    <w:t>、</w:t>
                  </w:r>
                  <w:r>
                    <w:rPr>
                      <w:color w:val="000000"/>
                      <w:kern w:val="0"/>
                      <w:sz w:val="21"/>
                      <w:szCs w:val="21"/>
                      <w:lang w:bidi="ar"/>
                    </w:rPr>
                    <w:t>50</w:t>
                  </w:r>
                  <w:r>
                    <w:rPr>
                      <w:rFonts w:hint="eastAsia" w:ascii="宋体" w:hAnsi="宋体" w:cs="宋体"/>
                      <w:color w:val="000000"/>
                      <w:kern w:val="0"/>
                      <w:sz w:val="21"/>
                      <w:szCs w:val="21"/>
                      <w:lang w:bidi="ar"/>
                    </w:rPr>
                    <w:t>、</w:t>
                  </w:r>
                  <w:r>
                    <w:rPr>
                      <w:color w:val="000000"/>
                      <w:kern w:val="0"/>
                      <w:sz w:val="21"/>
                      <w:szCs w:val="21"/>
                      <w:lang w:bidi="ar"/>
                    </w:rPr>
                    <w:t>100mg/m</w:t>
                  </w:r>
                  <w:r>
                    <w:rPr>
                      <w:color w:val="000000"/>
                      <w:kern w:val="0"/>
                      <w:sz w:val="21"/>
                      <w:szCs w:val="21"/>
                      <w:vertAlign w:val="superscript"/>
                      <w:lang w:bidi="ar"/>
                    </w:rPr>
                    <w:t>3</w:t>
                  </w:r>
                  <w:r>
                    <w:rPr>
                      <w:rFonts w:hint="eastAsia" w:ascii="宋体" w:hAnsi="宋体" w:cs="宋体"/>
                      <w:color w:val="000000"/>
                      <w:kern w:val="0"/>
                      <w:sz w:val="21"/>
                      <w:szCs w:val="21"/>
                      <w:lang w:bidi="ar"/>
                    </w:rPr>
                    <w:t>（基准含氧量：</w:t>
                  </w:r>
                  <w:r>
                    <w:rPr>
                      <w:color w:val="000000"/>
                      <w:kern w:val="0"/>
                      <w:sz w:val="21"/>
                      <w:szCs w:val="21"/>
                      <w:lang w:bidi="ar"/>
                    </w:rPr>
                    <w:t>9%</w:t>
                  </w:r>
                  <w:r>
                    <w:rPr>
                      <w:rFonts w:hint="eastAsia" w:ascii="宋体" w:hAnsi="宋体" w:cs="宋体"/>
                      <w:color w:val="000000"/>
                      <w:kern w:val="0"/>
                      <w:sz w:val="21"/>
                      <w:szCs w:val="21"/>
                      <w:lang w:bidi="ar"/>
                    </w:rPr>
                    <w:t xml:space="preserve">） </w:t>
                  </w:r>
                </w:p>
              </w:tc>
              <w:tc>
                <w:tcPr>
                  <w:tcW w:w="2615" w:type="dxa"/>
                  <w:vAlign w:val="center"/>
                </w:tcPr>
                <w:p w14:paraId="12936F4B">
                  <w:pPr>
                    <w:rPr>
                      <w:color w:val="000000"/>
                      <w:sz w:val="21"/>
                      <w:szCs w:val="21"/>
                    </w:rPr>
                  </w:pPr>
                  <w:r>
                    <w:rPr>
                      <w:rFonts w:hint="eastAsia"/>
                      <w:color w:val="000000"/>
                      <w:sz w:val="21"/>
                      <w:szCs w:val="21"/>
                    </w:rPr>
                    <w:t>本项目不涉及其他炉窑</w:t>
                  </w:r>
                </w:p>
              </w:tc>
              <w:tc>
                <w:tcPr>
                  <w:tcW w:w="558" w:type="dxa"/>
                  <w:vAlign w:val="center"/>
                </w:tcPr>
                <w:p w14:paraId="1A62D0EE">
                  <w:pPr>
                    <w:jc w:val="center"/>
                    <w:rPr>
                      <w:rFonts w:hAnsi="宋体"/>
                      <w:color w:val="000000"/>
                      <w:sz w:val="21"/>
                      <w:szCs w:val="21"/>
                    </w:rPr>
                  </w:pPr>
                  <w:r>
                    <w:rPr>
                      <w:rFonts w:hint="eastAsia" w:hAnsi="宋体"/>
                      <w:color w:val="000000"/>
                      <w:sz w:val="21"/>
                      <w:szCs w:val="21"/>
                    </w:rPr>
                    <w:t>不涉及</w:t>
                  </w:r>
                </w:p>
              </w:tc>
            </w:tr>
            <w:tr w14:paraId="1D73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vMerge w:val="continue"/>
                  <w:vAlign w:val="center"/>
                </w:tcPr>
                <w:p w14:paraId="513040D0">
                  <w:pPr>
                    <w:jc w:val="center"/>
                    <w:rPr>
                      <w:rFonts w:hAnsi="宋体"/>
                      <w:color w:val="000000"/>
                      <w:sz w:val="21"/>
                      <w:szCs w:val="21"/>
                    </w:rPr>
                  </w:pPr>
                </w:p>
              </w:tc>
              <w:tc>
                <w:tcPr>
                  <w:tcW w:w="350" w:type="dxa"/>
                  <w:vMerge w:val="continue"/>
                  <w:vAlign w:val="center"/>
                </w:tcPr>
                <w:p w14:paraId="1F209A27">
                  <w:pPr>
                    <w:jc w:val="center"/>
                    <w:rPr>
                      <w:rFonts w:hAnsi="宋体"/>
                      <w:color w:val="000000"/>
                      <w:sz w:val="21"/>
                      <w:szCs w:val="21"/>
                    </w:rPr>
                  </w:pPr>
                </w:p>
              </w:tc>
              <w:tc>
                <w:tcPr>
                  <w:tcW w:w="600" w:type="dxa"/>
                  <w:vAlign w:val="center"/>
                </w:tcPr>
                <w:p w14:paraId="6BF4B99B">
                  <w:pPr>
                    <w:jc w:val="center"/>
                    <w:rPr>
                      <w:rFonts w:hAnsi="宋体"/>
                      <w:color w:val="000000"/>
                      <w:sz w:val="21"/>
                      <w:szCs w:val="21"/>
                    </w:rPr>
                  </w:pPr>
                  <w:r>
                    <w:rPr>
                      <w:rFonts w:hint="eastAsia" w:hAnsi="宋体"/>
                      <w:color w:val="000000"/>
                      <w:sz w:val="21"/>
                      <w:szCs w:val="21"/>
                    </w:rPr>
                    <w:t>其他工序</w:t>
                  </w:r>
                </w:p>
              </w:tc>
              <w:tc>
                <w:tcPr>
                  <w:tcW w:w="3360" w:type="dxa"/>
                  <w:vAlign w:val="center"/>
                </w:tcPr>
                <w:p w14:paraId="5797E357">
                  <w:pPr>
                    <w:widowControl/>
                    <w:jc w:val="left"/>
                    <w:rPr>
                      <w:color w:val="000000"/>
                      <w:kern w:val="0"/>
                      <w:sz w:val="21"/>
                      <w:szCs w:val="21"/>
                      <w:lang w:bidi="ar"/>
                    </w:rPr>
                  </w:pPr>
                  <w:r>
                    <w:rPr>
                      <w:rFonts w:eastAsiaTheme="minorEastAsia"/>
                      <w:color w:val="000000"/>
                      <w:kern w:val="0"/>
                      <w:sz w:val="21"/>
                      <w:szCs w:val="21"/>
                      <w:lang w:bidi="ar"/>
                    </w:rPr>
                    <w:t>PM 排放浓度不高于 10mg/m</w:t>
                  </w:r>
                  <w:r>
                    <w:rPr>
                      <w:rFonts w:eastAsiaTheme="minorEastAsia"/>
                      <w:color w:val="000000"/>
                      <w:kern w:val="0"/>
                      <w:sz w:val="21"/>
                      <w:szCs w:val="21"/>
                      <w:vertAlign w:val="superscript"/>
                      <w:lang w:bidi="ar"/>
                    </w:rPr>
                    <w:t xml:space="preserve">3 </w:t>
                  </w:r>
                </w:p>
              </w:tc>
              <w:tc>
                <w:tcPr>
                  <w:tcW w:w="2615" w:type="dxa"/>
                  <w:vAlign w:val="center"/>
                </w:tcPr>
                <w:p w14:paraId="653A8655">
                  <w:pPr>
                    <w:rPr>
                      <w:color w:val="000000"/>
                      <w:sz w:val="21"/>
                      <w:szCs w:val="21"/>
                    </w:rPr>
                  </w:pPr>
                  <w:r>
                    <w:rPr>
                      <w:rFonts w:hint="eastAsia"/>
                      <w:color w:val="000000"/>
                      <w:sz w:val="21"/>
                      <w:szCs w:val="21"/>
                    </w:rPr>
                    <w:t>本项目其他工序不涉及颗粒物产生</w:t>
                  </w:r>
                </w:p>
              </w:tc>
              <w:tc>
                <w:tcPr>
                  <w:tcW w:w="558" w:type="dxa"/>
                  <w:vAlign w:val="center"/>
                </w:tcPr>
                <w:p w14:paraId="0B717C01">
                  <w:pPr>
                    <w:jc w:val="center"/>
                    <w:rPr>
                      <w:rFonts w:hAnsi="宋体"/>
                      <w:color w:val="000000"/>
                      <w:sz w:val="21"/>
                      <w:szCs w:val="21"/>
                    </w:rPr>
                  </w:pPr>
                  <w:r>
                    <w:rPr>
                      <w:rFonts w:hint="eastAsia" w:hAnsi="宋体"/>
                      <w:color w:val="000000"/>
                      <w:sz w:val="21"/>
                      <w:szCs w:val="21"/>
                    </w:rPr>
                    <w:t>不涉及</w:t>
                  </w:r>
                </w:p>
              </w:tc>
            </w:tr>
            <w:tr w14:paraId="5951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6" w:hRule="atLeast"/>
                <w:jc w:val="center"/>
              </w:trPr>
              <w:tc>
                <w:tcPr>
                  <w:tcW w:w="709" w:type="dxa"/>
                  <w:vMerge w:val="continue"/>
                  <w:vAlign w:val="center"/>
                </w:tcPr>
                <w:p w14:paraId="6401CA32">
                  <w:pPr>
                    <w:jc w:val="center"/>
                    <w:rPr>
                      <w:rFonts w:hAnsi="宋体"/>
                      <w:color w:val="000000"/>
                      <w:sz w:val="21"/>
                      <w:szCs w:val="21"/>
                    </w:rPr>
                  </w:pPr>
                </w:p>
              </w:tc>
              <w:tc>
                <w:tcPr>
                  <w:tcW w:w="950" w:type="dxa"/>
                  <w:gridSpan w:val="2"/>
                  <w:vAlign w:val="center"/>
                </w:tcPr>
                <w:p w14:paraId="647DBE03">
                  <w:pPr>
                    <w:jc w:val="center"/>
                    <w:rPr>
                      <w:rFonts w:hAnsi="宋体"/>
                      <w:color w:val="000000"/>
                      <w:sz w:val="21"/>
                      <w:szCs w:val="21"/>
                    </w:rPr>
                  </w:pPr>
                  <w:r>
                    <w:rPr>
                      <w:rFonts w:hint="eastAsia" w:hAnsi="宋体"/>
                      <w:color w:val="000000"/>
                      <w:sz w:val="21"/>
                      <w:szCs w:val="21"/>
                    </w:rPr>
                    <w:t>监测监控水平</w:t>
                  </w:r>
                </w:p>
              </w:tc>
              <w:tc>
                <w:tcPr>
                  <w:tcW w:w="3360" w:type="dxa"/>
                  <w:vAlign w:val="center"/>
                </w:tcPr>
                <w:p w14:paraId="08FE69A6">
                  <w:pPr>
                    <w:widowControl/>
                    <w:rPr>
                      <w:color w:val="000000"/>
                      <w:kern w:val="0"/>
                      <w:sz w:val="21"/>
                      <w:szCs w:val="21"/>
                      <w:lang w:bidi="ar"/>
                    </w:rPr>
                  </w:pPr>
                  <w:r>
                    <w:rPr>
                      <w:color w:val="000000"/>
                      <w:kern w:val="0"/>
                      <w:sz w:val="21"/>
                      <w:szCs w:val="21"/>
                      <w:lang w:bidi="ar"/>
                    </w:rPr>
                    <w:t>重点排污企业主要排放口</w:t>
                  </w:r>
                  <w:r>
                    <w:rPr>
                      <w:color w:val="000000"/>
                      <w:kern w:val="0"/>
                      <w:sz w:val="21"/>
                      <w:szCs w:val="21"/>
                      <w:vertAlign w:val="superscript"/>
                      <w:lang w:bidi="ar"/>
                    </w:rPr>
                    <w:t>【6】</w:t>
                  </w:r>
                  <w:r>
                    <w:rPr>
                      <w:color w:val="000000"/>
                      <w:kern w:val="0"/>
                      <w:sz w:val="21"/>
                      <w:szCs w:val="21"/>
                      <w:lang w:bidi="ar"/>
                    </w:rPr>
                    <w:t>安装CEMS，记录生产设施运行情况，并按要求与省厅联网；CEMS数据至少保存最近12月的1分钟均值、36个月的1小时均值及60个月的日均值和月均值。（投产或安装时间不满1年以上的企业以现有数据为准）</w:t>
                  </w:r>
                </w:p>
              </w:tc>
              <w:tc>
                <w:tcPr>
                  <w:tcW w:w="2615" w:type="dxa"/>
                  <w:vAlign w:val="center"/>
                </w:tcPr>
                <w:p w14:paraId="4858BBE1">
                  <w:pPr>
                    <w:rPr>
                      <w:color w:val="000000"/>
                      <w:sz w:val="21"/>
                      <w:szCs w:val="21"/>
                    </w:rPr>
                  </w:pPr>
                  <w:r>
                    <w:rPr>
                      <w:rFonts w:hint="eastAsia"/>
                      <w:color w:val="000000"/>
                      <w:sz w:val="21"/>
                      <w:szCs w:val="21"/>
                    </w:rPr>
                    <w:t>本项目利用现有2台0.5t/h蒸汽发生器（一用一备），企业将按照要求安装在线监测装置。</w:t>
                  </w:r>
                </w:p>
              </w:tc>
              <w:tc>
                <w:tcPr>
                  <w:tcW w:w="558" w:type="dxa"/>
                  <w:vAlign w:val="center"/>
                </w:tcPr>
                <w:p w14:paraId="3EC2A1CE">
                  <w:pPr>
                    <w:jc w:val="center"/>
                    <w:rPr>
                      <w:rFonts w:hAnsi="宋体"/>
                      <w:color w:val="000000"/>
                      <w:sz w:val="21"/>
                      <w:szCs w:val="21"/>
                    </w:rPr>
                  </w:pPr>
                  <w:r>
                    <w:rPr>
                      <w:rFonts w:hint="eastAsia" w:hAnsi="宋体"/>
                      <w:color w:val="000000"/>
                      <w:sz w:val="21"/>
                      <w:szCs w:val="21"/>
                    </w:rPr>
                    <w:t>符合</w:t>
                  </w:r>
                </w:p>
              </w:tc>
            </w:tr>
            <w:tr w14:paraId="688E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92" w:type="dxa"/>
                  <w:gridSpan w:val="6"/>
                  <w:vAlign w:val="center"/>
                </w:tcPr>
                <w:p w14:paraId="0F29D84D">
                  <w:pPr>
                    <w:widowControl/>
                    <w:jc w:val="left"/>
                    <w:rPr>
                      <w:sz w:val="21"/>
                      <w:szCs w:val="21"/>
                    </w:rPr>
                  </w:pPr>
                  <w:r>
                    <w:rPr>
                      <w:color w:val="000000"/>
                      <w:kern w:val="0"/>
                      <w:sz w:val="21"/>
                      <w:szCs w:val="21"/>
                      <w:lang w:bidi="ar"/>
                    </w:rPr>
                    <w:t>备注</w:t>
                  </w:r>
                  <w:r>
                    <w:rPr>
                      <w:color w:val="000000"/>
                      <w:kern w:val="0"/>
                      <w:sz w:val="21"/>
                      <w:szCs w:val="21"/>
                      <w:vertAlign w:val="superscript"/>
                      <w:lang w:bidi="ar"/>
                    </w:rPr>
                    <w:t>【1】</w:t>
                  </w:r>
                  <w:r>
                    <w:rPr>
                      <w:color w:val="000000"/>
                      <w:kern w:val="0"/>
                      <w:sz w:val="21"/>
                      <w:szCs w:val="21"/>
                      <w:lang w:bidi="ar"/>
                    </w:rPr>
                    <w:t xml:space="preserve">：燃气锅炉在PM稳定达到排放限值情况下可不采用除尘工艺； </w:t>
                  </w:r>
                </w:p>
                <w:p w14:paraId="30DA6486">
                  <w:pPr>
                    <w:widowControl/>
                    <w:jc w:val="left"/>
                    <w:rPr>
                      <w:sz w:val="21"/>
                      <w:szCs w:val="21"/>
                    </w:rPr>
                  </w:pPr>
                  <w:r>
                    <w:rPr>
                      <w:color w:val="000000"/>
                      <w:kern w:val="0"/>
                      <w:sz w:val="21"/>
                      <w:szCs w:val="21"/>
                      <w:lang w:bidi="ar"/>
                    </w:rPr>
                    <w:t>备注</w:t>
                  </w:r>
                  <w:r>
                    <w:rPr>
                      <w:color w:val="000000"/>
                      <w:kern w:val="0"/>
                      <w:sz w:val="21"/>
                      <w:szCs w:val="21"/>
                      <w:vertAlign w:val="superscript"/>
                      <w:lang w:bidi="ar"/>
                    </w:rPr>
                    <w:t>【2】</w:t>
                  </w:r>
                  <w:r>
                    <w:rPr>
                      <w:color w:val="000000"/>
                      <w:kern w:val="0"/>
                      <w:sz w:val="21"/>
                      <w:szCs w:val="21"/>
                      <w:lang w:bidi="ar"/>
                    </w:rPr>
                    <w:t xml:space="preserve">：温度低于800℃的燃气/燃油的干燥窑、热处理窑和燃气/生物质锅炉，在稳定达到排放限值情况下可不采用 SCR/SNCR 等工艺； </w:t>
                  </w:r>
                </w:p>
                <w:p w14:paraId="75CB58E3">
                  <w:pPr>
                    <w:widowControl/>
                    <w:jc w:val="left"/>
                    <w:rPr>
                      <w:sz w:val="21"/>
                      <w:szCs w:val="21"/>
                    </w:rPr>
                  </w:pPr>
                  <w:r>
                    <w:rPr>
                      <w:color w:val="000000"/>
                      <w:kern w:val="0"/>
                      <w:sz w:val="21"/>
                      <w:szCs w:val="21"/>
                      <w:lang w:bidi="ar"/>
                    </w:rPr>
                    <w:t>备注</w:t>
                  </w:r>
                  <w:r>
                    <w:rPr>
                      <w:color w:val="000000"/>
                      <w:kern w:val="0"/>
                      <w:sz w:val="21"/>
                      <w:szCs w:val="21"/>
                      <w:vertAlign w:val="superscript"/>
                      <w:lang w:bidi="ar"/>
                    </w:rPr>
                    <w:t>【4】</w:t>
                  </w:r>
                  <w:r>
                    <w:rPr>
                      <w:color w:val="000000"/>
                      <w:kern w:val="0"/>
                      <w:sz w:val="21"/>
                      <w:szCs w:val="21"/>
                      <w:lang w:bidi="ar"/>
                    </w:rPr>
                    <w:t xml:space="preserve">：新建燃气锅炉和需要采取特别保护措施的区域，执行该排放限值； </w:t>
                  </w:r>
                </w:p>
                <w:p w14:paraId="00333CB2">
                  <w:pPr>
                    <w:widowControl/>
                    <w:jc w:val="left"/>
                    <w:rPr>
                      <w:rFonts w:hAnsi="宋体"/>
                      <w:color w:val="000000"/>
                      <w:sz w:val="21"/>
                      <w:szCs w:val="21"/>
                    </w:rPr>
                  </w:pPr>
                  <w:r>
                    <w:rPr>
                      <w:color w:val="000000"/>
                      <w:kern w:val="0"/>
                      <w:sz w:val="21"/>
                      <w:szCs w:val="21"/>
                      <w:lang w:bidi="ar"/>
                    </w:rPr>
                    <w:t>备注</w:t>
                  </w:r>
                  <w:r>
                    <w:rPr>
                      <w:color w:val="000000"/>
                      <w:kern w:val="0"/>
                      <w:sz w:val="21"/>
                      <w:szCs w:val="21"/>
                      <w:vertAlign w:val="superscript"/>
                      <w:lang w:bidi="ar"/>
                    </w:rPr>
                    <w:t>【6】</w:t>
                  </w:r>
                  <w:r>
                    <w:rPr>
                      <w:color w:val="000000"/>
                      <w:kern w:val="0"/>
                      <w:sz w:val="21"/>
                      <w:szCs w:val="21"/>
                      <w:lang w:bidi="ar"/>
                    </w:rPr>
                    <w:t>：主要排放口按照《排污许可证申请与核发技术规范 XX 工业》确定。</w:t>
                  </w:r>
                </w:p>
              </w:tc>
            </w:tr>
          </w:tbl>
          <w:p w14:paraId="0DFC02DE">
            <w:pPr>
              <w:spacing w:line="460" w:lineRule="exact"/>
              <w:ind w:firstLine="480" w:firstLineChars="200"/>
            </w:pPr>
            <w:r>
              <w:rPr>
                <w:rFonts w:hint="eastAsia"/>
              </w:rPr>
              <w:t>由上表可知，本项目符合</w:t>
            </w:r>
            <w:r>
              <w:t>《</w:t>
            </w:r>
            <w:r>
              <w:rPr>
                <w:rFonts w:hint="eastAsia"/>
              </w:rPr>
              <w:t>河南省重污染天气通用行业应急减排措施制定技术指南</w:t>
            </w:r>
            <w:r>
              <w:t>》</w:t>
            </w:r>
            <w:r>
              <w:rPr>
                <w:rFonts w:hint="eastAsia"/>
              </w:rPr>
              <w:t>（2024年修订稿）中通用行业涉锅炉A级企业相关要求。</w:t>
            </w:r>
          </w:p>
          <w:p w14:paraId="086F7237">
            <w:pPr>
              <w:pStyle w:val="33"/>
              <w:ind w:firstLine="480"/>
              <w:rPr>
                <w:rFonts w:ascii="宋体" w:hAnsi="宋体"/>
                <w:color w:val="000000" w:themeColor="text1"/>
                <w14:textFill>
                  <w14:solidFill>
                    <w14:schemeClr w14:val="tx1"/>
                  </w14:solidFill>
                </w14:textFill>
              </w:rPr>
            </w:pPr>
          </w:p>
          <w:p w14:paraId="53EB9804">
            <w:pPr>
              <w:pStyle w:val="33"/>
              <w:ind w:firstLine="480"/>
              <w:rPr>
                <w:rFonts w:ascii="宋体" w:hAnsi="宋体"/>
                <w:color w:val="000000" w:themeColor="text1"/>
                <w14:textFill>
                  <w14:solidFill>
                    <w14:schemeClr w14:val="tx1"/>
                  </w14:solidFill>
                </w14:textFill>
              </w:rPr>
            </w:pPr>
          </w:p>
          <w:p w14:paraId="042B5768">
            <w:pPr>
              <w:pStyle w:val="33"/>
              <w:ind w:firstLine="480"/>
              <w:rPr>
                <w:rFonts w:ascii="宋体" w:hAnsi="宋体"/>
                <w:color w:val="000000" w:themeColor="text1"/>
                <w14:textFill>
                  <w14:solidFill>
                    <w14:schemeClr w14:val="tx1"/>
                  </w14:solidFill>
                </w14:textFill>
              </w:rPr>
            </w:pPr>
          </w:p>
          <w:p w14:paraId="558B2C8C">
            <w:pPr>
              <w:pStyle w:val="33"/>
              <w:ind w:firstLine="480"/>
              <w:rPr>
                <w:rFonts w:ascii="宋体" w:hAnsi="宋体"/>
                <w:color w:val="000000" w:themeColor="text1"/>
                <w14:textFill>
                  <w14:solidFill>
                    <w14:schemeClr w14:val="tx1"/>
                  </w14:solidFill>
                </w14:textFill>
              </w:rPr>
            </w:pPr>
          </w:p>
          <w:p w14:paraId="0AC2708C">
            <w:pPr>
              <w:pStyle w:val="33"/>
              <w:ind w:firstLine="480"/>
              <w:rPr>
                <w:rFonts w:ascii="宋体" w:hAnsi="宋体"/>
                <w:color w:val="000000" w:themeColor="text1"/>
                <w14:textFill>
                  <w14:solidFill>
                    <w14:schemeClr w14:val="tx1"/>
                  </w14:solidFill>
                </w14:textFill>
              </w:rPr>
            </w:pPr>
          </w:p>
          <w:p w14:paraId="776C90DA">
            <w:pPr>
              <w:pStyle w:val="33"/>
              <w:ind w:firstLine="480"/>
              <w:rPr>
                <w:rFonts w:ascii="宋体" w:hAnsi="宋体"/>
                <w:color w:val="000000" w:themeColor="text1"/>
                <w14:textFill>
                  <w14:solidFill>
                    <w14:schemeClr w14:val="tx1"/>
                  </w14:solidFill>
                </w14:textFill>
              </w:rPr>
            </w:pPr>
          </w:p>
          <w:p w14:paraId="067C435E">
            <w:pPr>
              <w:pStyle w:val="33"/>
              <w:ind w:firstLine="480"/>
              <w:rPr>
                <w:rFonts w:ascii="宋体" w:hAnsi="宋体"/>
                <w:color w:val="000000" w:themeColor="text1"/>
                <w14:textFill>
                  <w14:solidFill>
                    <w14:schemeClr w14:val="tx1"/>
                  </w14:solidFill>
                </w14:textFill>
              </w:rPr>
            </w:pPr>
          </w:p>
          <w:p w14:paraId="03FB5A47">
            <w:pPr>
              <w:pStyle w:val="33"/>
              <w:ind w:firstLine="480"/>
              <w:rPr>
                <w:rFonts w:ascii="宋体" w:hAnsi="宋体"/>
                <w:color w:val="000000" w:themeColor="text1"/>
                <w14:textFill>
                  <w14:solidFill>
                    <w14:schemeClr w14:val="tx1"/>
                  </w14:solidFill>
                </w14:textFill>
              </w:rPr>
            </w:pPr>
          </w:p>
          <w:p w14:paraId="2E275D4A">
            <w:pPr>
              <w:pStyle w:val="33"/>
              <w:ind w:firstLine="480"/>
              <w:rPr>
                <w:rFonts w:ascii="宋体" w:hAnsi="宋体"/>
                <w:color w:val="000000" w:themeColor="text1"/>
                <w14:textFill>
                  <w14:solidFill>
                    <w14:schemeClr w14:val="tx1"/>
                  </w14:solidFill>
                </w14:textFill>
              </w:rPr>
            </w:pPr>
          </w:p>
          <w:p w14:paraId="522121DD">
            <w:pPr>
              <w:pStyle w:val="33"/>
              <w:ind w:firstLine="480"/>
              <w:rPr>
                <w:rFonts w:ascii="宋体" w:hAnsi="宋体"/>
                <w:color w:val="000000" w:themeColor="text1"/>
                <w14:textFill>
                  <w14:solidFill>
                    <w14:schemeClr w14:val="tx1"/>
                  </w14:solidFill>
                </w14:textFill>
              </w:rPr>
            </w:pPr>
          </w:p>
          <w:p w14:paraId="3C963B23">
            <w:pPr>
              <w:pStyle w:val="33"/>
              <w:ind w:firstLine="480"/>
              <w:rPr>
                <w:rFonts w:ascii="宋体" w:hAnsi="宋体"/>
                <w:color w:val="000000" w:themeColor="text1"/>
                <w14:textFill>
                  <w14:solidFill>
                    <w14:schemeClr w14:val="tx1"/>
                  </w14:solidFill>
                </w14:textFill>
              </w:rPr>
            </w:pPr>
          </w:p>
          <w:p w14:paraId="08C5D270">
            <w:pPr>
              <w:pStyle w:val="33"/>
              <w:ind w:firstLine="480"/>
              <w:rPr>
                <w:rFonts w:ascii="宋体" w:hAnsi="宋体"/>
                <w:color w:val="000000" w:themeColor="text1"/>
                <w14:textFill>
                  <w14:solidFill>
                    <w14:schemeClr w14:val="tx1"/>
                  </w14:solidFill>
                </w14:textFill>
              </w:rPr>
            </w:pPr>
          </w:p>
          <w:p w14:paraId="756C37BC">
            <w:pPr>
              <w:pStyle w:val="33"/>
              <w:ind w:firstLine="480"/>
              <w:rPr>
                <w:rFonts w:ascii="宋体" w:hAnsi="宋体"/>
                <w:color w:val="000000" w:themeColor="text1"/>
                <w14:textFill>
                  <w14:solidFill>
                    <w14:schemeClr w14:val="tx1"/>
                  </w14:solidFill>
                </w14:textFill>
              </w:rPr>
            </w:pPr>
          </w:p>
          <w:p w14:paraId="031697CA">
            <w:pPr>
              <w:pStyle w:val="33"/>
              <w:ind w:firstLine="480"/>
              <w:rPr>
                <w:rFonts w:ascii="宋体" w:hAnsi="宋体"/>
                <w:color w:val="000000" w:themeColor="text1"/>
                <w14:textFill>
                  <w14:solidFill>
                    <w14:schemeClr w14:val="tx1"/>
                  </w14:solidFill>
                </w14:textFill>
              </w:rPr>
            </w:pPr>
          </w:p>
          <w:p w14:paraId="1B8CCEDC">
            <w:pPr>
              <w:pStyle w:val="33"/>
              <w:ind w:firstLine="480"/>
              <w:rPr>
                <w:rFonts w:ascii="宋体" w:hAnsi="宋体"/>
                <w:color w:val="000000" w:themeColor="text1"/>
                <w14:textFill>
                  <w14:solidFill>
                    <w14:schemeClr w14:val="tx1"/>
                  </w14:solidFill>
                </w14:textFill>
              </w:rPr>
            </w:pPr>
          </w:p>
          <w:p w14:paraId="387B6ABA">
            <w:pPr>
              <w:pStyle w:val="33"/>
              <w:ind w:firstLine="480"/>
              <w:rPr>
                <w:rFonts w:ascii="宋体" w:hAnsi="宋体"/>
                <w:color w:val="000000" w:themeColor="text1"/>
                <w14:textFill>
                  <w14:solidFill>
                    <w14:schemeClr w14:val="tx1"/>
                  </w14:solidFill>
                </w14:textFill>
              </w:rPr>
            </w:pPr>
          </w:p>
          <w:p w14:paraId="5C3053F7">
            <w:pPr>
              <w:pStyle w:val="33"/>
              <w:ind w:firstLine="480"/>
              <w:rPr>
                <w:rFonts w:ascii="宋体" w:hAnsi="宋体"/>
                <w:color w:val="000000" w:themeColor="text1"/>
                <w14:textFill>
                  <w14:solidFill>
                    <w14:schemeClr w14:val="tx1"/>
                  </w14:solidFill>
                </w14:textFill>
              </w:rPr>
            </w:pPr>
          </w:p>
          <w:p w14:paraId="687ACDB8">
            <w:pPr>
              <w:pStyle w:val="33"/>
              <w:ind w:firstLine="480"/>
              <w:rPr>
                <w:rFonts w:ascii="宋体" w:hAnsi="宋体"/>
                <w:color w:val="000000" w:themeColor="text1"/>
                <w14:textFill>
                  <w14:solidFill>
                    <w14:schemeClr w14:val="tx1"/>
                  </w14:solidFill>
                </w14:textFill>
              </w:rPr>
            </w:pPr>
          </w:p>
          <w:p w14:paraId="6AF09034">
            <w:pPr>
              <w:pStyle w:val="33"/>
              <w:ind w:firstLine="480"/>
              <w:rPr>
                <w:rFonts w:ascii="宋体" w:hAnsi="宋体"/>
                <w:color w:val="000000" w:themeColor="text1"/>
                <w14:textFill>
                  <w14:solidFill>
                    <w14:schemeClr w14:val="tx1"/>
                  </w14:solidFill>
                </w14:textFill>
              </w:rPr>
            </w:pPr>
          </w:p>
          <w:p w14:paraId="1C3E716B">
            <w:pPr>
              <w:pStyle w:val="33"/>
              <w:ind w:firstLine="480"/>
              <w:rPr>
                <w:rFonts w:ascii="宋体" w:hAnsi="宋体"/>
                <w:color w:val="000000" w:themeColor="text1"/>
                <w14:textFill>
                  <w14:solidFill>
                    <w14:schemeClr w14:val="tx1"/>
                  </w14:solidFill>
                </w14:textFill>
              </w:rPr>
            </w:pPr>
          </w:p>
          <w:p w14:paraId="1302851C">
            <w:pPr>
              <w:pStyle w:val="33"/>
              <w:ind w:firstLine="480"/>
              <w:rPr>
                <w:rFonts w:ascii="宋体" w:hAnsi="宋体"/>
                <w:color w:val="000000" w:themeColor="text1"/>
                <w14:textFill>
                  <w14:solidFill>
                    <w14:schemeClr w14:val="tx1"/>
                  </w14:solidFill>
                </w14:textFill>
              </w:rPr>
            </w:pPr>
          </w:p>
          <w:p w14:paraId="530D4BB8">
            <w:pPr>
              <w:pStyle w:val="33"/>
              <w:ind w:firstLine="480"/>
              <w:rPr>
                <w:rFonts w:ascii="宋体" w:hAnsi="宋体"/>
                <w:color w:val="000000" w:themeColor="text1"/>
                <w14:textFill>
                  <w14:solidFill>
                    <w14:schemeClr w14:val="tx1"/>
                  </w14:solidFill>
                </w14:textFill>
              </w:rPr>
            </w:pPr>
          </w:p>
          <w:p w14:paraId="030514CC">
            <w:pPr>
              <w:pStyle w:val="33"/>
              <w:ind w:firstLine="480"/>
              <w:rPr>
                <w:rFonts w:ascii="宋体" w:hAnsi="宋体"/>
                <w:color w:val="000000" w:themeColor="text1"/>
                <w14:textFill>
                  <w14:solidFill>
                    <w14:schemeClr w14:val="tx1"/>
                  </w14:solidFill>
                </w14:textFill>
              </w:rPr>
            </w:pPr>
          </w:p>
          <w:p w14:paraId="1F04EB85">
            <w:pPr>
              <w:pStyle w:val="33"/>
              <w:ind w:left="0" w:leftChars="0" w:firstLine="0" w:firstLineChars="0"/>
              <w:rPr>
                <w:rFonts w:ascii="宋体" w:hAnsi="宋体"/>
                <w:color w:val="000000" w:themeColor="text1"/>
                <w14:textFill>
                  <w14:solidFill>
                    <w14:schemeClr w14:val="tx1"/>
                  </w14:solidFill>
                </w14:textFill>
              </w:rPr>
            </w:pPr>
          </w:p>
        </w:tc>
      </w:tr>
    </w:tbl>
    <w:p w14:paraId="4B32703C">
      <w:pPr>
        <w:spacing w:before="100" w:beforeAutospacing="1" w:after="100" w:afterAutospacing="1"/>
        <w:jc w:val="center"/>
        <w:rPr>
          <w:rFonts w:ascii="黑体" w:hAnsi="黑体" w:eastAsia="黑体" w:cs="黑体"/>
          <w:color w:val="000000" w:themeColor="text1"/>
          <w:sz w:val="30"/>
          <w:szCs w:val="30"/>
          <w14:textFill>
            <w14:solidFill>
              <w14:schemeClr w14:val="tx1"/>
            </w14:solidFill>
          </w14:textFill>
        </w:rPr>
        <w:sectPr>
          <w:pgSz w:w="11906" w:h="16838"/>
          <w:pgMar w:top="1701" w:right="1134" w:bottom="1701" w:left="1134" w:header="851" w:footer="992" w:gutter="0"/>
          <w:cols w:space="720" w:num="1"/>
          <w:docGrid w:type="lines" w:linePitch="326" w:charSpace="0"/>
        </w:sectPr>
      </w:pPr>
    </w:p>
    <w:p w14:paraId="091D407C">
      <w:pPr>
        <w:spacing w:before="100" w:beforeAutospacing="1" w:after="100" w:afterAutospacing="1"/>
        <w:jc w:val="center"/>
        <w:rPr>
          <w:rFonts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二、建设项目工程分析</w:t>
      </w:r>
    </w:p>
    <w:tbl>
      <w:tblPr>
        <w:tblStyle w:val="18"/>
        <w:tblW w:w="10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9504"/>
      </w:tblGrid>
      <w:tr w14:paraId="6674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5" w:hRule="atLeast"/>
          <w:jc w:val="center"/>
        </w:trPr>
        <w:tc>
          <w:tcPr>
            <w:tcW w:w="816" w:type="dxa"/>
            <w:vAlign w:val="center"/>
          </w:tcPr>
          <w:p w14:paraId="76C050C3">
            <w:pPr>
              <w:spacing w:before="100" w:beforeAutospacing="1" w:after="100" w:afterAutospacing="1"/>
              <w:jc w:val="center"/>
              <w:rPr>
                <w:color w:val="000000" w:themeColor="text1"/>
                <w:sz w:val="21"/>
                <w:szCs w:val="21"/>
                <w14:textFill>
                  <w14:solidFill>
                    <w14:schemeClr w14:val="tx1"/>
                  </w14:solidFill>
                </w14:textFill>
              </w:rPr>
            </w:pPr>
            <w:r>
              <w:rPr>
                <w:color w:val="000000" w:themeColor="text1"/>
                <w14:textFill>
                  <w14:solidFill>
                    <w14:schemeClr w14:val="tx1"/>
                  </w14:solidFill>
                </w14:textFill>
              </w:rPr>
              <w:t>建设内容</w:t>
            </w:r>
          </w:p>
        </w:tc>
        <w:tc>
          <w:tcPr>
            <w:tcW w:w="9545" w:type="dxa"/>
          </w:tcPr>
          <w:p w14:paraId="195E0CF4">
            <w:pPr>
              <w:spacing w:line="520" w:lineRule="exact"/>
              <w:ind w:firstLine="482" w:firstLineChars="200"/>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w:t>
            </w:r>
            <w:r>
              <w:rPr>
                <w:b/>
                <w:bCs/>
                <w:color w:val="000000" w:themeColor="text1"/>
                <w14:textFill>
                  <w14:solidFill>
                    <w14:schemeClr w14:val="tx1"/>
                  </w14:solidFill>
                </w14:textFill>
              </w:rPr>
              <w:t>项目概况</w:t>
            </w:r>
          </w:p>
          <w:p w14:paraId="787EB077">
            <w:pPr>
              <w:spacing w:line="520" w:lineRule="exact"/>
              <w:ind w:firstLine="480" w:firstLineChars="200"/>
              <w:rPr>
                <w:color w:val="000000" w:themeColor="text1"/>
                <w14:textFill>
                  <w14:solidFill>
                    <w14:schemeClr w14:val="tx1"/>
                  </w14:solidFill>
                </w14:textFill>
              </w:rPr>
            </w:pPr>
            <w:r>
              <w:rPr>
                <w:rFonts w:eastAsia="Helvetica"/>
                <w:color w:val="333333"/>
                <w:shd w:val="clear" w:color="auto" w:fill="FFFFFF"/>
              </w:rPr>
              <w:t>河南朝东食品有限公司</w:t>
            </w:r>
            <w:r>
              <w:rPr>
                <w:color w:val="333333"/>
                <w:shd w:val="clear" w:color="auto" w:fill="FFFFFF"/>
              </w:rPr>
              <w:t>（原名为：</w:t>
            </w:r>
            <w:r>
              <w:rPr>
                <w:color w:val="000000" w:themeColor="text1"/>
                <w14:textFill>
                  <w14:solidFill>
                    <w14:schemeClr w14:val="tx1"/>
                  </w14:solidFill>
                </w14:textFill>
              </w:rPr>
              <w:t>新乡市朝东食品厂</w:t>
            </w:r>
            <w:r>
              <w:rPr>
                <w:color w:val="333333"/>
                <w:shd w:val="clear" w:color="auto" w:fill="FFFFFF"/>
              </w:rPr>
              <w:t>）</w:t>
            </w:r>
            <w:r>
              <w:rPr>
                <w:rFonts w:eastAsia="Helvetica"/>
                <w:color w:val="333333"/>
                <w:shd w:val="clear" w:color="auto" w:fill="FFFFFF"/>
              </w:rPr>
              <w:t>成立于2008年</w:t>
            </w:r>
            <w:r>
              <w:rPr>
                <w:color w:val="333333"/>
                <w:shd w:val="clear" w:color="auto" w:fill="FFFFFF"/>
              </w:rPr>
              <w:t>12月26日</w:t>
            </w:r>
            <w:r>
              <w:rPr>
                <w:rFonts w:eastAsia="Helvetica"/>
                <w:color w:val="333333"/>
                <w:shd w:val="clear" w:color="auto" w:fill="FFFFFF"/>
              </w:rPr>
              <w:t>，位于河南省新乡市延津县榆林乡夹堤村西南，经营范围</w:t>
            </w:r>
            <w:r>
              <w:rPr>
                <w:color w:val="333333"/>
                <w:shd w:val="clear" w:color="auto" w:fill="FFFFFF"/>
              </w:rPr>
              <w:t>主要为</w:t>
            </w:r>
            <w:r>
              <w:rPr>
                <w:rFonts w:eastAsia="Helvetica"/>
                <w:color w:val="333333"/>
                <w:shd w:val="clear" w:color="auto" w:fill="FFFFFF"/>
              </w:rPr>
              <w:t>：食品生产</w:t>
            </w:r>
            <w:r>
              <w:rPr>
                <w:color w:val="333333"/>
                <w:shd w:val="clear" w:color="auto" w:fill="FFFFFF"/>
              </w:rPr>
              <w:t>、</w:t>
            </w:r>
            <w:r>
              <w:rPr>
                <w:rFonts w:eastAsia="Helvetica"/>
                <w:color w:val="333333"/>
                <w:shd w:val="clear" w:color="auto" w:fill="FFFFFF"/>
              </w:rPr>
              <w:t>粮食加工食品生产</w:t>
            </w:r>
            <w:r>
              <w:rPr>
                <w:color w:val="333333"/>
                <w:shd w:val="clear" w:color="auto" w:fill="FFFFFF"/>
              </w:rPr>
              <w:t>、</w:t>
            </w:r>
            <w:r>
              <w:rPr>
                <w:rFonts w:eastAsia="Helvetica"/>
                <w:color w:val="333333"/>
                <w:shd w:val="clear" w:color="auto" w:fill="FFFFFF"/>
              </w:rPr>
              <w:t>食品销售</w:t>
            </w:r>
            <w:r>
              <w:rPr>
                <w:color w:val="333333"/>
                <w:shd w:val="clear" w:color="auto" w:fill="FFFFFF"/>
              </w:rPr>
              <w:t>。厂区内现有项目为《新乡市朝东食品厂年产1500吨鸡汁素肠系列产品项目现状环境影响评估报告》（延环清改备 第03号）</w:t>
            </w:r>
            <w:r>
              <w:rPr>
                <w:color w:val="000000" w:themeColor="text1"/>
                <w14:textFill>
                  <w14:solidFill>
                    <w14:schemeClr w14:val="tx1"/>
                  </w14:solidFill>
                </w14:textFill>
              </w:rPr>
              <w:t>。</w:t>
            </w:r>
          </w:p>
          <w:p w14:paraId="2B0C3E92">
            <w:pPr>
              <w:spacing w:line="5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根据当前市场需求及环保政策要求，</w:t>
            </w:r>
            <w:r>
              <w:rPr>
                <w:rFonts w:ascii="Helvetica" w:hAnsi="Helvetica" w:eastAsia="Helvetica" w:cs="Helvetica"/>
                <w:color w:val="333333"/>
                <w:shd w:val="clear" w:color="auto" w:fill="FFFFFF"/>
              </w:rPr>
              <w:t>河南朝东食品有限公司</w:t>
            </w:r>
            <w:r>
              <w:rPr>
                <w:rFonts w:hint="eastAsia"/>
                <w:color w:val="000000" w:themeColor="text1"/>
                <w14:textFill>
                  <w14:solidFill>
                    <w14:schemeClr w14:val="tx1"/>
                  </w14:solidFill>
                </w14:textFill>
              </w:rPr>
              <w:t>拟投资300万元，在现有厂区内建设《河南朝东食品有限公司年产1500吨鸡汁素肠改建项目》即为本项目，现有工程的产品产能为鸡汁素肠1500t/a，本项目建成后全厂产品产能为鸡汁素肠1300t/a、手撕素肉200t/a，新增部分生产设备。现有1台2t/h甲醇锅炉已于2021年改为2台0.5t/h的蒸汽发生器（一用一备），同步进行了排污许可证相关内容变更。</w:t>
            </w:r>
          </w:p>
          <w:p w14:paraId="18394C4D">
            <w:pPr>
              <w:spacing w:line="5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本项目</w:t>
            </w:r>
            <w:r>
              <w:rPr>
                <w:rFonts w:hint="eastAsia" w:ascii="Helvetica" w:hAnsi="Helvetica" w:cs="Helvetica"/>
                <w:color w:val="333333"/>
                <w:shd w:val="clear" w:color="auto" w:fill="FFFFFF"/>
              </w:rPr>
              <w:t>位于</w:t>
            </w:r>
            <w:r>
              <w:rPr>
                <w:rFonts w:hint="eastAsia" w:ascii="Helvetica" w:hAnsi="Helvetica" w:eastAsia="Helvetica" w:cs="Helvetica"/>
                <w:color w:val="333333"/>
                <w:shd w:val="clear" w:color="auto" w:fill="FFFFFF"/>
              </w:rPr>
              <w:t>新乡市延津县榆林乡夹堤村西南</w:t>
            </w:r>
            <w:r>
              <w:rPr>
                <w:rFonts w:ascii="Helvetica" w:hAnsi="Helvetica" w:eastAsia="Helvetica" w:cs="Helvetica"/>
                <w:color w:val="333333"/>
                <w:shd w:val="clear" w:color="auto" w:fill="FFFFFF"/>
              </w:rPr>
              <w:t>河南朝东食品有限公司</w:t>
            </w:r>
            <w:r>
              <w:rPr>
                <w:rFonts w:hint="eastAsia" w:ascii="Helvetica" w:hAnsi="Helvetica" w:cs="Helvetica"/>
                <w:color w:val="333333"/>
                <w:shd w:val="clear" w:color="auto" w:fill="FFFFFF"/>
              </w:rPr>
              <w:t>现有</w:t>
            </w:r>
            <w:r>
              <w:rPr>
                <w:rFonts w:hint="eastAsia"/>
                <w:color w:val="000000" w:themeColor="text1"/>
                <w14:textFill>
                  <w14:solidFill>
                    <w14:schemeClr w14:val="tx1"/>
                  </w14:solidFill>
                </w14:textFill>
              </w:rPr>
              <w:t>厂区内，距离项目最近的敏感点为东侧约1</w:t>
            </w:r>
            <w:r>
              <w:rPr>
                <w:color w:val="000000" w:themeColor="text1"/>
                <w14:textFill>
                  <w14:solidFill>
                    <w14:schemeClr w14:val="tx1"/>
                  </w14:solidFill>
                </w14:textFill>
              </w:rPr>
              <w:t>5m</w:t>
            </w:r>
            <w:r>
              <w:rPr>
                <w:rFonts w:hint="eastAsia"/>
                <w:color w:val="000000" w:themeColor="text1"/>
                <w14:textFill>
                  <w14:solidFill>
                    <w14:schemeClr w14:val="tx1"/>
                  </w14:solidFill>
                </w14:textFill>
              </w:rPr>
              <w:t>处的夹堤村。</w:t>
            </w:r>
            <w:r>
              <w:rPr>
                <w:color w:val="000000" w:themeColor="text1"/>
                <w14:textFill>
                  <w14:solidFill>
                    <w14:schemeClr w14:val="tx1"/>
                  </w14:solidFill>
                </w14:textFill>
              </w:rPr>
              <w:t>项目的基本情况见</w:t>
            </w:r>
            <w:r>
              <w:rPr>
                <w:rFonts w:hint="eastAsia"/>
                <w:color w:val="000000" w:themeColor="text1"/>
                <w14:textFill>
                  <w14:solidFill>
                    <w14:schemeClr w14:val="tx1"/>
                  </w14:solidFill>
                </w14:textFill>
              </w:rPr>
              <w:t>下表</w:t>
            </w:r>
            <w:r>
              <w:rPr>
                <w:color w:val="000000" w:themeColor="text1"/>
                <w14:textFill>
                  <w14:solidFill>
                    <w14:schemeClr w14:val="tx1"/>
                  </w14:solidFill>
                </w14:textFill>
              </w:rPr>
              <w:t>。</w:t>
            </w:r>
          </w:p>
          <w:p w14:paraId="272F016E">
            <w:pPr>
              <w:spacing w:line="460" w:lineRule="exact"/>
              <w:ind w:firstLine="480" w:firstLineChars="200"/>
              <w:jc w:val="left"/>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表</w:t>
            </w:r>
            <w:r>
              <w:rPr>
                <w:rFonts w:hint="eastAsia" w:eastAsia="黑体"/>
                <w:color w:val="000000" w:themeColor="text1"/>
                <w14:textFill>
                  <w14:solidFill>
                    <w14:schemeClr w14:val="tx1"/>
                  </w14:solidFill>
                </w14:textFill>
              </w:rPr>
              <w:t>2-1</w:t>
            </w:r>
            <w:r>
              <w:rPr>
                <w:rFonts w:eastAsia="黑体"/>
                <w:color w:val="000000" w:themeColor="text1"/>
                <w14:textFill>
                  <w14:solidFill>
                    <w14:schemeClr w14:val="tx1"/>
                  </w14:solidFill>
                </w14:textFill>
              </w:rPr>
              <w:t xml:space="preserve">                     </w:t>
            </w:r>
            <w:r>
              <w:rPr>
                <w:rFonts w:hint="eastAsia" w:eastAsia="黑体"/>
                <w:color w:val="000000" w:themeColor="text1"/>
                <w14:textFill>
                  <w14:solidFill>
                    <w14:schemeClr w14:val="tx1"/>
                  </w14:solidFill>
                </w14:textFill>
              </w:rPr>
              <w:t>本</w:t>
            </w:r>
            <w:r>
              <w:rPr>
                <w:rFonts w:eastAsia="黑体"/>
                <w:color w:val="000000" w:themeColor="text1"/>
                <w14:textFill>
                  <w14:solidFill>
                    <w14:schemeClr w14:val="tx1"/>
                  </w14:solidFill>
                </w14:textFill>
              </w:rPr>
              <w:t>项目概况一览表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1843"/>
              <w:gridCol w:w="6515"/>
            </w:tblGrid>
            <w:tr w14:paraId="3300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6" w:type="pct"/>
                  <w:vAlign w:val="center"/>
                </w:tcPr>
                <w:p w14:paraId="0871E782">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序号</w:t>
                  </w:r>
                </w:p>
              </w:tc>
              <w:tc>
                <w:tcPr>
                  <w:tcW w:w="993" w:type="pct"/>
                  <w:vAlign w:val="center"/>
                </w:tcPr>
                <w:p w14:paraId="624FAA1B">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项目</w:t>
                  </w:r>
                </w:p>
              </w:tc>
              <w:tc>
                <w:tcPr>
                  <w:tcW w:w="3511" w:type="pct"/>
                  <w:vAlign w:val="center"/>
                </w:tcPr>
                <w:p w14:paraId="3E267E22">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内容</w:t>
                  </w:r>
                </w:p>
              </w:tc>
            </w:tr>
            <w:tr w14:paraId="08DD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6" w:type="pct"/>
                  <w:vAlign w:val="center"/>
                </w:tcPr>
                <w:p w14:paraId="7270386E">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p>
              </w:tc>
              <w:tc>
                <w:tcPr>
                  <w:tcW w:w="993" w:type="pct"/>
                  <w:vAlign w:val="center"/>
                </w:tcPr>
                <w:p w14:paraId="3A99F9F0">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项目名称</w:t>
                  </w:r>
                </w:p>
              </w:tc>
              <w:tc>
                <w:tcPr>
                  <w:tcW w:w="3511" w:type="pct"/>
                  <w:vAlign w:val="center"/>
                </w:tcPr>
                <w:p w14:paraId="5D2C15B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河南朝东食品有限公司年产1500吨鸡汁素肠改建项目</w:t>
                  </w:r>
                </w:p>
              </w:tc>
            </w:tr>
            <w:tr w14:paraId="21AF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6" w:type="pct"/>
                  <w:vAlign w:val="center"/>
                </w:tcPr>
                <w:p w14:paraId="63612614">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p>
              </w:tc>
              <w:tc>
                <w:tcPr>
                  <w:tcW w:w="993" w:type="pct"/>
                  <w:vAlign w:val="center"/>
                </w:tcPr>
                <w:p w14:paraId="4A3F5526">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建设单位</w:t>
                  </w:r>
                </w:p>
              </w:tc>
              <w:tc>
                <w:tcPr>
                  <w:tcW w:w="3511" w:type="pct"/>
                  <w:vAlign w:val="center"/>
                </w:tcPr>
                <w:p w14:paraId="3D0E279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河南朝东食品有限公司</w:t>
                  </w:r>
                </w:p>
              </w:tc>
            </w:tr>
            <w:tr w14:paraId="0BA4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6" w:type="pct"/>
                  <w:vAlign w:val="center"/>
                </w:tcPr>
                <w:p w14:paraId="61DCB851">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p>
              </w:tc>
              <w:tc>
                <w:tcPr>
                  <w:tcW w:w="993" w:type="pct"/>
                  <w:vAlign w:val="center"/>
                </w:tcPr>
                <w:p w14:paraId="63ADF32B">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产品方案</w:t>
                  </w:r>
                </w:p>
              </w:tc>
              <w:tc>
                <w:tcPr>
                  <w:tcW w:w="3511" w:type="pct"/>
                  <w:vAlign w:val="center"/>
                </w:tcPr>
                <w:p w14:paraId="282E4D19">
                  <w:pPr>
                    <w:pStyle w:val="11"/>
                    <w:spacing w:line="240" w:lineRule="auto"/>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鸡汁素肠1300t/a、手撕素肉200t/a</w:t>
                  </w:r>
                </w:p>
              </w:tc>
            </w:tr>
            <w:tr w14:paraId="24DF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6" w:type="pct"/>
                  <w:vAlign w:val="center"/>
                </w:tcPr>
                <w:p w14:paraId="4AF1746E">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p>
              </w:tc>
              <w:tc>
                <w:tcPr>
                  <w:tcW w:w="993" w:type="pct"/>
                  <w:vAlign w:val="center"/>
                </w:tcPr>
                <w:p w14:paraId="35FCFC14">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项目选址</w:t>
                  </w:r>
                </w:p>
              </w:tc>
              <w:tc>
                <w:tcPr>
                  <w:tcW w:w="3511" w:type="pct"/>
                  <w:vAlign w:val="center"/>
                </w:tcPr>
                <w:p w14:paraId="7D97411E">
                  <w:pPr>
                    <w:jc w:val="center"/>
                    <w:rPr>
                      <w:color w:val="000000" w:themeColor="text1"/>
                      <w:sz w:val="21"/>
                      <w:szCs w:val="21"/>
                      <w14:textFill>
                        <w14:solidFill>
                          <w14:schemeClr w14:val="tx1"/>
                        </w14:solidFill>
                      </w14:textFill>
                    </w:rPr>
                  </w:pPr>
                  <w:r>
                    <w:rPr>
                      <w:rFonts w:hint="eastAsia" w:ascii="Helvetica" w:hAnsi="Helvetica" w:eastAsia="Helvetica" w:cs="Helvetica"/>
                      <w:color w:val="333333"/>
                      <w:sz w:val="21"/>
                      <w:szCs w:val="21"/>
                      <w:shd w:val="clear" w:color="auto" w:fill="FFFFFF"/>
                    </w:rPr>
                    <w:t>新乡市延津县榆林乡夹堤村西南</w:t>
                  </w:r>
                  <w:r>
                    <w:rPr>
                      <w:rFonts w:ascii="Helvetica" w:hAnsi="Helvetica" w:eastAsia="Helvetica" w:cs="Helvetica"/>
                      <w:color w:val="333333"/>
                      <w:sz w:val="21"/>
                      <w:szCs w:val="21"/>
                      <w:shd w:val="clear" w:color="auto" w:fill="FFFFFF"/>
                    </w:rPr>
                    <w:t>河南朝东食品有限公司</w:t>
                  </w:r>
                  <w:r>
                    <w:rPr>
                      <w:rFonts w:hint="eastAsia" w:ascii="Helvetica" w:hAnsi="Helvetica" w:cs="Helvetica"/>
                      <w:color w:val="333333"/>
                      <w:sz w:val="21"/>
                      <w:szCs w:val="21"/>
                      <w:shd w:val="clear" w:color="auto" w:fill="FFFFFF"/>
                    </w:rPr>
                    <w:t>现有</w:t>
                  </w:r>
                  <w:r>
                    <w:rPr>
                      <w:rFonts w:hint="eastAsia"/>
                      <w:color w:val="000000" w:themeColor="text1"/>
                      <w:sz w:val="21"/>
                      <w:szCs w:val="21"/>
                      <w14:textFill>
                        <w14:solidFill>
                          <w14:schemeClr w14:val="tx1"/>
                        </w14:solidFill>
                      </w14:textFill>
                    </w:rPr>
                    <w:t>厂区内</w:t>
                  </w:r>
                </w:p>
              </w:tc>
            </w:tr>
            <w:tr w14:paraId="2095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6" w:type="pct"/>
                  <w:vAlign w:val="center"/>
                </w:tcPr>
                <w:p w14:paraId="7787B5E5">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w:t>
                  </w:r>
                </w:p>
              </w:tc>
              <w:tc>
                <w:tcPr>
                  <w:tcW w:w="993" w:type="pct"/>
                  <w:vAlign w:val="center"/>
                </w:tcPr>
                <w:p w14:paraId="35AB4939">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占地面积</w:t>
                  </w:r>
                </w:p>
              </w:tc>
              <w:tc>
                <w:tcPr>
                  <w:tcW w:w="3511" w:type="pct"/>
                  <w:vAlign w:val="center"/>
                </w:tcPr>
                <w:p w14:paraId="6F384128">
                  <w:pPr>
                    <w:jc w:val="center"/>
                    <w:rPr>
                      <w:color w:val="000000" w:themeColor="text1"/>
                      <w:sz w:val="21"/>
                      <w:szCs w:val="21"/>
                      <w14:textFill>
                        <w14:solidFill>
                          <w14:schemeClr w14:val="tx1"/>
                        </w14:solidFill>
                      </w14:textFill>
                    </w:rPr>
                  </w:pPr>
                  <w:bookmarkStart w:id="5" w:name="OLE_LINK7"/>
                  <w:r>
                    <w:rPr>
                      <w:rFonts w:hint="eastAsia"/>
                      <w:color w:val="000000" w:themeColor="text1"/>
                      <w:sz w:val="21"/>
                      <w:szCs w:val="21"/>
                      <w14:textFill>
                        <w14:solidFill>
                          <w14:schemeClr w14:val="tx1"/>
                        </w14:solidFill>
                      </w14:textFill>
                    </w:rPr>
                    <w:t>6500</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2</w:t>
                  </w:r>
                  <w:bookmarkEnd w:id="5"/>
                </w:p>
              </w:tc>
            </w:tr>
            <w:tr w14:paraId="0245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6" w:type="pct"/>
                  <w:vAlign w:val="center"/>
                </w:tcPr>
                <w:p w14:paraId="266FF892">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w:t>
                  </w:r>
                </w:p>
              </w:tc>
              <w:tc>
                <w:tcPr>
                  <w:tcW w:w="993" w:type="pct"/>
                  <w:vAlign w:val="center"/>
                </w:tcPr>
                <w:p w14:paraId="1D5C58C0">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总投资（万元）</w:t>
                  </w:r>
                </w:p>
              </w:tc>
              <w:tc>
                <w:tcPr>
                  <w:tcW w:w="3511" w:type="pct"/>
                  <w:vAlign w:val="center"/>
                </w:tcPr>
                <w:p w14:paraId="0BA4069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300</w:t>
                  </w:r>
                </w:p>
              </w:tc>
            </w:tr>
            <w:tr w14:paraId="19EB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6" w:type="pct"/>
                  <w:vAlign w:val="center"/>
                </w:tcPr>
                <w:p w14:paraId="3BE72146">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7</w:t>
                  </w:r>
                </w:p>
              </w:tc>
              <w:tc>
                <w:tcPr>
                  <w:tcW w:w="993" w:type="pct"/>
                  <w:vAlign w:val="center"/>
                </w:tcPr>
                <w:p w14:paraId="31239BC7">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主要工艺</w:t>
                  </w:r>
                </w:p>
              </w:tc>
              <w:tc>
                <w:tcPr>
                  <w:tcW w:w="3511" w:type="pct"/>
                  <w:vAlign w:val="center"/>
                </w:tcPr>
                <w:p w14:paraId="6DBC5760">
                  <w:pPr>
                    <w:jc w:val="center"/>
                    <w:rPr>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清洗、成型、煮制、切段、油炸、拌料、灭菌、罐装、包装、贴标等。</w:t>
                  </w:r>
                </w:p>
              </w:tc>
            </w:tr>
            <w:tr w14:paraId="52EE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6" w:type="pct"/>
                  <w:vAlign w:val="center"/>
                </w:tcPr>
                <w:p w14:paraId="45828DBF">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8</w:t>
                  </w:r>
                </w:p>
              </w:tc>
              <w:tc>
                <w:tcPr>
                  <w:tcW w:w="993" w:type="pct"/>
                  <w:vAlign w:val="center"/>
                </w:tcPr>
                <w:p w14:paraId="0D33E85D">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定员与工作制度</w:t>
                  </w:r>
                </w:p>
              </w:tc>
              <w:tc>
                <w:tcPr>
                  <w:tcW w:w="3511" w:type="pct"/>
                  <w:vAlign w:val="center"/>
                </w:tcPr>
                <w:p w14:paraId="2FB133A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从现有员工中调剂，不新增员工；每天/1班（每班</w:t>
                  </w:r>
                  <w:r>
                    <w:rPr>
                      <w:color w:val="000000" w:themeColor="text1"/>
                      <w:sz w:val="21"/>
                      <w:szCs w:val="21"/>
                      <w14:textFill>
                        <w14:solidFill>
                          <w14:schemeClr w14:val="tx1"/>
                        </w14:solidFill>
                      </w14:textFill>
                    </w:rPr>
                    <w:t>8</w:t>
                  </w:r>
                  <w:r>
                    <w:rPr>
                      <w:rFonts w:hint="eastAsia"/>
                      <w:color w:val="000000" w:themeColor="text1"/>
                      <w:sz w:val="21"/>
                      <w:szCs w:val="21"/>
                      <w14:textFill>
                        <w14:solidFill>
                          <w14:schemeClr w14:val="tx1"/>
                        </w14:solidFill>
                      </w14:textFill>
                    </w:rPr>
                    <w:t>小时），年工作</w:t>
                  </w: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0</w:t>
                  </w:r>
                  <w:r>
                    <w:rPr>
                      <w:color w:val="000000" w:themeColor="text1"/>
                      <w:sz w:val="21"/>
                      <w:szCs w:val="21"/>
                      <w14:textFill>
                        <w14:solidFill>
                          <w14:schemeClr w14:val="tx1"/>
                        </w14:solidFill>
                      </w14:textFill>
                    </w:rPr>
                    <w:t>0</w:t>
                  </w:r>
                  <w:r>
                    <w:rPr>
                      <w:rFonts w:hint="eastAsia"/>
                      <w:color w:val="000000" w:themeColor="text1"/>
                      <w:sz w:val="21"/>
                      <w:szCs w:val="21"/>
                      <w14:textFill>
                        <w14:solidFill>
                          <w14:schemeClr w14:val="tx1"/>
                        </w14:solidFill>
                      </w14:textFill>
                    </w:rPr>
                    <w:t>天</w:t>
                  </w:r>
                </w:p>
              </w:tc>
            </w:tr>
          </w:tbl>
          <w:p w14:paraId="5AB36CE0">
            <w:pPr>
              <w:pStyle w:val="33"/>
              <w:spacing w:line="520" w:lineRule="exact"/>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本项目利用现有厂房进行生产。目前，本项目新增设备未安装，不涉及未批先建。本项目现状见下图。</w:t>
            </w:r>
          </w:p>
          <w:p w14:paraId="4791FC6C">
            <w:pPr>
              <w:pStyle w:val="33"/>
              <w:ind w:firstLine="480"/>
              <w:rPr>
                <w:color w:val="000000" w:themeColor="text1"/>
                <w14:textFill>
                  <w14:solidFill>
                    <w14:schemeClr w14:val="tx1"/>
                  </w14:solidFill>
                </w14:textFill>
              </w:rPr>
            </w:pPr>
          </w:p>
          <w:p w14:paraId="3B15573A">
            <w:pPr>
              <w:pStyle w:val="33"/>
              <w:ind w:firstLine="480"/>
              <w:rPr>
                <w:color w:val="000000" w:themeColor="text1"/>
                <w14:textFill>
                  <w14:solidFill>
                    <w14:schemeClr w14:val="tx1"/>
                  </w14:solidFill>
                </w14:textFill>
              </w:rPr>
            </w:pPr>
            <w:r>
              <w:rPr>
                <w:rFonts w:hint="eastAsia" w:eastAsia="宋体"/>
                <w:color w:val="000000" w:themeColor="text1"/>
                <w:lang w:eastAsia="zh-CN"/>
                <w14:textFill>
                  <w14:solidFill>
                    <w14:schemeClr w14:val="tx1"/>
                  </w14:solidFill>
                </w14:textFill>
              </w:rPr>
              <w:drawing>
                <wp:anchor distT="0" distB="0" distL="114300" distR="114300" simplePos="0" relativeHeight="251700224" behindDoc="1" locked="0" layoutInCell="1" allowOverlap="1">
                  <wp:simplePos x="0" y="0"/>
                  <wp:positionH relativeFrom="column">
                    <wp:posOffset>3175</wp:posOffset>
                  </wp:positionH>
                  <wp:positionV relativeFrom="paragraph">
                    <wp:posOffset>48260</wp:posOffset>
                  </wp:positionV>
                  <wp:extent cx="5929630" cy="3336290"/>
                  <wp:effectExtent l="0" t="0" r="13970" b="16510"/>
                  <wp:wrapNone/>
                  <wp:docPr id="3" name="图片 3" descr="e21163d16490f4ff82d86333721b6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21163d16490f4ff82d86333721b6689"/>
                          <pic:cNvPicPr>
                            <a:picLocks noChangeAspect="1"/>
                          </pic:cNvPicPr>
                        </pic:nvPicPr>
                        <pic:blipFill>
                          <a:blip r:embed="rId13"/>
                          <a:stretch>
                            <a:fillRect/>
                          </a:stretch>
                        </pic:blipFill>
                        <pic:spPr>
                          <a:xfrm>
                            <a:off x="0" y="0"/>
                            <a:ext cx="5929630" cy="3336290"/>
                          </a:xfrm>
                          <a:prstGeom prst="rect">
                            <a:avLst/>
                          </a:prstGeom>
                        </pic:spPr>
                      </pic:pic>
                    </a:graphicData>
                  </a:graphic>
                </wp:anchor>
              </w:drawing>
            </w:r>
          </w:p>
          <w:p w14:paraId="154FB65C">
            <w:pPr>
              <w:pStyle w:val="33"/>
              <w:ind w:firstLine="480"/>
              <w:rPr>
                <w:color w:val="000000" w:themeColor="text1"/>
                <w14:textFill>
                  <w14:solidFill>
                    <w14:schemeClr w14:val="tx1"/>
                  </w14:solidFill>
                </w14:textFill>
              </w:rPr>
            </w:pPr>
          </w:p>
          <w:p w14:paraId="7FC91A76">
            <w:pPr>
              <w:pStyle w:val="33"/>
              <w:ind w:firstLine="480"/>
              <w:rPr>
                <w:color w:val="000000" w:themeColor="text1"/>
                <w14:textFill>
                  <w14:solidFill>
                    <w14:schemeClr w14:val="tx1"/>
                  </w14:solidFill>
                </w14:textFill>
              </w:rPr>
            </w:pPr>
          </w:p>
          <w:p w14:paraId="63CC34BE">
            <w:pPr>
              <w:pStyle w:val="33"/>
              <w:ind w:firstLine="480"/>
              <w:rPr>
                <w:color w:val="000000" w:themeColor="text1"/>
                <w14:textFill>
                  <w14:solidFill>
                    <w14:schemeClr w14:val="tx1"/>
                  </w14:solidFill>
                </w14:textFill>
              </w:rPr>
            </w:pPr>
          </w:p>
          <w:p w14:paraId="019BF403">
            <w:pPr>
              <w:pStyle w:val="11"/>
              <w:rPr>
                <w:rFonts w:hint="eastAsia" w:eastAsia="宋体"/>
                <w:color w:val="000000" w:themeColor="text1"/>
                <w:lang w:eastAsia="zh-CN"/>
                <w14:textFill>
                  <w14:solidFill>
                    <w14:schemeClr w14:val="tx1"/>
                  </w14:solidFill>
                </w14:textFill>
              </w:rPr>
            </w:pPr>
          </w:p>
          <w:p w14:paraId="5AEF2BD3">
            <w:pPr>
              <w:pStyle w:val="11"/>
              <w:rPr>
                <w:color w:val="000000" w:themeColor="text1"/>
                <w14:textFill>
                  <w14:solidFill>
                    <w14:schemeClr w14:val="tx1"/>
                  </w14:solidFill>
                </w14:textFill>
              </w:rPr>
            </w:pPr>
          </w:p>
          <w:p w14:paraId="4C45AB42">
            <w:pPr>
              <w:pStyle w:val="11"/>
              <w:ind w:left="0" w:firstLine="0"/>
              <w:rPr>
                <w:color w:val="000000" w:themeColor="text1"/>
                <w14:textFill>
                  <w14:solidFill>
                    <w14:schemeClr w14:val="tx1"/>
                  </w14:solidFill>
                </w14:textFill>
              </w:rPr>
            </w:pPr>
          </w:p>
          <w:p w14:paraId="7AAF2877">
            <w:pPr>
              <w:pStyle w:val="11"/>
              <w:rPr>
                <w:color w:val="000000" w:themeColor="text1"/>
                <w14:textFill>
                  <w14:solidFill>
                    <w14:schemeClr w14:val="tx1"/>
                  </w14:solidFill>
                </w14:textFill>
              </w:rPr>
            </w:pPr>
          </w:p>
          <w:p w14:paraId="3329F492">
            <w:pPr>
              <w:pStyle w:val="11"/>
              <w:rPr>
                <w:color w:val="000000" w:themeColor="text1"/>
                <w14:textFill>
                  <w14:solidFill>
                    <w14:schemeClr w14:val="tx1"/>
                  </w14:solidFill>
                </w14:textFill>
              </w:rPr>
            </w:pPr>
          </w:p>
          <w:p w14:paraId="69A5469C">
            <w:pPr>
              <w:pStyle w:val="11"/>
              <w:rPr>
                <w:color w:val="000000" w:themeColor="text1"/>
                <w14:textFill>
                  <w14:solidFill>
                    <w14:schemeClr w14:val="tx1"/>
                  </w14:solidFill>
                </w14:textFill>
              </w:rPr>
            </w:pPr>
          </w:p>
          <w:p w14:paraId="2BFB77DE">
            <w:pPr>
              <w:pStyle w:val="11"/>
              <w:ind w:left="0" w:leftChars="0" w:firstLine="0" w:firstLineChars="0"/>
              <w:jc w:val="both"/>
              <w:rPr>
                <w:rFonts w:eastAsia="黑体"/>
                <w:color w:val="000000" w:themeColor="text1"/>
                <w14:textFill>
                  <w14:solidFill>
                    <w14:schemeClr w14:val="tx1"/>
                  </w14:solidFill>
                </w14:textFill>
              </w:rPr>
            </w:pPr>
          </w:p>
          <w:p w14:paraId="18875F71">
            <w:pPr>
              <w:pStyle w:val="11"/>
              <w:ind w:left="0" w:leftChars="0" w:firstLine="0" w:firstLineChars="0"/>
              <w:jc w:val="center"/>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图2</w:t>
            </w:r>
            <w:r>
              <w:rPr>
                <w:rFonts w:hint="eastAsia" w:eastAsia="黑体"/>
                <w:color w:val="000000" w:themeColor="text1"/>
                <w14:textFill>
                  <w14:solidFill>
                    <w14:schemeClr w14:val="tx1"/>
                  </w14:solidFill>
                </w14:textFill>
              </w:rPr>
              <w:t>-1</w:t>
            </w:r>
            <w:r>
              <w:rPr>
                <w:rFonts w:eastAsia="黑体"/>
                <w:color w:val="000000" w:themeColor="text1"/>
                <w14:textFill>
                  <w14:solidFill>
                    <w14:schemeClr w14:val="tx1"/>
                  </w14:solidFill>
                </w14:textFill>
              </w:rPr>
              <w:t xml:space="preserve">  本项目</w:t>
            </w:r>
            <w:r>
              <w:rPr>
                <w:rFonts w:hint="eastAsia" w:eastAsia="黑体"/>
                <w:color w:val="000000" w:themeColor="text1"/>
                <w:lang w:val="en-US" w:eastAsia="zh-CN"/>
                <w14:textFill>
                  <w14:solidFill>
                    <w14:schemeClr w14:val="tx1"/>
                  </w14:solidFill>
                </w14:textFill>
              </w:rPr>
              <w:t>蒸汽发生器</w:t>
            </w:r>
            <w:r>
              <w:rPr>
                <w:rFonts w:hint="eastAsia" w:eastAsia="黑体"/>
                <w:color w:val="000000" w:themeColor="text1"/>
                <w14:textFill>
                  <w14:solidFill>
                    <w14:schemeClr w14:val="tx1"/>
                  </w14:solidFill>
                </w14:textFill>
              </w:rPr>
              <w:t>现场</w:t>
            </w:r>
            <w:r>
              <w:rPr>
                <w:rFonts w:eastAsia="黑体"/>
                <w:color w:val="000000" w:themeColor="text1"/>
                <w14:textFill>
                  <w14:solidFill>
                    <w14:schemeClr w14:val="tx1"/>
                  </w14:solidFill>
                </w14:textFill>
              </w:rPr>
              <w:t>现状图</w:t>
            </w:r>
          </w:p>
          <w:p w14:paraId="02D3800B">
            <w:pPr>
              <w:spacing w:line="520" w:lineRule="exact"/>
              <w:ind w:firstLine="482" w:firstLineChars="200"/>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2、项目组成</w:t>
            </w:r>
          </w:p>
          <w:p w14:paraId="7ED15EFA">
            <w:pPr>
              <w:spacing w:line="5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本项目对现有工程进行改建，利用现有厂房进行生产，主要组成及建设情况见下表。</w:t>
            </w:r>
          </w:p>
          <w:p w14:paraId="0F96EE13">
            <w:pPr>
              <w:spacing w:line="460" w:lineRule="exact"/>
              <w:ind w:firstLine="480" w:firstLineChars="200"/>
              <w:jc w:val="left"/>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表</w:t>
            </w:r>
            <w:r>
              <w:rPr>
                <w:rFonts w:hint="eastAsia" w:eastAsia="黑体"/>
                <w:color w:val="000000" w:themeColor="text1"/>
                <w14:textFill>
                  <w14:solidFill>
                    <w14:schemeClr w14:val="tx1"/>
                  </w14:solidFill>
                </w14:textFill>
              </w:rPr>
              <w:t>2-2</w:t>
            </w:r>
            <w:r>
              <w:rPr>
                <w:rFonts w:hint="eastAsia" w:ascii="黑体" w:hAnsi="黑体" w:eastAsia="黑体" w:cs="黑体"/>
                <w:color w:val="000000" w:themeColor="text1"/>
                <w14:textFill>
                  <w14:solidFill>
                    <w14:schemeClr w14:val="tx1"/>
                  </w14:solidFill>
                </w14:textFill>
              </w:rPr>
              <w:t xml:space="preserve">                        本项目组成一览表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134"/>
              <w:gridCol w:w="1276"/>
              <w:gridCol w:w="4108"/>
              <w:gridCol w:w="1981"/>
            </w:tblGrid>
            <w:tr w14:paraId="7A8E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vAlign w:val="center"/>
                </w:tcPr>
                <w:p w14:paraId="3D58E97A">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序号</w:t>
                  </w:r>
                </w:p>
              </w:tc>
              <w:tc>
                <w:tcPr>
                  <w:tcW w:w="1137" w:type="dxa"/>
                  <w:vAlign w:val="center"/>
                </w:tcPr>
                <w:p w14:paraId="05E02A02">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项目</w:t>
                  </w:r>
                </w:p>
              </w:tc>
              <w:tc>
                <w:tcPr>
                  <w:tcW w:w="1280" w:type="dxa"/>
                  <w:vAlign w:val="center"/>
                </w:tcPr>
                <w:p w14:paraId="2244BCF0">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内容</w:t>
                  </w:r>
                </w:p>
              </w:tc>
              <w:tc>
                <w:tcPr>
                  <w:tcW w:w="4121" w:type="dxa"/>
                  <w:vAlign w:val="center"/>
                </w:tcPr>
                <w:p w14:paraId="5303637F">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数</w:t>
                  </w:r>
                  <w:r>
                    <w:rPr>
                      <w:rFonts w:hint="eastAsia"/>
                      <w:b/>
                      <w:bCs/>
                      <w:color w:val="000000" w:themeColor="text1"/>
                      <w:sz w:val="21"/>
                      <w:szCs w:val="21"/>
                      <w14:textFill>
                        <w14:solidFill>
                          <w14:schemeClr w14:val="tx1"/>
                        </w14:solidFill>
                      </w14:textFill>
                    </w:rPr>
                    <w:t>量</w:t>
                  </w:r>
                  <w:r>
                    <w:rPr>
                      <w:b/>
                      <w:bCs/>
                      <w:color w:val="000000" w:themeColor="text1"/>
                      <w:sz w:val="21"/>
                      <w:szCs w:val="21"/>
                      <w14:textFill>
                        <w14:solidFill>
                          <w14:schemeClr w14:val="tx1"/>
                        </w14:solidFill>
                      </w14:textFill>
                    </w:rPr>
                    <w:t>、规模或要求</w:t>
                  </w:r>
                </w:p>
              </w:tc>
              <w:tc>
                <w:tcPr>
                  <w:tcW w:w="1986" w:type="dxa"/>
                  <w:vAlign w:val="center"/>
                </w:tcPr>
                <w:p w14:paraId="6B4DA496">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备注</w:t>
                  </w:r>
                </w:p>
              </w:tc>
            </w:tr>
            <w:tr w14:paraId="2949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vAlign w:val="center"/>
                </w:tcPr>
                <w:p w14:paraId="097247E7">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p>
              </w:tc>
              <w:tc>
                <w:tcPr>
                  <w:tcW w:w="1137" w:type="dxa"/>
                  <w:vAlign w:val="center"/>
                </w:tcPr>
                <w:p w14:paraId="36B90BED">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主体工程</w:t>
                  </w:r>
                </w:p>
              </w:tc>
              <w:tc>
                <w:tcPr>
                  <w:tcW w:w="1280" w:type="dxa"/>
                  <w:vAlign w:val="center"/>
                </w:tcPr>
                <w:p w14:paraId="711C8FAB">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生产车间</w:t>
                  </w:r>
                </w:p>
              </w:tc>
              <w:tc>
                <w:tcPr>
                  <w:tcW w:w="4121" w:type="dxa"/>
                  <w:vAlign w:val="center"/>
                </w:tcPr>
                <w:p w14:paraId="210443C4">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座，</w:t>
                  </w: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层，占地面积1500</w:t>
                  </w:r>
                  <w:r>
                    <w:rPr>
                      <w:color w:val="000000" w:themeColor="text1"/>
                      <w:sz w:val="21"/>
                      <w:szCs w:val="21"/>
                      <w14:textFill>
                        <w14:solidFill>
                          <w14:schemeClr w14:val="tx1"/>
                        </w14:solidFill>
                      </w14:textFill>
                    </w:rPr>
                    <w:t>m</w:t>
                  </w:r>
                  <w:r>
                    <w:rPr>
                      <w:rFonts w:hint="eastAsia"/>
                      <w:color w:val="000000" w:themeColor="text1"/>
                      <w:sz w:val="21"/>
                      <w:szCs w:val="21"/>
                      <w:vertAlign w:val="superscript"/>
                      <w14:textFill>
                        <w14:solidFill>
                          <w14:schemeClr w14:val="tx1"/>
                        </w14:solidFill>
                      </w14:textFill>
                    </w:rPr>
                    <w:t>2</w:t>
                  </w:r>
                  <w:r>
                    <w:rPr>
                      <w:rFonts w:hint="eastAsia"/>
                      <w:color w:val="000000" w:themeColor="text1"/>
                      <w:sz w:val="21"/>
                      <w:szCs w:val="21"/>
                      <w14:textFill>
                        <w14:solidFill>
                          <w14:schemeClr w14:val="tx1"/>
                        </w14:solidFill>
                      </w14:textFill>
                    </w:rPr>
                    <w:t>，</w:t>
                  </w:r>
                </w:p>
              </w:tc>
              <w:tc>
                <w:tcPr>
                  <w:tcW w:w="1986" w:type="dxa"/>
                  <w:vAlign w:val="center"/>
                </w:tcPr>
                <w:p w14:paraId="4FD3D4F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利用现有</w:t>
                  </w:r>
                </w:p>
              </w:tc>
            </w:tr>
            <w:tr w14:paraId="0AA0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vMerge w:val="restart"/>
                  <w:vAlign w:val="center"/>
                </w:tcPr>
                <w:p w14:paraId="58401142">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p>
              </w:tc>
              <w:tc>
                <w:tcPr>
                  <w:tcW w:w="1137" w:type="dxa"/>
                  <w:vMerge w:val="restart"/>
                  <w:vAlign w:val="center"/>
                </w:tcPr>
                <w:p w14:paraId="4364F840">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辅助工</w:t>
                  </w:r>
                  <w:r>
                    <w:rPr>
                      <w:rFonts w:hint="eastAsia"/>
                      <w:color w:val="000000" w:themeColor="text1"/>
                      <w:sz w:val="21"/>
                      <w:szCs w:val="21"/>
                      <w14:textFill>
                        <w14:solidFill>
                          <w14:schemeClr w14:val="tx1"/>
                        </w14:solidFill>
                      </w14:textFill>
                    </w:rPr>
                    <w:t>程</w:t>
                  </w:r>
                </w:p>
              </w:tc>
              <w:tc>
                <w:tcPr>
                  <w:tcW w:w="1280" w:type="dxa"/>
                  <w:vAlign w:val="center"/>
                </w:tcPr>
                <w:p w14:paraId="5B908BD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成品仓库</w:t>
                  </w:r>
                </w:p>
              </w:tc>
              <w:tc>
                <w:tcPr>
                  <w:tcW w:w="4121" w:type="dxa"/>
                  <w:vAlign w:val="center"/>
                </w:tcPr>
                <w:p w14:paraId="760E6869">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座，</w:t>
                  </w: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层，占地面积400</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2</w:t>
                  </w:r>
                </w:p>
              </w:tc>
              <w:tc>
                <w:tcPr>
                  <w:tcW w:w="1986" w:type="dxa"/>
                  <w:vAlign w:val="center"/>
                </w:tcPr>
                <w:p w14:paraId="7013CDA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利用现有</w:t>
                  </w:r>
                </w:p>
              </w:tc>
            </w:tr>
            <w:tr w14:paraId="4698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vMerge w:val="continue"/>
                  <w:vAlign w:val="center"/>
                </w:tcPr>
                <w:p w14:paraId="11557CD0">
                  <w:pPr>
                    <w:jc w:val="center"/>
                    <w:rPr>
                      <w:color w:val="000000" w:themeColor="text1"/>
                      <w:sz w:val="21"/>
                      <w:szCs w:val="21"/>
                      <w14:textFill>
                        <w14:solidFill>
                          <w14:schemeClr w14:val="tx1"/>
                        </w14:solidFill>
                      </w14:textFill>
                    </w:rPr>
                  </w:pPr>
                </w:p>
              </w:tc>
              <w:tc>
                <w:tcPr>
                  <w:tcW w:w="1137" w:type="dxa"/>
                  <w:vMerge w:val="continue"/>
                  <w:vAlign w:val="center"/>
                </w:tcPr>
                <w:p w14:paraId="46F38159">
                  <w:pPr>
                    <w:jc w:val="center"/>
                    <w:rPr>
                      <w:color w:val="000000" w:themeColor="text1"/>
                      <w:sz w:val="21"/>
                      <w:szCs w:val="21"/>
                      <w14:textFill>
                        <w14:solidFill>
                          <w14:schemeClr w14:val="tx1"/>
                        </w14:solidFill>
                      </w14:textFill>
                    </w:rPr>
                  </w:pPr>
                </w:p>
              </w:tc>
              <w:tc>
                <w:tcPr>
                  <w:tcW w:w="1280" w:type="dxa"/>
                  <w:vAlign w:val="center"/>
                </w:tcPr>
                <w:p w14:paraId="350A43C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原料仓库</w:t>
                  </w:r>
                </w:p>
              </w:tc>
              <w:tc>
                <w:tcPr>
                  <w:tcW w:w="4121" w:type="dxa"/>
                  <w:vAlign w:val="center"/>
                </w:tcPr>
                <w:p w14:paraId="186180D1">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座，</w:t>
                  </w: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层，占地面积300</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2</w:t>
                  </w:r>
                </w:p>
              </w:tc>
              <w:tc>
                <w:tcPr>
                  <w:tcW w:w="1986" w:type="dxa"/>
                  <w:vAlign w:val="center"/>
                </w:tcPr>
                <w:p w14:paraId="26233C6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利用现有</w:t>
                  </w:r>
                </w:p>
              </w:tc>
            </w:tr>
            <w:tr w14:paraId="73B2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vMerge w:val="continue"/>
                  <w:vAlign w:val="center"/>
                </w:tcPr>
                <w:p w14:paraId="00F3E978">
                  <w:pPr>
                    <w:jc w:val="center"/>
                    <w:rPr>
                      <w:color w:val="000000" w:themeColor="text1"/>
                      <w:sz w:val="21"/>
                      <w:szCs w:val="21"/>
                      <w14:textFill>
                        <w14:solidFill>
                          <w14:schemeClr w14:val="tx1"/>
                        </w14:solidFill>
                      </w14:textFill>
                    </w:rPr>
                  </w:pPr>
                </w:p>
              </w:tc>
              <w:tc>
                <w:tcPr>
                  <w:tcW w:w="1137" w:type="dxa"/>
                  <w:vMerge w:val="continue"/>
                  <w:vAlign w:val="center"/>
                </w:tcPr>
                <w:p w14:paraId="2310F07F">
                  <w:pPr>
                    <w:jc w:val="center"/>
                    <w:rPr>
                      <w:color w:val="000000" w:themeColor="text1"/>
                      <w:sz w:val="21"/>
                      <w:szCs w:val="21"/>
                      <w14:textFill>
                        <w14:solidFill>
                          <w14:schemeClr w14:val="tx1"/>
                        </w14:solidFill>
                      </w14:textFill>
                    </w:rPr>
                  </w:pPr>
                </w:p>
              </w:tc>
              <w:tc>
                <w:tcPr>
                  <w:tcW w:w="1280" w:type="dxa"/>
                  <w:vAlign w:val="center"/>
                </w:tcPr>
                <w:p w14:paraId="728075C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冷库</w:t>
                  </w:r>
                </w:p>
              </w:tc>
              <w:tc>
                <w:tcPr>
                  <w:tcW w:w="4121" w:type="dxa"/>
                  <w:vAlign w:val="center"/>
                </w:tcPr>
                <w:p w14:paraId="3B018233">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座，</w:t>
                  </w: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层，占地面积40</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2</w:t>
                  </w:r>
                </w:p>
              </w:tc>
              <w:tc>
                <w:tcPr>
                  <w:tcW w:w="1986" w:type="dxa"/>
                  <w:vAlign w:val="center"/>
                </w:tcPr>
                <w:p w14:paraId="786377A4">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利用现有，制冷剂为R600A</w:t>
                  </w:r>
                </w:p>
              </w:tc>
            </w:tr>
            <w:tr w14:paraId="6A8B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vMerge w:val="continue"/>
                  <w:vAlign w:val="center"/>
                </w:tcPr>
                <w:p w14:paraId="22A421E5">
                  <w:pPr>
                    <w:jc w:val="center"/>
                    <w:rPr>
                      <w:color w:val="000000" w:themeColor="text1"/>
                      <w:sz w:val="21"/>
                      <w:szCs w:val="21"/>
                      <w14:textFill>
                        <w14:solidFill>
                          <w14:schemeClr w14:val="tx1"/>
                        </w14:solidFill>
                      </w14:textFill>
                    </w:rPr>
                  </w:pPr>
                </w:p>
              </w:tc>
              <w:tc>
                <w:tcPr>
                  <w:tcW w:w="1137" w:type="dxa"/>
                  <w:vMerge w:val="continue"/>
                  <w:vAlign w:val="center"/>
                </w:tcPr>
                <w:p w14:paraId="1BD4BD39">
                  <w:pPr>
                    <w:jc w:val="center"/>
                    <w:rPr>
                      <w:color w:val="000000" w:themeColor="text1"/>
                      <w:sz w:val="21"/>
                      <w:szCs w:val="21"/>
                      <w14:textFill>
                        <w14:solidFill>
                          <w14:schemeClr w14:val="tx1"/>
                        </w14:solidFill>
                      </w14:textFill>
                    </w:rPr>
                  </w:pPr>
                </w:p>
              </w:tc>
              <w:tc>
                <w:tcPr>
                  <w:tcW w:w="1280" w:type="dxa"/>
                  <w:vAlign w:val="center"/>
                </w:tcPr>
                <w:p w14:paraId="08D4554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锅炉房</w:t>
                  </w:r>
                </w:p>
              </w:tc>
              <w:tc>
                <w:tcPr>
                  <w:tcW w:w="4121" w:type="dxa"/>
                  <w:vAlign w:val="center"/>
                </w:tcPr>
                <w:p w14:paraId="69B97D8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占地面积70</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2</w:t>
                  </w:r>
                  <w:r>
                    <w:rPr>
                      <w:rFonts w:hint="eastAsia"/>
                      <w:color w:val="000000" w:themeColor="text1"/>
                      <w:sz w:val="21"/>
                      <w:szCs w:val="21"/>
                      <w14:textFill>
                        <w14:solidFill>
                          <w14:schemeClr w14:val="tx1"/>
                        </w14:solidFill>
                      </w14:textFill>
                    </w:rPr>
                    <w:t>，2台0.5t/h的蒸汽发生器（一用一备）；</w:t>
                  </w:r>
                </w:p>
              </w:tc>
              <w:tc>
                <w:tcPr>
                  <w:tcW w:w="1986" w:type="dxa"/>
                  <w:vAlign w:val="center"/>
                </w:tcPr>
                <w:p w14:paraId="3EFF561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利用现有</w:t>
                  </w:r>
                </w:p>
              </w:tc>
            </w:tr>
            <w:tr w14:paraId="52A3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vMerge w:val="restart"/>
                  <w:vAlign w:val="center"/>
                </w:tcPr>
                <w:p w14:paraId="69BCE1CE">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p>
              </w:tc>
              <w:tc>
                <w:tcPr>
                  <w:tcW w:w="1137" w:type="dxa"/>
                  <w:vMerge w:val="restart"/>
                  <w:vAlign w:val="center"/>
                </w:tcPr>
                <w:p w14:paraId="531BFD41">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环保工程</w:t>
                  </w:r>
                </w:p>
              </w:tc>
              <w:tc>
                <w:tcPr>
                  <w:tcW w:w="1280" w:type="dxa"/>
                  <w:vAlign w:val="center"/>
                </w:tcPr>
                <w:p w14:paraId="05FDFAA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废水</w:t>
                  </w:r>
                </w:p>
              </w:tc>
              <w:tc>
                <w:tcPr>
                  <w:tcW w:w="4121" w:type="dxa"/>
                  <w:vAlign w:val="center"/>
                </w:tcPr>
                <w:p w14:paraId="3620557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废水：隔油池+水解酸化+气浮+厌氧+好氧+曝气+沉淀+清水池，处理规模：</w:t>
                  </w:r>
                  <w:r>
                    <w:rPr>
                      <w:rFonts w:hint="eastAsia"/>
                      <w:color w:val="000000" w:themeColor="text1"/>
                      <w:sz w:val="21"/>
                      <w:szCs w:val="21"/>
                      <w:lang w:val="en-US" w:eastAsia="zh-CN"/>
                      <w14:textFill>
                        <w14:solidFill>
                          <w14:schemeClr w14:val="tx1"/>
                        </w14:solidFill>
                      </w14:textFill>
                    </w:rPr>
                    <w:t>2</w:t>
                  </w:r>
                  <w:r>
                    <w:rPr>
                      <w:rFonts w:hint="eastAsia"/>
                      <w:color w:val="000000" w:themeColor="text1"/>
                      <w:sz w:val="21"/>
                      <w:szCs w:val="21"/>
                      <w14:textFill>
                        <w14:solidFill>
                          <w14:schemeClr w14:val="tx1"/>
                        </w14:solidFill>
                      </w14:textFill>
                    </w:rPr>
                    <w:t>0</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d</w:t>
                  </w:r>
                  <w:r>
                    <w:rPr>
                      <w:rFonts w:hint="eastAsia"/>
                      <w:color w:val="000000" w:themeColor="text1"/>
                      <w:sz w:val="21"/>
                      <w:szCs w:val="21"/>
                      <w14:textFill>
                        <w14:solidFill>
                          <w14:schemeClr w14:val="tx1"/>
                        </w14:solidFill>
                      </w14:textFill>
                    </w:rPr>
                    <w:t>；</w:t>
                  </w:r>
                </w:p>
              </w:tc>
              <w:tc>
                <w:tcPr>
                  <w:tcW w:w="1986" w:type="dxa"/>
                  <w:vAlign w:val="center"/>
                </w:tcPr>
                <w:p w14:paraId="7249952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利用现有</w:t>
                  </w:r>
                </w:p>
              </w:tc>
            </w:tr>
            <w:tr w14:paraId="2256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780" w:type="dxa"/>
                  <w:vMerge w:val="continue"/>
                  <w:vAlign w:val="center"/>
                </w:tcPr>
                <w:p w14:paraId="76E7717E">
                  <w:pPr>
                    <w:jc w:val="center"/>
                    <w:rPr>
                      <w:color w:val="000000" w:themeColor="text1"/>
                      <w:sz w:val="21"/>
                      <w:szCs w:val="21"/>
                      <w14:textFill>
                        <w14:solidFill>
                          <w14:schemeClr w14:val="tx1"/>
                        </w14:solidFill>
                      </w14:textFill>
                    </w:rPr>
                  </w:pPr>
                </w:p>
              </w:tc>
              <w:tc>
                <w:tcPr>
                  <w:tcW w:w="1137" w:type="dxa"/>
                  <w:vMerge w:val="continue"/>
                  <w:vAlign w:val="center"/>
                </w:tcPr>
                <w:p w14:paraId="5A54C3FF">
                  <w:pPr>
                    <w:jc w:val="center"/>
                    <w:rPr>
                      <w:color w:val="000000" w:themeColor="text1"/>
                      <w:sz w:val="21"/>
                      <w:szCs w:val="21"/>
                      <w14:textFill>
                        <w14:solidFill>
                          <w14:schemeClr w14:val="tx1"/>
                        </w14:solidFill>
                      </w14:textFill>
                    </w:rPr>
                  </w:pPr>
                </w:p>
              </w:tc>
              <w:tc>
                <w:tcPr>
                  <w:tcW w:w="1280" w:type="dxa"/>
                  <w:vMerge w:val="restart"/>
                  <w:vAlign w:val="center"/>
                </w:tcPr>
                <w:p w14:paraId="641B08D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废气</w:t>
                  </w:r>
                </w:p>
              </w:tc>
              <w:tc>
                <w:tcPr>
                  <w:tcW w:w="4121" w:type="dxa"/>
                  <w:vAlign w:val="center"/>
                </w:tcPr>
                <w:p w14:paraId="1289C662">
                  <w:pPr>
                    <w:numPr>
                      <w:ilvl w:val="0"/>
                      <w:numId w:val="2"/>
                    </w:num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蒸汽发生器天然气燃烧废气经设备自带低氮燃烧设施治理后，经不低于8m的排气筒DA001有组织排放。</w:t>
                  </w:r>
                </w:p>
              </w:tc>
              <w:tc>
                <w:tcPr>
                  <w:tcW w:w="1986" w:type="dxa"/>
                  <w:vAlign w:val="center"/>
                </w:tcPr>
                <w:p w14:paraId="497E657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利用现有</w:t>
                  </w:r>
                </w:p>
              </w:tc>
            </w:tr>
            <w:tr w14:paraId="266F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80" w:type="dxa"/>
                  <w:vMerge w:val="continue"/>
                  <w:vAlign w:val="center"/>
                </w:tcPr>
                <w:p w14:paraId="763174CF">
                  <w:pPr>
                    <w:jc w:val="center"/>
                    <w:rPr>
                      <w:color w:val="000000" w:themeColor="text1"/>
                      <w:sz w:val="21"/>
                      <w:szCs w:val="21"/>
                      <w14:textFill>
                        <w14:solidFill>
                          <w14:schemeClr w14:val="tx1"/>
                        </w14:solidFill>
                      </w14:textFill>
                    </w:rPr>
                  </w:pPr>
                </w:p>
              </w:tc>
              <w:tc>
                <w:tcPr>
                  <w:tcW w:w="1137" w:type="dxa"/>
                  <w:vMerge w:val="continue"/>
                  <w:vAlign w:val="center"/>
                </w:tcPr>
                <w:p w14:paraId="145762FF">
                  <w:pPr>
                    <w:jc w:val="center"/>
                    <w:rPr>
                      <w:color w:val="000000" w:themeColor="text1"/>
                      <w:sz w:val="21"/>
                      <w:szCs w:val="21"/>
                      <w14:textFill>
                        <w14:solidFill>
                          <w14:schemeClr w14:val="tx1"/>
                        </w14:solidFill>
                      </w14:textFill>
                    </w:rPr>
                  </w:pPr>
                </w:p>
              </w:tc>
              <w:tc>
                <w:tcPr>
                  <w:tcW w:w="1280" w:type="dxa"/>
                  <w:vMerge w:val="continue"/>
                  <w:vAlign w:val="center"/>
                </w:tcPr>
                <w:p w14:paraId="5500FC7B">
                  <w:pPr>
                    <w:jc w:val="center"/>
                    <w:rPr>
                      <w:color w:val="000000" w:themeColor="text1"/>
                      <w:sz w:val="21"/>
                      <w:szCs w:val="21"/>
                      <w14:textFill>
                        <w14:solidFill>
                          <w14:schemeClr w14:val="tx1"/>
                        </w14:solidFill>
                      </w14:textFill>
                    </w:rPr>
                  </w:pPr>
                </w:p>
              </w:tc>
              <w:tc>
                <w:tcPr>
                  <w:tcW w:w="4121" w:type="dxa"/>
                  <w:vAlign w:val="center"/>
                </w:tcPr>
                <w:p w14:paraId="174C7442">
                  <w:pPr>
                    <w:numPr>
                      <w:ilvl w:val="0"/>
                      <w:numId w:val="2"/>
                    </w:num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油炸工序油烟经集气罩收集后，由一套</w:t>
                  </w:r>
                  <w:r>
                    <w:rPr>
                      <w:color w:val="000000" w:themeColor="text1"/>
                      <w:sz w:val="21"/>
                      <w:szCs w:val="21"/>
                      <w14:textFill>
                        <w14:solidFill>
                          <w14:schemeClr w14:val="tx1"/>
                        </w14:solidFill>
                      </w14:textFill>
                    </w:rPr>
                    <w:t>油烟净化器</w:t>
                  </w:r>
                  <w:r>
                    <w:rPr>
                      <w:rFonts w:hint="eastAsia"/>
                      <w:color w:val="000000" w:themeColor="text1"/>
                      <w:sz w:val="21"/>
                      <w:szCs w:val="21"/>
                      <w14:textFill>
                        <w14:solidFill>
                          <w14:schemeClr w14:val="tx1"/>
                        </w14:solidFill>
                      </w14:textFill>
                    </w:rPr>
                    <w:t>治理，经排气筒DA002排放。</w:t>
                  </w:r>
                </w:p>
              </w:tc>
              <w:tc>
                <w:tcPr>
                  <w:tcW w:w="1986" w:type="dxa"/>
                  <w:vAlign w:val="center"/>
                </w:tcPr>
                <w:p w14:paraId="5CEDD98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新建</w:t>
                  </w:r>
                </w:p>
              </w:tc>
            </w:tr>
            <w:tr w14:paraId="075D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vMerge w:val="continue"/>
                  <w:vAlign w:val="center"/>
                </w:tcPr>
                <w:p w14:paraId="123E5EA1">
                  <w:pPr>
                    <w:jc w:val="center"/>
                    <w:rPr>
                      <w:color w:val="000000" w:themeColor="text1"/>
                      <w:sz w:val="21"/>
                      <w:szCs w:val="21"/>
                      <w14:textFill>
                        <w14:solidFill>
                          <w14:schemeClr w14:val="tx1"/>
                        </w14:solidFill>
                      </w14:textFill>
                    </w:rPr>
                  </w:pPr>
                </w:p>
              </w:tc>
              <w:tc>
                <w:tcPr>
                  <w:tcW w:w="1137" w:type="dxa"/>
                  <w:vMerge w:val="continue"/>
                  <w:vAlign w:val="center"/>
                </w:tcPr>
                <w:p w14:paraId="400C0B93">
                  <w:pPr>
                    <w:jc w:val="center"/>
                    <w:rPr>
                      <w:color w:val="000000" w:themeColor="text1"/>
                      <w:sz w:val="21"/>
                      <w:szCs w:val="21"/>
                      <w14:textFill>
                        <w14:solidFill>
                          <w14:schemeClr w14:val="tx1"/>
                        </w14:solidFill>
                      </w14:textFill>
                    </w:rPr>
                  </w:pPr>
                </w:p>
              </w:tc>
              <w:tc>
                <w:tcPr>
                  <w:tcW w:w="1280" w:type="dxa"/>
                  <w:vAlign w:val="center"/>
                </w:tcPr>
                <w:p w14:paraId="777FB10C">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噪</w:t>
                  </w:r>
                  <w:r>
                    <w:rPr>
                      <w:rFonts w:hint="eastAsia"/>
                      <w:color w:val="000000" w:themeColor="text1"/>
                      <w:sz w:val="21"/>
                      <w:szCs w:val="21"/>
                      <w14:textFill>
                        <w14:solidFill>
                          <w14:schemeClr w14:val="tx1"/>
                        </w14:solidFill>
                      </w14:textFill>
                    </w:rPr>
                    <w:t>声</w:t>
                  </w:r>
                </w:p>
              </w:tc>
              <w:tc>
                <w:tcPr>
                  <w:tcW w:w="4121" w:type="dxa"/>
                  <w:vAlign w:val="center"/>
                </w:tcPr>
                <w:p w14:paraId="47828D45">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基础减振</w:t>
                  </w:r>
                  <w:r>
                    <w:rPr>
                      <w:rFonts w:hint="eastAsia"/>
                      <w:color w:val="000000" w:themeColor="text1"/>
                      <w:sz w:val="21"/>
                      <w:szCs w:val="21"/>
                      <w14:textFill>
                        <w14:solidFill>
                          <w14:schemeClr w14:val="tx1"/>
                        </w14:solidFill>
                      </w14:textFill>
                    </w:rPr>
                    <w:t>、厂房隔声</w:t>
                  </w:r>
                </w:p>
              </w:tc>
              <w:tc>
                <w:tcPr>
                  <w:tcW w:w="1986" w:type="dxa"/>
                  <w:vAlign w:val="center"/>
                </w:tcPr>
                <w:p w14:paraId="0A2F96F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新建</w:t>
                  </w:r>
                </w:p>
              </w:tc>
            </w:tr>
            <w:tr w14:paraId="7F8C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vMerge w:val="continue"/>
                  <w:vAlign w:val="center"/>
                </w:tcPr>
                <w:p w14:paraId="15DD0AF9">
                  <w:pPr>
                    <w:jc w:val="center"/>
                    <w:rPr>
                      <w:color w:val="000000" w:themeColor="text1"/>
                      <w:sz w:val="21"/>
                      <w:szCs w:val="21"/>
                      <w14:textFill>
                        <w14:solidFill>
                          <w14:schemeClr w14:val="tx1"/>
                        </w14:solidFill>
                      </w14:textFill>
                    </w:rPr>
                  </w:pPr>
                </w:p>
              </w:tc>
              <w:tc>
                <w:tcPr>
                  <w:tcW w:w="1137" w:type="dxa"/>
                  <w:vMerge w:val="continue"/>
                  <w:vAlign w:val="center"/>
                </w:tcPr>
                <w:p w14:paraId="2E48041F">
                  <w:pPr>
                    <w:jc w:val="center"/>
                    <w:rPr>
                      <w:color w:val="000000" w:themeColor="text1"/>
                      <w:sz w:val="21"/>
                      <w:szCs w:val="21"/>
                      <w14:textFill>
                        <w14:solidFill>
                          <w14:schemeClr w14:val="tx1"/>
                        </w14:solidFill>
                      </w14:textFill>
                    </w:rPr>
                  </w:pPr>
                </w:p>
              </w:tc>
              <w:tc>
                <w:tcPr>
                  <w:tcW w:w="1280" w:type="dxa"/>
                  <w:vAlign w:val="center"/>
                </w:tcPr>
                <w:p w14:paraId="1C0CA0A7">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固废</w:t>
                  </w:r>
                </w:p>
              </w:tc>
              <w:tc>
                <w:tcPr>
                  <w:tcW w:w="4121" w:type="dxa"/>
                  <w:vAlign w:val="center"/>
                </w:tcPr>
                <w:p w14:paraId="567AF549">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一般固废暂存间1座（</w:t>
                  </w:r>
                  <w:r>
                    <w:rPr>
                      <w:rFonts w:hint="eastAsia"/>
                      <w:color w:val="000000" w:themeColor="text1"/>
                      <w:sz w:val="21"/>
                      <w:szCs w:val="21"/>
                      <w14:textFill>
                        <w14:solidFill>
                          <w14:schemeClr w14:val="tx1"/>
                        </w14:solidFill>
                      </w14:textFill>
                    </w:rPr>
                    <w:t>10</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2</w:t>
                  </w:r>
                  <w:r>
                    <w:rPr>
                      <w:color w:val="000000" w:themeColor="text1"/>
                      <w:sz w:val="21"/>
                      <w:szCs w:val="21"/>
                      <w14:textFill>
                        <w14:solidFill>
                          <w14:schemeClr w14:val="tx1"/>
                        </w14:solidFill>
                      </w14:textFill>
                    </w:rPr>
                    <w:t>）</w:t>
                  </w:r>
                </w:p>
              </w:tc>
              <w:tc>
                <w:tcPr>
                  <w:tcW w:w="1986" w:type="dxa"/>
                  <w:vAlign w:val="center"/>
                </w:tcPr>
                <w:p w14:paraId="186D4B9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利用现有</w:t>
                  </w:r>
                </w:p>
              </w:tc>
            </w:tr>
            <w:tr w14:paraId="2F63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vMerge w:val="restart"/>
                  <w:vAlign w:val="center"/>
                </w:tcPr>
                <w:p w14:paraId="3D3B9CA9">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p>
              </w:tc>
              <w:tc>
                <w:tcPr>
                  <w:tcW w:w="1137" w:type="dxa"/>
                  <w:vMerge w:val="restart"/>
                  <w:vAlign w:val="center"/>
                </w:tcPr>
                <w:p w14:paraId="0F1DFCD1">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公用工程</w:t>
                  </w:r>
                </w:p>
              </w:tc>
              <w:tc>
                <w:tcPr>
                  <w:tcW w:w="1280" w:type="dxa"/>
                  <w:vAlign w:val="center"/>
                </w:tcPr>
                <w:p w14:paraId="5AD4FA0E">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水</w:t>
                  </w:r>
                </w:p>
              </w:tc>
              <w:tc>
                <w:tcPr>
                  <w:tcW w:w="4121" w:type="dxa"/>
                  <w:vAlign w:val="center"/>
                </w:tcPr>
                <w:p w14:paraId="6C53F7E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厂区自备井</w:t>
                  </w:r>
                </w:p>
              </w:tc>
              <w:tc>
                <w:tcPr>
                  <w:tcW w:w="1986" w:type="dxa"/>
                  <w:vAlign w:val="center"/>
                </w:tcPr>
                <w:p w14:paraId="17532C3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r>
            <w:tr w14:paraId="504E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vMerge w:val="continue"/>
                  <w:vAlign w:val="center"/>
                </w:tcPr>
                <w:p w14:paraId="41A8043D">
                  <w:pPr>
                    <w:jc w:val="center"/>
                    <w:rPr>
                      <w:color w:val="000000" w:themeColor="text1"/>
                      <w:sz w:val="21"/>
                      <w:szCs w:val="21"/>
                      <w14:textFill>
                        <w14:solidFill>
                          <w14:schemeClr w14:val="tx1"/>
                        </w14:solidFill>
                      </w14:textFill>
                    </w:rPr>
                  </w:pPr>
                </w:p>
              </w:tc>
              <w:tc>
                <w:tcPr>
                  <w:tcW w:w="1137" w:type="dxa"/>
                  <w:vMerge w:val="continue"/>
                  <w:vAlign w:val="center"/>
                </w:tcPr>
                <w:p w14:paraId="721E3EB2">
                  <w:pPr>
                    <w:jc w:val="center"/>
                    <w:rPr>
                      <w:color w:val="000000" w:themeColor="text1"/>
                      <w:sz w:val="21"/>
                      <w:szCs w:val="21"/>
                      <w14:textFill>
                        <w14:solidFill>
                          <w14:schemeClr w14:val="tx1"/>
                        </w14:solidFill>
                      </w14:textFill>
                    </w:rPr>
                  </w:pPr>
                </w:p>
              </w:tc>
              <w:tc>
                <w:tcPr>
                  <w:tcW w:w="1280" w:type="dxa"/>
                  <w:vAlign w:val="center"/>
                </w:tcPr>
                <w:p w14:paraId="6DB7B415">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电</w:t>
                  </w:r>
                </w:p>
              </w:tc>
              <w:tc>
                <w:tcPr>
                  <w:tcW w:w="4121" w:type="dxa"/>
                  <w:vAlign w:val="center"/>
                </w:tcPr>
                <w:p w14:paraId="7D95AF5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榆林乡供电所统一供电</w:t>
                  </w:r>
                </w:p>
              </w:tc>
              <w:tc>
                <w:tcPr>
                  <w:tcW w:w="1986" w:type="dxa"/>
                  <w:vAlign w:val="center"/>
                </w:tcPr>
                <w:p w14:paraId="1DF5EF4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r>
          </w:tbl>
          <w:p w14:paraId="531DCF00">
            <w:pPr>
              <w:spacing w:line="520" w:lineRule="exact"/>
              <w:ind w:left="480"/>
              <w:jc w:val="left"/>
              <w:rPr>
                <w:b/>
                <w:bCs/>
                <w:color w:val="000000" w:themeColor="text1"/>
                <w14:textFill>
                  <w14:solidFill>
                    <w14:schemeClr w14:val="tx1"/>
                  </w14:solidFill>
                </w14:textFill>
              </w:rPr>
            </w:pPr>
            <w:bookmarkStart w:id="6" w:name="_Hlk192494624"/>
            <w:r>
              <w:rPr>
                <w:rFonts w:hint="eastAsia"/>
                <w:b/>
                <w:bCs/>
                <w:color w:val="000000" w:themeColor="text1"/>
                <w14:textFill>
                  <w14:solidFill>
                    <w14:schemeClr w14:val="tx1"/>
                  </w14:solidFill>
                </w14:textFill>
              </w:rPr>
              <w:t>3、产品方案</w:t>
            </w:r>
          </w:p>
          <w:p w14:paraId="72C1F61E">
            <w:pPr>
              <w:spacing w:line="520" w:lineRule="exact"/>
              <w:ind w:firstLine="48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本项目为改建项目，项目产品方案及产量见下表。</w:t>
            </w:r>
          </w:p>
          <w:p w14:paraId="5CE8B0F0">
            <w:pPr>
              <w:spacing w:line="460" w:lineRule="exact"/>
              <w:ind w:firstLine="480" w:firstLineChars="200"/>
              <w:jc w:val="left"/>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表</w:t>
            </w:r>
            <w:r>
              <w:rPr>
                <w:rFonts w:hint="eastAsia" w:eastAsia="黑体"/>
                <w:color w:val="000000" w:themeColor="text1"/>
                <w14:textFill>
                  <w14:solidFill>
                    <w14:schemeClr w14:val="tx1"/>
                  </w14:solidFill>
                </w14:textFill>
              </w:rPr>
              <w:t>2-3</w:t>
            </w:r>
            <w:r>
              <w:rPr>
                <w:rFonts w:hint="eastAsia" w:ascii="黑体" w:hAnsi="黑体" w:eastAsia="黑体" w:cs="黑体"/>
                <w:color w:val="000000" w:themeColor="text1"/>
                <w14:textFill>
                  <w14:solidFill>
                    <w14:schemeClr w14:val="tx1"/>
                  </w14:solidFill>
                </w14:textFill>
              </w:rPr>
              <w:t xml:space="preserve">                   本项目产品及产量一览表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1824"/>
              <w:gridCol w:w="3828"/>
              <w:gridCol w:w="2970"/>
            </w:tblGrid>
            <w:tr w14:paraId="5A94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7" w:type="dxa"/>
                  <w:vAlign w:val="center"/>
                </w:tcPr>
                <w:p w14:paraId="18D1F6C6">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序号</w:t>
                  </w:r>
                </w:p>
              </w:tc>
              <w:tc>
                <w:tcPr>
                  <w:tcW w:w="1824" w:type="dxa"/>
                  <w:vAlign w:val="center"/>
                </w:tcPr>
                <w:p w14:paraId="4994599D">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产品名称</w:t>
                  </w:r>
                </w:p>
              </w:tc>
              <w:tc>
                <w:tcPr>
                  <w:tcW w:w="3828" w:type="dxa"/>
                  <w:vAlign w:val="center"/>
                </w:tcPr>
                <w:p w14:paraId="58894782">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现有工程</w:t>
                  </w:r>
                </w:p>
              </w:tc>
              <w:tc>
                <w:tcPr>
                  <w:tcW w:w="2970" w:type="dxa"/>
                  <w:vAlign w:val="center"/>
                </w:tcPr>
                <w:p w14:paraId="2AF00ECE">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本项目建成后全厂</w:t>
                  </w:r>
                </w:p>
              </w:tc>
            </w:tr>
            <w:tr w14:paraId="22CD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7" w:type="dxa"/>
                  <w:vAlign w:val="center"/>
                </w:tcPr>
                <w:p w14:paraId="3714A2C8">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p>
              </w:tc>
              <w:tc>
                <w:tcPr>
                  <w:tcW w:w="1824" w:type="dxa"/>
                  <w:vAlign w:val="center"/>
                </w:tcPr>
                <w:p w14:paraId="5AFA4DD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鸡汁素肠系列</w:t>
                  </w:r>
                </w:p>
              </w:tc>
              <w:tc>
                <w:tcPr>
                  <w:tcW w:w="3828" w:type="dxa"/>
                  <w:vAlign w:val="center"/>
                </w:tcPr>
                <w:p w14:paraId="3C5CC14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1500t/</w:t>
                  </w:r>
                  <w:r>
                    <w:rPr>
                      <w:color w:val="000000" w:themeColor="text1"/>
                      <w:sz w:val="21"/>
                      <w:szCs w:val="21"/>
                      <w14:textFill>
                        <w14:solidFill>
                          <w14:schemeClr w14:val="tx1"/>
                        </w14:solidFill>
                      </w14:textFill>
                    </w:rPr>
                    <w:t>a</w:t>
                  </w:r>
                </w:p>
              </w:tc>
              <w:tc>
                <w:tcPr>
                  <w:tcW w:w="2970" w:type="dxa"/>
                  <w:vAlign w:val="center"/>
                </w:tcPr>
                <w:p w14:paraId="3683656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1300t/</w:t>
                  </w:r>
                  <w:r>
                    <w:rPr>
                      <w:color w:val="000000" w:themeColor="text1"/>
                      <w:sz w:val="21"/>
                      <w:szCs w:val="21"/>
                      <w14:textFill>
                        <w14:solidFill>
                          <w14:schemeClr w14:val="tx1"/>
                        </w14:solidFill>
                      </w14:textFill>
                    </w:rPr>
                    <w:t>a</w:t>
                  </w:r>
                </w:p>
              </w:tc>
            </w:tr>
            <w:tr w14:paraId="177D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7" w:type="dxa"/>
                  <w:vAlign w:val="center"/>
                </w:tcPr>
                <w:p w14:paraId="4CFB60D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p>
              </w:tc>
              <w:tc>
                <w:tcPr>
                  <w:tcW w:w="1824" w:type="dxa"/>
                  <w:vAlign w:val="center"/>
                </w:tcPr>
                <w:p w14:paraId="3EC936C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手撕素肉</w:t>
                  </w:r>
                </w:p>
              </w:tc>
              <w:tc>
                <w:tcPr>
                  <w:tcW w:w="3828" w:type="dxa"/>
                  <w:vAlign w:val="center"/>
                </w:tcPr>
                <w:p w14:paraId="176C4BB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2970" w:type="dxa"/>
                  <w:vAlign w:val="center"/>
                </w:tcPr>
                <w:p w14:paraId="7091AE4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200t/</w:t>
                  </w:r>
                  <w:r>
                    <w:rPr>
                      <w:color w:val="000000" w:themeColor="text1"/>
                      <w:sz w:val="21"/>
                      <w:szCs w:val="21"/>
                      <w14:textFill>
                        <w14:solidFill>
                          <w14:schemeClr w14:val="tx1"/>
                        </w14:solidFill>
                      </w14:textFill>
                    </w:rPr>
                    <w:t>a</w:t>
                  </w:r>
                </w:p>
              </w:tc>
            </w:tr>
            <w:bookmarkEnd w:id="6"/>
          </w:tbl>
          <w:p w14:paraId="50AF3837">
            <w:pPr>
              <w:spacing w:line="5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本项目建成后全厂产能不新增。</w:t>
            </w:r>
          </w:p>
          <w:p w14:paraId="23C15B6D">
            <w:pPr>
              <w:pStyle w:val="61"/>
              <w:spacing w:line="520" w:lineRule="exact"/>
              <w:ind w:left="418" w:firstLine="0" w:firstLineChars="0"/>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4、主要生产设备</w:t>
            </w:r>
          </w:p>
          <w:p w14:paraId="1DC715CD">
            <w:pPr>
              <w:spacing w:line="520" w:lineRule="exact"/>
              <w:ind w:firstLine="480" w:firstLineChars="200"/>
              <w:jc w:val="left"/>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对现有工程进行改建，</w:t>
            </w:r>
            <w:r>
              <w:rPr>
                <w:rFonts w:hint="eastAsia"/>
                <w:color w:val="000000" w:themeColor="text1"/>
                <w:lang w:val="en-US" w:eastAsia="zh-CN"/>
                <w14:textFill>
                  <w14:solidFill>
                    <w14:schemeClr w14:val="tx1"/>
                  </w14:solidFill>
                </w14:textFill>
              </w:rPr>
              <w:t>主要设备利用现有，</w:t>
            </w:r>
            <w:r>
              <w:rPr>
                <w:rFonts w:hint="eastAsia"/>
                <w:color w:val="000000" w:themeColor="text1"/>
                <w14:textFill>
                  <w14:solidFill>
                    <w14:schemeClr w14:val="tx1"/>
                  </w14:solidFill>
                </w14:textFill>
              </w:rPr>
              <w:t>新增</w:t>
            </w:r>
            <w:r>
              <w:rPr>
                <w:rFonts w:hint="eastAsia"/>
                <w:color w:val="000000" w:themeColor="text1"/>
                <w:lang w:val="en-US" w:eastAsia="zh-CN"/>
                <w14:textFill>
                  <w14:solidFill>
                    <w14:schemeClr w14:val="tx1"/>
                  </w14:solidFill>
                </w14:textFill>
              </w:rPr>
              <w:t>清洗设备替代原有人工清洗操作</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新增产品手撕素肉需新增电加热油炸锅，本</w:t>
            </w:r>
            <w:r>
              <w:rPr>
                <w:rFonts w:hint="eastAsia"/>
                <w:color w:val="000000" w:themeColor="text1"/>
                <w14:textFill>
                  <w14:solidFill>
                    <w14:schemeClr w14:val="tx1"/>
                  </w14:solidFill>
                </w14:textFill>
              </w:rPr>
              <w:t>项目建成后全厂生产设备</w:t>
            </w:r>
            <w:r>
              <w:rPr>
                <w:color w:val="000000" w:themeColor="text1"/>
                <w14:textFill>
                  <w14:solidFill>
                    <w14:schemeClr w14:val="tx1"/>
                  </w14:solidFill>
                </w14:textFill>
              </w:rPr>
              <w:t>见下表。</w:t>
            </w:r>
          </w:p>
          <w:p w14:paraId="1B8C8C3C">
            <w:pPr>
              <w:spacing w:line="460" w:lineRule="exact"/>
              <w:ind w:firstLine="480" w:firstLineChars="200"/>
              <w:jc w:val="left"/>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表</w:t>
            </w:r>
            <w:r>
              <w:rPr>
                <w:rFonts w:hint="eastAsia" w:eastAsia="黑体"/>
                <w:color w:val="000000" w:themeColor="text1"/>
                <w14:textFill>
                  <w14:solidFill>
                    <w14:schemeClr w14:val="tx1"/>
                  </w14:solidFill>
                </w14:textFill>
              </w:rPr>
              <w:t>2-4</w:t>
            </w:r>
            <w:r>
              <w:rPr>
                <w:rFonts w:eastAsia="黑体"/>
                <w:color w:val="000000" w:themeColor="text1"/>
                <w14:textFill>
                  <w14:solidFill>
                    <w14:schemeClr w14:val="tx1"/>
                  </w14:solidFill>
                </w14:textFill>
              </w:rPr>
              <w:t xml:space="preserve">                   </w:t>
            </w:r>
            <w:r>
              <w:rPr>
                <w:rFonts w:hint="eastAsia" w:eastAsia="黑体"/>
                <w:color w:val="000000" w:themeColor="text1"/>
                <w14:textFill>
                  <w14:solidFill>
                    <w14:schemeClr w14:val="tx1"/>
                  </w14:solidFill>
                </w14:textFill>
              </w:rPr>
              <w:t>本项目主要生产</w:t>
            </w:r>
            <w:r>
              <w:rPr>
                <w:rFonts w:eastAsia="黑体"/>
                <w:color w:val="000000" w:themeColor="text1"/>
                <w14:textFill>
                  <w14:solidFill>
                    <w14:schemeClr w14:val="tx1"/>
                  </w14:solidFill>
                </w14:textFill>
              </w:rPr>
              <w:t>设备</w:t>
            </w:r>
            <w:r>
              <w:rPr>
                <w:rFonts w:hint="eastAsia" w:eastAsia="黑体"/>
                <w:color w:val="000000" w:themeColor="text1"/>
                <w14:textFill>
                  <w14:solidFill>
                    <w14:schemeClr w14:val="tx1"/>
                  </w14:solidFill>
                </w14:textFill>
              </w:rPr>
              <w:t>一览表</w:t>
            </w:r>
          </w:p>
          <w:tbl>
            <w:tblPr>
              <w:tblStyle w:val="1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156"/>
              <w:gridCol w:w="2402"/>
              <w:gridCol w:w="2735"/>
              <w:gridCol w:w="905"/>
              <w:gridCol w:w="1433"/>
            </w:tblGrid>
            <w:tr w14:paraId="2D0A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2B8672E3">
                  <w:pPr>
                    <w:jc w:val="center"/>
                    <w:rPr>
                      <w:rFonts w:hAnsi="宋体"/>
                      <w:b/>
                      <w:bCs/>
                      <w:color w:val="000000" w:themeColor="text1"/>
                      <w:kern w:val="0"/>
                      <w:sz w:val="21"/>
                      <w:szCs w:val="21"/>
                      <w14:textFill>
                        <w14:solidFill>
                          <w14:schemeClr w14:val="tx1"/>
                        </w14:solidFill>
                      </w14:textFill>
                    </w:rPr>
                  </w:pPr>
                  <w:r>
                    <w:rPr>
                      <w:rFonts w:hAnsi="宋体"/>
                      <w:b/>
                      <w:bCs/>
                      <w:color w:val="000000" w:themeColor="text1"/>
                      <w:kern w:val="0"/>
                      <w:sz w:val="21"/>
                      <w:szCs w:val="21"/>
                      <w14:textFill>
                        <w14:solidFill>
                          <w14:schemeClr w14:val="tx1"/>
                        </w14:solidFill>
                      </w14:textFill>
                    </w:rPr>
                    <w:t>序号</w:t>
                  </w:r>
                </w:p>
              </w:tc>
              <w:tc>
                <w:tcPr>
                  <w:tcW w:w="810" w:type="pct"/>
                  <w:vAlign w:val="center"/>
                </w:tcPr>
                <w:p w14:paraId="3C788AAB">
                  <w:pPr>
                    <w:jc w:val="center"/>
                    <w:rPr>
                      <w:rFonts w:hAnsi="宋体"/>
                      <w:b/>
                      <w:bCs/>
                      <w:color w:val="000000" w:themeColor="text1"/>
                      <w:kern w:val="0"/>
                      <w:sz w:val="21"/>
                      <w:szCs w:val="21"/>
                      <w14:textFill>
                        <w14:solidFill>
                          <w14:schemeClr w14:val="tx1"/>
                        </w14:solidFill>
                      </w14:textFill>
                    </w:rPr>
                  </w:pPr>
                  <w:r>
                    <w:rPr>
                      <w:rFonts w:hint="eastAsia" w:hAnsi="宋体"/>
                      <w:b/>
                      <w:bCs/>
                      <w:color w:val="000000" w:themeColor="text1"/>
                      <w:kern w:val="0"/>
                      <w:sz w:val="21"/>
                      <w:szCs w:val="21"/>
                      <w14:textFill>
                        <w14:solidFill>
                          <w14:schemeClr w14:val="tx1"/>
                        </w14:solidFill>
                      </w14:textFill>
                    </w:rPr>
                    <w:t>主要生产单元</w:t>
                  </w:r>
                </w:p>
              </w:tc>
              <w:tc>
                <w:tcPr>
                  <w:tcW w:w="1417" w:type="pct"/>
                  <w:noWrap/>
                  <w:vAlign w:val="center"/>
                </w:tcPr>
                <w:p w14:paraId="3F6B7E97">
                  <w:pPr>
                    <w:jc w:val="center"/>
                    <w:rPr>
                      <w:rFonts w:hAnsi="宋体"/>
                      <w:b/>
                      <w:bCs/>
                      <w:color w:val="000000" w:themeColor="text1"/>
                      <w:kern w:val="0"/>
                      <w:sz w:val="21"/>
                      <w:szCs w:val="21"/>
                      <w14:textFill>
                        <w14:solidFill>
                          <w14:schemeClr w14:val="tx1"/>
                        </w14:solidFill>
                      </w14:textFill>
                    </w:rPr>
                  </w:pPr>
                  <w:r>
                    <w:rPr>
                      <w:rFonts w:hint="eastAsia" w:hAnsi="宋体"/>
                      <w:b/>
                      <w:bCs/>
                      <w:color w:val="000000" w:themeColor="text1"/>
                      <w:kern w:val="0"/>
                      <w:sz w:val="21"/>
                      <w:szCs w:val="21"/>
                      <w14:textFill>
                        <w14:solidFill>
                          <w14:schemeClr w14:val="tx1"/>
                        </w14:solidFill>
                      </w14:textFill>
                    </w:rPr>
                    <w:t>生产设施</w:t>
                  </w:r>
                </w:p>
              </w:tc>
              <w:tc>
                <w:tcPr>
                  <w:tcW w:w="863" w:type="pct"/>
                  <w:vAlign w:val="center"/>
                </w:tcPr>
                <w:p w14:paraId="6A0FD856">
                  <w:pPr>
                    <w:jc w:val="center"/>
                    <w:rPr>
                      <w:rFonts w:hAnsi="宋体"/>
                      <w:b/>
                      <w:bCs/>
                      <w:color w:val="000000" w:themeColor="text1"/>
                      <w:kern w:val="0"/>
                      <w:sz w:val="21"/>
                      <w:szCs w:val="21"/>
                      <w14:textFill>
                        <w14:solidFill>
                          <w14:schemeClr w14:val="tx1"/>
                        </w14:solidFill>
                      </w14:textFill>
                    </w:rPr>
                  </w:pPr>
                  <w:r>
                    <w:rPr>
                      <w:rFonts w:hint="eastAsia" w:hAnsi="宋体"/>
                      <w:b/>
                      <w:bCs/>
                      <w:color w:val="000000" w:themeColor="text1"/>
                      <w:kern w:val="0"/>
                      <w:sz w:val="21"/>
                      <w:szCs w:val="21"/>
                      <w14:textFill>
                        <w14:solidFill>
                          <w14:schemeClr w14:val="tx1"/>
                        </w14:solidFill>
                      </w14:textFill>
                    </w:rPr>
                    <w:t>设施参数（处理能力t/d）</w:t>
                  </w:r>
                </w:p>
              </w:tc>
              <w:tc>
                <w:tcPr>
                  <w:tcW w:w="610" w:type="pct"/>
                  <w:vAlign w:val="center"/>
                </w:tcPr>
                <w:p w14:paraId="71D03570">
                  <w:pPr>
                    <w:jc w:val="center"/>
                    <w:rPr>
                      <w:rFonts w:hAnsi="宋体"/>
                      <w:b/>
                      <w:bCs/>
                      <w:color w:val="000000" w:themeColor="text1"/>
                      <w:kern w:val="0"/>
                      <w:sz w:val="21"/>
                      <w:szCs w:val="21"/>
                      <w14:textFill>
                        <w14:solidFill>
                          <w14:schemeClr w14:val="tx1"/>
                        </w14:solidFill>
                      </w14:textFill>
                    </w:rPr>
                  </w:pPr>
                  <w:r>
                    <w:rPr>
                      <w:rFonts w:hint="eastAsia" w:hAnsi="宋体"/>
                      <w:b/>
                      <w:bCs/>
                      <w:color w:val="000000" w:themeColor="text1"/>
                      <w:kern w:val="0"/>
                      <w:sz w:val="21"/>
                      <w:szCs w:val="21"/>
                      <w14:textFill>
                        <w14:solidFill>
                          <w14:schemeClr w14:val="tx1"/>
                        </w14:solidFill>
                      </w14:textFill>
                    </w:rPr>
                    <w:t>数量</w:t>
                  </w:r>
                </w:p>
              </w:tc>
              <w:tc>
                <w:tcPr>
                  <w:tcW w:w="895" w:type="pct"/>
                  <w:vAlign w:val="center"/>
                </w:tcPr>
                <w:p w14:paraId="5B444F9E">
                  <w:pPr>
                    <w:jc w:val="center"/>
                    <w:rPr>
                      <w:rFonts w:hAnsi="宋体"/>
                      <w:b/>
                      <w:bCs/>
                      <w:color w:val="000000" w:themeColor="text1"/>
                      <w:kern w:val="0"/>
                      <w:sz w:val="21"/>
                      <w:szCs w:val="21"/>
                      <w14:textFill>
                        <w14:solidFill>
                          <w14:schemeClr w14:val="tx1"/>
                        </w14:solidFill>
                      </w14:textFill>
                    </w:rPr>
                  </w:pPr>
                  <w:r>
                    <w:rPr>
                      <w:rFonts w:hint="eastAsia" w:hAnsi="宋体"/>
                      <w:b/>
                      <w:bCs/>
                      <w:color w:val="000000" w:themeColor="text1"/>
                      <w:kern w:val="0"/>
                      <w:sz w:val="21"/>
                      <w:szCs w:val="21"/>
                      <w14:textFill>
                        <w14:solidFill>
                          <w14:schemeClr w14:val="tx1"/>
                        </w14:solidFill>
                      </w14:textFill>
                    </w:rPr>
                    <w:t>备注</w:t>
                  </w:r>
                </w:p>
              </w:tc>
            </w:tr>
            <w:tr w14:paraId="5B65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7513863E">
                  <w:pPr>
                    <w:widowControl/>
                    <w:jc w:val="center"/>
                    <w:rPr>
                      <w:color w:val="000000" w:themeColor="text1"/>
                      <w:kern w:val="0"/>
                      <w:sz w:val="21"/>
                      <w:szCs w:val="21"/>
                      <w14:textFill>
                        <w14:solidFill>
                          <w14:schemeClr w14:val="tx1"/>
                        </w14:solidFill>
                      </w14:textFill>
                    </w:rPr>
                  </w:pPr>
                  <w:r>
                    <w:rPr>
                      <w:color w:val="000000" w:themeColor="text1"/>
                      <w:sz w:val="21"/>
                      <w:szCs w:val="21"/>
                      <w14:textFill>
                        <w14:solidFill>
                          <w14:schemeClr w14:val="tx1"/>
                        </w14:solidFill>
                      </w14:textFill>
                    </w:rPr>
                    <w:t>1</w:t>
                  </w:r>
                </w:p>
              </w:tc>
              <w:tc>
                <w:tcPr>
                  <w:tcW w:w="810" w:type="pct"/>
                  <w:vMerge w:val="restart"/>
                  <w:vAlign w:val="center"/>
                </w:tcPr>
                <w:p w14:paraId="37AFAFAC">
                  <w:pPr>
                    <w:widowControl/>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原料清洗</w:t>
                  </w:r>
                </w:p>
              </w:tc>
              <w:tc>
                <w:tcPr>
                  <w:tcW w:w="1417" w:type="pct"/>
                  <w:noWrap/>
                  <w:vAlign w:val="center"/>
                </w:tcPr>
                <w:p w14:paraId="0684BAD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泡菜池</w:t>
                  </w:r>
                </w:p>
              </w:tc>
              <w:tc>
                <w:tcPr>
                  <w:tcW w:w="863" w:type="pct"/>
                  <w:noWrap/>
                  <w:vAlign w:val="center"/>
                </w:tcPr>
                <w:p w14:paraId="6626F05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p>
              </w:tc>
              <w:tc>
                <w:tcPr>
                  <w:tcW w:w="610" w:type="pct"/>
                  <w:vAlign w:val="center"/>
                </w:tcPr>
                <w:p w14:paraId="7AF272EE">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1</w:t>
                  </w:r>
                </w:p>
              </w:tc>
              <w:tc>
                <w:tcPr>
                  <w:tcW w:w="895" w:type="pct"/>
                  <w:vAlign w:val="center"/>
                </w:tcPr>
                <w:p w14:paraId="7F89A4E5">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6F2A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68921A9D">
                  <w:pPr>
                    <w:widowControl/>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p>
              </w:tc>
              <w:tc>
                <w:tcPr>
                  <w:tcW w:w="810" w:type="pct"/>
                  <w:vMerge w:val="continue"/>
                  <w:vAlign w:val="center"/>
                </w:tcPr>
                <w:p w14:paraId="4BEC1DB3">
                  <w:pPr>
                    <w:widowControl/>
                    <w:jc w:val="center"/>
                    <w:rPr>
                      <w:color w:val="000000" w:themeColor="text1"/>
                      <w:sz w:val="21"/>
                      <w:szCs w:val="21"/>
                      <w14:textFill>
                        <w14:solidFill>
                          <w14:schemeClr w14:val="tx1"/>
                        </w14:solidFill>
                      </w14:textFill>
                    </w:rPr>
                  </w:pPr>
                </w:p>
              </w:tc>
              <w:tc>
                <w:tcPr>
                  <w:tcW w:w="1417" w:type="pct"/>
                  <w:noWrap/>
                  <w:vAlign w:val="center"/>
                </w:tcPr>
                <w:p w14:paraId="17D0B4B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洗菜机</w:t>
                  </w:r>
                </w:p>
              </w:tc>
              <w:tc>
                <w:tcPr>
                  <w:tcW w:w="863" w:type="pct"/>
                  <w:noWrap/>
                  <w:vAlign w:val="center"/>
                </w:tcPr>
                <w:p w14:paraId="60CA863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p>
              </w:tc>
              <w:tc>
                <w:tcPr>
                  <w:tcW w:w="610" w:type="pct"/>
                  <w:vAlign w:val="center"/>
                </w:tcPr>
                <w:p w14:paraId="58F265D1">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1</w:t>
                  </w:r>
                </w:p>
              </w:tc>
              <w:tc>
                <w:tcPr>
                  <w:tcW w:w="895" w:type="pct"/>
                  <w:vAlign w:val="center"/>
                </w:tcPr>
                <w:p w14:paraId="71DF5EAF">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1A54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2CAEC6DD">
                  <w:pPr>
                    <w:widowControl/>
                    <w:jc w:val="center"/>
                    <w:rPr>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p>
              </w:tc>
              <w:tc>
                <w:tcPr>
                  <w:tcW w:w="810" w:type="pct"/>
                  <w:vAlign w:val="center"/>
                </w:tcPr>
                <w:p w14:paraId="633A8FCB">
                  <w:pPr>
                    <w:widowControl/>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调味</w:t>
                  </w:r>
                </w:p>
              </w:tc>
              <w:tc>
                <w:tcPr>
                  <w:tcW w:w="1417" w:type="pct"/>
                  <w:shd w:val="clear" w:color="auto" w:fill="auto"/>
                  <w:noWrap/>
                  <w:vAlign w:val="center"/>
                </w:tcPr>
                <w:p w14:paraId="0558D3C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拌料机</w:t>
                  </w:r>
                </w:p>
              </w:tc>
              <w:tc>
                <w:tcPr>
                  <w:tcW w:w="863" w:type="pct"/>
                  <w:noWrap/>
                  <w:vAlign w:val="center"/>
                </w:tcPr>
                <w:p w14:paraId="6125EB27">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6.5</w:t>
                  </w:r>
                </w:p>
              </w:tc>
              <w:tc>
                <w:tcPr>
                  <w:tcW w:w="610" w:type="pct"/>
                  <w:vAlign w:val="center"/>
                </w:tcPr>
                <w:p w14:paraId="2B932D0B">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1</w:t>
                  </w:r>
                </w:p>
              </w:tc>
              <w:tc>
                <w:tcPr>
                  <w:tcW w:w="895" w:type="pct"/>
                  <w:vAlign w:val="center"/>
                </w:tcPr>
                <w:p w14:paraId="7D840B1A">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7CE7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4AA2B18F">
                  <w:pPr>
                    <w:widowControl/>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w:t>
                  </w:r>
                </w:p>
              </w:tc>
              <w:tc>
                <w:tcPr>
                  <w:tcW w:w="810" w:type="pct"/>
                  <w:vMerge w:val="restart"/>
                  <w:vAlign w:val="center"/>
                </w:tcPr>
                <w:p w14:paraId="1FEE8205">
                  <w:pPr>
                    <w:widowControl/>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烹饪</w:t>
                  </w:r>
                </w:p>
              </w:tc>
              <w:tc>
                <w:tcPr>
                  <w:tcW w:w="1417" w:type="pct"/>
                  <w:shd w:val="clear" w:color="auto" w:fill="auto"/>
                  <w:noWrap/>
                  <w:vAlign w:val="center"/>
                </w:tcPr>
                <w:p w14:paraId="0392012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醒面机</w:t>
                  </w:r>
                </w:p>
              </w:tc>
              <w:tc>
                <w:tcPr>
                  <w:tcW w:w="863" w:type="pct"/>
                  <w:noWrap/>
                  <w:vAlign w:val="center"/>
                </w:tcPr>
                <w:p w14:paraId="016671B4">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4.8</w:t>
                  </w:r>
                </w:p>
              </w:tc>
              <w:tc>
                <w:tcPr>
                  <w:tcW w:w="610" w:type="pct"/>
                  <w:vAlign w:val="center"/>
                </w:tcPr>
                <w:p w14:paraId="032D7244">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895" w:type="pct"/>
                  <w:vAlign w:val="center"/>
                </w:tcPr>
                <w:p w14:paraId="3E317740">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56B7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pct"/>
                  <w:noWrap/>
                  <w:vAlign w:val="center"/>
                </w:tcPr>
                <w:p w14:paraId="0815D3F6">
                  <w:pPr>
                    <w:widowControl/>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810" w:type="pct"/>
                  <w:vMerge w:val="continue"/>
                  <w:vAlign w:val="center"/>
                </w:tcPr>
                <w:p w14:paraId="23EEB626">
                  <w:pPr>
                    <w:widowControl/>
                    <w:jc w:val="center"/>
                    <w:rPr>
                      <w:color w:val="000000" w:themeColor="text1"/>
                      <w:sz w:val="21"/>
                      <w:szCs w:val="21"/>
                      <w14:textFill>
                        <w14:solidFill>
                          <w14:schemeClr w14:val="tx1"/>
                        </w14:solidFill>
                      </w14:textFill>
                    </w:rPr>
                  </w:pPr>
                </w:p>
              </w:tc>
              <w:tc>
                <w:tcPr>
                  <w:tcW w:w="1417" w:type="pct"/>
                  <w:shd w:val="clear" w:color="auto" w:fill="auto"/>
                  <w:noWrap/>
                  <w:vAlign w:val="center"/>
                </w:tcPr>
                <w:p w14:paraId="58C609A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切菜机</w:t>
                  </w:r>
                </w:p>
              </w:tc>
              <w:tc>
                <w:tcPr>
                  <w:tcW w:w="863" w:type="pct"/>
                  <w:noWrap/>
                  <w:vAlign w:val="center"/>
                </w:tcPr>
                <w:p w14:paraId="73CB745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2.5</w:t>
                  </w:r>
                </w:p>
              </w:tc>
              <w:tc>
                <w:tcPr>
                  <w:tcW w:w="610" w:type="pct"/>
                  <w:vAlign w:val="center"/>
                </w:tcPr>
                <w:p w14:paraId="2BE379F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p>
              </w:tc>
              <w:tc>
                <w:tcPr>
                  <w:tcW w:w="895" w:type="pct"/>
                  <w:vAlign w:val="center"/>
                </w:tcPr>
                <w:p w14:paraId="3123A747">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5BC0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0DB3FB2F">
                  <w:pPr>
                    <w:widowControl/>
                    <w:jc w:val="center"/>
                    <w:rPr>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6</w:t>
                  </w:r>
                </w:p>
              </w:tc>
              <w:tc>
                <w:tcPr>
                  <w:tcW w:w="810" w:type="pct"/>
                  <w:vMerge w:val="continue"/>
                  <w:vAlign w:val="center"/>
                </w:tcPr>
                <w:p w14:paraId="69772667">
                  <w:pPr>
                    <w:widowControl/>
                    <w:jc w:val="center"/>
                    <w:rPr>
                      <w:color w:val="000000" w:themeColor="text1"/>
                      <w:sz w:val="21"/>
                      <w:szCs w:val="21"/>
                      <w14:textFill>
                        <w14:solidFill>
                          <w14:schemeClr w14:val="tx1"/>
                        </w14:solidFill>
                      </w14:textFill>
                    </w:rPr>
                  </w:pPr>
                </w:p>
              </w:tc>
              <w:tc>
                <w:tcPr>
                  <w:tcW w:w="1417" w:type="pct"/>
                  <w:shd w:val="clear" w:color="auto" w:fill="auto"/>
                  <w:noWrap/>
                  <w:vAlign w:val="center"/>
                </w:tcPr>
                <w:p w14:paraId="1A917E1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面筋成型机</w:t>
                  </w:r>
                </w:p>
              </w:tc>
              <w:tc>
                <w:tcPr>
                  <w:tcW w:w="863" w:type="pct"/>
                  <w:noWrap/>
                  <w:vAlign w:val="center"/>
                </w:tcPr>
                <w:p w14:paraId="3BAF4CB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610" w:type="pct"/>
                  <w:vAlign w:val="center"/>
                </w:tcPr>
                <w:p w14:paraId="0E5602E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895" w:type="pct"/>
                  <w:vAlign w:val="center"/>
                </w:tcPr>
                <w:p w14:paraId="26705C44">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0B04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7B924CAD">
                  <w:pPr>
                    <w:widowControl/>
                    <w:jc w:val="center"/>
                    <w:rPr>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7</w:t>
                  </w:r>
                </w:p>
              </w:tc>
              <w:tc>
                <w:tcPr>
                  <w:tcW w:w="810" w:type="pct"/>
                  <w:vMerge w:val="continue"/>
                  <w:vAlign w:val="center"/>
                </w:tcPr>
                <w:p w14:paraId="7B5FA70F">
                  <w:pPr>
                    <w:widowControl/>
                    <w:jc w:val="center"/>
                    <w:rPr>
                      <w:color w:val="000000" w:themeColor="text1"/>
                      <w:sz w:val="21"/>
                      <w:szCs w:val="21"/>
                      <w14:textFill>
                        <w14:solidFill>
                          <w14:schemeClr w14:val="tx1"/>
                        </w14:solidFill>
                      </w14:textFill>
                    </w:rPr>
                  </w:pPr>
                </w:p>
              </w:tc>
              <w:tc>
                <w:tcPr>
                  <w:tcW w:w="1417" w:type="pct"/>
                  <w:shd w:val="clear" w:color="auto" w:fill="auto"/>
                  <w:noWrap/>
                  <w:vAlign w:val="center"/>
                </w:tcPr>
                <w:p w14:paraId="1B9FBB0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不锈钢蒸锅</w:t>
                  </w:r>
                </w:p>
              </w:tc>
              <w:tc>
                <w:tcPr>
                  <w:tcW w:w="863" w:type="pct"/>
                  <w:noWrap/>
                  <w:vAlign w:val="center"/>
                </w:tcPr>
                <w:p w14:paraId="3911C38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610" w:type="pct"/>
                  <w:vAlign w:val="center"/>
                </w:tcPr>
                <w:p w14:paraId="04030AA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w:t>
                  </w:r>
                </w:p>
              </w:tc>
              <w:tc>
                <w:tcPr>
                  <w:tcW w:w="895" w:type="pct"/>
                  <w:vAlign w:val="center"/>
                </w:tcPr>
                <w:p w14:paraId="23764C9D">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0BD5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6EA0B548">
                  <w:pPr>
                    <w:widowControl/>
                    <w:jc w:val="center"/>
                    <w:rPr>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8</w:t>
                  </w:r>
                </w:p>
              </w:tc>
              <w:tc>
                <w:tcPr>
                  <w:tcW w:w="810" w:type="pct"/>
                  <w:vMerge w:val="continue"/>
                  <w:vAlign w:val="center"/>
                </w:tcPr>
                <w:p w14:paraId="0E46E1FB">
                  <w:pPr>
                    <w:widowControl/>
                    <w:jc w:val="center"/>
                    <w:rPr>
                      <w:color w:val="000000" w:themeColor="text1"/>
                      <w:sz w:val="21"/>
                      <w:szCs w:val="21"/>
                      <w14:textFill>
                        <w14:solidFill>
                          <w14:schemeClr w14:val="tx1"/>
                        </w14:solidFill>
                      </w14:textFill>
                    </w:rPr>
                  </w:pPr>
                </w:p>
              </w:tc>
              <w:tc>
                <w:tcPr>
                  <w:tcW w:w="1417" w:type="pct"/>
                  <w:shd w:val="clear" w:color="auto" w:fill="auto"/>
                  <w:noWrap/>
                  <w:vAlign w:val="center"/>
                </w:tcPr>
                <w:p w14:paraId="73798CC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夹层锅</w:t>
                  </w:r>
                </w:p>
              </w:tc>
              <w:tc>
                <w:tcPr>
                  <w:tcW w:w="863" w:type="pct"/>
                  <w:noWrap/>
                  <w:vAlign w:val="center"/>
                </w:tcPr>
                <w:p w14:paraId="296BDDA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610" w:type="pct"/>
                  <w:vAlign w:val="center"/>
                </w:tcPr>
                <w:p w14:paraId="51F1FCD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w:t>
                  </w:r>
                </w:p>
              </w:tc>
              <w:tc>
                <w:tcPr>
                  <w:tcW w:w="895" w:type="pct"/>
                  <w:vAlign w:val="center"/>
                </w:tcPr>
                <w:p w14:paraId="059EA486">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5107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6F8E3502">
                  <w:pPr>
                    <w:widowControl/>
                    <w:jc w:val="center"/>
                    <w:rPr>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9</w:t>
                  </w:r>
                </w:p>
              </w:tc>
              <w:tc>
                <w:tcPr>
                  <w:tcW w:w="810" w:type="pct"/>
                  <w:vMerge w:val="continue"/>
                  <w:vAlign w:val="center"/>
                </w:tcPr>
                <w:p w14:paraId="37F1BD72">
                  <w:pPr>
                    <w:widowControl/>
                    <w:jc w:val="center"/>
                    <w:rPr>
                      <w:color w:val="000000" w:themeColor="text1"/>
                      <w:sz w:val="21"/>
                      <w:szCs w:val="21"/>
                      <w14:textFill>
                        <w14:solidFill>
                          <w14:schemeClr w14:val="tx1"/>
                        </w14:solidFill>
                      </w14:textFill>
                    </w:rPr>
                  </w:pPr>
                </w:p>
              </w:tc>
              <w:tc>
                <w:tcPr>
                  <w:tcW w:w="1417" w:type="pct"/>
                  <w:shd w:val="clear" w:color="auto" w:fill="auto"/>
                  <w:noWrap/>
                  <w:vAlign w:val="center"/>
                </w:tcPr>
                <w:p w14:paraId="5996AB6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电加热油炸锅</w:t>
                  </w:r>
                </w:p>
              </w:tc>
              <w:tc>
                <w:tcPr>
                  <w:tcW w:w="863" w:type="pct"/>
                  <w:noWrap/>
                  <w:vAlign w:val="center"/>
                </w:tcPr>
                <w:p w14:paraId="00DE53D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w:t>
                  </w:r>
                </w:p>
              </w:tc>
              <w:tc>
                <w:tcPr>
                  <w:tcW w:w="610" w:type="pct"/>
                  <w:vAlign w:val="center"/>
                </w:tcPr>
                <w:p w14:paraId="4C41C52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p>
              </w:tc>
              <w:tc>
                <w:tcPr>
                  <w:tcW w:w="895" w:type="pct"/>
                  <w:vAlign w:val="center"/>
                </w:tcPr>
                <w:p w14:paraId="542B54F6">
                  <w:pPr>
                    <w:jc w:val="center"/>
                    <w:rPr>
                      <w:rFonts w:hint="default" w:eastAsia="宋体"/>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新增</w:t>
                  </w:r>
                </w:p>
              </w:tc>
            </w:tr>
            <w:tr w14:paraId="3406D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07ACF90A">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10</w:t>
                  </w:r>
                </w:p>
              </w:tc>
              <w:tc>
                <w:tcPr>
                  <w:tcW w:w="810" w:type="pct"/>
                  <w:vMerge w:val="restart"/>
                  <w:vAlign w:val="center"/>
                </w:tcPr>
                <w:p w14:paraId="1F2540CB">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杀菌</w:t>
                  </w:r>
                </w:p>
              </w:tc>
              <w:tc>
                <w:tcPr>
                  <w:tcW w:w="1417" w:type="pct"/>
                  <w:shd w:val="clear" w:color="auto" w:fill="auto"/>
                  <w:noWrap/>
                  <w:vAlign w:val="center"/>
                </w:tcPr>
                <w:p w14:paraId="3F40522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卧式杀菌锅</w:t>
                  </w:r>
                </w:p>
              </w:tc>
              <w:tc>
                <w:tcPr>
                  <w:tcW w:w="863" w:type="pct"/>
                  <w:noWrap/>
                  <w:vAlign w:val="center"/>
                </w:tcPr>
                <w:p w14:paraId="38D2E7F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6.5</w:t>
                  </w:r>
                </w:p>
              </w:tc>
              <w:tc>
                <w:tcPr>
                  <w:tcW w:w="610" w:type="pct"/>
                  <w:vAlign w:val="center"/>
                </w:tcPr>
                <w:p w14:paraId="1ECE872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p>
              </w:tc>
              <w:tc>
                <w:tcPr>
                  <w:tcW w:w="895" w:type="pct"/>
                  <w:vAlign w:val="center"/>
                </w:tcPr>
                <w:p w14:paraId="1A631A08">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0105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6BBC500A">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11</w:t>
                  </w:r>
                </w:p>
              </w:tc>
              <w:tc>
                <w:tcPr>
                  <w:tcW w:w="810" w:type="pct"/>
                  <w:vMerge w:val="continue"/>
                  <w:vAlign w:val="center"/>
                </w:tcPr>
                <w:p w14:paraId="2F329958">
                  <w:pPr>
                    <w:widowControl/>
                    <w:jc w:val="center"/>
                    <w:rPr>
                      <w:color w:val="000000" w:themeColor="text1"/>
                      <w:kern w:val="0"/>
                      <w:sz w:val="21"/>
                      <w:szCs w:val="21"/>
                      <w14:textFill>
                        <w14:solidFill>
                          <w14:schemeClr w14:val="tx1"/>
                        </w14:solidFill>
                      </w14:textFill>
                    </w:rPr>
                  </w:pPr>
                </w:p>
              </w:tc>
              <w:tc>
                <w:tcPr>
                  <w:tcW w:w="1417" w:type="pct"/>
                  <w:shd w:val="clear" w:color="auto" w:fill="auto"/>
                  <w:noWrap/>
                  <w:vAlign w:val="center"/>
                </w:tcPr>
                <w:p w14:paraId="14970784">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紫外杀菌灯</w:t>
                  </w:r>
                </w:p>
              </w:tc>
              <w:tc>
                <w:tcPr>
                  <w:tcW w:w="863" w:type="pct"/>
                  <w:noWrap/>
                  <w:vAlign w:val="center"/>
                </w:tcPr>
                <w:p w14:paraId="230346D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w:t>
                  </w:r>
                </w:p>
              </w:tc>
              <w:tc>
                <w:tcPr>
                  <w:tcW w:w="610" w:type="pct"/>
                  <w:vAlign w:val="center"/>
                </w:tcPr>
                <w:p w14:paraId="7850492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w:t>
                  </w:r>
                </w:p>
              </w:tc>
              <w:tc>
                <w:tcPr>
                  <w:tcW w:w="895" w:type="pct"/>
                  <w:vAlign w:val="center"/>
                </w:tcPr>
                <w:p w14:paraId="17733B46">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66A9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11CF9B9E">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12</w:t>
                  </w:r>
                </w:p>
              </w:tc>
              <w:tc>
                <w:tcPr>
                  <w:tcW w:w="810" w:type="pct"/>
                  <w:vMerge w:val="restart"/>
                  <w:vAlign w:val="center"/>
                </w:tcPr>
                <w:p w14:paraId="42F40CB4">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包装</w:t>
                  </w:r>
                </w:p>
              </w:tc>
              <w:tc>
                <w:tcPr>
                  <w:tcW w:w="1417" w:type="pct"/>
                  <w:shd w:val="clear" w:color="auto" w:fill="auto"/>
                  <w:noWrap/>
                  <w:vAlign w:val="center"/>
                </w:tcPr>
                <w:p w14:paraId="7B40A97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灌装机</w:t>
                  </w:r>
                </w:p>
              </w:tc>
              <w:tc>
                <w:tcPr>
                  <w:tcW w:w="863" w:type="pct"/>
                  <w:noWrap/>
                  <w:vAlign w:val="center"/>
                </w:tcPr>
                <w:p w14:paraId="1C34641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610" w:type="pct"/>
                  <w:vAlign w:val="center"/>
                </w:tcPr>
                <w:p w14:paraId="2DA6D47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895" w:type="pct"/>
                  <w:vAlign w:val="center"/>
                </w:tcPr>
                <w:p w14:paraId="0FF81BB5">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10E9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7B903F2F">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13</w:t>
                  </w:r>
                </w:p>
              </w:tc>
              <w:tc>
                <w:tcPr>
                  <w:tcW w:w="810" w:type="pct"/>
                  <w:vMerge w:val="continue"/>
                  <w:vAlign w:val="center"/>
                </w:tcPr>
                <w:p w14:paraId="67CDAAEE">
                  <w:pPr>
                    <w:widowControl/>
                    <w:jc w:val="center"/>
                    <w:rPr>
                      <w:color w:val="000000" w:themeColor="text1"/>
                      <w:kern w:val="0"/>
                      <w:sz w:val="21"/>
                      <w:szCs w:val="21"/>
                      <w14:textFill>
                        <w14:solidFill>
                          <w14:schemeClr w14:val="tx1"/>
                        </w14:solidFill>
                      </w14:textFill>
                    </w:rPr>
                  </w:pPr>
                </w:p>
              </w:tc>
              <w:tc>
                <w:tcPr>
                  <w:tcW w:w="1417" w:type="pct"/>
                  <w:shd w:val="clear" w:color="auto" w:fill="auto"/>
                  <w:noWrap/>
                  <w:vAlign w:val="center"/>
                </w:tcPr>
                <w:p w14:paraId="6642EB97">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真空旋盖机</w:t>
                  </w:r>
                </w:p>
              </w:tc>
              <w:tc>
                <w:tcPr>
                  <w:tcW w:w="863" w:type="pct"/>
                  <w:noWrap/>
                  <w:vAlign w:val="center"/>
                </w:tcPr>
                <w:p w14:paraId="74E60BA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610" w:type="pct"/>
                  <w:vAlign w:val="center"/>
                </w:tcPr>
                <w:p w14:paraId="510245C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895" w:type="pct"/>
                  <w:vAlign w:val="center"/>
                </w:tcPr>
                <w:p w14:paraId="0634BC5B">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2E83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520050EF">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14</w:t>
                  </w:r>
                </w:p>
              </w:tc>
              <w:tc>
                <w:tcPr>
                  <w:tcW w:w="810" w:type="pct"/>
                  <w:vMerge w:val="continue"/>
                  <w:vAlign w:val="center"/>
                </w:tcPr>
                <w:p w14:paraId="5FA26D81">
                  <w:pPr>
                    <w:widowControl/>
                    <w:jc w:val="center"/>
                    <w:rPr>
                      <w:color w:val="000000" w:themeColor="text1"/>
                      <w:kern w:val="0"/>
                      <w:sz w:val="21"/>
                      <w:szCs w:val="21"/>
                      <w14:textFill>
                        <w14:solidFill>
                          <w14:schemeClr w14:val="tx1"/>
                        </w14:solidFill>
                      </w14:textFill>
                    </w:rPr>
                  </w:pPr>
                </w:p>
              </w:tc>
              <w:tc>
                <w:tcPr>
                  <w:tcW w:w="1417" w:type="pct"/>
                  <w:shd w:val="clear" w:color="auto" w:fill="auto"/>
                  <w:noWrap/>
                  <w:vAlign w:val="center"/>
                </w:tcPr>
                <w:p w14:paraId="6D3E241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给袋式真空包装机</w:t>
                  </w:r>
                </w:p>
              </w:tc>
              <w:tc>
                <w:tcPr>
                  <w:tcW w:w="863" w:type="pct"/>
                  <w:noWrap/>
                  <w:vAlign w:val="center"/>
                </w:tcPr>
                <w:p w14:paraId="70D959B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3.5</w:t>
                  </w:r>
                </w:p>
              </w:tc>
              <w:tc>
                <w:tcPr>
                  <w:tcW w:w="610" w:type="pct"/>
                  <w:vAlign w:val="center"/>
                </w:tcPr>
                <w:p w14:paraId="4BB217A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w:t>
                  </w:r>
                </w:p>
              </w:tc>
              <w:tc>
                <w:tcPr>
                  <w:tcW w:w="895" w:type="pct"/>
                  <w:vAlign w:val="center"/>
                </w:tcPr>
                <w:p w14:paraId="7BABCCA3">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7FAF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4CE1ECB6">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15</w:t>
                  </w:r>
                </w:p>
              </w:tc>
              <w:tc>
                <w:tcPr>
                  <w:tcW w:w="810" w:type="pct"/>
                  <w:vMerge w:val="continue"/>
                  <w:vAlign w:val="center"/>
                </w:tcPr>
                <w:p w14:paraId="3F606D1A">
                  <w:pPr>
                    <w:widowControl/>
                    <w:jc w:val="center"/>
                    <w:rPr>
                      <w:color w:val="000000" w:themeColor="text1"/>
                      <w:kern w:val="0"/>
                      <w:sz w:val="21"/>
                      <w:szCs w:val="21"/>
                      <w14:textFill>
                        <w14:solidFill>
                          <w14:schemeClr w14:val="tx1"/>
                        </w14:solidFill>
                      </w14:textFill>
                    </w:rPr>
                  </w:pPr>
                </w:p>
              </w:tc>
              <w:tc>
                <w:tcPr>
                  <w:tcW w:w="1417" w:type="pct"/>
                  <w:shd w:val="clear" w:color="auto" w:fill="auto"/>
                  <w:noWrap/>
                  <w:vAlign w:val="center"/>
                </w:tcPr>
                <w:p w14:paraId="512E992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真空包装袋清洗风干机</w:t>
                  </w:r>
                </w:p>
              </w:tc>
              <w:tc>
                <w:tcPr>
                  <w:tcW w:w="863" w:type="pct"/>
                  <w:noWrap/>
                  <w:vAlign w:val="center"/>
                </w:tcPr>
                <w:p w14:paraId="3C596BF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3.5</w:t>
                  </w:r>
                </w:p>
              </w:tc>
              <w:tc>
                <w:tcPr>
                  <w:tcW w:w="610" w:type="pct"/>
                  <w:vAlign w:val="center"/>
                </w:tcPr>
                <w:p w14:paraId="5D83375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895" w:type="pct"/>
                  <w:vAlign w:val="center"/>
                </w:tcPr>
                <w:p w14:paraId="744FD738">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09B6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02" w:type="pct"/>
                  <w:noWrap/>
                  <w:vAlign w:val="center"/>
                </w:tcPr>
                <w:p w14:paraId="370BDBA6">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16</w:t>
                  </w:r>
                </w:p>
              </w:tc>
              <w:tc>
                <w:tcPr>
                  <w:tcW w:w="810" w:type="pct"/>
                  <w:vMerge w:val="continue"/>
                  <w:vAlign w:val="center"/>
                </w:tcPr>
                <w:p w14:paraId="0EB785F1">
                  <w:pPr>
                    <w:widowControl/>
                    <w:jc w:val="center"/>
                    <w:rPr>
                      <w:color w:val="000000" w:themeColor="text1"/>
                      <w:kern w:val="0"/>
                      <w:sz w:val="21"/>
                      <w:szCs w:val="21"/>
                      <w14:textFill>
                        <w14:solidFill>
                          <w14:schemeClr w14:val="tx1"/>
                        </w14:solidFill>
                      </w14:textFill>
                    </w:rPr>
                  </w:pPr>
                </w:p>
              </w:tc>
              <w:tc>
                <w:tcPr>
                  <w:tcW w:w="1417" w:type="pct"/>
                  <w:shd w:val="clear" w:color="auto" w:fill="auto"/>
                  <w:noWrap/>
                  <w:vAlign w:val="center"/>
                </w:tcPr>
                <w:p w14:paraId="2640AA3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异形瓶真空自动封口机</w:t>
                  </w:r>
                </w:p>
              </w:tc>
              <w:tc>
                <w:tcPr>
                  <w:tcW w:w="863" w:type="pct"/>
                  <w:noWrap/>
                  <w:vAlign w:val="center"/>
                </w:tcPr>
                <w:p w14:paraId="436647A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610" w:type="pct"/>
                  <w:vAlign w:val="center"/>
                </w:tcPr>
                <w:p w14:paraId="4948414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895" w:type="pct"/>
                  <w:vAlign w:val="center"/>
                </w:tcPr>
                <w:p w14:paraId="71779919">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6FD8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4A834673">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17</w:t>
                  </w:r>
                </w:p>
              </w:tc>
              <w:tc>
                <w:tcPr>
                  <w:tcW w:w="810" w:type="pct"/>
                  <w:vMerge w:val="restart"/>
                  <w:vAlign w:val="center"/>
                </w:tcPr>
                <w:p w14:paraId="46217469">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包装后清洗</w:t>
                  </w:r>
                </w:p>
              </w:tc>
              <w:tc>
                <w:tcPr>
                  <w:tcW w:w="1417" w:type="pct"/>
                  <w:shd w:val="clear" w:color="auto" w:fill="auto"/>
                  <w:noWrap/>
                  <w:vAlign w:val="center"/>
                </w:tcPr>
                <w:p w14:paraId="4ED2B854">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一体式洗瓶机</w:t>
                  </w:r>
                </w:p>
              </w:tc>
              <w:tc>
                <w:tcPr>
                  <w:tcW w:w="863" w:type="pct"/>
                  <w:noWrap/>
                  <w:vAlign w:val="center"/>
                </w:tcPr>
                <w:p w14:paraId="290B29CA">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6.5</w:t>
                  </w:r>
                </w:p>
              </w:tc>
              <w:tc>
                <w:tcPr>
                  <w:tcW w:w="610" w:type="pct"/>
                  <w:vAlign w:val="center"/>
                </w:tcPr>
                <w:p w14:paraId="4AA02CEB">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p>
              </w:tc>
              <w:tc>
                <w:tcPr>
                  <w:tcW w:w="895" w:type="pct"/>
                  <w:vAlign w:val="center"/>
                </w:tcPr>
                <w:p w14:paraId="1CAC8B4B">
                  <w:pPr>
                    <w:jc w:val="center"/>
                    <w:rPr>
                      <w:color w:val="000000" w:themeColor="text1"/>
                      <w:kern w:val="0"/>
                      <w:sz w:val="21"/>
                      <w:szCs w:val="21"/>
                      <w:highlight w:val="none"/>
                      <w:lang w:bidi="ar"/>
                      <w14:textFill>
                        <w14:solidFill>
                          <w14:schemeClr w14:val="tx1"/>
                        </w14:solidFill>
                      </w14:textFill>
                    </w:rPr>
                  </w:pPr>
                  <w:r>
                    <w:rPr>
                      <w:rFonts w:hint="eastAsia"/>
                      <w:color w:val="000000" w:themeColor="text1"/>
                      <w:kern w:val="0"/>
                      <w:sz w:val="21"/>
                      <w:szCs w:val="21"/>
                      <w:highlight w:val="none"/>
                      <w:lang w:bidi="ar"/>
                      <w14:textFill>
                        <w14:solidFill>
                          <w14:schemeClr w14:val="tx1"/>
                        </w14:solidFill>
                      </w14:textFill>
                    </w:rPr>
                    <w:t>新增</w:t>
                  </w:r>
                </w:p>
              </w:tc>
            </w:tr>
            <w:tr w14:paraId="729D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14DA6D16">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18</w:t>
                  </w:r>
                </w:p>
              </w:tc>
              <w:tc>
                <w:tcPr>
                  <w:tcW w:w="810" w:type="pct"/>
                  <w:vMerge w:val="continue"/>
                  <w:vAlign w:val="center"/>
                </w:tcPr>
                <w:p w14:paraId="45F7DCC4">
                  <w:pPr>
                    <w:widowControl/>
                    <w:jc w:val="center"/>
                    <w:rPr>
                      <w:color w:val="000000" w:themeColor="text1"/>
                      <w:kern w:val="0"/>
                      <w:sz w:val="21"/>
                      <w:szCs w:val="21"/>
                      <w14:textFill>
                        <w14:solidFill>
                          <w14:schemeClr w14:val="tx1"/>
                        </w14:solidFill>
                      </w14:textFill>
                    </w:rPr>
                  </w:pPr>
                </w:p>
              </w:tc>
              <w:tc>
                <w:tcPr>
                  <w:tcW w:w="1417" w:type="pct"/>
                  <w:shd w:val="clear" w:color="auto" w:fill="auto"/>
                  <w:noWrap/>
                  <w:vAlign w:val="center"/>
                </w:tcPr>
                <w:p w14:paraId="01B4A6BA">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滚筒式洗袋机</w:t>
                  </w:r>
                </w:p>
              </w:tc>
              <w:tc>
                <w:tcPr>
                  <w:tcW w:w="863" w:type="pct"/>
                  <w:noWrap/>
                  <w:vAlign w:val="center"/>
                </w:tcPr>
                <w:p w14:paraId="209DCDD5">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6.5</w:t>
                  </w:r>
                </w:p>
              </w:tc>
              <w:tc>
                <w:tcPr>
                  <w:tcW w:w="610" w:type="pct"/>
                  <w:vAlign w:val="center"/>
                </w:tcPr>
                <w:p w14:paraId="6E2A6220">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p>
              </w:tc>
              <w:tc>
                <w:tcPr>
                  <w:tcW w:w="895" w:type="pct"/>
                  <w:vAlign w:val="center"/>
                </w:tcPr>
                <w:p w14:paraId="0DCFC052">
                  <w:pPr>
                    <w:jc w:val="center"/>
                    <w:rPr>
                      <w:color w:val="000000" w:themeColor="text1"/>
                      <w:kern w:val="0"/>
                      <w:sz w:val="21"/>
                      <w:szCs w:val="21"/>
                      <w:highlight w:val="none"/>
                      <w:lang w:bidi="ar"/>
                      <w14:textFill>
                        <w14:solidFill>
                          <w14:schemeClr w14:val="tx1"/>
                        </w14:solidFill>
                      </w14:textFill>
                    </w:rPr>
                  </w:pPr>
                  <w:r>
                    <w:rPr>
                      <w:rFonts w:hint="eastAsia"/>
                      <w:color w:val="000000" w:themeColor="text1"/>
                      <w:kern w:val="0"/>
                      <w:sz w:val="21"/>
                      <w:szCs w:val="21"/>
                      <w:highlight w:val="none"/>
                      <w:lang w:bidi="ar"/>
                      <w14:textFill>
                        <w14:solidFill>
                          <w14:schemeClr w14:val="tx1"/>
                        </w14:solidFill>
                      </w14:textFill>
                    </w:rPr>
                    <w:t>新增</w:t>
                  </w:r>
                </w:p>
              </w:tc>
            </w:tr>
            <w:tr w14:paraId="73D4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40D2062F">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19</w:t>
                  </w:r>
                </w:p>
              </w:tc>
              <w:tc>
                <w:tcPr>
                  <w:tcW w:w="810" w:type="pct"/>
                  <w:vMerge w:val="continue"/>
                  <w:vAlign w:val="center"/>
                </w:tcPr>
                <w:p w14:paraId="5BD97CEE">
                  <w:pPr>
                    <w:widowControl/>
                    <w:jc w:val="center"/>
                    <w:rPr>
                      <w:color w:val="000000" w:themeColor="text1"/>
                      <w:kern w:val="0"/>
                      <w:sz w:val="21"/>
                      <w:szCs w:val="21"/>
                      <w14:textFill>
                        <w14:solidFill>
                          <w14:schemeClr w14:val="tx1"/>
                        </w14:solidFill>
                      </w14:textFill>
                    </w:rPr>
                  </w:pPr>
                </w:p>
              </w:tc>
              <w:tc>
                <w:tcPr>
                  <w:tcW w:w="1417" w:type="pct"/>
                  <w:shd w:val="clear" w:color="auto" w:fill="auto"/>
                  <w:noWrap/>
                  <w:vAlign w:val="center"/>
                </w:tcPr>
                <w:p w14:paraId="5EA0335F">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气泡清洗机</w:t>
                  </w:r>
                </w:p>
              </w:tc>
              <w:tc>
                <w:tcPr>
                  <w:tcW w:w="863" w:type="pct"/>
                  <w:noWrap/>
                  <w:vAlign w:val="center"/>
                </w:tcPr>
                <w:p w14:paraId="4B82188E">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w:t>
                  </w:r>
                </w:p>
              </w:tc>
              <w:tc>
                <w:tcPr>
                  <w:tcW w:w="610" w:type="pct"/>
                  <w:vAlign w:val="center"/>
                </w:tcPr>
                <w:p w14:paraId="6FBA1BFC">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p>
              </w:tc>
              <w:tc>
                <w:tcPr>
                  <w:tcW w:w="895" w:type="pct"/>
                  <w:vAlign w:val="center"/>
                </w:tcPr>
                <w:p w14:paraId="39394055">
                  <w:pPr>
                    <w:jc w:val="center"/>
                    <w:rPr>
                      <w:color w:val="000000" w:themeColor="text1"/>
                      <w:kern w:val="0"/>
                      <w:sz w:val="21"/>
                      <w:szCs w:val="21"/>
                      <w:highlight w:val="none"/>
                      <w:lang w:bidi="ar"/>
                      <w14:textFill>
                        <w14:solidFill>
                          <w14:schemeClr w14:val="tx1"/>
                        </w14:solidFill>
                      </w14:textFill>
                    </w:rPr>
                  </w:pPr>
                  <w:r>
                    <w:rPr>
                      <w:rFonts w:hint="eastAsia"/>
                      <w:color w:val="000000" w:themeColor="text1"/>
                      <w:kern w:val="0"/>
                      <w:sz w:val="21"/>
                      <w:szCs w:val="21"/>
                      <w:highlight w:val="none"/>
                      <w:lang w:bidi="ar"/>
                      <w14:textFill>
                        <w14:solidFill>
                          <w14:schemeClr w14:val="tx1"/>
                        </w14:solidFill>
                      </w14:textFill>
                    </w:rPr>
                    <w:t>新增</w:t>
                  </w:r>
                </w:p>
              </w:tc>
            </w:tr>
            <w:tr w14:paraId="0731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7CB19843">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20</w:t>
                  </w:r>
                </w:p>
              </w:tc>
              <w:tc>
                <w:tcPr>
                  <w:tcW w:w="810" w:type="pct"/>
                  <w:vMerge w:val="continue"/>
                  <w:vAlign w:val="center"/>
                </w:tcPr>
                <w:p w14:paraId="2536290A">
                  <w:pPr>
                    <w:widowControl/>
                    <w:jc w:val="center"/>
                    <w:rPr>
                      <w:color w:val="000000" w:themeColor="text1"/>
                      <w:kern w:val="0"/>
                      <w:sz w:val="21"/>
                      <w:szCs w:val="21"/>
                      <w14:textFill>
                        <w14:solidFill>
                          <w14:schemeClr w14:val="tx1"/>
                        </w14:solidFill>
                      </w14:textFill>
                    </w:rPr>
                  </w:pPr>
                </w:p>
              </w:tc>
              <w:tc>
                <w:tcPr>
                  <w:tcW w:w="1417" w:type="pct"/>
                  <w:shd w:val="clear" w:color="auto" w:fill="auto"/>
                  <w:noWrap/>
                  <w:vAlign w:val="center"/>
                </w:tcPr>
                <w:p w14:paraId="6BE5691E">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振动筛</w:t>
                  </w:r>
                </w:p>
              </w:tc>
              <w:tc>
                <w:tcPr>
                  <w:tcW w:w="863" w:type="pct"/>
                  <w:noWrap/>
                  <w:vAlign w:val="center"/>
                </w:tcPr>
                <w:p w14:paraId="313A5D1D">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6.5</w:t>
                  </w:r>
                </w:p>
              </w:tc>
              <w:tc>
                <w:tcPr>
                  <w:tcW w:w="610" w:type="pct"/>
                  <w:vAlign w:val="center"/>
                </w:tcPr>
                <w:p w14:paraId="4788776F">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p>
              </w:tc>
              <w:tc>
                <w:tcPr>
                  <w:tcW w:w="895" w:type="pct"/>
                  <w:vAlign w:val="center"/>
                </w:tcPr>
                <w:p w14:paraId="653AA252">
                  <w:pPr>
                    <w:jc w:val="center"/>
                    <w:rPr>
                      <w:color w:val="000000" w:themeColor="text1"/>
                      <w:kern w:val="0"/>
                      <w:sz w:val="21"/>
                      <w:szCs w:val="21"/>
                      <w:highlight w:val="none"/>
                      <w:lang w:bidi="ar"/>
                      <w14:textFill>
                        <w14:solidFill>
                          <w14:schemeClr w14:val="tx1"/>
                        </w14:solidFill>
                      </w14:textFill>
                    </w:rPr>
                  </w:pPr>
                  <w:r>
                    <w:rPr>
                      <w:rFonts w:hint="eastAsia"/>
                      <w:color w:val="000000" w:themeColor="text1"/>
                      <w:kern w:val="0"/>
                      <w:sz w:val="21"/>
                      <w:szCs w:val="21"/>
                      <w:highlight w:val="none"/>
                      <w:lang w:bidi="ar"/>
                      <w14:textFill>
                        <w14:solidFill>
                          <w14:schemeClr w14:val="tx1"/>
                        </w14:solidFill>
                      </w14:textFill>
                    </w:rPr>
                    <w:t>新增</w:t>
                  </w:r>
                </w:p>
              </w:tc>
            </w:tr>
            <w:tr w14:paraId="3F8C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4FB9669E">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21</w:t>
                  </w:r>
                </w:p>
              </w:tc>
              <w:tc>
                <w:tcPr>
                  <w:tcW w:w="810" w:type="pct"/>
                  <w:vMerge w:val="continue"/>
                  <w:vAlign w:val="center"/>
                </w:tcPr>
                <w:p w14:paraId="2D8113A1">
                  <w:pPr>
                    <w:widowControl/>
                    <w:jc w:val="center"/>
                    <w:rPr>
                      <w:color w:val="000000" w:themeColor="text1"/>
                      <w:kern w:val="0"/>
                      <w:sz w:val="21"/>
                      <w:szCs w:val="21"/>
                      <w14:textFill>
                        <w14:solidFill>
                          <w14:schemeClr w14:val="tx1"/>
                        </w14:solidFill>
                      </w14:textFill>
                    </w:rPr>
                  </w:pPr>
                </w:p>
              </w:tc>
              <w:tc>
                <w:tcPr>
                  <w:tcW w:w="1417" w:type="pct"/>
                  <w:shd w:val="clear" w:color="auto" w:fill="auto"/>
                  <w:noWrap/>
                  <w:vAlign w:val="center"/>
                </w:tcPr>
                <w:p w14:paraId="600240C4">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异形瓶风干机</w:t>
                  </w:r>
                </w:p>
              </w:tc>
              <w:tc>
                <w:tcPr>
                  <w:tcW w:w="863" w:type="pct"/>
                  <w:shd w:val="clear" w:color="auto" w:fill="auto"/>
                  <w:noWrap/>
                  <w:vAlign w:val="center"/>
                </w:tcPr>
                <w:p w14:paraId="56445E5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5.5</w:t>
                  </w:r>
                </w:p>
              </w:tc>
              <w:tc>
                <w:tcPr>
                  <w:tcW w:w="610" w:type="pct"/>
                  <w:shd w:val="clear" w:color="auto" w:fill="auto"/>
                  <w:vAlign w:val="center"/>
                </w:tcPr>
                <w:p w14:paraId="1021072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895" w:type="pct"/>
                  <w:vAlign w:val="center"/>
                </w:tcPr>
                <w:p w14:paraId="0A60C062">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7D35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0E96A34B">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22</w:t>
                  </w:r>
                </w:p>
              </w:tc>
              <w:tc>
                <w:tcPr>
                  <w:tcW w:w="810" w:type="pct"/>
                  <w:vMerge w:val="continue"/>
                  <w:vAlign w:val="center"/>
                </w:tcPr>
                <w:p w14:paraId="7232361E">
                  <w:pPr>
                    <w:widowControl/>
                    <w:jc w:val="center"/>
                    <w:rPr>
                      <w:color w:val="000000" w:themeColor="text1"/>
                      <w:kern w:val="0"/>
                      <w:sz w:val="21"/>
                      <w:szCs w:val="21"/>
                      <w14:textFill>
                        <w14:solidFill>
                          <w14:schemeClr w14:val="tx1"/>
                        </w14:solidFill>
                      </w14:textFill>
                    </w:rPr>
                  </w:pPr>
                </w:p>
              </w:tc>
              <w:tc>
                <w:tcPr>
                  <w:tcW w:w="1417" w:type="pct"/>
                  <w:shd w:val="clear" w:color="auto" w:fill="auto"/>
                  <w:noWrap/>
                  <w:vAlign w:val="center"/>
                </w:tcPr>
                <w:p w14:paraId="7082252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风干机</w:t>
                  </w:r>
                </w:p>
              </w:tc>
              <w:tc>
                <w:tcPr>
                  <w:tcW w:w="863" w:type="pct"/>
                  <w:noWrap/>
                  <w:vAlign w:val="center"/>
                </w:tcPr>
                <w:p w14:paraId="6B383AF7">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6.5</w:t>
                  </w:r>
                </w:p>
              </w:tc>
              <w:tc>
                <w:tcPr>
                  <w:tcW w:w="610" w:type="pct"/>
                  <w:vAlign w:val="center"/>
                </w:tcPr>
                <w:p w14:paraId="612521B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895" w:type="pct"/>
                  <w:vAlign w:val="center"/>
                </w:tcPr>
                <w:p w14:paraId="5280FE78">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4E39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3BFEF7A6">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23</w:t>
                  </w:r>
                </w:p>
              </w:tc>
              <w:tc>
                <w:tcPr>
                  <w:tcW w:w="810" w:type="pct"/>
                  <w:vMerge w:val="restart"/>
                  <w:vAlign w:val="center"/>
                </w:tcPr>
                <w:p w14:paraId="76FB7215">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贴标打码</w:t>
                  </w:r>
                </w:p>
              </w:tc>
              <w:tc>
                <w:tcPr>
                  <w:tcW w:w="1417" w:type="pct"/>
                  <w:shd w:val="clear" w:color="auto" w:fill="auto"/>
                  <w:noWrap/>
                  <w:vAlign w:val="center"/>
                </w:tcPr>
                <w:p w14:paraId="7BA365B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贴标机</w:t>
                  </w:r>
                </w:p>
              </w:tc>
              <w:tc>
                <w:tcPr>
                  <w:tcW w:w="863" w:type="pct"/>
                  <w:noWrap/>
                  <w:vAlign w:val="center"/>
                </w:tcPr>
                <w:p w14:paraId="0D68A74B">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610" w:type="pct"/>
                  <w:vAlign w:val="center"/>
                </w:tcPr>
                <w:p w14:paraId="6BC68DE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895" w:type="pct"/>
                  <w:vAlign w:val="center"/>
                </w:tcPr>
                <w:p w14:paraId="4F9DD6DB">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1F05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noWrap/>
                  <w:vAlign w:val="center"/>
                </w:tcPr>
                <w:p w14:paraId="4415F131">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24</w:t>
                  </w:r>
                </w:p>
              </w:tc>
              <w:tc>
                <w:tcPr>
                  <w:tcW w:w="810" w:type="pct"/>
                  <w:vMerge w:val="continue"/>
                  <w:vAlign w:val="center"/>
                </w:tcPr>
                <w:p w14:paraId="63B37DF8">
                  <w:pPr>
                    <w:widowControl/>
                    <w:jc w:val="center"/>
                    <w:rPr>
                      <w:color w:val="000000" w:themeColor="text1"/>
                      <w:kern w:val="0"/>
                      <w:sz w:val="21"/>
                      <w:szCs w:val="21"/>
                      <w14:textFill>
                        <w14:solidFill>
                          <w14:schemeClr w14:val="tx1"/>
                        </w14:solidFill>
                      </w14:textFill>
                    </w:rPr>
                  </w:pPr>
                </w:p>
              </w:tc>
              <w:tc>
                <w:tcPr>
                  <w:tcW w:w="1417" w:type="pct"/>
                  <w:noWrap/>
                  <w:vAlign w:val="center"/>
                </w:tcPr>
                <w:p w14:paraId="4E79EF9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喷码机</w:t>
                  </w:r>
                </w:p>
              </w:tc>
              <w:tc>
                <w:tcPr>
                  <w:tcW w:w="863" w:type="pct"/>
                  <w:noWrap/>
                  <w:vAlign w:val="center"/>
                </w:tcPr>
                <w:p w14:paraId="0DC01057">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610" w:type="pct"/>
                  <w:vAlign w:val="center"/>
                </w:tcPr>
                <w:p w14:paraId="234C1B19">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1</w:t>
                  </w:r>
                </w:p>
              </w:tc>
              <w:tc>
                <w:tcPr>
                  <w:tcW w:w="895" w:type="pct"/>
                  <w:vAlign w:val="center"/>
                </w:tcPr>
                <w:p w14:paraId="26CC1D2E">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0E6B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vMerge w:val="restart"/>
                  <w:noWrap/>
                  <w:vAlign w:val="center"/>
                </w:tcPr>
                <w:p w14:paraId="0AF44C4C">
                  <w:pPr>
                    <w:widowControl/>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25</w:t>
                  </w:r>
                </w:p>
              </w:tc>
              <w:tc>
                <w:tcPr>
                  <w:tcW w:w="810" w:type="pct"/>
                  <w:vMerge w:val="restart"/>
                  <w:vAlign w:val="center"/>
                </w:tcPr>
                <w:p w14:paraId="5AF734F7">
                  <w:pPr>
                    <w:widowControl/>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公用单元系统</w:t>
                  </w:r>
                </w:p>
              </w:tc>
              <w:tc>
                <w:tcPr>
                  <w:tcW w:w="1417" w:type="pct"/>
                  <w:noWrap/>
                  <w:vAlign w:val="center"/>
                </w:tcPr>
                <w:p w14:paraId="5761FDC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旋片真空泵</w:t>
                  </w:r>
                </w:p>
              </w:tc>
              <w:tc>
                <w:tcPr>
                  <w:tcW w:w="863" w:type="pct"/>
                  <w:noWrap/>
                  <w:vAlign w:val="center"/>
                </w:tcPr>
                <w:p w14:paraId="3E25A074">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610" w:type="pct"/>
                  <w:vAlign w:val="center"/>
                </w:tcPr>
                <w:p w14:paraId="6F71B28B">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3</w:t>
                  </w:r>
                </w:p>
              </w:tc>
              <w:tc>
                <w:tcPr>
                  <w:tcW w:w="895" w:type="pct"/>
                  <w:vAlign w:val="center"/>
                </w:tcPr>
                <w:p w14:paraId="369DA6DC">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050E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vMerge w:val="continue"/>
                  <w:noWrap/>
                  <w:vAlign w:val="center"/>
                </w:tcPr>
                <w:p w14:paraId="532A7CB1">
                  <w:pPr>
                    <w:widowControl/>
                    <w:jc w:val="center"/>
                    <w:rPr>
                      <w:color w:val="000000" w:themeColor="text1"/>
                      <w:kern w:val="0"/>
                      <w:sz w:val="21"/>
                      <w:szCs w:val="21"/>
                      <w14:textFill>
                        <w14:solidFill>
                          <w14:schemeClr w14:val="tx1"/>
                        </w14:solidFill>
                      </w14:textFill>
                    </w:rPr>
                  </w:pPr>
                </w:p>
              </w:tc>
              <w:tc>
                <w:tcPr>
                  <w:tcW w:w="810" w:type="pct"/>
                  <w:vMerge w:val="continue"/>
                  <w:vAlign w:val="center"/>
                </w:tcPr>
                <w:p w14:paraId="7940F8A8">
                  <w:pPr>
                    <w:widowControl/>
                    <w:rPr>
                      <w:color w:val="000000" w:themeColor="text1"/>
                      <w:kern w:val="0"/>
                      <w:sz w:val="21"/>
                      <w:szCs w:val="21"/>
                      <w14:textFill>
                        <w14:solidFill>
                          <w14:schemeClr w14:val="tx1"/>
                        </w14:solidFill>
                      </w14:textFill>
                    </w:rPr>
                  </w:pPr>
                </w:p>
              </w:tc>
              <w:tc>
                <w:tcPr>
                  <w:tcW w:w="1417" w:type="pct"/>
                  <w:shd w:val="clear" w:color="auto" w:fill="auto"/>
                  <w:noWrap/>
                  <w:vAlign w:val="center"/>
                </w:tcPr>
                <w:p w14:paraId="34C022B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蒸汽发生器</w:t>
                  </w:r>
                </w:p>
              </w:tc>
              <w:tc>
                <w:tcPr>
                  <w:tcW w:w="863" w:type="pct"/>
                  <w:shd w:val="clear" w:color="auto" w:fill="auto"/>
                  <w:noWrap/>
                  <w:vAlign w:val="center"/>
                </w:tcPr>
                <w:p w14:paraId="53FFD18C">
                  <w:pPr>
                    <w:jc w:val="center"/>
                    <w:rPr>
                      <w:color w:val="000000" w:themeColor="text1"/>
                      <w:sz w:val="21"/>
                      <w:szCs w:val="21"/>
                      <w14:textFill>
                        <w14:solidFill>
                          <w14:schemeClr w14:val="tx1"/>
                        </w14:solidFill>
                      </w14:textFill>
                    </w:rPr>
                  </w:pPr>
                  <w:r>
                    <w:rPr>
                      <w:rFonts w:hint="eastAsia"/>
                      <w:color w:val="000000" w:themeColor="text1"/>
                      <w:kern w:val="0"/>
                      <w:sz w:val="21"/>
                      <w:szCs w:val="21"/>
                      <w:lang w:bidi="ar"/>
                      <w14:textFill>
                        <w14:solidFill>
                          <w14:schemeClr w14:val="tx1"/>
                        </w14:solidFill>
                      </w14:textFill>
                    </w:rPr>
                    <w:t>0.5t/h</w:t>
                  </w:r>
                </w:p>
              </w:tc>
              <w:tc>
                <w:tcPr>
                  <w:tcW w:w="610" w:type="pct"/>
                  <w:shd w:val="clear" w:color="auto" w:fill="auto"/>
                  <w:vAlign w:val="center"/>
                </w:tcPr>
                <w:p w14:paraId="108AE02B">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2</w:t>
                  </w:r>
                </w:p>
              </w:tc>
              <w:tc>
                <w:tcPr>
                  <w:tcW w:w="895" w:type="pct"/>
                  <w:shd w:val="clear" w:color="auto" w:fill="auto"/>
                  <w:vAlign w:val="center"/>
                </w:tcPr>
                <w:p w14:paraId="2D0D60E7">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2台0.5t/h（一用一备）利用现有</w:t>
                  </w:r>
                </w:p>
              </w:tc>
            </w:tr>
            <w:tr w14:paraId="5243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vMerge w:val="continue"/>
                  <w:noWrap/>
                  <w:vAlign w:val="center"/>
                </w:tcPr>
                <w:p w14:paraId="4106FCFF">
                  <w:pPr>
                    <w:widowControl/>
                    <w:jc w:val="center"/>
                    <w:rPr>
                      <w:color w:val="000000" w:themeColor="text1"/>
                      <w:kern w:val="0"/>
                      <w:sz w:val="21"/>
                      <w:szCs w:val="21"/>
                      <w14:textFill>
                        <w14:solidFill>
                          <w14:schemeClr w14:val="tx1"/>
                        </w14:solidFill>
                      </w14:textFill>
                    </w:rPr>
                  </w:pPr>
                </w:p>
              </w:tc>
              <w:tc>
                <w:tcPr>
                  <w:tcW w:w="810" w:type="pct"/>
                  <w:vMerge w:val="continue"/>
                  <w:vAlign w:val="center"/>
                </w:tcPr>
                <w:p w14:paraId="4A38F266">
                  <w:pPr>
                    <w:widowControl/>
                    <w:rPr>
                      <w:color w:val="000000" w:themeColor="text1"/>
                      <w:kern w:val="0"/>
                      <w:sz w:val="21"/>
                      <w:szCs w:val="21"/>
                      <w14:textFill>
                        <w14:solidFill>
                          <w14:schemeClr w14:val="tx1"/>
                        </w14:solidFill>
                      </w14:textFill>
                    </w:rPr>
                  </w:pPr>
                </w:p>
              </w:tc>
              <w:tc>
                <w:tcPr>
                  <w:tcW w:w="1417" w:type="pct"/>
                  <w:shd w:val="clear" w:color="auto" w:fill="auto"/>
                  <w:noWrap/>
                  <w:vAlign w:val="center"/>
                </w:tcPr>
                <w:p w14:paraId="1A3A2DD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天然气储罐</w:t>
                  </w:r>
                </w:p>
              </w:tc>
              <w:tc>
                <w:tcPr>
                  <w:tcW w:w="863" w:type="pct"/>
                  <w:shd w:val="clear" w:color="auto" w:fill="auto"/>
                  <w:noWrap/>
                  <w:vAlign w:val="center"/>
                </w:tcPr>
                <w:p w14:paraId="56BB5312">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容积</w:t>
                  </w:r>
                  <w:r>
                    <w:rPr>
                      <w:rFonts w:hint="eastAsia"/>
                      <w:color w:val="000000" w:themeColor="text1"/>
                      <w:sz w:val="21"/>
                      <w:szCs w:val="21"/>
                      <w14:textFill>
                        <w14:solidFill>
                          <w14:schemeClr w14:val="tx1"/>
                        </w14:solidFill>
                      </w14:textFill>
                    </w:rPr>
                    <w:t>1m</w:t>
                  </w:r>
                  <w:r>
                    <w:rPr>
                      <w:rFonts w:hint="eastAsia"/>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，储存压力20MPa</w:t>
                  </w:r>
                </w:p>
              </w:tc>
              <w:tc>
                <w:tcPr>
                  <w:tcW w:w="610" w:type="pct"/>
                  <w:shd w:val="clear" w:color="auto" w:fill="auto"/>
                  <w:vAlign w:val="center"/>
                </w:tcPr>
                <w:p w14:paraId="05EDE0FD">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1</w:t>
                  </w:r>
                </w:p>
              </w:tc>
              <w:tc>
                <w:tcPr>
                  <w:tcW w:w="895" w:type="pct"/>
                  <w:shd w:val="clear" w:color="auto" w:fill="auto"/>
                  <w:vAlign w:val="center"/>
                </w:tcPr>
                <w:p w14:paraId="5AB4B800">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12CC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vMerge w:val="continue"/>
                  <w:noWrap/>
                  <w:vAlign w:val="center"/>
                </w:tcPr>
                <w:p w14:paraId="0ED93B36">
                  <w:pPr>
                    <w:widowControl/>
                    <w:jc w:val="center"/>
                    <w:rPr>
                      <w:color w:val="000000" w:themeColor="text1"/>
                      <w:kern w:val="0"/>
                      <w:sz w:val="21"/>
                      <w:szCs w:val="21"/>
                      <w14:textFill>
                        <w14:solidFill>
                          <w14:schemeClr w14:val="tx1"/>
                        </w14:solidFill>
                      </w14:textFill>
                    </w:rPr>
                  </w:pPr>
                </w:p>
              </w:tc>
              <w:tc>
                <w:tcPr>
                  <w:tcW w:w="810" w:type="pct"/>
                  <w:vMerge w:val="continue"/>
                  <w:vAlign w:val="center"/>
                </w:tcPr>
                <w:p w14:paraId="22D7C894">
                  <w:pPr>
                    <w:widowControl/>
                    <w:rPr>
                      <w:color w:val="000000" w:themeColor="text1"/>
                      <w:kern w:val="0"/>
                      <w:sz w:val="21"/>
                      <w:szCs w:val="21"/>
                      <w14:textFill>
                        <w14:solidFill>
                          <w14:schemeClr w14:val="tx1"/>
                        </w14:solidFill>
                      </w14:textFill>
                    </w:rPr>
                  </w:pPr>
                </w:p>
              </w:tc>
              <w:tc>
                <w:tcPr>
                  <w:tcW w:w="1417" w:type="pct"/>
                  <w:shd w:val="clear" w:color="auto" w:fill="auto"/>
                  <w:noWrap/>
                  <w:vAlign w:val="center"/>
                </w:tcPr>
                <w:p w14:paraId="39A7D71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厂区污水处理站</w:t>
                  </w:r>
                </w:p>
              </w:tc>
              <w:tc>
                <w:tcPr>
                  <w:tcW w:w="863" w:type="pct"/>
                  <w:shd w:val="clear" w:color="auto" w:fill="auto"/>
                  <w:noWrap/>
                  <w:vAlign w:val="center"/>
                </w:tcPr>
                <w:p w14:paraId="75E0BED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设计处理能力</w:t>
                  </w:r>
                  <w:r>
                    <w:rPr>
                      <w:rFonts w:hint="eastAsia"/>
                      <w:color w:val="000000" w:themeColor="text1"/>
                      <w:sz w:val="21"/>
                      <w:szCs w:val="21"/>
                      <w:lang w:val="en-US" w:eastAsia="zh-CN"/>
                      <w14:textFill>
                        <w14:solidFill>
                          <w14:schemeClr w14:val="tx1"/>
                        </w14:solidFill>
                      </w14:textFill>
                    </w:rPr>
                    <w:t>2</w:t>
                  </w:r>
                  <w:r>
                    <w:rPr>
                      <w:rFonts w:hint="eastAsia"/>
                      <w:color w:val="000000" w:themeColor="text1"/>
                      <w:sz w:val="21"/>
                      <w:szCs w:val="21"/>
                      <w14:textFill>
                        <w14:solidFill>
                          <w14:schemeClr w14:val="tx1"/>
                        </w14:solidFill>
                      </w14:textFill>
                    </w:rPr>
                    <w:t>0m</w:t>
                  </w:r>
                  <w:r>
                    <w:rPr>
                      <w:rFonts w:hint="eastAsia"/>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/d</w:t>
                  </w:r>
                </w:p>
              </w:tc>
              <w:tc>
                <w:tcPr>
                  <w:tcW w:w="610" w:type="pct"/>
                  <w:shd w:val="clear" w:color="auto" w:fill="auto"/>
                  <w:vAlign w:val="center"/>
                </w:tcPr>
                <w:p w14:paraId="6B357D0A">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1</w:t>
                  </w:r>
                </w:p>
              </w:tc>
              <w:tc>
                <w:tcPr>
                  <w:tcW w:w="895" w:type="pct"/>
                  <w:shd w:val="clear" w:color="auto" w:fill="auto"/>
                  <w:vAlign w:val="center"/>
                </w:tcPr>
                <w:p w14:paraId="337C78D0">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77F5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vMerge w:val="continue"/>
                  <w:noWrap/>
                  <w:vAlign w:val="center"/>
                </w:tcPr>
                <w:p w14:paraId="1ED75C98">
                  <w:pPr>
                    <w:widowControl/>
                    <w:jc w:val="center"/>
                    <w:rPr>
                      <w:color w:val="000000" w:themeColor="text1"/>
                      <w:kern w:val="0"/>
                      <w:sz w:val="21"/>
                      <w:szCs w:val="21"/>
                      <w14:textFill>
                        <w14:solidFill>
                          <w14:schemeClr w14:val="tx1"/>
                        </w14:solidFill>
                      </w14:textFill>
                    </w:rPr>
                  </w:pPr>
                </w:p>
              </w:tc>
              <w:tc>
                <w:tcPr>
                  <w:tcW w:w="810" w:type="pct"/>
                  <w:vMerge w:val="continue"/>
                  <w:vAlign w:val="center"/>
                </w:tcPr>
                <w:p w14:paraId="0841EC23">
                  <w:pPr>
                    <w:widowControl/>
                    <w:rPr>
                      <w:color w:val="000000" w:themeColor="text1"/>
                      <w:kern w:val="0"/>
                      <w:sz w:val="21"/>
                      <w:szCs w:val="21"/>
                      <w14:textFill>
                        <w14:solidFill>
                          <w14:schemeClr w14:val="tx1"/>
                        </w14:solidFill>
                      </w14:textFill>
                    </w:rPr>
                  </w:pPr>
                </w:p>
              </w:tc>
              <w:tc>
                <w:tcPr>
                  <w:tcW w:w="1417" w:type="pct"/>
                  <w:shd w:val="clear" w:color="auto" w:fill="auto"/>
                  <w:noWrap/>
                  <w:vAlign w:val="center"/>
                </w:tcPr>
                <w:p w14:paraId="371E63D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风机</w:t>
                  </w:r>
                </w:p>
              </w:tc>
              <w:tc>
                <w:tcPr>
                  <w:tcW w:w="863" w:type="pct"/>
                  <w:shd w:val="clear" w:color="auto" w:fill="auto"/>
                  <w:noWrap/>
                  <w:vAlign w:val="center"/>
                </w:tcPr>
                <w:p w14:paraId="373B053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610" w:type="pct"/>
                  <w:shd w:val="clear" w:color="auto" w:fill="auto"/>
                  <w:vAlign w:val="center"/>
                </w:tcPr>
                <w:p w14:paraId="5655D270">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2</w:t>
                  </w:r>
                </w:p>
              </w:tc>
              <w:tc>
                <w:tcPr>
                  <w:tcW w:w="895" w:type="pct"/>
                  <w:shd w:val="clear" w:color="auto" w:fill="auto"/>
                  <w:vAlign w:val="center"/>
                </w:tcPr>
                <w:p w14:paraId="4A6710F1">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14B4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vMerge w:val="continue"/>
                  <w:noWrap/>
                  <w:vAlign w:val="center"/>
                </w:tcPr>
                <w:p w14:paraId="4BBDF98E">
                  <w:pPr>
                    <w:widowControl/>
                    <w:jc w:val="center"/>
                    <w:rPr>
                      <w:color w:val="000000" w:themeColor="text1"/>
                      <w:kern w:val="0"/>
                      <w:sz w:val="21"/>
                      <w:szCs w:val="21"/>
                      <w14:textFill>
                        <w14:solidFill>
                          <w14:schemeClr w14:val="tx1"/>
                        </w14:solidFill>
                      </w14:textFill>
                    </w:rPr>
                  </w:pPr>
                </w:p>
              </w:tc>
              <w:tc>
                <w:tcPr>
                  <w:tcW w:w="810" w:type="pct"/>
                  <w:vMerge w:val="continue"/>
                  <w:vAlign w:val="center"/>
                </w:tcPr>
                <w:p w14:paraId="2C5A68BA">
                  <w:pPr>
                    <w:widowControl/>
                    <w:rPr>
                      <w:color w:val="000000" w:themeColor="text1"/>
                      <w:kern w:val="0"/>
                      <w:sz w:val="21"/>
                      <w:szCs w:val="21"/>
                      <w14:textFill>
                        <w14:solidFill>
                          <w14:schemeClr w14:val="tx1"/>
                        </w14:solidFill>
                      </w14:textFill>
                    </w:rPr>
                  </w:pPr>
                </w:p>
              </w:tc>
              <w:tc>
                <w:tcPr>
                  <w:tcW w:w="1417" w:type="pct"/>
                  <w:shd w:val="clear" w:color="auto" w:fill="auto"/>
                  <w:noWrap/>
                  <w:vAlign w:val="center"/>
                </w:tcPr>
                <w:p w14:paraId="3D505C24">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水泵</w:t>
                  </w:r>
                </w:p>
              </w:tc>
              <w:tc>
                <w:tcPr>
                  <w:tcW w:w="863" w:type="pct"/>
                  <w:shd w:val="clear" w:color="auto" w:fill="auto"/>
                  <w:noWrap/>
                  <w:vAlign w:val="center"/>
                </w:tcPr>
                <w:p w14:paraId="4991068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610" w:type="pct"/>
                  <w:shd w:val="clear" w:color="auto" w:fill="auto"/>
                  <w:vAlign w:val="center"/>
                </w:tcPr>
                <w:p w14:paraId="1EC3EE69">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2</w:t>
                  </w:r>
                </w:p>
              </w:tc>
              <w:tc>
                <w:tcPr>
                  <w:tcW w:w="895" w:type="pct"/>
                  <w:shd w:val="clear" w:color="auto" w:fill="auto"/>
                  <w:vAlign w:val="center"/>
                </w:tcPr>
                <w:p w14:paraId="6DC611F4">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r w14:paraId="1061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pct"/>
                  <w:vMerge w:val="continue"/>
                  <w:noWrap/>
                  <w:vAlign w:val="center"/>
                </w:tcPr>
                <w:p w14:paraId="1B2C350C">
                  <w:pPr>
                    <w:widowControl/>
                    <w:jc w:val="center"/>
                    <w:rPr>
                      <w:color w:val="000000" w:themeColor="text1"/>
                      <w:kern w:val="0"/>
                      <w:sz w:val="21"/>
                      <w:szCs w:val="21"/>
                      <w14:textFill>
                        <w14:solidFill>
                          <w14:schemeClr w14:val="tx1"/>
                        </w14:solidFill>
                      </w14:textFill>
                    </w:rPr>
                  </w:pPr>
                </w:p>
              </w:tc>
              <w:tc>
                <w:tcPr>
                  <w:tcW w:w="810" w:type="pct"/>
                  <w:vMerge w:val="continue"/>
                  <w:vAlign w:val="center"/>
                </w:tcPr>
                <w:p w14:paraId="37365226">
                  <w:pPr>
                    <w:widowControl/>
                    <w:jc w:val="center"/>
                    <w:rPr>
                      <w:color w:val="000000" w:themeColor="text1"/>
                      <w:kern w:val="0"/>
                      <w:sz w:val="21"/>
                      <w:szCs w:val="21"/>
                      <w14:textFill>
                        <w14:solidFill>
                          <w14:schemeClr w14:val="tx1"/>
                        </w14:solidFill>
                      </w14:textFill>
                    </w:rPr>
                  </w:pPr>
                </w:p>
              </w:tc>
              <w:tc>
                <w:tcPr>
                  <w:tcW w:w="1417" w:type="pct"/>
                  <w:noWrap/>
                  <w:vAlign w:val="center"/>
                </w:tcPr>
                <w:p w14:paraId="0D278B4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制冷机</w:t>
                  </w:r>
                </w:p>
              </w:tc>
              <w:tc>
                <w:tcPr>
                  <w:tcW w:w="863" w:type="pct"/>
                  <w:noWrap/>
                  <w:vAlign w:val="center"/>
                </w:tcPr>
                <w:p w14:paraId="43E0379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制冷剂为R600A</w:t>
                  </w:r>
                </w:p>
              </w:tc>
              <w:tc>
                <w:tcPr>
                  <w:tcW w:w="610" w:type="pct"/>
                  <w:vAlign w:val="center"/>
                </w:tcPr>
                <w:p w14:paraId="70172A8D">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1</w:t>
                  </w:r>
                </w:p>
              </w:tc>
              <w:tc>
                <w:tcPr>
                  <w:tcW w:w="895" w:type="pct"/>
                  <w:vAlign w:val="center"/>
                </w:tcPr>
                <w:p w14:paraId="1BD2ED90">
                  <w:pPr>
                    <w:jc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利用现有</w:t>
                  </w:r>
                </w:p>
              </w:tc>
            </w:tr>
          </w:tbl>
          <w:p w14:paraId="5FF4A0F0">
            <w:pPr>
              <w:spacing w:line="520" w:lineRule="exact"/>
              <w:ind w:firstLine="480" w:firstLineChars="200"/>
              <w:jc w:val="left"/>
              <w:rPr>
                <w:color w:val="000000" w:themeColor="text1"/>
                <w14:textFill>
                  <w14:solidFill>
                    <w14:schemeClr w14:val="tx1"/>
                  </w14:solidFill>
                </w14:textFill>
              </w:rPr>
            </w:pPr>
            <w:bookmarkStart w:id="7" w:name="_Hlk192494632"/>
            <w:r>
              <w:rPr>
                <w:rFonts w:hint="eastAsia"/>
                <w:color w:val="000000" w:themeColor="text1"/>
                <w14:textFill>
                  <w14:solidFill>
                    <w14:schemeClr w14:val="tx1"/>
                  </w14:solidFill>
                </w14:textFill>
              </w:rPr>
              <w:t>本项目制冷机使用R600a（异丁烷）制冷剂，R600a制冷剂作为</w:t>
            </w:r>
            <w:r>
              <w:rPr>
                <w:color w:val="000000" w:themeColor="text1"/>
                <w14:textFill>
                  <w14:solidFill>
                    <w14:schemeClr w14:val="tx1"/>
                  </w14:solidFill>
                </w14:textFill>
              </w:rPr>
              <w:t>天然环保制冷剂</w:t>
            </w:r>
            <w:r>
              <w:rPr>
                <w:rFonts w:hint="eastAsia"/>
                <w:color w:val="000000" w:themeColor="text1"/>
                <w14:textFill>
                  <w14:solidFill>
                    <w14:schemeClr w14:val="tx1"/>
                  </w14:solidFill>
                </w14:textFill>
              </w:rPr>
              <w:t>，不破坏臭氧层，对全球变暖的影响微乎其微。符合</w:t>
            </w:r>
            <w:r>
              <w:rPr>
                <w:color w:val="000000" w:themeColor="text1"/>
                <w14:textFill>
                  <w14:solidFill>
                    <w14:schemeClr w14:val="tx1"/>
                  </w14:solidFill>
                </w14:textFill>
              </w:rPr>
              <w:t>《蒙特利尔议定书》及其《基加利修正案》淘汰</w:t>
            </w:r>
            <w:r>
              <w:rPr>
                <w:rFonts w:hint="eastAsia"/>
                <w:color w:val="000000" w:themeColor="text1"/>
                <w14:textFill>
                  <w14:solidFill>
                    <w14:schemeClr w14:val="tx1"/>
                  </w14:solidFill>
                </w14:textFill>
              </w:rPr>
              <w:t>臭氧消耗潜能</w:t>
            </w:r>
            <w:r>
              <w:rPr>
                <w:color w:val="000000" w:themeColor="text1"/>
                <w14:textFill>
                  <w14:solidFill>
                    <w14:schemeClr w14:val="tx1"/>
                  </w14:solidFill>
                </w14:textFill>
              </w:rPr>
              <w:t>物质，削减强温室气体HFCs</w:t>
            </w:r>
            <w:r>
              <w:rPr>
                <w:rFonts w:hint="eastAsia"/>
                <w:color w:val="000000" w:themeColor="text1"/>
                <w14:textFill>
                  <w14:solidFill>
                    <w14:schemeClr w14:val="tx1"/>
                  </w14:solidFill>
                </w14:textFill>
              </w:rPr>
              <w:t>要求。</w:t>
            </w:r>
          </w:p>
          <w:p w14:paraId="3CF61BD1">
            <w:pPr>
              <w:spacing w:line="520" w:lineRule="exact"/>
              <w:ind w:firstLine="482" w:firstLineChars="200"/>
              <w:jc w:val="left"/>
              <w:rPr>
                <w:b/>
                <w:bCs/>
                <w:color w:val="000000" w:themeColor="text1"/>
                <w14:textFill>
                  <w14:solidFill>
                    <w14:schemeClr w14:val="tx1"/>
                  </w14:solidFill>
                </w14:textFill>
              </w:rPr>
            </w:pPr>
            <w:r>
              <w:rPr>
                <w:b/>
                <w:bCs/>
                <w:color w:val="000000" w:themeColor="text1"/>
                <w14:textFill>
                  <w14:solidFill>
                    <w14:schemeClr w14:val="tx1"/>
                  </w14:solidFill>
                </w14:textFill>
              </w:rPr>
              <w:t>5</w:t>
            </w:r>
            <w:r>
              <w:rPr>
                <w:rFonts w:hint="eastAsia"/>
                <w:b/>
                <w:bCs/>
                <w:color w:val="000000" w:themeColor="text1"/>
                <w14:textFill>
                  <w14:solidFill>
                    <w14:schemeClr w14:val="tx1"/>
                  </w14:solidFill>
                </w14:textFill>
              </w:rPr>
              <w:t>、原辅材料及资源能源消耗量</w:t>
            </w:r>
          </w:p>
          <w:p w14:paraId="6358DB72">
            <w:pPr>
              <w:spacing w:line="520" w:lineRule="exact"/>
              <w:ind w:firstLine="480" w:firstLineChars="200"/>
              <w:jc w:val="left"/>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对现有工程进行改建，现有工程的产品产能为鸡汁素肠1500t/a，本项目产品产能为鸡汁素肠1300t/a、手撕素肉200t/a，跟现有项目相比，本项目原辅材料变化较小，建成后全厂原辅材料消耗量见下表。</w:t>
            </w:r>
          </w:p>
          <w:p w14:paraId="0002B007">
            <w:pPr>
              <w:spacing w:line="460" w:lineRule="exact"/>
              <w:ind w:firstLine="480" w:firstLineChars="200"/>
              <w:jc w:val="left"/>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表</w:t>
            </w:r>
            <w:r>
              <w:rPr>
                <w:rFonts w:hint="eastAsia" w:eastAsia="黑体"/>
                <w:color w:val="000000" w:themeColor="text1"/>
                <w14:textFill>
                  <w14:solidFill>
                    <w14:schemeClr w14:val="tx1"/>
                  </w14:solidFill>
                </w14:textFill>
              </w:rPr>
              <w:t>2-5</w:t>
            </w:r>
            <w:r>
              <w:rPr>
                <w:rFonts w:hint="eastAsia" w:ascii="黑体" w:hAnsi="黑体" w:eastAsia="黑体" w:cs="黑体"/>
                <w:color w:val="000000" w:themeColor="text1"/>
                <w14:textFill>
                  <w14:solidFill>
                    <w14:schemeClr w14:val="tx1"/>
                  </w14:solidFill>
                </w14:textFill>
              </w:rPr>
              <w:t xml:space="preserve">     </w:t>
            </w:r>
            <w:r>
              <w:rPr>
                <w:rFonts w:ascii="黑体" w:hAnsi="黑体" w:eastAsia="黑体" w:cs="黑体"/>
                <w:color w:val="000000" w:themeColor="text1"/>
                <w14:textFill>
                  <w14:solidFill>
                    <w14:schemeClr w14:val="tx1"/>
                  </w14:solidFill>
                </w14:textFill>
              </w:rPr>
              <w:t xml:space="preserve"> </w:t>
            </w:r>
            <w:r>
              <w:rPr>
                <w:rFonts w:hint="eastAsia" w:ascii="黑体" w:hAnsi="黑体" w:eastAsia="黑体" w:cs="黑体"/>
                <w:color w:val="000000" w:themeColor="text1"/>
                <w14:textFill>
                  <w14:solidFill>
                    <w14:schemeClr w14:val="tx1"/>
                  </w14:solidFill>
                </w14:textFill>
              </w:rPr>
              <w:t xml:space="preserve">         本项目原辅材料及资源能源消耗量</w:t>
            </w:r>
          </w:p>
          <w:tbl>
            <w:tblPr>
              <w:tblStyle w:val="18"/>
              <w:tblW w:w="49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303"/>
              <w:gridCol w:w="1760"/>
              <w:gridCol w:w="2080"/>
              <w:gridCol w:w="1567"/>
              <w:gridCol w:w="1717"/>
            </w:tblGrid>
            <w:tr w14:paraId="4408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62262A89">
                  <w:pPr>
                    <w:jc w:val="center"/>
                    <w:rPr>
                      <w:b/>
                      <w:bCs/>
                      <w:color w:val="000000" w:themeColor="text1"/>
                      <w:sz w:val="21"/>
                      <w:szCs w:val="21"/>
                      <w14:textFill>
                        <w14:solidFill>
                          <w14:schemeClr w14:val="tx1"/>
                        </w14:solidFill>
                      </w14:textFill>
                    </w:rPr>
                  </w:pPr>
                  <w:bookmarkStart w:id="8" w:name="_Hlk122450003"/>
                  <w:r>
                    <w:rPr>
                      <w:b/>
                      <w:bCs/>
                      <w:color w:val="000000" w:themeColor="text1"/>
                      <w:sz w:val="21"/>
                      <w:szCs w:val="21"/>
                      <w14:textFill>
                        <w14:solidFill>
                          <w14:schemeClr w14:val="tx1"/>
                        </w14:solidFill>
                      </w14:textFill>
                    </w:rPr>
                    <w:t>序号</w:t>
                  </w:r>
                </w:p>
              </w:tc>
              <w:tc>
                <w:tcPr>
                  <w:tcW w:w="1655" w:type="pct"/>
                  <w:gridSpan w:val="2"/>
                  <w:vAlign w:val="center"/>
                </w:tcPr>
                <w:p w14:paraId="037AA544">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原料名称</w:t>
                  </w:r>
                </w:p>
              </w:tc>
              <w:tc>
                <w:tcPr>
                  <w:tcW w:w="1124" w:type="pct"/>
                  <w:vAlign w:val="center"/>
                </w:tcPr>
                <w:p w14:paraId="26E1CE91">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规格</w:t>
                  </w:r>
                </w:p>
              </w:tc>
              <w:tc>
                <w:tcPr>
                  <w:tcW w:w="847" w:type="pct"/>
                  <w:vAlign w:val="center"/>
                </w:tcPr>
                <w:p w14:paraId="0348597D">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年</w:t>
                  </w:r>
                  <w:r>
                    <w:rPr>
                      <w:b/>
                      <w:bCs/>
                      <w:color w:val="000000" w:themeColor="text1"/>
                      <w:sz w:val="21"/>
                      <w:szCs w:val="21"/>
                      <w14:textFill>
                        <w14:solidFill>
                          <w14:schemeClr w14:val="tx1"/>
                        </w14:solidFill>
                      </w14:textFill>
                    </w:rPr>
                    <w:t>用量</w:t>
                  </w:r>
                  <w:r>
                    <w:rPr>
                      <w:rFonts w:hint="eastAsia"/>
                      <w:b/>
                      <w:bCs/>
                      <w:color w:val="000000" w:themeColor="text1"/>
                      <w:sz w:val="21"/>
                      <w:szCs w:val="21"/>
                      <w14:textFill>
                        <w14:solidFill>
                          <w14:schemeClr w14:val="tx1"/>
                        </w14:solidFill>
                      </w14:textFill>
                    </w:rPr>
                    <w:t>（t）</w:t>
                  </w:r>
                </w:p>
              </w:tc>
              <w:tc>
                <w:tcPr>
                  <w:tcW w:w="928" w:type="pct"/>
                  <w:vAlign w:val="center"/>
                </w:tcPr>
                <w:p w14:paraId="76206116">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备注</w:t>
                  </w:r>
                </w:p>
              </w:tc>
            </w:tr>
            <w:tr w14:paraId="4799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09DB5AF2">
                  <w:pPr>
                    <w:numPr>
                      <w:ilvl w:val="0"/>
                      <w:numId w:val="3"/>
                    </w:numPr>
                    <w:adjustRightInd w:val="0"/>
                    <w:ind w:left="0" w:firstLine="0"/>
                    <w:jc w:val="center"/>
                    <w:rPr>
                      <w:color w:val="000000" w:themeColor="text1"/>
                      <w:sz w:val="21"/>
                      <w:szCs w:val="21"/>
                      <w14:textFill>
                        <w14:solidFill>
                          <w14:schemeClr w14:val="tx1"/>
                        </w14:solidFill>
                      </w14:textFill>
                    </w:rPr>
                  </w:pPr>
                </w:p>
              </w:tc>
              <w:tc>
                <w:tcPr>
                  <w:tcW w:w="1655" w:type="pct"/>
                  <w:gridSpan w:val="2"/>
                  <w:vAlign w:val="center"/>
                </w:tcPr>
                <w:p w14:paraId="4CE16B1B">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生面筋</w:t>
                  </w:r>
                </w:p>
              </w:tc>
              <w:tc>
                <w:tcPr>
                  <w:tcW w:w="1124" w:type="pct"/>
                  <w:vAlign w:val="center"/>
                </w:tcPr>
                <w:p w14:paraId="1FB089A4">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40kg/袋</w:t>
                  </w:r>
                </w:p>
              </w:tc>
              <w:tc>
                <w:tcPr>
                  <w:tcW w:w="847" w:type="pct"/>
                  <w:vAlign w:val="center"/>
                </w:tcPr>
                <w:p w14:paraId="4A7A4DE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1200</w:t>
                  </w:r>
                </w:p>
              </w:tc>
              <w:tc>
                <w:tcPr>
                  <w:tcW w:w="928" w:type="pct"/>
                  <w:vMerge w:val="restart"/>
                  <w:vAlign w:val="center"/>
                </w:tcPr>
                <w:p w14:paraId="0357709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外购</w:t>
                  </w:r>
                </w:p>
              </w:tc>
            </w:tr>
            <w:tr w14:paraId="1308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6B1C42D8">
                  <w:pPr>
                    <w:numPr>
                      <w:ilvl w:val="0"/>
                      <w:numId w:val="3"/>
                    </w:numPr>
                    <w:adjustRightInd w:val="0"/>
                    <w:ind w:left="0" w:firstLine="0"/>
                    <w:jc w:val="center"/>
                    <w:rPr>
                      <w:color w:val="000000" w:themeColor="text1"/>
                      <w:sz w:val="21"/>
                      <w:szCs w:val="21"/>
                      <w14:textFill>
                        <w14:solidFill>
                          <w14:schemeClr w14:val="tx1"/>
                        </w14:solidFill>
                      </w14:textFill>
                    </w:rPr>
                  </w:pPr>
                </w:p>
              </w:tc>
              <w:tc>
                <w:tcPr>
                  <w:tcW w:w="704" w:type="pct"/>
                  <w:vMerge w:val="restart"/>
                  <w:vAlign w:val="center"/>
                </w:tcPr>
                <w:p w14:paraId="3768D10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配菜</w:t>
                  </w:r>
                </w:p>
              </w:tc>
              <w:tc>
                <w:tcPr>
                  <w:tcW w:w="950" w:type="pct"/>
                  <w:vAlign w:val="center"/>
                </w:tcPr>
                <w:p w14:paraId="28EFC92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香菇</w:t>
                  </w:r>
                </w:p>
              </w:tc>
              <w:tc>
                <w:tcPr>
                  <w:tcW w:w="1124" w:type="pct"/>
                  <w:vAlign w:val="center"/>
                </w:tcPr>
                <w:p w14:paraId="51402F5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37.5kg/袋</w:t>
                  </w:r>
                </w:p>
              </w:tc>
              <w:tc>
                <w:tcPr>
                  <w:tcW w:w="847" w:type="pct"/>
                  <w:vAlign w:val="center"/>
                </w:tcPr>
                <w:p w14:paraId="7F07255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200</w:t>
                  </w:r>
                </w:p>
              </w:tc>
              <w:tc>
                <w:tcPr>
                  <w:tcW w:w="928" w:type="pct"/>
                  <w:vMerge w:val="continue"/>
                  <w:vAlign w:val="center"/>
                </w:tcPr>
                <w:p w14:paraId="26078967">
                  <w:pPr>
                    <w:jc w:val="center"/>
                    <w:rPr>
                      <w:color w:val="000000" w:themeColor="text1"/>
                      <w:sz w:val="21"/>
                      <w:szCs w:val="21"/>
                      <w14:textFill>
                        <w14:solidFill>
                          <w14:schemeClr w14:val="tx1"/>
                        </w14:solidFill>
                      </w14:textFill>
                    </w:rPr>
                  </w:pPr>
                </w:p>
              </w:tc>
            </w:tr>
            <w:tr w14:paraId="0B93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71C7429F">
                  <w:pPr>
                    <w:numPr>
                      <w:ilvl w:val="0"/>
                      <w:numId w:val="3"/>
                    </w:numPr>
                    <w:adjustRightInd w:val="0"/>
                    <w:ind w:left="0" w:firstLine="0"/>
                    <w:jc w:val="center"/>
                    <w:rPr>
                      <w:color w:val="000000" w:themeColor="text1"/>
                      <w:sz w:val="21"/>
                      <w:szCs w:val="21"/>
                      <w14:textFill>
                        <w14:solidFill>
                          <w14:schemeClr w14:val="tx1"/>
                        </w14:solidFill>
                      </w14:textFill>
                    </w:rPr>
                  </w:pPr>
                </w:p>
              </w:tc>
              <w:tc>
                <w:tcPr>
                  <w:tcW w:w="704" w:type="pct"/>
                  <w:vMerge w:val="continue"/>
                  <w:vAlign w:val="center"/>
                </w:tcPr>
                <w:p w14:paraId="36818DFD">
                  <w:pPr>
                    <w:jc w:val="center"/>
                    <w:rPr>
                      <w:color w:val="000000" w:themeColor="text1"/>
                      <w:sz w:val="21"/>
                      <w:szCs w:val="21"/>
                      <w14:textFill>
                        <w14:solidFill>
                          <w14:schemeClr w14:val="tx1"/>
                        </w14:solidFill>
                      </w14:textFill>
                    </w:rPr>
                  </w:pPr>
                </w:p>
              </w:tc>
              <w:tc>
                <w:tcPr>
                  <w:tcW w:w="950" w:type="pct"/>
                  <w:vAlign w:val="center"/>
                </w:tcPr>
                <w:p w14:paraId="6AFC3E2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竹笋</w:t>
                  </w:r>
                </w:p>
              </w:tc>
              <w:tc>
                <w:tcPr>
                  <w:tcW w:w="1124" w:type="pct"/>
                  <w:vAlign w:val="center"/>
                </w:tcPr>
                <w:p w14:paraId="224692B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2kg/袋</w:t>
                  </w:r>
                </w:p>
              </w:tc>
              <w:tc>
                <w:tcPr>
                  <w:tcW w:w="847" w:type="pct"/>
                  <w:vAlign w:val="center"/>
                </w:tcPr>
                <w:p w14:paraId="1F5264E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200</w:t>
                  </w:r>
                </w:p>
              </w:tc>
              <w:tc>
                <w:tcPr>
                  <w:tcW w:w="928" w:type="pct"/>
                  <w:vMerge w:val="continue"/>
                  <w:vAlign w:val="center"/>
                </w:tcPr>
                <w:p w14:paraId="41D554B6">
                  <w:pPr>
                    <w:jc w:val="center"/>
                    <w:rPr>
                      <w:color w:val="000000" w:themeColor="text1"/>
                      <w:sz w:val="21"/>
                      <w:szCs w:val="21"/>
                      <w14:textFill>
                        <w14:solidFill>
                          <w14:schemeClr w14:val="tx1"/>
                        </w14:solidFill>
                      </w14:textFill>
                    </w:rPr>
                  </w:pPr>
                </w:p>
              </w:tc>
            </w:tr>
            <w:tr w14:paraId="42DC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0A7F939C">
                  <w:pPr>
                    <w:numPr>
                      <w:ilvl w:val="0"/>
                      <w:numId w:val="3"/>
                    </w:numPr>
                    <w:adjustRightInd w:val="0"/>
                    <w:ind w:left="0" w:firstLine="0"/>
                    <w:jc w:val="center"/>
                    <w:rPr>
                      <w:color w:val="000000" w:themeColor="text1"/>
                      <w:sz w:val="21"/>
                      <w:szCs w:val="21"/>
                      <w14:textFill>
                        <w14:solidFill>
                          <w14:schemeClr w14:val="tx1"/>
                        </w14:solidFill>
                      </w14:textFill>
                    </w:rPr>
                  </w:pPr>
                </w:p>
              </w:tc>
              <w:tc>
                <w:tcPr>
                  <w:tcW w:w="704" w:type="pct"/>
                  <w:vAlign w:val="center"/>
                </w:tcPr>
                <w:p w14:paraId="17B3D77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鸡汤熬制</w:t>
                  </w:r>
                </w:p>
              </w:tc>
              <w:tc>
                <w:tcPr>
                  <w:tcW w:w="950" w:type="pct"/>
                  <w:vAlign w:val="center"/>
                </w:tcPr>
                <w:p w14:paraId="5076979B">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鸡架</w:t>
                  </w:r>
                </w:p>
              </w:tc>
              <w:tc>
                <w:tcPr>
                  <w:tcW w:w="1124" w:type="pct"/>
                  <w:vAlign w:val="center"/>
                </w:tcPr>
                <w:p w14:paraId="4D3371D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10kg/包</w:t>
                  </w:r>
                </w:p>
              </w:tc>
              <w:tc>
                <w:tcPr>
                  <w:tcW w:w="847" w:type="pct"/>
                  <w:vAlign w:val="center"/>
                </w:tcPr>
                <w:p w14:paraId="2FE9152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45</w:t>
                  </w:r>
                </w:p>
              </w:tc>
              <w:tc>
                <w:tcPr>
                  <w:tcW w:w="928" w:type="pct"/>
                  <w:vMerge w:val="continue"/>
                  <w:vAlign w:val="center"/>
                </w:tcPr>
                <w:p w14:paraId="5908A839">
                  <w:pPr>
                    <w:jc w:val="center"/>
                    <w:rPr>
                      <w:color w:val="000000" w:themeColor="text1"/>
                      <w:sz w:val="21"/>
                      <w:szCs w:val="21"/>
                      <w14:textFill>
                        <w14:solidFill>
                          <w14:schemeClr w14:val="tx1"/>
                        </w14:solidFill>
                      </w14:textFill>
                    </w:rPr>
                  </w:pPr>
                </w:p>
              </w:tc>
            </w:tr>
            <w:tr w14:paraId="66EE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7D1CBB98">
                  <w:pPr>
                    <w:numPr>
                      <w:ilvl w:val="0"/>
                      <w:numId w:val="3"/>
                    </w:numPr>
                    <w:adjustRightInd w:val="0"/>
                    <w:ind w:left="0" w:firstLine="0"/>
                    <w:jc w:val="center"/>
                    <w:rPr>
                      <w:color w:val="000000" w:themeColor="text1"/>
                      <w:sz w:val="21"/>
                      <w:szCs w:val="21"/>
                      <w14:textFill>
                        <w14:solidFill>
                          <w14:schemeClr w14:val="tx1"/>
                        </w14:solidFill>
                      </w14:textFill>
                    </w:rPr>
                  </w:pPr>
                </w:p>
              </w:tc>
              <w:tc>
                <w:tcPr>
                  <w:tcW w:w="704" w:type="pct"/>
                  <w:vMerge w:val="restart"/>
                  <w:vAlign w:val="center"/>
                </w:tcPr>
                <w:p w14:paraId="3ED321F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调味品</w:t>
                  </w:r>
                </w:p>
              </w:tc>
              <w:tc>
                <w:tcPr>
                  <w:tcW w:w="950" w:type="pct"/>
                  <w:vAlign w:val="center"/>
                </w:tcPr>
                <w:p w14:paraId="1F4911F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辣椒油</w:t>
                  </w:r>
                </w:p>
              </w:tc>
              <w:tc>
                <w:tcPr>
                  <w:tcW w:w="1124" w:type="pct"/>
                  <w:vAlign w:val="center"/>
                </w:tcPr>
                <w:p w14:paraId="2C392AC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20kg/桶</w:t>
                  </w:r>
                </w:p>
              </w:tc>
              <w:tc>
                <w:tcPr>
                  <w:tcW w:w="847" w:type="pct"/>
                  <w:vAlign w:val="center"/>
                </w:tcPr>
                <w:p w14:paraId="393E9CF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45</w:t>
                  </w:r>
                </w:p>
              </w:tc>
              <w:tc>
                <w:tcPr>
                  <w:tcW w:w="928" w:type="pct"/>
                  <w:vMerge w:val="restart"/>
                  <w:vAlign w:val="center"/>
                </w:tcPr>
                <w:p w14:paraId="219D473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外购，用于拌料工序</w:t>
                  </w:r>
                </w:p>
              </w:tc>
            </w:tr>
            <w:tr w14:paraId="1B58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4D154F5B">
                  <w:pPr>
                    <w:numPr>
                      <w:ilvl w:val="0"/>
                      <w:numId w:val="3"/>
                    </w:numPr>
                    <w:adjustRightInd w:val="0"/>
                    <w:ind w:left="0" w:firstLine="0"/>
                    <w:jc w:val="center"/>
                    <w:rPr>
                      <w:color w:val="000000" w:themeColor="text1"/>
                      <w:sz w:val="21"/>
                      <w:szCs w:val="21"/>
                      <w14:textFill>
                        <w14:solidFill>
                          <w14:schemeClr w14:val="tx1"/>
                        </w14:solidFill>
                      </w14:textFill>
                    </w:rPr>
                  </w:pPr>
                </w:p>
              </w:tc>
              <w:tc>
                <w:tcPr>
                  <w:tcW w:w="704" w:type="pct"/>
                  <w:vMerge w:val="continue"/>
                  <w:vAlign w:val="center"/>
                </w:tcPr>
                <w:p w14:paraId="48664FC7">
                  <w:pPr>
                    <w:jc w:val="center"/>
                    <w:rPr>
                      <w:color w:val="000000" w:themeColor="text1"/>
                      <w:sz w:val="21"/>
                      <w:szCs w:val="21"/>
                      <w14:textFill>
                        <w14:solidFill>
                          <w14:schemeClr w14:val="tx1"/>
                        </w14:solidFill>
                      </w14:textFill>
                    </w:rPr>
                  </w:pPr>
                </w:p>
              </w:tc>
              <w:tc>
                <w:tcPr>
                  <w:tcW w:w="950" w:type="pct"/>
                  <w:vAlign w:val="center"/>
                </w:tcPr>
                <w:p w14:paraId="33A4756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盐</w:t>
                  </w:r>
                </w:p>
              </w:tc>
              <w:tc>
                <w:tcPr>
                  <w:tcW w:w="1124" w:type="pct"/>
                  <w:vMerge w:val="restart"/>
                  <w:vAlign w:val="center"/>
                </w:tcPr>
                <w:p w14:paraId="6FA9D6A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50kg/袋</w:t>
                  </w:r>
                </w:p>
              </w:tc>
              <w:tc>
                <w:tcPr>
                  <w:tcW w:w="847" w:type="pct"/>
                  <w:vAlign w:val="center"/>
                </w:tcPr>
                <w:p w14:paraId="294486E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25</w:t>
                  </w:r>
                </w:p>
              </w:tc>
              <w:tc>
                <w:tcPr>
                  <w:tcW w:w="928" w:type="pct"/>
                  <w:vMerge w:val="continue"/>
                  <w:vAlign w:val="center"/>
                </w:tcPr>
                <w:p w14:paraId="2663F049">
                  <w:pPr>
                    <w:jc w:val="center"/>
                    <w:rPr>
                      <w:color w:val="000000" w:themeColor="text1"/>
                      <w:sz w:val="21"/>
                      <w:szCs w:val="21"/>
                      <w14:textFill>
                        <w14:solidFill>
                          <w14:schemeClr w14:val="tx1"/>
                        </w14:solidFill>
                      </w14:textFill>
                    </w:rPr>
                  </w:pPr>
                </w:p>
              </w:tc>
            </w:tr>
            <w:tr w14:paraId="1A3D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3705E0E5">
                  <w:pPr>
                    <w:numPr>
                      <w:ilvl w:val="0"/>
                      <w:numId w:val="3"/>
                    </w:numPr>
                    <w:adjustRightInd w:val="0"/>
                    <w:ind w:left="0" w:firstLine="0"/>
                    <w:jc w:val="center"/>
                    <w:rPr>
                      <w:color w:val="000000" w:themeColor="text1"/>
                      <w:sz w:val="21"/>
                      <w:szCs w:val="21"/>
                      <w14:textFill>
                        <w14:solidFill>
                          <w14:schemeClr w14:val="tx1"/>
                        </w14:solidFill>
                      </w14:textFill>
                    </w:rPr>
                  </w:pPr>
                </w:p>
              </w:tc>
              <w:tc>
                <w:tcPr>
                  <w:tcW w:w="704" w:type="pct"/>
                  <w:vMerge w:val="continue"/>
                  <w:vAlign w:val="center"/>
                </w:tcPr>
                <w:p w14:paraId="01B6659E">
                  <w:pPr>
                    <w:jc w:val="center"/>
                    <w:rPr>
                      <w:color w:val="000000" w:themeColor="text1"/>
                      <w:sz w:val="21"/>
                      <w:szCs w:val="21"/>
                      <w14:textFill>
                        <w14:solidFill>
                          <w14:schemeClr w14:val="tx1"/>
                        </w14:solidFill>
                      </w14:textFill>
                    </w:rPr>
                  </w:pPr>
                </w:p>
              </w:tc>
              <w:tc>
                <w:tcPr>
                  <w:tcW w:w="950" w:type="pct"/>
                  <w:vAlign w:val="center"/>
                </w:tcPr>
                <w:p w14:paraId="65696A47">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鸡精</w:t>
                  </w:r>
                </w:p>
              </w:tc>
              <w:tc>
                <w:tcPr>
                  <w:tcW w:w="1124" w:type="pct"/>
                  <w:vMerge w:val="continue"/>
                  <w:vAlign w:val="center"/>
                </w:tcPr>
                <w:p w14:paraId="670B0A6C">
                  <w:pPr>
                    <w:jc w:val="center"/>
                    <w:rPr>
                      <w:color w:val="000000" w:themeColor="text1"/>
                      <w:sz w:val="21"/>
                      <w:szCs w:val="21"/>
                      <w14:textFill>
                        <w14:solidFill>
                          <w14:schemeClr w14:val="tx1"/>
                        </w14:solidFill>
                      </w14:textFill>
                    </w:rPr>
                  </w:pPr>
                </w:p>
              </w:tc>
              <w:tc>
                <w:tcPr>
                  <w:tcW w:w="847" w:type="pct"/>
                  <w:vAlign w:val="center"/>
                </w:tcPr>
                <w:p w14:paraId="5C720C9F">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27</w:t>
                  </w:r>
                </w:p>
              </w:tc>
              <w:tc>
                <w:tcPr>
                  <w:tcW w:w="928" w:type="pct"/>
                  <w:vMerge w:val="continue"/>
                  <w:vAlign w:val="center"/>
                </w:tcPr>
                <w:p w14:paraId="5275A43B">
                  <w:pPr>
                    <w:jc w:val="center"/>
                    <w:rPr>
                      <w:color w:val="000000" w:themeColor="text1"/>
                      <w:sz w:val="21"/>
                      <w:szCs w:val="21"/>
                      <w14:textFill>
                        <w14:solidFill>
                          <w14:schemeClr w14:val="tx1"/>
                        </w14:solidFill>
                      </w14:textFill>
                    </w:rPr>
                  </w:pPr>
                </w:p>
              </w:tc>
            </w:tr>
            <w:tr w14:paraId="733C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3F50F986">
                  <w:pPr>
                    <w:numPr>
                      <w:ilvl w:val="0"/>
                      <w:numId w:val="3"/>
                    </w:numPr>
                    <w:adjustRightInd w:val="0"/>
                    <w:ind w:left="0" w:firstLine="0"/>
                    <w:jc w:val="center"/>
                    <w:rPr>
                      <w:color w:val="000000" w:themeColor="text1"/>
                      <w:sz w:val="21"/>
                      <w:szCs w:val="21"/>
                      <w14:textFill>
                        <w14:solidFill>
                          <w14:schemeClr w14:val="tx1"/>
                        </w14:solidFill>
                      </w14:textFill>
                    </w:rPr>
                  </w:pPr>
                </w:p>
              </w:tc>
              <w:tc>
                <w:tcPr>
                  <w:tcW w:w="704" w:type="pct"/>
                  <w:vMerge w:val="continue"/>
                  <w:vAlign w:val="center"/>
                </w:tcPr>
                <w:p w14:paraId="19018A4F">
                  <w:pPr>
                    <w:jc w:val="center"/>
                    <w:rPr>
                      <w:color w:val="000000" w:themeColor="text1"/>
                      <w:sz w:val="21"/>
                      <w:szCs w:val="21"/>
                      <w14:textFill>
                        <w14:solidFill>
                          <w14:schemeClr w14:val="tx1"/>
                        </w14:solidFill>
                      </w14:textFill>
                    </w:rPr>
                  </w:pPr>
                </w:p>
              </w:tc>
              <w:tc>
                <w:tcPr>
                  <w:tcW w:w="950" w:type="pct"/>
                  <w:vAlign w:val="center"/>
                </w:tcPr>
                <w:p w14:paraId="7CB5A0A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食用油</w:t>
                  </w:r>
                </w:p>
              </w:tc>
              <w:tc>
                <w:tcPr>
                  <w:tcW w:w="1124" w:type="pct"/>
                  <w:vAlign w:val="center"/>
                </w:tcPr>
                <w:p w14:paraId="79BFAF3A">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10</w:t>
                  </w:r>
                  <w:r>
                    <w:rPr>
                      <w:rFonts w:hint="eastAsia"/>
                      <w:color w:val="000000" w:themeColor="text1"/>
                      <w:sz w:val="21"/>
                      <w:szCs w:val="21"/>
                      <w14:textFill>
                        <w14:solidFill>
                          <w14:schemeClr w14:val="tx1"/>
                        </w14:solidFill>
                      </w14:textFill>
                    </w:rPr>
                    <w:t>kg/</w:t>
                  </w:r>
                  <w:r>
                    <w:rPr>
                      <w:rFonts w:hint="eastAsia"/>
                      <w:color w:val="000000" w:themeColor="text1"/>
                      <w:sz w:val="21"/>
                      <w:szCs w:val="21"/>
                      <w:lang w:val="en-US" w:eastAsia="zh-CN"/>
                      <w14:textFill>
                        <w14:solidFill>
                          <w14:schemeClr w14:val="tx1"/>
                        </w14:solidFill>
                      </w14:textFill>
                    </w:rPr>
                    <w:t>桶</w:t>
                  </w:r>
                </w:p>
              </w:tc>
              <w:tc>
                <w:tcPr>
                  <w:tcW w:w="847" w:type="pct"/>
                  <w:vAlign w:val="center"/>
                </w:tcPr>
                <w:p w14:paraId="7E1C0B18">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45（油炸工序使用量35t/a）</w:t>
                  </w:r>
                </w:p>
              </w:tc>
              <w:tc>
                <w:tcPr>
                  <w:tcW w:w="928" w:type="pct"/>
                  <w:vMerge w:val="continue"/>
                  <w:vAlign w:val="center"/>
                </w:tcPr>
                <w:p w14:paraId="534E6B74">
                  <w:pPr>
                    <w:jc w:val="center"/>
                    <w:rPr>
                      <w:color w:val="000000" w:themeColor="text1"/>
                      <w:sz w:val="21"/>
                      <w:szCs w:val="21"/>
                      <w14:textFill>
                        <w14:solidFill>
                          <w14:schemeClr w14:val="tx1"/>
                        </w14:solidFill>
                      </w14:textFill>
                    </w:rPr>
                  </w:pPr>
                </w:p>
              </w:tc>
            </w:tr>
            <w:tr w14:paraId="5EF3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43F8CB82">
                  <w:pPr>
                    <w:numPr>
                      <w:ilvl w:val="0"/>
                      <w:numId w:val="3"/>
                    </w:numPr>
                    <w:adjustRightInd w:val="0"/>
                    <w:ind w:left="0" w:firstLine="0"/>
                    <w:jc w:val="center"/>
                    <w:rPr>
                      <w:color w:val="000000" w:themeColor="text1"/>
                      <w:sz w:val="21"/>
                      <w:szCs w:val="21"/>
                      <w14:textFill>
                        <w14:solidFill>
                          <w14:schemeClr w14:val="tx1"/>
                        </w14:solidFill>
                      </w14:textFill>
                    </w:rPr>
                  </w:pPr>
                </w:p>
              </w:tc>
              <w:tc>
                <w:tcPr>
                  <w:tcW w:w="704" w:type="pct"/>
                  <w:vMerge w:val="continue"/>
                  <w:vAlign w:val="center"/>
                </w:tcPr>
                <w:p w14:paraId="0D4F5EEC">
                  <w:pPr>
                    <w:jc w:val="center"/>
                    <w:rPr>
                      <w:color w:val="000000" w:themeColor="text1"/>
                      <w:sz w:val="21"/>
                      <w:szCs w:val="21"/>
                      <w14:textFill>
                        <w14:solidFill>
                          <w14:schemeClr w14:val="tx1"/>
                        </w14:solidFill>
                      </w14:textFill>
                    </w:rPr>
                  </w:pPr>
                </w:p>
              </w:tc>
              <w:tc>
                <w:tcPr>
                  <w:tcW w:w="950" w:type="pct"/>
                  <w:vAlign w:val="center"/>
                </w:tcPr>
                <w:p w14:paraId="061C7D0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味精</w:t>
                  </w:r>
                </w:p>
              </w:tc>
              <w:tc>
                <w:tcPr>
                  <w:tcW w:w="1124" w:type="pct"/>
                  <w:vAlign w:val="center"/>
                </w:tcPr>
                <w:p w14:paraId="3774B62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5kg/袋</w:t>
                  </w:r>
                </w:p>
              </w:tc>
              <w:tc>
                <w:tcPr>
                  <w:tcW w:w="847" w:type="pct"/>
                  <w:vAlign w:val="center"/>
                </w:tcPr>
                <w:p w14:paraId="1990349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27</w:t>
                  </w:r>
                </w:p>
              </w:tc>
              <w:tc>
                <w:tcPr>
                  <w:tcW w:w="928" w:type="pct"/>
                  <w:vMerge w:val="continue"/>
                  <w:vAlign w:val="center"/>
                </w:tcPr>
                <w:p w14:paraId="3678B6C3">
                  <w:pPr>
                    <w:jc w:val="center"/>
                    <w:rPr>
                      <w:color w:val="000000" w:themeColor="text1"/>
                      <w:sz w:val="21"/>
                      <w:szCs w:val="21"/>
                      <w14:textFill>
                        <w14:solidFill>
                          <w14:schemeClr w14:val="tx1"/>
                        </w14:solidFill>
                      </w14:textFill>
                    </w:rPr>
                  </w:pPr>
                </w:p>
              </w:tc>
            </w:tr>
            <w:tr w14:paraId="665DF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3786A73F">
                  <w:pPr>
                    <w:numPr>
                      <w:ilvl w:val="0"/>
                      <w:numId w:val="3"/>
                    </w:numPr>
                    <w:adjustRightInd w:val="0"/>
                    <w:ind w:left="0" w:firstLine="0"/>
                    <w:jc w:val="center"/>
                    <w:rPr>
                      <w:color w:val="000000" w:themeColor="text1"/>
                      <w:sz w:val="21"/>
                      <w:szCs w:val="21"/>
                      <w14:textFill>
                        <w14:solidFill>
                          <w14:schemeClr w14:val="tx1"/>
                        </w14:solidFill>
                      </w14:textFill>
                    </w:rPr>
                  </w:pPr>
                </w:p>
              </w:tc>
              <w:tc>
                <w:tcPr>
                  <w:tcW w:w="1655" w:type="pct"/>
                  <w:gridSpan w:val="2"/>
                  <w:vAlign w:val="center"/>
                </w:tcPr>
                <w:p w14:paraId="4FBF695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塑料周转筐</w:t>
                  </w:r>
                </w:p>
              </w:tc>
              <w:tc>
                <w:tcPr>
                  <w:tcW w:w="1124" w:type="pct"/>
                  <w:vAlign w:val="center"/>
                </w:tcPr>
                <w:p w14:paraId="75E882B9">
                  <w:pPr>
                    <w:jc w:val="center"/>
                    <w:rPr>
                      <w:color w:val="000000" w:themeColor="text1"/>
                      <w:sz w:val="21"/>
                      <w:szCs w:val="21"/>
                      <w14:textFill>
                        <w14:solidFill>
                          <w14:schemeClr w14:val="tx1"/>
                        </w14:solidFill>
                      </w14:textFill>
                    </w:rPr>
                  </w:pPr>
                </w:p>
              </w:tc>
              <w:tc>
                <w:tcPr>
                  <w:tcW w:w="847" w:type="pct"/>
                  <w:vAlign w:val="center"/>
                </w:tcPr>
                <w:p w14:paraId="40009A6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500个</w:t>
                  </w:r>
                </w:p>
              </w:tc>
              <w:tc>
                <w:tcPr>
                  <w:tcW w:w="928" w:type="pct"/>
                  <w:vMerge w:val="restart"/>
                  <w:vAlign w:val="center"/>
                </w:tcPr>
                <w:p w14:paraId="2843A87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外购</w:t>
                  </w:r>
                </w:p>
              </w:tc>
            </w:tr>
            <w:tr w14:paraId="2027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794D74A8">
                  <w:pPr>
                    <w:numPr>
                      <w:ilvl w:val="0"/>
                      <w:numId w:val="3"/>
                    </w:numPr>
                    <w:adjustRightInd w:val="0"/>
                    <w:ind w:left="0" w:firstLine="0"/>
                    <w:jc w:val="center"/>
                    <w:rPr>
                      <w:color w:val="000000" w:themeColor="text1"/>
                      <w:sz w:val="21"/>
                      <w:szCs w:val="21"/>
                      <w14:textFill>
                        <w14:solidFill>
                          <w14:schemeClr w14:val="tx1"/>
                        </w14:solidFill>
                      </w14:textFill>
                    </w:rPr>
                  </w:pPr>
                </w:p>
              </w:tc>
              <w:tc>
                <w:tcPr>
                  <w:tcW w:w="1655" w:type="pct"/>
                  <w:gridSpan w:val="2"/>
                  <w:vAlign w:val="center"/>
                </w:tcPr>
                <w:p w14:paraId="5A8D5B9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包装袋</w:t>
                  </w:r>
                </w:p>
              </w:tc>
              <w:tc>
                <w:tcPr>
                  <w:tcW w:w="1124" w:type="pct"/>
                  <w:vAlign w:val="center"/>
                </w:tcPr>
                <w:p w14:paraId="0988C965">
                  <w:pPr>
                    <w:jc w:val="center"/>
                    <w:rPr>
                      <w:color w:val="000000" w:themeColor="text1"/>
                      <w:sz w:val="21"/>
                      <w:szCs w:val="21"/>
                      <w14:textFill>
                        <w14:solidFill>
                          <w14:schemeClr w14:val="tx1"/>
                        </w14:solidFill>
                      </w14:textFill>
                    </w:rPr>
                  </w:pPr>
                </w:p>
              </w:tc>
              <w:tc>
                <w:tcPr>
                  <w:tcW w:w="847" w:type="pct"/>
                  <w:vAlign w:val="center"/>
                </w:tcPr>
                <w:p w14:paraId="2A12EAB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412万个</w:t>
                  </w:r>
                </w:p>
              </w:tc>
              <w:tc>
                <w:tcPr>
                  <w:tcW w:w="928" w:type="pct"/>
                  <w:vMerge w:val="continue"/>
                  <w:vAlign w:val="center"/>
                </w:tcPr>
                <w:p w14:paraId="3A97A92F">
                  <w:pPr>
                    <w:jc w:val="center"/>
                    <w:rPr>
                      <w:color w:val="000000" w:themeColor="text1"/>
                      <w:sz w:val="21"/>
                      <w:szCs w:val="21"/>
                      <w14:textFill>
                        <w14:solidFill>
                          <w14:schemeClr w14:val="tx1"/>
                        </w14:solidFill>
                      </w14:textFill>
                    </w:rPr>
                  </w:pPr>
                </w:p>
              </w:tc>
            </w:tr>
            <w:tr w14:paraId="3C99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30508A80">
                  <w:pPr>
                    <w:numPr>
                      <w:ilvl w:val="0"/>
                      <w:numId w:val="3"/>
                    </w:numPr>
                    <w:adjustRightInd w:val="0"/>
                    <w:ind w:left="0" w:firstLine="0"/>
                    <w:jc w:val="center"/>
                    <w:rPr>
                      <w:color w:val="000000" w:themeColor="text1"/>
                      <w:sz w:val="21"/>
                      <w:szCs w:val="21"/>
                      <w14:textFill>
                        <w14:solidFill>
                          <w14:schemeClr w14:val="tx1"/>
                        </w14:solidFill>
                      </w14:textFill>
                    </w:rPr>
                  </w:pPr>
                </w:p>
              </w:tc>
              <w:tc>
                <w:tcPr>
                  <w:tcW w:w="1655" w:type="pct"/>
                  <w:gridSpan w:val="2"/>
                  <w:vAlign w:val="center"/>
                </w:tcPr>
                <w:p w14:paraId="6DCFDDE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包装罐</w:t>
                  </w:r>
                </w:p>
              </w:tc>
              <w:tc>
                <w:tcPr>
                  <w:tcW w:w="1124" w:type="pct"/>
                  <w:vAlign w:val="center"/>
                </w:tcPr>
                <w:p w14:paraId="2488B5A1">
                  <w:pPr>
                    <w:jc w:val="center"/>
                    <w:rPr>
                      <w:color w:val="000000" w:themeColor="text1"/>
                      <w:sz w:val="21"/>
                      <w:szCs w:val="21"/>
                      <w14:textFill>
                        <w14:solidFill>
                          <w14:schemeClr w14:val="tx1"/>
                        </w14:solidFill>
                      </w14:textFill>
                    </w:rPr>
                  </w:pPr>
                </w:p>
              </w:tc>
              <w:tc>
                <w:tcPr>
                  <w:tcW w:w="847" w:type="pct"/>
                  <w:vAlign w:val="center"/>
                </w:tcPr>
                <w:p w14:paraId="573B9FF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160万个</w:t>
                  </w:r>
                </w:p>
              </w:tc>
              <w:tc>
                <w:tcPr>
                  <w:tcW w:w="928" w:type="pct"/>
                  <w:vMerge w:val="continue"/>
                  <w:vAlign w:val="center"/>
                </w:tcPr>
                <w:p w14:paraId="20F4F99A">
                  <w:pPr>
                    <w:jc w:val="center"/>
                    <w:rPr>
                      <w:color w:val="000000" w:themeColor="text1"/>
                      <w:sz w:val="21"/>
                      <w:szCs w:val="21"/>
                      <w14:textFill>
                        <w14:solidFill>
                          <w14:schemeClr w14:val="tx1"/>
                        </w14:solidFill>
                      </w14:textFill>
                    </w:rPr>
                  </w:pPr>
                </w:p>
              </w:tc>
            </w:tr>
            <w:tr w14:paraId="4645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5808F326">
                  <w:pPr>
                    <w:numPr>
                      <w:ilvl w:val="0"/>
                      <w:numId w:val="3"/>
                    </w:numPr>
                    <w:adjustRightInd w:val="0"/>
                    <w:ind w:left="0" w:firstLine="0"/>
                    <w:jc w:val="center"/>
                    <w:rPr>
                      <w:color w:val="000000" w:themeColor="text1"/>
                      <w:sz w:val="21"/>
                      <w:szCs w:val="21"/>
                      <w14:textFill>
                        <w14:solidFill>
                          <w14:schemeClr w14:val="tx1"/>
                        </w14:solidFill>
                      </w14:textFill>
                    </w:rPr>
                  </w:pPr>
                </w:p>
              </w:tc>
              <w:tc>
                <w:tcPr>
                  <w:tcW w:w="1655" w:type="pct"/>
                  <w:gridSpan w:val="2"/>
                  <w:vAlign w:val="center"/>
                </w:tcPr>
                <w:p w14:paraId="66905AB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包装泡沫</w:t>
                  </w:r>
                </w:p>
              </w:tc>
              <w:tc>
                <w:tcPr>
                  <w:tcW w:w="1124" w:type="pct"/>
                  <w:vAlign w:val="center"/>
                </w:tcPr>
                <w:p w14:paraId="3E4C97C5">
                  <w:pPr>
                    <w:jc w:val="center"/>
                    <w:rPr>
                      <w:color w:val="000000" w:themeColor="text1"/>
                      <w:sz w:val="21"/>
                      <w:szCs w:val="21"/>
                      <w14:textFill>
                        <w14:solidFill>
                          <w14:schemeClr w14:val="tx1"/>
                        </w14:solidFill>
                      </w14:textFill>
                    </w:rPr>
                  </w:pPr>
                </w:p>
              </w:tc>
              <w:tc>
                <w:tcPr>
                  <w:tcW w:w="847" w:type="pct"/>
                  <w:vAlign w:val="center"/>
                </w:tcPr>
                <w:p w14:paraId="1197622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10万块</w:t>
                  </w:r>
                </w:p>
              </w:tc>
              <w:tc>
                <w:tcPr>
                  <w:tcW w:w="928" w:type="pct"/>
                  <w:vMerge w:val="continue"/>
                  <w:vAlign w:val="center"/>
                </w:tcPr>
                <w:p w14:paraId="5614EC9D">
                  <w:pPr>
                    <w:jc w:val="center"/>
                    <w:rPr>
                      <w:color w:val="000000" w:themeColor="text1"/>
                      <w:sz w:val="21"/>
                      <w:szCs w:val="21"/>
                      <w14:textFill>
                        <w14:solidFill>
                          <w14:schemeClr w14:val="tx1"/>
                        </w14:solidFill>
                      </w14:textFill>
                    </w:rPr>
                  </w:pPr>
                </w:p>
              </w:tc>
            </w:tr>
            <w:tr w14:paraId="313B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4ABE6B86">
                  <w:pPr>
                    <w:numPr>
                      <w:ilvl w:val="0"/>
                      <w:numId w:val="3"/>
                    </w:numPr>
                    <w:adjustRightInd w:val="0"/>
                    <w:ind w:left="0" w:firstLine="0"/>
                    <w:jc w:val="center"/>
                    <w:rPr>
                      <w:color w:val="000000" w:themeColor="text1"/>
                      <w:sz w:val="21"/>
                      <w:szCs w:val="21"/>
                      <w14:textFill>
                        <w14:solidFill>
                          <w14:schemeClr w14:val="tx1"/>
                        </w14:solidFill>
                      </w14:textFill>
                    </w:rPr>
                  </w:pPr>
                </w:p>
              </w:tc>
              <w:tc>
                <w:tcPr>
                  <w:tcW w:w="1655" w:type="pct"/>
                  <w:gridSpan w:val="2"/>
                  <w:vAlign w:val="center"/>
                </w:tcPr>
                <w:p w14:paraId="608D888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袋装包装箱</w:t>
                  </w:r>
                </w:p>
              </w:tc>
              <w:tc>
                <w:tcPr>
                  <w:tcW w:w="1124" w:type="pct"/>
                  <w:vAlign w:val="center"/>
                </w:tcPr>
                <w:p w14:paraId="62D3B225">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220g/袋×20袋</w:t>
                  </w:r>
                </w:p>
              </w:tc>
              <w:tc>
                <w:tcPr>
                  <w:tcW w:w="847" w:type="pct"/>
                  <w:vAlign w:val="center"/>
                </w:tcPr>
                <w:p w14:paraId="72D837F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20万个</w:t>
                  </w:r>
                </w:p>
              </w:tc>
              <w:tc>
                <w:tcPr>
                  <w:tcW w:w="928" w:type="pct"/>
                  <w:vMerge w:val="continue"/>
                  <w:vAlign w:val="center"/>
                </w:tcPr>
                <w:p w14:paraId="2D6BF3BF">
                  <w:pPr>
                    <w:jc w:val="center"/>
                    <w:rPr>
                      <w:color w:val="000000" w:themeColor="text1"/>
                      <w:sz w:val="21"/>
                      <w:szCs w:val="21"/>
                      <w14:textFill>
                        <w14:solidFill>
                          <w14:schemeClr w14:val="tx1"/>
                        </w14:solidFill>
                      </w14:textFill>
                    </w:rPr>
                  </w:pPr>
                </w:p>
              </w:tc>
            </w:tr>
            <w:tr w14:paraId="68C07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3767742B">
                  <w:pPr>
                    <w:numPr>
                      <w:ilvl w:val="0"/>
                      <w:numId w:val="3"/>
                    </w:numPr>
                    <w:adjustRightInd w:val="0"/>
                    <w:ind w:left="0" w:firstLine="0"/>
                    <w:jc w:val="center"/>
                    <w:rPr>
                      <w:color w:val="000000" w:themeColor="text1"/>
                      <w:sz w:val="21"/>
                      <w:szCs w:val="21"/>
                      <w14:textFill>
                        <w14:solidFill>
                          <w14:schemeClr w14:val="tx1"/>
                        </w14:solidFill>
                      </w14:textFill>
                    </w:rPr>
                  </w:pPr>
                </w:p>
              </w:tc>
              <w:tc>
                <w:tcPr>
                  <w:tcW w:w="1655" w:type="pct"/>
                  <w:gridSpan w:val="2"/>
                  <w:vAlign w:val="center"/>
                </w:tcPr>
                <w:p w14:paraId="1867D52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罐装包装箱</w:t>
                  </w:r>
                </w:p>
              </w:tc>
              <w:tc>
                <w:tcPr>
                  <w:tcW w:w="1124" w:type="pct"/>
                  <w:vAlign w:val="center"/>
                </w:tcPr>
                <w:p w14:paraId="3F777A72">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300g/罐×12罐</w:t>
                  </w:r>
                </w:p>
              </w:tc>
              <w:tc>
                <w:tcPr>
                  <w:tcW w:w="847" w:type="pct"/>
                  <w:vAlign w:val="center"/>
                </w:tcPr>
                <w:p w14:paraId="49818C2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15万个</w:t>
                  </w:r>
                </w:p>
              </w:tc>
              <w:tc>
                <w:tcPr>
                  <w:tcW w:w="928" w:type="pct"/>
                  <w:vMerge w:val="continue"/>
                  <w:vAlign w:val="center"/>
                </w:tcPr>
                <w:p w14:paraId="43612760">
                  <w:pPr>
                    <w:jc w:val="center"/>
                    <w:rPr>
                      <w:color w:val="000000" w:themeColor="text1"/>
                      <w:sz w:val="21"/>
                      <w:szCs w:val="21"/>
                      <w14:textFill>
                        <w14:solidFill>
                          <w14:schemeClr w14:val="tx1"/>
                        </w14:solidFill>
                      </w14:textFill>
                    </w:rPr>
                  </w:pPr>
                </w:p>
              </w:tc>
            </w:tr>
            <w:tr w14:paraId="2032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Align w:val="center"/>
                </w:tcPr>
                <w:p w14:paraId="47D3726B">
                  <w:pPr>
                    <w:numPr>
                      <w:ilvl w:val="0"/>
                      <w:numId w:val="3"/>
                    </w:numPr>
                    <w:adjustRightInd w:val="0"/>
                    <w:ind w:left="0" w:firstLine="0"/>
                    <w:jc w:val="center"/>
                    <w:rPr>
                      <w:color w:val="000000" w:themeColor="text1"/>
                      <w:sz w:val="21"/>
                      <w:szCs w:val="21"/>
                      <w14:textFill>
                        <w14:solidFill>
                          <w14:schemeClr w14:val="tx1"/>
                        </w14:solidFill>
                      </w14:textFill>
                    </w:rPr>
                  </w:pPr>
                </w:p>
              </w:tc>
              <w:tc>
                <w:tcPr>
                  <w:tcW w:w="1655" w:type="pct"/>
                  <w:gridSpan w:val="2"/>
                  <w:vAlign w:val="center"/>
                </w:tcPr>
                <w:p w14:paraId="5431D77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无磷除油清洗剂</w:t>
                  </w:r>
                </w:p>
              </w:tc>
              <w:tc>
                <w:tcPr>
                  <w:tcW w:w="1124" w:type="pct"/>
                  <w:vAlign w:val="center"/>
                </w:tcPr>
                <w:p w14:paraId="7BBF6C4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20 kg/桶</w:t>
                  </w:r>
                </w:p>
              </w:tc>
              <w:tc>
                <w:tcPr>
                  <w:tcW w:w="847" w:type="pct"/>
                  <w:vAlign w:val="center"/>
                </w:tcPr>
                <w:p w14:paraId="04BA5A9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w:t>
                  </w:r>
                </w:p>
              </w:tc>
              <w:tc>
                <w:tcPr>
                  <w:tcW w:w="928" w:type="pct"/>
                  <w:vMerge w:val="continue"/>
                  <w:vAlign w:val="center"/>
                </w:tcPr>
                <w:p w14:paraId="60797B60">
                  <w:pPr>
                    <w:jc w:val="center"/>
                    <w:rPr>
                      <w:color w:val="000000" w:themeColor="text1"/>
                      <w:sz w:val="21"/>
                      <w:szCs w:val="21"/>
                      <w14:textFill>
                        <w14:solidFill>
                          <w14:schemeClr w14:val="tx1"/>
                        </w14:solidFill>
                      </w14:textFill>
                    </w:rPr>
                  </w:pPr>
                </w:p>
              </w:tc>
            </w:tr>
            <w:tr w14:paraId="747D8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Merge w:val="restart"/>
                  <w:vAlign w:val="center"/>
                </w:tcPr>
                <w:p w14:paraId="2E3FCA97">
                  <w:pPr>
                    <w:numPr>
                      <w:ilvl w:val="0"/>
                      <w:numId w:val="3"/>
                    </w:numPr>
                    <w:adjustRightInd w:val="0"/>
                    <w:ind w:left="0" w:firstLine="0"/>
                    <w:jc w:val="center"/>
                    <w:rPr>
                      <w:color w:val="000000" w:themeColor="text1"/>
                      <w:sz w:val="21"/>
                      <w:szCs w:val="21"/>
                      <w14:textFill>
                        <w14:solidFill>
                          <w14:schemeClr w14:val="tx1"/>
                        </w14:solidFill>
                      </w14:textFill>
                    </w:rPr>
                  </w:pPr>
                </w:p>
              </w:tc>
              <w:tc>
                <w:tcPr>
                  <w:tcW w:w="1655" w:type="pct"/>
                  <w:gridSpan w:val="2"/>
                  <w:vAlign w:val="center"/>
                </w:tcPr>
                <w:p w14:paraId="4C3BDF1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水</w:t>
                  </w:r>
                </w:p>
              </w:tc>
              <w:tc>
                <w:tcPr>
                  <w:tcW w:w="1124" w:type="pct"/>
                  <w:vAlign w:val="center"/>
                </w:tcPr>
                <w:p w14:paraId="30BFC2E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847" w:type="pct"/>
                  <w:vAlign w:val="center"/>
                </w:tcPr>
                <w:p w14:paraId="59A6FB5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6453.12m</w:t>
                  </w:r>
                  <w:r>
                    <w:rPr>
                      <w:rFonts w:hint="eastAsia"/>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/a</w:t>
                  </w:r>
                </w:p>
              </w:tc>
              <w:tc>
                <w:tcPr>
                  <w:tcW w:w="928" w:type="pct"/>
                  <w:vAlign w:val="center"/>
                </w:tcPr>
                <w:p w14:paraId="63D5E50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由自备井提供</w:t>
                  </w:r>
                </w:p>
              </w:tc>
            </w:tr>
            <w:tr w14:paraId="6C49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Merge w:val="continue"/>
                  <w:vAlign w:val="center"/>
                </w:tcPr>
                <w:p w14:paraId="4EABE6C6">
                  <w:pPr>
                    <w:jc w:val="center"/>
                    <w:rPr>
                      <w:color w:val="000000" w:themeColor="text1"/>
                      <w:sz w:val="21"/>
                      <w:szCs w:val="21"/>
                      <w14:textFill>
                        <w14:solidFill>
                          <w14:schemeClr w14:val="tx1"/>
                        </w14:solidFill>
                      </w14:textFill>
                    </w:rPr>
                  </w:pPr>
                </w:p>
              </w:tc>
              <w:tc>
                <w:tcPr>
                  <w:tcW w:w="1655" w:type="pct"/>
                  <w:gridSpan w:val="2"/>
                  <w:vAlign w:val="center"/>
                </w:tcPr>
                <w:p w14:paraId="4167CBD7">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电</w:t>
                  </w:r>
                </w:p>
              </w:tc>
              <w:tc>
                <w:tcPr>
                  <w:tcW w:w="1124" w:type="pct"/>
                  <w:vAlign w:val="center"/>
                </w:tcPr>
                <w:p w14:paraId="62C3354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847" w:type="pct"/>
                  <w:vAlign w:val="center"/>
                </w:tcPr>
                <w:p w14:paraId="5BBAC17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13万kwh</w:t>
                  </w:r>
                </w:p>
              </w:tc>
              <w:tc>
                <w:tcPr>
                  <w:tcW w:w="928" w:type="pct"/>
                  <w:vAlign w:val="center"/>
                </w:tcPr>
                <w:p w14:paraId="24A37DE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由当地电网供应</w:t>
                  </w:r>
                </w:p>
              </w:tc>
            </w:tr>
            <w:tr w14:paraId="6856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3" w:type="pct"/>
                  <w:vMerge w:val="continue"/>
                  <w:vAlign w:val="center"/>
                </w:tcPr>
                <w:p w14:paraId="7BC5A0F4">
                  <w:pPr>
                    <w:jc w:val="center"/>
                    <w:rPr>
                      <w:color w:val="000000" w:themeColor="text1"/>
                      <w:sz w:val="21"/>
                      <w:szCs w:val="21"/>
                      <w14:textFill>
                        <w14:solidFill>
                          <w14:schemeClr w14:val="tx1"/>
                        </w14:solidFill>
                      </w14:textFill>
                    </w:rPr>
                  </w:pPr>
                </w:p>
              </w:tc>
              <w:tc>
                <w:tcPr>
                  <w:tcW w:w="1655" w:type="pct"/>
                  <w:gridSpan w:val="2"/>
                  <w:vAlign w:val="center"/>
                </w:tcPr>
                <w:p w14:paraId="6D32393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天然气</w:t>
                  </w:r>
                </w:p>
              </w:tc>
              <w:tc>
                <w:tcPr>
                  <w:tcW w:w="1124" w:type="pct"/>
                  <w:vAlign w:val="center"/>
                </w:tcPr>
                <w:p w14:paraId="49EDEFE7">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压缩天然气，储存压力20-25MPa</w:t>
                  </w:r>
                </w:p>
              </w:tc>
              <w:tc>
                <w:tcPr>
                  <w:tcW w:w="847" w:type="pct"/>
                  <w:vAlign w:val="center"/>
                </w:tcPr>
                <w:p w14:paraId="15EE0D9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19.2万m</w:t>
                  </w:r>
                  <w:r>
                    <w:rPr>
                      <w:rFonts w:hint="eastAsia"/>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/a</w:t>
                  </w:r>
                </w:p>
              </w:tc>
              <w:tc>
                <w:tcPr>
                  <w:tcW w:w="928" w:type="pct"/>
                  <w:vAlign w:val="center"/>
                </w:tcPr>
                <w:p w14:paraId="2902BEE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1m</w:t>
                  </w:r>
                  <w:r>
                    <w:rPr>
                      <w:rFonts w:hint="eastAsia"/>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天然气储罐</w:t>
                  </w:r>
                </w:p>
              </w:tc>
            </w:tr>
            <w:bookmarkEnd w:id="7"/>
            <w:bookmarkEnd w:id="8"/>
          </w:tbl>
          <w:p w14:paraId="192BE969">
            <w:pPr>
              <w:spacing w:line="520" w:lineRule="exact"/>
              <w:ind w:firstLine="482" w:firstLineChars="200"/>
              <w:jc w:val="left"/>
              <w:rPr>
                <w:b/>
                <w:bCs/>
                <w:color w:val="000000" w:themeColor="text1"/>
                <w14:textFill>
                  <w14:solidFill>
                    <w14:schemeClr w14:val="tx1"/>
                  </w14:solidFill>
                </w14:textFill>
              </w:rPr>
            </w:pPr>
            <w:r>
              <w:rPr>
                <w:b/>
                <w:bCs/>
                <w:color w:val="000000" w:themeColor="text1"/>
                <w14:textFill>
                  <w14:solidFill>
                    <w14:schemeClr w14:val="tx1"/>
                  </w14:solidFill>
                </w14:textFill>
              </w:rPr>
              <w:t>6、项目水平衡图</w:t>
            </w:r>
          </w:p>
          <w:p w14:paraId="32F4509F">
            <w:pPr>
              <w:spacing w:line="520" w:lineRule="exact"/>
              <w:ind w:firstLine="480" w:firstLineChars="200"/>
              <w:rPr>
                <w:color w:val="auto"/>
                <w:highlight w:val="yellow"/>
              </w:rPr>
            </w:pPr>
            <w:r>
              <w:t>本项目为改建项目，员工从现有工程中调剂，不新</w:t>
            </w:r>
            <w:r>
              <w:rPr>
                <w:color w:val="000000" w:themeColor="text1"/>
                <w14:textFill>
                  <w14:solidFill>
                    <w14:schemeClr w14:val="tx1"/>
                  </w14:solidFill>
                </w14:textFill>
              </w:rPr>
              <w:t>增员工，生活污水不新增。废水主要为生产</w:t>
            </w:r>
            <w:r>
              <w:rPr>
                <w:color w:val="auto"/>
              </w:rPr>
              <w:t>废水，主要包括软水制备废水，熟制废水，清洗废水、杀菌废水，冷却废水等，新鲜用水量</w:t>
            </w:r>
            <w:r>
              <w:rPr>
                <w:color w:val="auto"/>
                <w:highlight w:val="none"/>
              </w:rPr>
              <w:t>为</w:t>
            </w:r>
            <w:r>
              <w:rPr>
                <w:rFonts w:hint="eastAsia"/>
                <w:color w:val="auto"/>
                <w:highlight w:val="none"/>
                <w:lang w:val="en-US" w:eastAsia="zh-CN"/>
              </w:rPr>
              <w:t>8.7083</w:t>
            </w:r>
            <w:r>
              <w:rPr>
                <w:color w:val="auto"/>
                <w:highlight w:val="none"/>
              </w:rPr>
              <w:t>t/d，废水排放量为</w:t>
            </w:r>
            <w:r>
              <w:rPr>
                <w:rFonts w:hint="eastAsia"/>
                <w:color w:val="auto"/>
                <w:highlight w:val="none"/>
                <w:lang w:val="en-US" w:eastAsia="zh-CN"/>
              </w:rPr>
              <w:t>7.2833</w:t>
            </w:r>
            <w:r>
              <w:rPr>
                <w:color w:val="auto"/>
                <w:highlight w:val="none"/>
              </w:rPr>
              <w:t>t/d，</w:t>
            </w:r>
            <w:r>
              <w:rPr>
                <w:color w:val="auto"/>
              </w:rPr>
              <w:t>具体水量分析如下。</w:t>
            </w:r>
          </w:p>
          <w:p w14:paraId="278D27C8">
            <w:pPr>
              <w:pStyle w:val="11"/>
              <w:spacing w:line="520" w:lineRule="exact"/>
              <w:ind w:left="0" w:right="0" w:firstLine="480" w:firstLineChars="200"/>
              <w:rPr>
                <w:color w:val="auto"/>
              </w:rPr>
            </w:pPr>
            <w:r>
              <w:rPr>
                <w:color w:val="auto"/>
              </w:rPr>
              <w:t>（1）生活污水</w:t>
            </w:r>
          </w:p>
          <w:p w14:paraId="09019BD2">
            <w:pPr>
              <w:pStyle w:val="11"/>
              <w:spacing w:line="520" w:lineRule="exact"/>
              <w:ind w:left="0" w:right="0" w:firstLine="480" w:firstLineChars="200"/>
              <w:rPr>
                <w:color w:val="auto"/>
              </w:rPr>
            </w:pPr>
            <w:r>
              <w:rPr>
                <w:color w:val="auto"/>
              </w:rPr>
              <w:t>本项目员工30人</w:t>
            </w:r>
            <w:r>
              <w:rPr>
                <w:color w:val="auto"/>
                <w:highlight w:val="none"/>
              </w:rPr>
              <w:t>，</w:t>
            </w:r>
            <w:r>
              <w:rPr>
                <w:rFonts w:hint="eastAsia"/>
                <w:color w:val="auto"/>
                <w:highlight w:val="none"/>
                <w:lang w:val="en-US" w:eastAsia="zh-CN"/>
              </w:rPr>
              <w:t>一</w:t>
            </w:r>
            <w:r>
              <w:rPr>
                <w:color w:val="auto"/>
                <w:highlight w:val="none"/>
              </w:rPr>
              <w:t>班生产，</w:t>
            </w:r>
            <w:r>
              <w:rPr>
                <w:color w:val="auto"/>
              </w:rPr>
              <w:t>每班8h，年工作300天，员工不在厂内食宿，生活用水量按30L/人</w:t>
            </w:r>
            <w:r>
              <w:rPr>
                <w:rFonts w:hint="eastAsia"/>
                <w:color w:val="auto"/>
              </w:rPr>
              <w:t>每天</w:t>
            </w:r>
            <w:r>
              <w:rPr>
                <w:color w:val="auto"/>
              </w:rPr>
              <w:t>计，则生活用水量为0.9m</w:t>
            </w:r>
            <w:r>
              <w:rPr>
                <w:color w:val="auto"/>
                <w:vertAlign w:val="superscript"/>
              </w:rPr>
              <w:t>3</w:t>
            </w:r>
            <w:r>
              <w:rPr>
                <w:color w:val="auto"/>
              </w:rPr>
              <w:t>/d（270m</w:t>
            </w:r>
            <w:r>
              <w:rPr>
                <w:color w:val="auto"/>
                <w:vertAlign w:val="superscript"/>
              </w:rPr>
              <w:t>3</w:t>
            </w:r>
            <w:r>
              <w:rPr>
                <w:color w:val="auto"/>
              </w:rPr>
              <w:t>/a），排放系数以0.8计，则生活污水排放量为0.72m</w:t>
            </w:r>
            <w:r>
              <w:rPr>
                <w:color w:val="auto"/>
                <w:vertAlign w:val="superscript"/>
              </w:rPr>
              <w:t>3</w:t>
            </w:r>
            <w:r>
              <w:rPr>
                <w:color w:val="auto"/>
              </w:rPr>
              <w:t>/d（216m</w:t>
            </w:r>
            <w:r>
              <w:rPr>
                <w:color w:val="auto"/>
                <w:vertAlign w:val="superscript"/>
              </w:rPr>
              <w:t>3</w:t>
            </w:r>
            <w:r>
              <w:rPr>
                <w:color w:val="auto"/>
              </w:rPr>
              <w:t>/a）。</w:t>
            </w:r>
          </w:p>
          <w:p w14:paraId="1B267A19">
            <w:pPr>
              <w:pStyle w:val="11"/>
              <w:spacing w:line="520" w:lineRule="exact"/>
              <w:ind w:left="480" w:leftChars="200" w:right="0" w:firstLine="0"/>
              <w:rPr>
                <w:color w:val="auto"/>
              </w:rPr>
            </w:pPr>
            <w:r>
              <w:rPr>
                <w:color w:val="auto"/>
              </w:rPr>
              <w:t>（2）地面清洗水</w:t>
            </w:r>
          </w:p>
          <w:p w14:paraId="5A7A4F9B">
            <w:pPr>
              <w:pStyle w:val="11"/>
              <w:spacing w:line="520" w:lineRule="exact"/>
              <w:ind w:left="0" w:right="0" w:firstLine="480" w:firstLineChars="200"/>
              <w:rPr>
                <w:color w:val="auto"/>
              </w:rPr>
            </w:pPr>
            <w:r>
              <w:rPr>
                <w:color w:val="auto"/>
              </w:rPr>
              <w:t>本项目车间地面每</w:t>
            </w:r>
            <w:r>
              <w:rPr>
                <w:rFonts w:hint="eastAsia"/>
                <w:color w:val="auto"/>
                <w:lang w:val="en-US" w:eastAsia="zh-CN"/>
              </w:rPr>
              <w:t>两</w:t>
            </w:r>
            <w:r>
              <w:rPr>
                <w:color w:val="auto"/>
              </w:rPr>
              <w:t>天清洗</w:t>
            </w:r>
            <w:r>
              <w:rPr>
                <w:rFonts w:hint="eastAsia"/>
                <w:color w:val="auto"/>
                <w:lang w:val="en-US" w:eastAsia="zh-CN"/>
              </w:rPr>
              <w:t>一</w:t>
            </w:r>
            <w:r>
              <w:rPr>
                <w:color w:val="auto"/>
              </w:rPr>
              <w:t>次，清洗用水量按1L/m</w:t>
            </w:r>
            <w:r>
              <w:rPr>
                <w:color w:val="auto"/>
                <w:vertAlign w:val="superscript"/>
              </w:rPr>
              <w:t>2</w:t>
            </w:r>
            <w:r>
              <w:rPr>
                <w:color w:val="auto"/>
              </w:rPr>
              <w:t>/次核算，本项目车间需要清洗面积约1200m</w:t>
            </w:r>
            <w:r>
              <w:rPr>
                <w:color w:val="auto"/>
                <w:vertAlign w:val="superscript"/>
              </w:rPr>
              <w:t>2</w:t>
            </w:r>
            <w:r>
              <w:rPr>
                <w:color w:val="auto"/>
              </w:rPr>
              <w:t>，则用水量为</w:t>
            </w:r>
            <w:r>
              <w:rPr>
                <w:rFonts w:hint="eastAsia"/>
                <w:color w:val="auto"/>
                <w:lang w:val="en-US" w:eastAsia="zh-CN"/>
              </w:rPr>
              <w:t>0.6</w:t>
            </w:r>
            <w:r>
              <w:rPr>
                <w:color w:val="auto"/>
              </w:rPr>
              <w:t>m</w:t>
            </w:r>
            <w:r>
              <w:rPr>
                <w:color w:val="auto"/>
                <w:vertAlign w:val="superscript"/>
              </w:rPr>
              <w:t>3</w:t>
            </w:r>
            <w:r>
              <w:rPr>
                <w:color w:val="auto"/>
              </w:rPr>
              <w:t>/d（</w:t>
            </w:r>
            <w:r>
              <w:rPr>
                <w:rFonts w:hint="eastAsia"/>
                <w:color w:val="auto"/>
                <w:lang w:val="en-US" w:eastAsia="zh-CN"/>
              </w:rPr>
              <w:t>18</w:t>
            </w:r>
            <w:r>
              <w:rPr>
                <w:color w:val="auto"/>
              </w:rPr>
              <w:t>0m</w:t>
            </w:r>
            <w:r>
              <w:rPr>
                <w:color w:val="auto"/>
                <w:vertAlign w:val="superscript"/>
              </w:rPr>
              <w:t>3</w:t>
            </w:r>
            <w:r>
              <w:rPr>
                <w:color w:val="auto"/>
              </w:rPr>
              <w:t>/a），排污系数按0.8计，废水产生量为</w:t>
            </w:r>
            <w:r>
              <w:rPr>
                <w:rFonts w:hint="eastAsia"/>
                <w:color w:val="auto"/>
                <w:lang w:val="en-US" w:eastAsia="zh-CN"/>
              </w:rPr>
              <w:t>0.48</w:t>
            </w:r>
            <w:r>
              <w:rPr>
                <w:color w:val="auto"/>
              </w:rPr>
              <w:t>m</w:t>
            </w:r>
            <w:r>
              <w:rPr>
                <w:color w:val="auto"/>
                <w:vertAlign w:val="superscript"/>
              </w:rPr>
              <w:t>3</w:t>
            </w:r>
            <w:r>
              <w:rPr>
                <w:color w:val="auto"/>
              </w:rPr>
              <w:t>/d（</w:t>
            </w:r>
            <w:r>
              <w:rPr>
                <w:rFonts w:hint="eastAsia"/>
                <w:color w:val="auto"/>
                <w:lang w:val="en-US" w:eastAsia="zh-CN"/>
              </w:rPr>
              <w:t>144</w:t>
            </w:r>
            <w:r>
              <w:rPr>
                <w:color w:val="auto"/>
              </w:rPr>
              <w:t>m</w:t>
            </w:r>
            <w:r>
              <w:rPr>
                <w:color w:val="auto"/>
                <w:vertAlign w:val="superscript"/>
              </w:rPr>
              <w:t>3</w:t>
            </w:r>
            <w:r>
              <w:rPr>
                <w:color w:val="auto"/>
              </w:rPr>
              <w:t>/a）。</w:t>
            </w:r>
          </w:p>
          <w:p w14:paraId="728B33BC">
            <w:pPr>
              <w:pStyle w:val="11"/>
              <w:spacing w:line="520" w:lineRule="exact"/>
              <w:ind w:left="480" w:leftChars="200" w:right="0" w:firstLine="0"/>
              <w:rPr>
                <w:color w:val="auto"/>
              </w:rPr>
            </w:pPr>
            <w:r>
              <w:rPr>
                <w:rFonts w:hint="eastAsia"/>
                <w:color w:val="auto"/>
              </w:rPr>
              <w:t>（3）设备清洗水</w:t>
            </w:r>
          </w:p>
          <w:p w14:paraId="6D4FFECD">
            <w:pPr>
              <w:pStyle w:val="11"/>
              <w:spacing w:line="520" w:lineRule="exact"/>
              <w:ind w:left="0" w:right="0" w:firstLine="480" w:firstLineChars="200"/>
              <w:rPr>
                <w:color w:val="auto"/>
              </w:rPr>
            </w:pPr>
            <w:r>
              <w:rPr>
                <w:color w:val="auto"/>
              </w:rPr>
              <w:t>本项目</w:t>
            </w:r>
            <w:r>
              <w:rPr>
                <w:rFonts w:hint="eastAsia"/>
                <w:color w:val="auto"/>
              </w:rPr>
              <w:t>洗菜机、拌料机、切菜机、蒸煮锅</w:t>
            </w:r>
            <w:r>
              <w:rPr>
                <w:color w:val="auto"/>
              </w:rPr>
              <w:t>等均需进行清洗，</w:t>
            </w:r>
            <w:r>
              <w:rPr>
                <w:rFonts w:hint="eastAsia"/>
                <w:color w:val="auto"/>
              </w:rPr>
              <w:t>类比现有工程</w:t>
            </w:r>
            <w:r>
              <w:rPr>
                <w:color w:val="auto"/>
              </w:rPr>
              <w:t>，清洗水用量约为</w:t>
            </w:r>
            <w:r>
              <w:rPr>
                <w:rFonts w:hint="eastAsia"/>
                <w:color w:val="auto"/>
                <w:lang w:val="en-US" w:eastAsia="zh-CN"/>
              </w:rPr>
              <w:t>2.4</w:t>
            </w:r>
            <w:r>
              <w:rPr>
                <w:color w:val="auto"/>
              </w:rPr>
              <w:t>m</w:t>
            </w:r>
            <w:r>
              <w:rPr>
                <w:color w:val="auto"/>
                <w:vertAlign w:val="superscript"/>
              </w:rPr>
              <w:t>3</w:t>
            </w:r>
            <w:r>
              <w:rPr>
                <w:color w:val="auto"/>
              </w:rPr>
              <w:t>/d（</w:t>
            </w:r>
            <w:r>
              <w:rPr>
                <w:rFonts w:hint="eastAsia"/>
                <w:color w:val="auto"/>
                <w:lang w:val="en-US" w:eastAsia="zh-CN"/>
              </w:rPr>
              <w:t>720</w:t>
            </w:r>
            <w:r>
              <w:rPr>
                <w:color w:val="auto"/>
              </w:rPr>
              <w:t>m</w:t>
            </w:r>
            <w:r>
              <w:rPr>
                <w:color w:val="auto"/>
                <w:vertAlign w:val="superscript"/>
              </w:rPr>
              <w:t>3</w:t>
            </w:r>
            <w:r>
              <w:rPr>
                <w:color w:val="auto"/>
              </w:rPr>
              <w:t>/a）</w:t>
            </w:r>
            <w:r>
              <w:rPr>
                <w:rFonts w:hint="eastAsia"/>
                <w:color w:val="auto"/>
              </w:rPr>
              <w:t>，损耗率为</w:t>
            </w:r>
            <w:r>
              <w:rPr>
                <w:rFonts w:hint="eastAsia"/>
                <w:color w:val="auto"/>
                <w:lang w:val="en-US" w:eastAsia="zh-CN"/>
              </w:rPr>
              <w:t>3</w:t>
            </w:r>
            <w:r>
              <w:rPr>
                <w:rFonts w:hint="eastAsia"/>
                <w:color w:val="auto"/>
              </w:rPr>
              <w:t>0%</w:t>
            </w:r>
            <w:r>
              <w:rPr>
                <w:color w:val="auto"/>
              </w:rPr>
              <w:t>，废水产生量为</w:t>
            </w:r>
            <w:r>
              <w:rPr>
                <w:rFonts w:hint="eastAsia"/>
                <w:color w:val="auto"/>
                <w:lang w:val="en-US" w:eastAsia="zh-CN"/>
              </w:rPr>
              <w:t>1.68</w:t>
            </w:r>
            <w:r>
              <w:rPr>
                <w:color w:val="auto"/>
              </w:rPr>
              <w:t>m</w:t>
            </w:r>
            <w:r>
              <w:rPr>
                <w:color w:val="auto"/>
                <w:vertAlign w:val="superscript"/>
              </w:rPr>
              <w:t>3</w:t>
            </w:r>
            <w:r>
              <w:rPr>
                <w:color w:val="auto"/>
              </w:rPr>
              <w:t>/d（</w:t>
            </w:r>
            <w:r>
              <w:rPr>
                <w:rFonts w:hint="eastAsia"/>
                <w:color w:val="auto"/>
                <w:lang w:val="en-US" w:eastAsia="zh-CN"/>
              </w:rPr>
              <w:t>504</w:t>
            </w:r>
            <w:r>
              <w:rPr>
                <w:color w:val="auto"/>
              </w:rPr>
              <w:t>m</w:t>
            </w:r>
            <w:r>
              <w:rPr>
                <w:color w:val="auto"/>
                <w:vertAlign w:val="superscript"/>
              </w:rPr>
              <w:t>3</w:t>
            </w:r>
            <w:r>
              <w:rPr>
                <w:color w:val="auto"/>
              </w:rPr>
              <w:t>/a）。</w:t>
            </w:r>
          </w:p>
          <w:p w14:paraId="2FDE18A8">
            <w:pPr>
              <w:pStyle w:val="11"/>
              <w:spacing w:line="520" w:lineRule="exact"/>
              <w:ind w:left="0" w:right="0" w:firstLine="480" w:firstLineChars="200"/>
              <w:rPr>
                <w:color w:val="auto"/>
              </w:rPr>
            </w:pPr>
            <w:r>
              <w:rPr>
                <w:rFonts w:hint="eastAsia"/>
                <w:color w:val="auto"/>
                <w:lang w:eastAsia="zh-CN"/>
              </w:rPr>
              <w:t>（</w:t>
            </w:r>
            <w:r>
              <w:rPr>
                <w:rFonts w:hint="eastAsia"/>
                <w:color w:val="auto"/>
                <w:lang w:val="en-US" w:eastAsia="zh-CN"/>
              </w:rPr>
              <w:t>4）原料</w:t>
            </w:r>
            <w:r>
              <w:rPr>
                <w:rFonts w:hint="eastAsia"/>
                <w:color w:val="auto"/>
              </w:rPr>
              <w:t>清洗水：</w:t>
            </w:r>
            <w:r>
              <w:rPr>
                <w:color w:val="auto"/>
              </w:rPr>
              <w:t>本项目香菇、竹笋、鸡架需要清洗，需要清洗的原料量为445t/d，</w:t>
            </w:r>
            <w:r>
              <w:rPr>
                <w:rFonts w:hint="eastAsia"/>
                <w:color w:val="auto"/>
              </w:rPr>
              <w:t>类比</w:t>
            </w:r>
            <w:r>
              <w:rPr>
                <w:color w:val="auto"/>
              </w:rPr>
              <w:t>现有工程清洗水用量平均为1.</w:t>
            </w:r>
            <w:r>
              <w:rPr>
                <w:rFonts w:hint="eastAsia"/>
                <w:color w:val="auto"/>
                <w:lang w:val="en-US" w:eastAsia="zh-CN"/>
              </w:rPr>
              <w:t>0</w:t>
            </w:r>
            <w:r>
              <w:rPr>
                <w:color w:val="auto"/>
              </w:rPr>
              <w:t>L/公斤-原料，折合为</w:t>
            </w:r>
            <w:r>
              <w:rPr>
                <w:rFonts w:hint="eastAsia"/>
                <w:color w:val="auto"/>
                <w:lang w:val="en-US" w:eastAsia="zh-CN"/>
              </w:rPr>
              <w:t>1.4833</w:t>
            </w:r>
            <w:r>
              <w:rPr>
                <w:color w:val="auto"/>
              </w:rPr>
              <w:t>m</w:t>
            </w:r>
            <w:r>
              <w:rPr>
                <w:color w:val="auto"/>
                <w:vertAlign w:val="superscript"/>
              </w:rPr>
              <w:t>3</w:t>
            </w:r>
            <w:r>
              <w:rPr>
                <w:color w:val="auto"/>
              </w:rPr>
              <w:t>/d （</w:t>
            </w:r>
            <w:r>
              <w:rPr>
                <w:rFonts w:hint="eastAsia"/>
                <w:color w:val="auto"/>
                <w:lang w:val="en-US" w:eastAsia="zh-CN"/>
              </w:rPr>
              <w:t>445</w:t>
            </w:r>
            <w:r>
              <w:rPr>
                <w:color w:val="auto"/>
              </w:rPr>
              <w:t>m</w:t>
            </w:r>
            <w:r>
              <w:rPr>
                <w:color w:val="auto"/>
                <w:vertAlign w:val="superscript"/>
              </w:rPr>
              <w:t>3</w:t>
            </w:r>
            <w:r>
              <w:rPr>
                <w:color w:val="auto"/>
              </w:rPr>
              <w:t>/a）。产污系数以0.</w:t>
            </w:r>
            <w:r>
              <w:rPr>
                <w:rFonts w:hint="eastAsia"/>
                <w:color w:val="auto"/>
                <w:lang w:val="en-US" w:eastAsia="zh-CN"/>
              </w:rPr>
              <w:t>7</w:t>
            </w:r>
            <w:r>
              <w:rPr>
                <w:color w:val="auto"/>
              </w:rPr>
              <w:t>计，则清洗废水产生量为1.</w:t>
            </w:r>
            <w:r>
              <w:rPr>
                <w:rFonts w:hint="eastAsia"/>
                <w:color w:val="auto"/>
                <w:lang w:val="en-US" w:eastAsia="zh-CN"/>
              </w:rPr>
              <w:t>0383</w:t>
            </w:r>
            <w:r>
              <w:rPr>
                <w:color w:val="auto"/>
              </w:rPr>
              <w:t>m</w:t>
            </w:r>
            <w:r>
              <w:rPr>
                <w:color w:val="auto"/>
                <w:vertAlign w:val="superscript"/>
              </w:rPr>
              <w:t>3</w:t>
            </w:r>
            <w:r>
              <w:rPr>
                <w:color w:val="auto"/>
              </w:rPr>
              <w:t>/d（</w:t>
            </w:r>
            <w:r>
              <w:rPr>
                <w:rFonts w:hint="eastAsia"/>
                <w:color w:val="auto"/>
                <w:lang w:val="en-US" w:eastAsia="zh-CN"/>
              </w:rPr>
              <w:t>311.493</w:t>
            </w:r>
            <w:r>
              <w:rPr>
                <w:color w:val="auto"/>
              </w:rPr>
              <w:t>m</w:t>
            </w:r>
            <w:r>
              <w:rPr>
                <w:color w:val="auto"/>
                <w:vertAlign w:val="superscript"/>
              </w:rPr>
              <w:t>3</w:t>
            </w:r>
            <w:r>
              <w:rPr>
                <w:color w:val="auto"/>
              </w:rPr>
              <w:t>/a）。</w:t>
            </w:r>
          </w:p>
          <w:p w14:paraId="3F3D8E22">
            <w:pPr>
              <w:pStyle w:val="11"/>
              <w:spacing w:line="520" w:lineRule="exact"/>
              <w:ind w:left="0" w:right="0" w:firstLine="480" w:firstLineChars="200"/>
              <w:rPr>
                <w:color w:val="auto"/>
              </w:rPr>
            </w:pPr>
            <w:r>
              <w:rPr>
                <w:rFonts w:hint="eastAsia"/>
                <w:color w:val="auto"/>
              </w:rPr>
              <w:t>（</w:t>
            </w:r>
            <w:r>
              <w:rPr>
                <w:rFonts w:hint="eastAsia"/>
                <w:color w:val="auto"/>
                <w:lang w:val="en-US" w:eastAsia="zh-CN"/>
              </w:rPr>
              <w:t>5</w:t>
            </w:r>
            <w:r>
              <w:rPr>
                <w:rFonts w:hint="eastAsia"/>
                <w:color w:val="auto"/>
              </w:rPr>
              <w:t>）纯水制备</w:t>
            </w:r>
          </w:p>
          <w:p w14:paraId="74FF0EDD">
            <w:pPr>
              <w:pStyle w:val="11"/>
              <w:spacing w:line="520" w:lineRule="exact"/>
              <w:ind w:left="0" w:right="0" w:firstLine="480" w:firstLineChars="200"/>
              <w:rPr>
                <w:color w:val="auto"/>
              </w:rPr>
            </w:pPr>
            <w:r>
              <w:rPr>
                <w:rFonts w:hint="eastAsia"/>
                <w:color w:val="auto"/>
              </w:rPr>
              <w:t>本项目纯水主要用于蒸汽发生器用水（蒸汽发生器产生的蒸汽主要用于：熟制用水、煮鸡汤用水、杀菌用水）、冷却用水。</w:t>
            </w:r>
          </w:p>
          <w:p w14:paraId="288065B9">
            <w:pPr>
              <w:pStyle w:val="11"/>
              <w:spacing w:line="520" w:lineRule="exact"/>
              <w:ind w:left="0" w:right="0" w:firstLine="480" w:firstLineChars="200"/>
              <w:rPr>
                <w:color w:val="auto"/>
                <w:highlight w:val="none"/>
              </w:rPr>
            </w:pPr>
            <w:r>
              <w:rPr>
                <w:rFonts w:hint="eastAsia"/>
                <w:color w:val="auto"/>
              </w:rPr>
              <w:t>a、蒸汽发生器用水：类比现有工程核算熟制过程用蒸汽量为</w:t>
            </w:r>
            <w:r>
              <w:rPr>
                <w:rFonts w:hint="eastAsia"/>
                <w:color w:val="auto"/>
                <w:lang w:val="en-US" w:eastAsia="zh-CN"/>
              </w:rPr>
              <w:t>1</w:t>
            </w:r>
            <w:r>
              <w:rPr>
                <w:rFonts w:hint="eastAsia"/>
                <w:color w:val="auto"/>
              </w:rPr>
              <w:t>.4t/d、煮鸡汤蒸汽量</w:t>
            </w:r>
            <w:r>
              <w:rPr>
                <w:rFonts w:hint="eastAsia"/>
                <w:color w:val="auto"/>
                <w:lang w:val="en-US" w:eastAsia="zh-CN"/>
              </w:rPr>
              <w:t>1</w:t>
            </w:r>
            <w:r>
              <w:rPr>
                <w:rFonts w:hint="eastAsia"/>
                <w:color w:val="auto"/>
              </w:rPr>
              <w:t>.1t/d、此过程采用蒸汽间接加热蒸煮锅，蒸汽间接加热后回用于蒸汽发生器用作补充水；杀菌过程用蒸汽量</w:t>
            </w:r>
            <w:r>
              <w:rPr>
                <w:rFonts w:hint="eastAsia"/>
                <w:color w:val="auto"/>
                <w:lang w:val="en-US" w:eastAsia="zh-CN"/>
              </w:rPr>
              <w:t>0.6</w:t>
            </w:r>
            <w:r>
              <w:rPr>
                <w:rFonts w:hint="eastAsia"/>
                <w:color w:val="auto"/>
              </w:rPr>
              <w:t>t/d，损耗量约1</w:t>
            </w:r>
            <w:r>
              <w:rPr>
                <w:rFonts w:hint="eastAsia"/>
                <w:color w:val="auto"/>
                <w:highlight w:val="none"/>
              </w:rPr>
              <w:t>0%，杀菌废水产生量</w:t>
            </w:r>
            <w:r>
              <w:rPr>
                <w:rFonts w:hint="eastAsia"/>
                <w:color w:val="auto"/>
                <w:highlight w:val="none"/>
                <w:lang w:val="en-US" w:eastAsia="zh-CN"/>
              </w:rPr>
              <w:t>0.54</w:t>
            </w:r>
            <w:r>
              <w:rPr>
                <w:rFonts w:hint="eastAsia"/>
                <w:color w:val="auto"/>
                <w:highlight w:val="none"/>
              </w:rPr>
              <w:t>t/d，排入厂区污水处理厂。</w:t>
            </w:r>
          </w:p>
          <w:p w14:paraId="43C430A5">
            <w:pPr>
              <w:pStyle w:val="11"/>
              <w:spacing w:line="520" w:lineRule="exact"/>
              <w:ind w:left="0" w:right="0" w:firstLine="480" w:firstLineChars="200"/>
              <w:rPr>
                <w:color w:val="auto"/>
                <w:highlight w:val="none"/>
              </w:rPr>
            </w:pPr>
            <w:r>
              <w:rPr>
                <w:rFonts w:hint="eastAsia"/>
                <w:color w:val="auto"/>
                <w:highlight w:val="none"/>
                <w:lang w:val="en-US" w:eastAsia="zh-CN"/>
              </w:rPr>
              <w:t>b</w:t>
            </w:r>
            <w:r>
              <w:rPr>
                <w:rFonts w:hint="eastAsia"/>
                <w:color w:val="auto"/>
                <w:highlight w:val="none"/>
              </w:rPr>
              <w:t>、冷却水：类比现有工程，冷却水用量与产品质量的比值为0.3：1，本项目产品产能为1500t/a，冷却水用量为450t/a（1.5t/d），冷却过程水损耗为</w:t>
            </w:r>
            <w:r>
              <w:rPr>
                <w:rFonts w:hint="eastAsia"/>
                <w:color w:val="auto"/>
                <w:highlight w:val="none"/>
                <w:lang w:val="en-US" w:eastAsia="zh-CN"/>
              </w:rPr>
              <w:t>2</w:t>
            </w:r>
            <w:r>
              <w:rPr>
                <w:rFonts w:hint="eastAsia"/>
                <w:color w:val="auto"/>
                <w:highlight w:val="none"/>
              </w:rPr>
              <w:t>0%，则冷却废水排放量为1.</w:t>
            </w:r>
            <w:r>
              <w:rPr>
                <w:rFonts w:hint="eastAsia"/>
                <w:color w:val="auto"/>
                <w:highlight w:val="none"/>
                <w:lang w:val="en-US" w:eastAsia="zh-CN"/>
              </w:rPr>
              <w:t>2</w:t>
            </w:r>
            <w:r>
              <w:rPr>
                <w:rFonts w:hint="eastAsia"/>
                <w:color w:val="auto"/>
                <w:highlight w:val="none"/>
              </w:rPr>
              <w:t>t/d。</w:t>
            </w:r>
          </w:p>
          <w:p w14:paraId="03FC5700">
            <w:pPr>
              <w:pStyle w:val="11"/>
              <w:spacing w:line="520" w:lineRule="exact"/>
              <w:ind w:left="0" w:right="0" w:firstLine="480" w:firstLineChars="200"/>
              <w:rPr>
                <w:color w:val="auto"/>
              </w:rPr>
            </w:pPr>
            <w:r>
              <w:rPr>
                <w:rFonts w:hint="eastAsia"/>
                <w:color w:val="auto"/>
                <w:lang w:val="en-US" w:eastAsia="zh-CN"/>
              </w:rPr>
              <w:t>c</w:t>
            </w:r>
            <w:r>
              <w:rPr>
                <w:rFonts w:hint="eastAsia"/>
                <w:color w:val="auto"/>
              </w:rPr>
              <w:t>、熟制水</w:t>
            </w:r>
          </w:p>
          <w:p w14:paraId="0BB18BCF">
            <w:pPr>
              <w:pStyle w:val="11"/>
              <w:spacing w:line="520" w:lineRule="exact"/>
              <w:ind w:left="0" w:right="0" w:firstLine="480" w:firstLineChars="200"/>
              <w:rPr>
                <w:color w:val="auto"/>
              </w:rPr>
            </w:pPr>
            <w:r>
              <w:rPr>
                <w:rFonts w:hint="eastAsia"/>
                <w:color w:val="auto"/>
              </w:rPr>
              <w:t>类比现有工程面筋</w:t>
            </w:r>
            <w:r>
              <w:rPr>
                <w:rFonts w:hint="eastAsia"/>
                <w:color w:val="auto"/>
                <w:lang w:val="en-US" w:eastAsia="zh-CN"/>
              </w:rPr>
              <w:t>熟制</w:t>
            </w:r>
            <w:r>
              <w:rPr>
                <w:rFonts w:hint="eastAsia"/>
                <w:color w:val="auto"/>
              </w:rPr>
              <w:t>用水量与生面筋质量之比为</w:t>
            </w:r>
            <w:r>
              <w:rPr>
                <w:rFonts w:hint="eastAsia"/>
                <w:color w:val="auto"/>
                <w:lang w:val="en-US" w:eastAsia="zh-CN"/>
              </w:rPr>
              <w:t>0.5</w:t>
            </w:r>
            <w:r>
              <w:rPr>
                <w:rFonts w:hint="eastAsia"/>
                <w:color w:val="auto"/>
              </w:rPr>
              <w:t>：1，本项目生面筋用</w:t>
            </w:r>
            <w:r>
              <w:rPr>
                <w:rFonts w:hint="eastAsia"/>
                <w:color w:val="auto"/>
                <w:lang w:val="en-US" w:eastAsia="zh-CN"/>
              </w:rPr>
              <w:t>量</w:t>
            </w:r>
            <w:r>
              <w:rPr>
                <w:rFonts w:hint="eastAsia"/>
                <w:color w:val="auto"/>
              </w:rPr>
              <w:t>为1200t/a，则</w:t>
            </w:r>
            <w:r>
              <w:rPr>
                <w:rFonts w:hint="eastAsia"/>
                <w:color w:val="auto"/>
                <w:highlight w:val="none"/>
              </w:rPr>
              <w:t>面筋</w:t>
            </w:r>
            <w:r>
              <w:rPr>
                <w:rFonts w:hint="eastAsia"/>
                <w:color w:val="auto"/>
                <w:highlight w:val="none"/>
                <w:lang w:val="en-US" w:eastAsia="zh-CN"/>
              </w:rPr>
              <w:t>熟制</w:t>
            </w:r>
            <w:r>
              <w:rPr>
                <w:rFonts w:hint="eastAsia"/>
                <w:color w:val="auto"/>
                <w:highlight w:val="none"/>
              </w:rPr>
              <w:t>用水为</w:t>
            </w:r>
            <w:r>
              <w:rPr>
                <w:rFonts w:hint="eastAsia"/>
                <w:color w:val="auto"/>
                <w:highlight w:val="none"/>
                <w:lang w:val="en-US" w:eastAsia="zh-CN"/>
              </w:rPr>
              <w:t>600</w:t>
            </w:r>
            <w:r>
              <w:rPr>
                <w:rFonts w:hint="eastAsia"/>
                <w:color w:val="auto"/>
                <w:highlight w:val="none"/>
              </w:rPr>
              <w:t>t/a（</w:t>
            </w:r>
            <w:r>
              <w:rPr>
                <w:rFonts w:hint="eastAsia"/>
                <w:color w:val="auto"/>
                <w:highlight w:val="none"/>
                <w:lang w:val="en-US" w:eastAsia="zh-CN"/>
              </w:rPr>
              <w:t>2</w:t>
            </w:r>
            <w:r>
              <w:rPr>
                <w:rFonts w:hint="eastAsia"/>
                <w:color w:val="auto"/>
                <w:highlight w:val="none"/>
              </w:rPr>
              <w:t>t/d）</w:t>
            </w:r>
            <w:r>
              <w:rPr>
                <w:rFonts w:hint="eastAsia"/>
                <w:color w:val="auto"/>
              </w:rPr>
              <w:t>，生面筋含水率与面筋煮熟后含水率</w:t>
            </w:r>
            <w:r>
              <w:rPr>
                <w:rFonts w:hint="eastAsia"/>
                <w:color w:val="auto"/>
                <w:lang w:val="en-US" w:eastAsia="zh-CN"/>
              </w:rPr>
              <w:t>均为6</w:t>
            </w:r>
            <w:r>
              <w:rPr>
                <w:rFonts w:hint="eastAsia"/>
                <w:color w:val="auto"/>
              </w:rPr>
              <w:t>0%，此处不再考虑面筋熟制含水率变化情况。熟制过程水损耗约</w:t>
            </w:r>
            <w:r>
              <w:rPr>
                <w:rFonts w:hint="eastAsia"/>
                <w:color w:val="auto"/>
                <w:lang w:val="en-US" w:eastAsia="zh-CN"/>
              </w:rPr>
              <w:t>6</w:t>
            </w:r>
            <w:r>
              <w:rPr>
                <w:rFonts w:hint="eastAsia"/>
                <w:color w:val="auto"/>
              </w:rPr>
              <w:t>0%，则面筋熟制废水产生量为</w:t>
            </w:r>
            <w:r>
              <w:rPr>
                <w:rFonts w:hint="eastAsia"/>
                <w:color w:val="auto"/>
                <w:lang w:val="en-US" w:eastAsia="zh-CN"/>
              </w:rPr>
              <w:t>0.8</w:t>
            </w:r>
            <w:r>
              <w:rPr>
                <w:rFonts w:hint="eastAsia"/>
                <w:color w:val="auto"/>
              </w:rPr>
              <w:t>t/d。</w:t>
            </w:r>
          </w:p>
          <w:p w14:paraId="4C064382">
            <w:pPr>
              <w:pStyle w:val="11"/>
              <w:spacing w:line="520" w:lineRule="exact"/>
              <w:ind w:left="0" w:right="0" w:firstLine="480" w:firstLineChars="200"/>
              <w:rPr>
                <w:color w:val="auto"/>
              </w:rPr>
            </w:pPr>
            <w:r>
              <w:rPr>
                <w:rFonts w:hint="eastAsia"/>
                <w:color w:val="auto"/>
                <w:lang w:val="en-US" w:eastAsia="zh-CN"/>
              </w:rPr>
              <w:t>d</w:t>
            </w:r>
            <w:r>
              <w:rPr>
                <w:rFonts w:hint="eastAsia"/>
                <w:color w:val="auto"/>
              </w:rPr>
              <w:t>、煮鸡汤用水</w:t>
            </w:r>
          </w:p>
          <w:p w14:paraId="30B2AE76">
            <w:pPr>
              <w:pStyle w:val="11"/>
              <w:spacing w:line="520" w:lineRule="exact"/>
              <w:ind w:right="0"/>
              <w:rPr>
                <w:color w:val="auto"/>
              </w:rPr>
            </w:pPr>
            <w:r>
              <w:rPr>
                <w:rFonts w:hint="eastAsia"/>
                <w:color w:val="auto"/>
              </w:rPr>
              <w:t xml:space="preserve"> 类比现有工程煮鸡汤用水为0.6t/d，损耗量为10%，0.54t/d进入产品。</w:t>
            </w:r>
          </w:p>
          <w:p w14:paraId="1E2D8105">
            <w:pPr>
              <w:pStyle w:val="11"/>
              <w:spacing w:line="520" w:lineRule="exact"/>
              <w:ind w:left="0" w:right="0" w:firstLine="480" w:firstLineChars="200"/>
              <w:rPr>
                <w:color w:val="auto"/>
              </w:rPr>
            </w:pPr>
            <w:r>
              <w:rPr>
                <w:rFonts w:hint="eastAsia"/>
                <w:color w:val="auto"/>
              </w:rPr>
              <w:t>以上用水均来自纯水制备的纯水，经核算所需纯水量为</w:t>
            </w:r>
            <w:r>
              <w:rPr>
                <w:rFonts w:hint="eastAsia"/>
                <w:color w:val="auto"/>
                <w:lang w:val="en-US" w:eastAsia="zh-CN"/>
              </w:rPr>
              <w:t>2.1</w:t>
            </w:r>
            <w:r>
              <w:rPr>
                <w:rFonts w:hint="eastAsia"/>
                <w:color w:val="auto"/>
              </w:rPr>
              <w:t>t/d，纯水与废水比率为4：1，则纯水制备废水产生量为</w:t>
            </w:r>
            <w:r>
              <w:rPr>
                <w:rFonts w:hint="eastAsia"/>
                <w:color w:val="auto"/>
                <w:lang w:val="en-US" w:eastAsia="zh-CN"/>
              </w:rPr>
              <w:t>0.525</w:t>
            </w:r>
            <w:r>
              <w:rPr>
                <w:rFonts w:hint="eastAsia"/>
                <w:color w:val="auto"/>
              </w:rPr>
              <w:t>t/d，纯水制备新鲜水用量为</w:t>
            </w:r>
            <w:r>
              <w:rPr>
                <w:rFonts w:hint="eastAsia"/>
                <w:color w:val="auto"/>
                <w:lang w:val="en-US" w:eastAsia="zh-CN"/>
              </w:rPr>
              <w:t>2.625</w:t>
            </w:r>
            <w:r>
              <w:rPr>
                <w:rFonts w:hint="eastAsia"/>
                <w:color w:val="auto"/>
              </w:rPr>
              <w:t>t/d。</w:t>
            </w:r>
          </w:p>
          <w:p w14:paraId="4688BAC1">
            <w:pPr>
              <w:pStyle w:val="11"/>
              <w:keepNext w:val="0"/>
              <w:keepLines w:val="0"/>
              <w:pageBreakBefore w:val="0"/>
              <w:widowControl w:val="0"/>
              <w:numPr>
                <w:ilvl w:val="0"/>
                <w:numId w:val="4"/>
              </w:numPr>
              <w:kinsoku/>
              <w:wordWrap/>
              <w:overflowPunct/>
              <w:topLinePunct w:val="0"/>
              <w:autoSpaceDE/>
              <w:autoSpaceDN/>
              <w:bidi w:val="0"/>
              <w:adjustRightInd/>
              <w:snapToGrid/>
              <w:ind w:left="0" w:right="-510" w:firstLine="480" w:firstLineChars="200"/>
              <w:textAlignment w:val="auto"/>
              <w:rPr>
                <w:rFonts w:hint="default"/>
                <w:color w:val="auto"/>
                <w:lang w:val="en-US" w:eastAsia="zh-CN"/>
              </w:rPr>
            </w:pPr>
            <w:r>
              <w:rPr>
                <w:rFonts w:hint="eastAsia"/>
                <w:color w:val="auto"/>
                <w:lang w:val="en-US" w:eastAsia="zh-CN"/>
              </w:rPr>
              <w:t>杀菌后清洗用水</w:t>
            </w:r>
          </w:p>
          <w:p w14:paraId="324C9A7E">
            <w:pPr>
              <w:spacing w:line="460" w:lineRule="exact"/>
              <w:ind w:firstLine="480" w:firstLineChars="200"/>
              <w:rPr>
                <w:rFonts w:hint="eastAsia"/>
                <w:color w:val="auto"/>
                <w:highlight w:val="none"/>
                <w:lang w:val="en-US" w:eastAsia="zh-CN"/>
              </w:rPr>
            </w:pPr>
            <w:r>
              <w:rPr>
                <w:rFonts w:hint="eastAsia"/>
                <w:color w:val="auto"/>
                <w:highlight w:val="none"/>
                <w:lang w:val="en-US" w:eastAsia="zh-CN"/>
              </w:rPr>
              <w:t>杀菌后</w:t>
            </w:r>
            <w:r>
              <w:rPr>
                <w:rFonts w:hint="eastAsia"/>
                <w:color w:val="auto"/>
                <w:highlight w:val="none"/>
              </w:rPr>
              <w:t>产品外包装上含有残留的油渍，需</w:t>
            </w:r>
            <w:r>
              <w:rPr>
                <w:rFonts w:hint="eastAsia"/>
                <w:color w:val="auto"/>
                <w:highlight w:val="none"/>
                <w:lang w:val="en-US" w:eastAsia="zh-CN"/>
              </w:rPr>
              <w:t>在清洗线</w:t>
            </w:r>
            <w:r>
              <w:rPr>
                <w:rFonts w:hint="eastAsia"/>
                <w:color w:val="auto"/>
                <w:highlight w:val="none"/>
              </w:rPr>
              <w:t>进行除油清洗</w:t>
            </w:r>
            <w:r>
              <w:rPr>
                <w:rFonts w:hint="eastAsia"/>
                <w:color w:val="auto"/>
                <w:highlight w:val="none"/>
                <w:lang w:eastAsia="zh-CN"/>
              </w:rPr>
              <w:t>，</w:t>
            </w:r>
            <w:r>
              <w:rPr>
                <w:rFonts w:hint="eastAsia"/>
                <w:color w:val="auto"/>
                <w:highlight w:val="none"/>
              </w:rPr>
              <w:t>清洗废水</w:t>
            </w:r>
            <w:r>
              <w:rPr>
                <w:rFonts w:hint="eastAsia"/>
                <w:color w:val="auto"/>
                <w:highlight w:val="none"/>
                <w:lang w:val="en-US" w:eastAsia="zh-CN"/>
              </w:rPr>
              <w:t>循环使用，由于损耗补充新鲜水，同时为确保清洗水水质定期外排。清洗线循环水量为5m</w:t>
            </w:r>
            <w:r>
              <w:rPr>
                <w:rFonts w:hint="eastAsia"/>
                <w:color w:val="auto"/>
                <w:highlight w:val="none"/>
                <w:vertAlign w:val="superscript"/>
                <w:lang w:val="en-US" w:eastAsia="zh-CN"/>
              </w:rPr>
              <w:t>3</w:t>
            </w:r>
            <w:r>
              <w:rPr>
                <w:rFonts w:hint="eastAsia"/>
                <w:color w:val="auto"/>
                <w:highlight w:val="none"/>
                <w:lang w:val="en-US" w:eastAsia="zh-CN"/>
              </w:rPr>
              <w:t>/h（40m</w:t>
            </w:r>
            <w:r>
              <w:rPr>
                <w:rFonts w:hint="eastAsia"/>
                <w:color w:val="auto"/>
                <w:highlight w:val="none"/>
                <w:vertAlign w:val="superscript"/>
                <w:lang w:val="en-US" w:eastAsia="zh-CN"/>
              </w:rPr>
              <w:t>3</w:t>
            </w:r>
            <w:r>
              <w:rPr>
                <w:rFonts w:hint="eastAsia"/>
                <w:color w:val="auto"/>
                <w:highlight w:val="none"/>
                <w:lang w:val="en-US" w:eastAsia="zh-CN"/>
              </w:rPr>
              <w:t>/d），损耗量以循环水量1%计，则损耗量为0.4m</w:t>
            </w:r>
            <w:r>
              <w:rPr>
                <w:rFonts w:hint="eastAsia"/>
                <w:color w:val="auto"/>
                <w:highlight w:val="none"/>
                <w:vertAlign w:val="superscript"/>
                <w:lang w:val="en-US" w:eastAsia="zh-CN"/>
              </w:rPr>
              <w:t>3</w:t>
            </w:r>
            <w:r>
              <w:rPr>
                <w:rFonts w:hint="eastAsia"/>
                <w:color w:val="auto"/>
                <w:highlight w:val="none"/>
                <w:lang w:val="en-US" w:eastAsia="zh-CN"/>
              </w:rPr>
              <w:t>/d。清洗线循环水槽水量为4.5m</w:t>
            </w:r>
            <w:r>
              <w:rPr>
                <w:rFonts w:hint="eastAsia"/>
                <w:color w:val="auto"/>
                <w:highlight w:val="none"/>
                <w:vertAlign w:val="superscript"/>
                <w:lang w:val="en-US" w:eastAsia="zh-CN"/>
              </w:rPr>
              <w:t>3</w:t>
            </w:r>
            <w:r>
              <w:rPr>
                <w:rFonts w:hint="eastAsia"/>
                <w:color w:val="auto"/>
                <w:highlight w:val="none"/>
                <w:lang w:val="en-US" w:eastAsia="zh-CN"/>
              </w:rPr>
              <w:t>，半个月外排一次，则外排清洗废水量为0.3m</w:t>
            </w:r>
            <w:r>
              <w:rPr>
                <w:rFonts w:hint="eastAsia"/>
                <w:color w:val="auto"/>
                <w:highlight w:val="none"/>
                <w:vertAlign w:val="superscript"/>
                <w:lang w:val="en-US" w:eastAsia="zh-CN"/>
              </w:rPr>
              <w:t>3</w:t>
            </w:r>
            <w:r>
              <w:rPr>
                <w:rFonts w:hint="eastAsia"/>
                <w:color w:val="auto"/>
                <w:highlight w:val="none"/>
                <w:lang w:val="en-US" w:eastAsia="zh-CN"/>
              </w:rPr>
              <w:t>/d。</w:t>
            </w:r>
          </w:p>
          <w:p w14:paraId="2C95C71E">
            <w:pPr>
              <w:spacing w:line="460" w:lineRule="exact"/>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本项目水平衡如下图所示：</w:t>
            </w:r>
          </w:p>
          <w:p w14:paraId="2BB36091">
            <w:pPr>
              <w:pStyle w:val="11"/>
              <w:spacing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object>
                <v:shape id="_x0000_i1025" o:spt="75" type="#_x0000_t75" style="height:448.1pt;width:415.9pt;" o:ole="t" filled="f" o:preferrelative="t" stroked="f" coordsize="21600,21600">
                  <v:path/>
                  <v:fill on="f" focussize="0,0"/>
                  <v:stroke on="f"/>
                  <v:imagedata r:id="rId15" o:title=""/>
                  <o:lock v:ext="edit" aspectratio="f"/>
                  <w10:wrap type="none"/>
                  <w10:anchorlock/>
                </v:shape>
                <o:OLEObject Type="Embed" ProgID="Visio.Drawing.15" ShapeID="_x0000_i1025" DrawAspect="Content" ObjectID="_1468075725" r:id="rId14">
                  <o:LockedField>false</o:LockedField>
                </o:OLEObject>
              </w:object>
            </w:r>
          </w:p>
          <w:p w14:paraId="177F5994">
            <w:pPr>
              <w:pStyle w:val="11"/>
              <w:spacing w:line="460" w:lineRule="exact"/>
              <w:ind w:left="0" w:right="0" w:firstLine="0"/>
              <w:jc w:val="center"/>
              <w:rPr>
                <w:rFonts w:eastAsia="黑体"/>
                <w:color w:val="000000" w:themeColor="text1"/>
                <w14:textFill>
                  <w14:solidFill>
                    <w14:schemeClr w14:val="tx1"/>
                  </w14:solidFill>
                </w14:textFill>
              </w:rPr>
            </w:pPr>
            <w:r>
              <w:rPr>
                <w:rFonts w:hint="eastAsia" w:eastAsia="黑体"/>
                <w:color w:val="000000" w:themeColor="text1"/>
                <w14:textFill>
                  <w14:solidFill>
                    <w14:schemeClr w14:val="tx1"/>
                  </w14:solidFill>
                </w14:textFill>
              </w:rPr>
              <w:t>图2-2</w:t>
            </w:r>
            <w:r>
              <w:rPr>
                <w:rFonts w:eastAsia="黑体"/>
                <w:color w:val="000000" w:themeColor="text1"/>
                <w14:textFill>
                  <w14:solidFill>
                    <w14:schemeClr w14:val="tx1"/>
                  </w14:solidFill>
                </w14:textFill>
              </w:rPr>
              <w:t xml:space="preserve">  </w:t>
            </w:r>
            <w:r>
              <w:rPr>
                <w:rFonts w:hint="eastAsia" w:eastAsia="黑体"/>
                <w:color w:val="000000" w:themeColor="text1"/>
                <w14:textFill>
                  <w14:solidFill>
                    <w14:schemeClr w14:val="tx1"/>
                  </w14:solidFill>
                </w14:textFill>
              </w:rPr>
              <w:t xml:space="preserve"> </w:t>
            </w:r>
            <w:r>
              <w:rPr>
                <w:rFonts w:eastAsia="黑体"/>
                <w:color w:val="000000" w:themeColor="text1"/>
                <w14:textFill>
                  <w14:solidFill>
                    <w14:schemeClr w14:val="tx1"/>
                  </w14:solidFill>
                </w14:textFill>
              </w:rPr>
              <w:t>本项目</w:t>
            </w:r>
            <w:r>
              <w:rPr>
                <w:rFonts w:hint="eastAsia" w:eastAsia="黑体"/>
                <w:color w:val="000000" w:themeColor="text1"/>
                <w14:textFill>
                  <w14:solidFill>
                    <w14:schemeClr w14:val="tx1"/>
                  </w14:solidFill>
                </w14:textFill>
              </w:rPr>
              <w:t xml:space="preserve">水平衡图 </w:t>
            </w:r>
            <w:r>
              <w:rPr>
                <w:rFonts w:eastAsia="黑体"/>
                <w:color w:val="000000" w:themeColor="text1"/>
                <w14:textFill>
                  <w14:solidFill>
                    <w14:schemeClr w14:val="tx1"/>
                  </w14:solidFill>
                </w14:textFill>
              </w:rPr>
              <w:t xml:space="preserve"> 单位</w:t>
            </w:r>
            <w:r>
              <w:rPr>
                <w:rFonts w:hint="eastAsia" w:eastAsia="黑体"/>
                <w:color w:val="000000" w:themeColor="text1"/>
                <w14:textFill>
                  <w14:solidFill>
                    <w14:schemeClr w14:val="tx1"/>
                  </w14:solidFill>
                </w14:textFill>
              </w:rPr>
              <w:t>：</w:t>
            </w:r>
            <w:r>
              <w:rPr>
                <w:rFonts w:eastAsia="黑体"/>
                <w:color w:val="000000" w:themeColor="text1"/>
                <w14:textFill>
                  <w14:solidFill>
                    <w14:schemeClr w14:val="tx1"/>
                  </w14:solidFill>
                </w14:textFill>
              </w:rPr>
              <w:t>m</w:t>
            </w:r>
            <w:r>
              <w:rPr>
                <w:rFonts w:eastAsia="黑体"/>
                <w:color w:val="000000" w:themeColor="text1"/>
                <w:vertAlign w:val="superscript"/>
                <w14:textFill>
                  <w14:solidFill>
                    <w14:schemeClr w14:val="tx1"/>
                  </w14:solidFill>
                </w14:textFill>
              </w:rPr>
              <w:t>3</w:t>
            </w:r>
            <w:r>
              <w:rPr>
                <w:rFonts w:hint="eastAsia" w:ascii="黑体" w:hAnsi="黑体" w:eastAsia="黑体"/>
                <w:color w:val="000000" w:themeColor="text1"/>
                <w14:textFill>
                  <w14:solidFill>
                    <w14:schemeClr w14:val="tx1"/>
                  </w14:solidFill>
                </w14:textFill>
              </w:rPr>
              <w:t>/</w:t>
            </w:r>
            <w:r>
              <w:rPr>
                <w:rFonts w:eastAsia="黑体"/>
                <w:color w:val="000000" w:themeColor="text1"/>
                <w14:textFill>
                  <w14:solidFill>
                    <w14:schemeClr w14:val="tx1"/>
                  </w14:solidFill>
                </w14:textFill>
              </w:rPr>
              <w:t>d</w:t>
            </w:r>
          </w:p>
          <w:p w14:paraId="75D7E803">
            <w:pPr>
              <w:pStyle w:val="11"/>
              <w:spacing w:line="520" w:lineRule="exact"/>
              <w:ind w:left="480" w:firstLine="0"/>
              <w:rPr>
                <w:b/>
                <w:color w:val="000000" w:themeColor="text1"/>
                <w14:textFill>
                  <w14:solidFill>
                    <w14:schemeClr w14:val="tx1"/>
                  </w14:solidFill>
                </w14:textFill>
              </w:rPr>
            </w:pPr>
            <w:r>
              <w:rPr>
                <w:b/>
                <w:color w:val="000000" w:themeColor="text1"/>
                <w14:textFill>
                  <w14:solidFill>
                    <w14:schemeClr w14:val="tx1"/>
                  </w14:solidFill>
                </w14:textFill>
              </w:rPr>
              <w:t>7、厂区平面布置简述</w:t>
            </w:r>
          </w:p>
          <w:p w14:paraId="08D188C4">
            <w:pPr>
              <w:spacing w:line="520" w:lineRule="exact"/>
              <w:ind w:firstLine="48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本项目选址位于</w:t>
            </w:r>
            <w:r>
              <w:rPr>
                <w:rFonts w:hint="eastAsia" w:ascii="Helvetica" w:hAnsi="Helvetica" w:eastAsia="Helvetica" w:cs="Helvetica"/>
                <w:color w:val="333333"/>
                <w:shd w:val="clear" w:color="auto" w:fill="FFFFFF"/>
              </w:rPr>
              <w:t>新乡市延津县榆林乡夹堤村西南</w:t>
            </w:r>
            <w:r>
              <w:rPr>
                <w:rFonts w:ascii="Helvetica" w:hAnsi="Helvetica" w:eastAsia="Helvetica" w:cs="Helvetica"/>
                <w:color w:val="333333"/>
                <w:shd w:val="clear" w:color="auto" w:fill="FFFFFF"/>
              </w:rPr>
              <w:t>河南朝东食品有限公司</w:t>
            </w:r>
            <w:r>
              <w:rPr>
                <w:rFonts w:hint="eastAsia" w:ascii="Helvetica" w:hAnsi="Helvetica" w:cs="Helvetica"/>
                <w:color w:val="333333"/>
                <w:shd w:val="clear" w:color="auto" w:fill="FFFFFF"/>
              </w:rPr>
              <w:t>现有</w:t>
            </w:r>
            <w:r>
              <w:rPr>
                <w:rFonts w:hint="eastAsia"/>
                <w:color w:val="000000" w:themeColor="text1"/>
                <w14:textFill>
                  <w14:solidFill>
                    <w14:schemeClr w14:val="tx1"/>
                  </w14:solidFill>
                </w14:textFill>
              </w:rPr>
              <w:t>厂区内，厂区平面布置图（详见附图三），厂区</w:t>
            </w:r>
            <w:r>
              <w:rPr>
                <w:rFonts w:hint="eastAsia"/>
                <w:color w:val="000000" w:themeColor="text1"/>
                <w:lang w:val="en-US" w:eastAsia="zh-CN"/>
                <w14:textFill>
                  <w14:solidFill>
                    <w14:schemeClr w14:val="tx1"/>
                  </w14:solidFill>
                </w14:textFill>
              </w:rPr>
              <w:t>呈</w:t>
            </w:r>
            <w:r>
              <w:rPr>
                <w:rFonts w:hint="eastAsia"/>
                <w:color w:val="000000" w:themeColor="text1"/>
                <w14:textFill>
                  <w14:solidFill>
                    <w14:schemeClr w14:val="tx1"/>
                  </w14:solidFill>
                </w14:textFill>
              </w:rPr>
              <w:t>南北方向狭长形布置，生产车间、锅炉位于厂区北侧；成品库、包材库、冷库位于厂区中部，原料库、污水处理站位于厂区南侧，生产设施集中布置有利于污染物的收集与治理。评价认为厂区总平面布置较为合理。</w:t>
            </w:r>
          </w:p>
        </w:tc>
      </w:tr>
      <w:tr w14:paraId="2742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16" w:type="dxa"/>
            <w:vAlign w:val="center"/>
          </w:tcPr>
          <w:p w14:paraId="0AC6099F">
            <w:pPr>
              <w:spacing w:before="100" w:beforeAutospacing="1" w:after="100" w:afterAutospacing="1"/>
              <w:jc w:val="center"/>
              <w:rPr>
                <w:rFonts w:eastAsia="黑体"/>
                <w:color w:val="000000" w:themeColor="text1"/>
                <w:sz w:val="30"/>
                <w:szCs w:val="30"/>
                <w14:textFill>
                  <w14:solidFill>
                    <w14:schemeClr w14:val="tx1"/>
                  </w14:solidFill>
                </w14:textFill>
              </w:rPr>
            </w:pPr>
            <w:r>
              <w:rPr>
                <w:color w:val="000000" w:themeColor="text1"/>
                <w14:textFill>
                  <w14:solidFill>
                    <w14:schemeClr w14:val="tx1"/>
                  </w14:solidFill>
                </w14:textFill>
              </w:rPr>
              <w:t>工艺流程和产排污环节</w:t>
            </w:r>
          </w:p>
        </w:tc>
        <w:tc>
          <w:tcPr>
            <w:tcW w:w="9545" w:type="dxa"/>
          </w:tcPr>
          <w:p w14:paraId="08D72123">
            <w:pPr>
              <w:numPr>
                <w:ilvl w:val="0"/>
                <w:numId w:val="5"/>
              </w:numPr>
              <w:spacing w:line="520" w:lineRule="exact"/>
              <w:jc w:val="left"/>
              <w:rPr>
                <w:b/>
                <w:bCs/>
                <w:color w:val="000000" w:themeColor="text1"/>
                <w14:textFill>
                  <w14:solidFill>
                    <w14:schemeClr w14:val="tx1"/>
                  </w14:solidFill>
                </w14:textFill>
              </w:rPr>
            </w:pPr>
            <w:bookmarkStart w:id="9" w:name="_Hlk192494022"/>
            <w:r>
              <w:rPr>
                <w:b/>
                <w:bCs/>
                <w:color w:val="000000" w:themeColor="text1"/>
                <w14:textFill>
                  <w14:solidFill>
                    <w14:schemeClr w14:val="tx1"/>
                  </w14:solidFill>
                </w14:textFill>
              </w:rPr>
              <w:t>工艺流程简述：</w:t>
            </w:r>
          </w:p>
          <w:p w14:paraId="5A61236A">
            <w:pPr>
              <w:spacing w:line="520" w:lineRule="exact"/>
              <w:ind w:firstLine="48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本项目主要产品为鸡汁素肠、手撕素肉，主要产品工艺流程如下文所示。</w:t>
            </w:r>
          </w:p>
          <w:p w14:paraId="2935CAF7">
            <w:pPr>
              <w:spacing w:line="520" w:lineRule="exact"/>
              <w:ind w:firstLine="48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1、鸡汁素肠系列产品生产工艺：</w:t>
            </w:r>
          </w:p>
          <w:p w14:paraId="261A920F">
            <w:pPr>
              <w:pStyle w:val="11"/>
              <w:spacing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object>
                <v:shape id="_x0000_i1026" o:spt="75" type="#_x0000_t75" style="height:448.85pt;width:400.6pt;" o:ole="t" filled="f" o:preferrelative="t" stroked="f" coordsize="21600,21600">
                  <v:path/>
                  <v:fill on="f" focussize="0,0"/>
                  <v:stroke on="f" joinstyle="miter"/>
                  <v:imagedata r:id="rId17" o:title=""/>
                  <o:lock v:ext="edit" aspectratio="f"/>
                  <w10:wrap type="none"/>
                  <w10:anchorlock/>
                </v:shape>
                <o:OLEObject Type="Embed" ProgID="Visio.Drawing.15" ShapeID="_x0000_i1026" DrawAspect="Content" ObjectID="_1468075726" r:id="rId16">
                  <o:LockedField>false</o:LockedField>
                </o:OLEObject>
              </w:object>
            </w:r>
          </w:p>
          <w:p w14:paraId="56DADD89">
            <w:pPr>
              <w:pStyle w:val="11"/>
              <w:spacing w:line="460" w:lineRule="exact"/>
              <w:ind w:left="0" w:right="0" w:firstLine="0"/>
              <w:jc w:val="center"/>
              <w:rPr>
                <w:rFonts w:eastAsia="黑体"/>
                <w:color w:val="000000" w:themeColor="text1"/>
                <w14:textFill>
                  <w14:solidFill>
                    <w14:schemeClr w14:val="tx1"/>
                  </w14:solidFill>
                </w14:textFill>
              </w:rPr>
            </w:pPr>
            <w:r>
              <w:rPr>
                <w:rFonts w:hint="eastAsia" w:eastAsia="黑体"/>
                <w:color w:val="000000" w:themeColor="text1"/>
                <w14:textFill>
                  <w14:solidFill>
                    <w14:schemeClr w14:val="tx1"/>
                  </w14:solidFill>
                </w14:textFill>
              </w:rPr>
              <w:t>图2-3  鸡汁素肠系列产品生产工艺及产污环节示意图</w:t>
            </w:r>
          </w:p>
          <w:p w14:paraId="7524676E">
            <w:pPr>
              <w:spacing w:line="520" w:lineRule="exact"/>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工艺流程描述：</w:t>
            </w:r>
          </w:p>
          <w:p w14:paraId="55A9DBEB">
            <w:pPr>
              <w:spacing w:line="520" w:lineRule="exact"/>
              <w:ind w:firstLine="48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本项目以外购生面筋、香菇等为原料生产鸡汁素肠类产品，包括鸡汁素肠、筋头巴脑、素三鲜类，其不同之处主要在于因产品口味的不同要求采用不同的调味配料及拌料配比，而生产工艺均相同，主要包括卷筋、熟制、切段、拌料、包装、杀菌及冷却、清洗及风干、贴标、质检等工序。</w:t>
            </w:r>
          </w:p>
          <w:p w14:paraId="7D9294C5">
            <w:pPr>
              <w:spacing w:line="460" w:lineRule="exact"/>
              <w:ind w:firstLine="48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具体生产工艺流程如下：</w:t>
            </w:r>
          </w:p>
          <w:p w14:paraId="5C3F8D79">
            <w:pPr>
              <w:spacing w:line="460" w:lineRule="exact"/>
              <w:ind w:firstLine="480" w:firstLineChars="200"/>
              <w:rPr>
                <w:highlight w:val="yellow"/>
              </w:rPr>
            </w:pPr>
            <w:r>
              <w:rPr>
                <w:rFonts w:hint="eastAsia"/>
                <w:color w:val="000000" w:themeColor="text1"/>
                <w14:textFill>
                  <w14:solidFill>
                    <w14:schemeClr w14:val="tx1"/>
                  </w14:solidFill>
                </w14:textFill>
              </w:rPr>
              <w:t>（1）卷筋、熟制及切段：首先将外购的生面筋在面筋成型机上成型，再将成型后的面筋放入不锈钢蒸锅内进行熟制，熟制过程中需在不锈钢锅底部间断的通入蒸气加热锅内水，使其温</w:t>
            </w:r>
            <w:r>
              <w:rPr>
                <w:color w:val="000000" w:themeColor="text1"/>
                <w14:textFill>
                  <w14:solidFill>
                    <w14:schemeClr w14:val="tx1"/>
                  </w14:solidFill>
                </w14:textFill>
              </w:rPr>
              <w:t>度保持在100℃左右</w:t>
            </w:r>
            <w:r>
              <w:rPr>
                <w:rFonts w:hint="eastAsia"/>
                <w:color w:val="000000" w:themeColor="text1"/>
                <w14:textFill>
                  <w14:solidFill>
                    <w14:schemeClr w14:val="tx1"/>
                  </w14:solidFill>
                </w14:textFill>
              </w:rPr>
              <w:t>，熟制时间为60分钟，熟制废水每天更换一次，熟制后的面筋卷由人工采用切菜机进行切段。此工序产生面筋废包装袋S1-1、熟制废水W1-1、切菜机设备运行噪声N1-1。熟制过程使用的蒸汽由蒸汽发生器提供，蒸汽发生器用纯水</w:t>
            </w:r>
            <w:r>
              <w:t>采用RO反渗透</w:t>
            </w:r>
            <w:r>
              <w:rPr>
                <w:rFonts w:hint="eastAsia"/>
              </w:rPr>
              <w:t>系统</w:t>
            </w:r>
            <w:r>
              <w:t>进</w:t>
            </w:r>
            <w:r>
              <w:rPr>
                <w:rFonts w:ascii="宋体" w:hAnsi="宋体" w:cs="宋体"/>
              </w:rPr>
              <w:t>行纯水制备，</w:t>
            </w:r>
            <w:r>
              <w:rPr>
                <w:rFonts w:hint="eastAsia" w:ascii="宋体" w:hAnsi="宋体" w:cs="宋体"/>
              </w:rPr>
              <w:t>纯水制备</w:t>
            </w:r>
            <w:r>
              <w:rPr>
                <w:rFonts w:ascii="宋体" w:hAnsi="宋体" w:cs="宋体"/>
              </w:rPr>
              <w:t>工段产生</w:t>
            </w:r>
            <w:r>
              <w:rPr>
                <w:rFonts w:hint="eastAsia" w:ascii="宋体" w:hAnsi="宋体" w:cs="宋体"/>
              </w:rPr>
              <w:t>纯水制备废</w:t>
            </w:r>
            <w:r>
              <w:t>水W1</w:t>
            </w:r>
            <w:r>
              <w:rPr>
                <w:rFonts w:hint="eastAsia"/>
              </w:rPr>
              <w:t>，以及废过滤材料S1，</w:t>
            </w:r>
            <w:r>
              <w:rPr>
                <w:rFonts w:hint="eastAsia"/>
                <w:color w:val="000000" w:themeColor="text1"/>
                <w14:textFill>
                  <w14:solidFill>
                    <w14:schemeClr w14:val="tx1"/>
                  </w14:solidFill>
                </w14:textFill>
              </w:rPr>
              <w:t>蒸汽发生器采用天然气为能源燃烧产生废气G1。</w:t>
            </w:r>
          </w:p>
          <w:p w14:paraId="750BC06E">
            <w:pPr>
              <w:spacing w:line="460" w:lineRule="exact"/>
              <w:ind w:firstLine="480" w:firstLineChars="200"/>
            </w:pPr>
            <w:r>
              <w:rPr>
                <w:rFonts w:hint="eastAsia"/>
                <w:color w:val="000000" w:themeColor="text1"/>
                <w14:textFill>
                  <w14:solidFill>
                    <w14:schemeClr w14:val="tx1"/>
                  </w14:solidFill>
                </w14:textFill>
              </w:rPr>
              <w:t>（2）拌料、包装：依据各类产品口味不同，将熟制后的面筋卷与一定比例的辣椒油、香菇、竹笋及各种调味品送入拌料机进行拌料、调味，即为不同口味的半成品，一次拌料量为50kg左右，每次拌料5~6分钟。拌料前需将外购香菇、竹笋进行人工清洗。根据产品不同包装要求将拌料后的半成品分装至包装袋或包装罐后再淋加自制鸡汤以提升口味，然后分别送至真空包装机或异形瓶真空自动封口机上进行抽真空包装，外购成品包装袋、包装瓶及瓶盖在使用前均需使用紫外杀菌灯进行杀菌，杀菌时间为12h。此工序产生原辅材料废包装袋S1-2、清洗废水W1-2。</w:t>
            </w:r>
          </w:p>
          <w:p w14:paraId="5B414EF9">
            <w:pPr>
              <w:spacing w:line="46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生产过程中人工淋加的鸡汤由企业采用外购的鸡架配以辅料自行熬制鸡汤，熬制前需将鸡架先统一放入专用的夹层锅内进行涮洗，然后再将其放入另外两个夹层锅并配以一定比例的盐、味精等辅料进行熬制，熬制时间均为2h。熬制及涮洗过程中采用蒸气通入夹层锅夹层内进行加热，涮洗用水每天更换一次。此工序产生清洗废水W1-3、熬制鸡汤时产生的废鸡架S1-3。</w:t>
            </w:r>
          </w:p>
          <w:p w14:paraId="7AB20B33">
            <w:pPr>
              <w:spacing w:line="46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（3）杀菌及冷却：包装好的产品由人工放入塑料周转筐内，并送往卧式杀菌锅进行杀菌。杀菌方式为高温热水杀菌，</w:t>
            </w:r>
            <w:r>
              <w:rPr>
                <w:color w:val="000000" w:themeColor="text1"/>
                <w14:textFill>
                  <w14:solidFill>
                    <w14:schemeClr w14:val="tx1"/>
                  </w14:solidFill>
                </w14:textFill>
              </w:rPr>
              <w:t>即将50~80℃的热水</w:t>
            </w:r>
            <w:r>
              <w:rPr>
                <w:rFonts w:hint="eastAsia"/>
                <w:color w:val="000000" w:themeColor="text1"/>
                <w14:textFill>
                  <w14:solidFill>
                    <w14:schemeClr w14:val="tx1"/>
                  </w14:solidFill>
                </w14:textFill>
              </w:rPr>
              <w:t>通入卧式杀菌锅中，并采用间断通气方式将锅内温度提升并保持在120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，杀菌时间为55分钟，然后将锅内热水抽至中转水箱循环待用，定期外排；并向锅内通入冷却用水对产品进行直接冷却，冷却用水可返回冷水池循环回用，定期外排。此工序产生杀菌废水W1-4、冷却废水W1-5。</w:t>
            </w:r>
          </w:p>
          <w:p w14:paraId="3C50A5BF">
            <w:pPr>
              <w:spacing w:line="5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（4）产品清洗及风干：</w:t>
            </w:r>
            <w:r>
              <w:rPr>
                <w:rFonts w:hint="eastAsia"/>
                <w:color w:val="auto"/>
                <w:highlight w:val="none"/>
                <w:lang w:val="en-US" w:eastAsia="zh-CN"/>
              </w:rPr>
              <w:t>杀菌后</w:t>
            </w:r>
            <w:r>
              <w:rPr>
                <w:rFonts w:hint="eastAsia"/>
                <w:color w:val="auto"/>
                <w:highlight w:val="none"/>
              </w:rPr>
              <w:t>产品外包装上含有残留的油渍，需</w:t>
            </w:r>
            <w:r>
              <w:rPr>
                <w:rFonts w:hint="eastAsia"/>
                <w:color w:val="auto"/>
                <w:highlight w:val="none"/>
                <w:lang w:val="en-US" w:eastAsia="zh-CN"/>
              </w:rPr>
              <w:t>在清洗线</w:t>
            </w:r>
            <w:r>
              <w:rPr>
                <w:rFonts w:hint="eastAsia"/>
                <w:color w:val="auto"/>
                <w:highlight w:val="none"/>
              </w:rPr>
              <w:t>进行除油清洗</w:t>
            </w:r>
            <w:r>
              <w:rPr>
                <w:rFonts w:hint="eastAsia"/>
                <w:color w:val="000000" w:themeColor="text1"/>
                <w14:textFill>
                  <w14:solidFill>
                    <w14:schemeClr w14:val="tx1"/>
                  </w14:solidFill>
                </w14:textFill>
              </w:rPr>
              <w:t>。袋装、罐装产品均采用两隔断式清洗方式，第一隔断使用</w:t>
            </w:r>
            <w:r>
              <w:rPr>
                <w:rFonts w:hint="eastAsia"/>
                <w:color w:val="000000" w:themeColor="text1"/>
                <w:highlight w:val="none"/>
                <w:lang w:val="en-US" w:eastAsia="zh-CN"/>
                <w14:textFill>
                  <w14:solidFill>
                    <w14:schemeClr w14:val="tx1"/>
                  </w14:solidFill>
                </w14:textFill>
              </w:rPr>
              <w:t>新鲜水</w:t>
            </w:r>
            <w:r>
              <w:rPr>
                <w:rFonts w:hint="eastAsia"/>
                <w:color w:val="000000" w:themeColor="text1"/>
                <w:highlight w:val="none"/>
                <w14:textFill>
                  <w14:solidFill>
                    <w14:schemeClr w14:val="tx1"/>
                  </w14:solidFill>
                </w14:textFill>
              </w:rPr>
              <w:t>配以一定量的无磷除油清洗剂去除外包装上的油渍，第二隔断使用</w:t>
            </w:r>
            <w:r>
              <w:rPr>
                <w:rFonts w:hint="eastAsia"/>
                <w:color w:val="000000" w:themeColor="text1"/>
                <w:highlight w:val="none"/>
                <w:lang w:val="en-US" w:eastAsia="zh-CN"/>
                <w14:textFill>
                  <w14:solidFill>
                    <w14:schemeClr w14:val="tx1"/>
                  </w14:solidFill>
                </w14:textFill>
              </w:rPr>
              <w:t>新鲜水</w:t>
            </w:r>
            <w:r>
              <w:rPr>
                <w:rFonts w:hint="eastAsia"/>
                <w:color w:val="000000" w:themeColor="text1"/>
                <w:highlight w:val="none"/>
                <w14:textFill>
                  <w14:solidFill>
                    <w14:schemeClr w14:val="tx1"/>
                  </w14:solidFill>
                </w14:textFill>
              </w:rPr>
              <w:t>对产品进行进一步清洗即可，然后经风干机风干。产品清洗废水每</w:t>
            </w:r>
            <w:r>
              <w:rPr>
                <w:rFonts w:hint="eastAsia"/>
                <w:color w:val="000000" w:themeColor="text1"/>
                <w:highlight w:val="none"/>
                <w:lang w:val="en-US" w:eastAsia="zh-CN"/>
                <w14:textFill>
                  <w14:solidFill>
                    <w14:schemeClr w14:val="tx1"/>
                  </w14:solidFill>
                </w14:textFill>
              </w:rPr>
              <w:t>半月</w:t>
            </w:r>
            <w:r>
              <w:rPr>
                <w:rFonts w:hint="eastAsia"/>
                <w:color w:val="000000" w:themeColor="text1"/>
                <w:highlight w:val="none"/>
                <w14:textFill>
                  <w14:solidFill>
                    <w14:schemeClr w14:val="tx1"/>
                  </w14:solidFill>
                </w14:textFill>
              </w:rPr>
              <w:t>更换一次</w:t>
            </w:r>
            <w:r>
              <w:rPr>
                <w:rFonts w:hint="eastAsia"/>
                <w:color w:val="000000" w:themeColor="text1"/>
                <w14:textFill>
                  <w14:solidFill>
                    <w14:schemeClr w14:val="tx1"/>
                  </w14:solidFill>
                </w14:textFill>
              </w:rPr>
              <w:t>。此工序产生</w:t>
            </w:r>
            <w:r>
              <w:rPr>
                <w:rFonts w:hint="eastAsia"/>
                <w:color w:val="000000" w:themeColor="text1"/>
                <w:lang w:val="en-US" w:eastAsia="zh-CN"/>
                <w14:textFill>
                  <w14:solidFill>
                    <w14:schemeClr w14:val="tx1"/>
                  </w14:solidFill>
                </w14:textFill>
              </w:rPr>
              <w:t>杀菌后</w:t>
            </w:r>
            <w:r>
              <w:rPr>
                <w:rFonts w:hint="eastAsia"/>
                <w:color w:val="000000" w:themeColor="text1"/>
                <w14:textFill>
                  <w14:solidFill>
                    <w14:schemeClr w14:val="tx1"/>
                  </w14:solidFill>
                </w14:textFill>
              </w:rPr>
              <w:t>清洗废水W1-6、风干机设备运行噪声N1-2。</w:t>
            </w:r>
          </w:p>
          <w:p w14:paraId="3590A00B">
            <w:pPr>
              <w:spacing w:line="460" w:lineRule="exact"/>
              <w:ind w:left="480" w:leftChars="200"/>
            </w:pPr>
            <w:r>
              <w:rPr>
                <w:rFonts w:hint="eastAsia"/>
                <w:color w:val="000000" w:themeColor="text1"/>
                <w14:textFill>
                  <w14:solidFill>
                    <w14:schemeClr w14:val="tx1"/>
                  </w14:solidFill>
                </w14:textFill>
              </w:rPr>
              <w:t>（5）贴标、质检：将清洗后的产品贴标后进行质检，检验合格后即可入库待售。</w:t>
            </w:r>
          </w:p>
          <w:p w14:paraId="4163F52B">
            <w:pPr>
              <w:spacing w:line="460" w:lineRule="exact"/>
              <w:ind w:firstLine="480" w:firstLineChars="20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2、手撕素肉产品生产工艺：</w:t>
            </w:r>
          </w:p>
          <w:p w14:paraId="251CB1E0">
            <w:pPr>
              <w:spacing w:line="460" w:lineRule="exact"/>
              <w:ind w:firstLine="480" w:firstLineChars="200"/>
              <w:jc w:val="left"/>
              <w:rPr>
                <w:rFonts w:hint="eastAsia"/>
                <w:color w:val="000000" w:themeColor="text1"/>
                <w14:textFill>
                  <w14:solidFill>
                    <w14:schemeClr w14:val="tx1"/>
                  </w14:solidFill>
                </w14:textFill>
              </w:rPr>
            </w:pPr>
          </w:p>
          <w:p w14:paraId="07EF762A">
            <w:pPr>
              <w:spacing w:line="460" w:lineRule="exact"/>
              <w:ind w:firstLine="480" w:firstLineChars="200"/>
              <w:jc w:val="left"/>
              <w:rPr>
                <w:rFonts w:hint="eastAsia"/>
                <w:color w:val="000000" w:themeColor="text1"/>
                <w14:textFill>
                  <w14:solidFill>
                    <w14:schemeClr w14:val="tx1"/>
                  </w14:solidFill>
                </w14:textFill>
              </w:rPr>
            </w:pPr>
          </w:p>
          <w:p w14:paraId="7CB26990">
            <w:pPr>
              <w:spacing w:line="460" w:lineRule="exact"/>
              <w:ind w:firstLine="480" w:firstLineChars="200"/>
              <w:jc w:val="left"/>
              <w:rPr>
                <w:rFonts w:hint="eastAsia"/>
                <w:color w:val="000000" w:themeColor="text1"/>
                <w14:textFill>
                  <w14:solidFill>
                    <w14:schemeClr w14:val="tx1"/>
                  </w14:solidFill>
                </w14:textFill>
              </w:rPr>
            </w:pPr>
          </w:p>
          <w:p w14:paraId="6C820316">
            <w:pPr>
              <w:spacing w:line="460" w:lineRule="exact"/>
              <w:ind w:firstLine="480" w:firstLineChars="200"/>
              <w:jc w:val="left"/>
              <w:rPr>
                <w:rFonts w:hint="eastAsia"/>
                <w:color w:val="000000" w:themeColor="text1"/>
                <w14:textFill>
                  <w14:solidFill>
                    <w14:schemeClr w14:val="tx1"/>
                  </w14:solidFill>
                </w14:textFill>
              </w:rPr>
            </w:pPr>
          </w:p>
          <w:p w14:paraId="475E0BD1">
            <w:pPr>
              <w:spacing w:line="460" w:lineRule="exact"/>
              <w:ind w:firstLine="480" w:firstLineChars="200"/>
              <w:jc w:val="left"/>
              <w:rPr>
                <w:rFonts w:hint="eastAsia"/>
                <w:color w:val="000000" w:themeColor="text1"/>
                <w14:textFill>
                  <w14:solidFill>
                    <w14:schemeClr w14:val="tx1"/>
                  </w14:solidFill>
                </w14:textFill>
              </w:rPr>
            </w:pPr>
          </w:p>
          <w:p w14:paraId="454A7DA8">
            <w:pPr>
              <w:spacing w:line="460" w:lineRule="exact"/>
              <w:ind w:firstLine="480" w:firstLineChars="200"/>
              <w:jc w:val="left"/>
              <w:rPr>
                <w:rFonts w:hint="eastAsia"/>
                <w:color w:val="000000" w:themeColor="text1"/>
                <w14:textFill>
                  <w14:solidFill>
                    <w14:schemeClr w14:val="tx1"/>
                  </w14:solidFill>
                </w14:textFill>
              </w:rPr>
            </w:pPr>
          </w:p>
          <w:p w14:paraId="132C3AC0">
            <w:pPr>
              <w:spacing w:line="460" w:lineRule="exact"/>
              <w:ind w:firstLine="480" w:firstLineChars="200"/>
              <w:jc w:val="left"/>
              <w:rPr>
                <w:rFonts w:hint="eastAsia"/>
                <w:color w:val="000000" w:themeColor="text1"/>
                <w14:textFill>
                  <w14:solidFill>
                    <w14:schemeClr w14:val="tx1"/>
                  </w14:solidFill>
                </w14:textFill>
              </w:rPr>
            </w:pPr>
          </w:p>
          <w:p w14:paraId="2DF21198">
            <w:pPr>
              <w:spacing w:line="460" w:lineRule="exact"/>
              <w:ind w:firstLine="480" w:firstLineChars="200"/>
              <w:jc w:val="left"/>
              <w:rPr>
                <w:rFonts w:hint="eastAsia"/>
                <w:color w:val="000000" w:themeColor="text1"/>
                <w14:textFill>
                  <w14:solidFill>
                    <w14:schemeClr w14:val="tx1"/>
                  </w14:solidFill>
                </w14:textFill>
              </w:rPr>
            </w:pPr>
          </w:p>
          <w:p w14:paraId="7779007D">
            <w:pPr>
              <w:spacing w:line="460" w:lineRule="exact"/>
              <w:ind w:firstLine="480" w:firstLineChars="200"/>
              <w:jc w:val="left"/>
              <w:rPr>
                <w:rFonts w:hint="eastAsia"/>
                <w:color w:val="000000" w:themeColor="text1"/>
                <w14:textFill>
                  <w14:solidFill>
                    <w14:schemeClr w14:val="tx1"/>
                  </w14:solidFill>
                </w14:textFill>
              </w:rPr>
            </w:pPr>
          </w:p>
          <w:p w14:paraId="25E57E83">
            <w:pPr>
              <w:spacing w:line="460" w:lineRule="exact"/>
              <w:ind w:firstLine="480" w:firstLineChars="200"/>
              <w:jc w:val="left"/>
              <w:rPr>
                <w:rFonts w:hint="eastAsia"/>
                <w:color w:val="000000" w:themeColor="text1"/>
                <w14:textFill>
                  <w14:solidFill>
                    <w14:schemeClr w14:val="tx1"/>
                  </w14:solidFill>
                </w14:textFill>
              </w:rPr>
            </w:pPr>
          </w:p>
          <w:p w14:paraId="6F4779A3">
            <w:pPr>
              <w:spacing w:line="460" w:lineRule="exact"/>
              <w:ind w:firstLine="480" w:firstLineChars="200"/>
              <w:jc w:val="left"/>
              <w:rPr>
                <w:rFonts w:hint="eastAsia"/>
                <w:color w:val="000000" w:themeColor="text1"/>
                <w14:textFill>
                  <w14:solidFill>
                    <w14:schemeClr w14:val="tx1"/>
                  </w14:solidFill>
                </w14:textFill>
              </w:rPr>
            </w:pPr>
          </w:p>
          <w:p w14:paraId="75CA3E67">
            <w:pPr>
              <w:spacing w:line="460" w:lineRule="exact"/>
              <w:ind w:firstLine="480" w:firstLineChars="200"/>
              <w:jc w:val="left"/>
              <w:rPr>
                <w:rFonts w:hint="eastAsia"/>
                <w:color w:val="000000" w:themeColor="text1"/>
                <w14:textFill>
                  <w14:solidFill>
                    <w14:schemeClr w14:val="tx1"/>
                  </w14:solidFill>
                </w14:textFill>
              </w:rPr>
            </w:pPr>
          </w:p>
          <w:p w14:paraId="2A347230">
            <w:pPr>
              <w:spacing w:line="460" w:lineRule="exact"/>
              <w:ind w:firstLine="480" w:firstLineChars="200"/>
              <w:jc w:val="left"/>
              <w:rPr>
                <w:rFonts w:hint="eastAsia"/>
                <w:color w:val="000000" w:themeColor="text1"/>
                <w14:textFill>
                  <w14:solidFill>
                    <w14:schemeClr w14:val="tx1"/>
                  </w14:solidFill>
                </w14:textFill>
              </w:rPr>
            </w:pPr>
          </w:p>
          <w:p w14:paraId="3C2F80FD">
            <w:pPr>
              <w:spacing w:line="460" w:lineRule="exact"/>
              <w:ind w:firstLine="480" w:firstLineChars="200"/>
              <w:jc w:val="left"/>
              <w:rPr>
                <w:rFonts w:hint="eastAsia"/>
                <w:color w:val="000000" w:themeColor="text1"/>
                <w14:textFill>
                  <w14:solidFill>
                    <w14:schemeClr w14:val="tx1"/>
                  </w14:solidFill>
                </w14:textFill>
              </w:rPr>
            </w:pPr>
          </w:p>
          <w:p w14:paraId="4D3DFDA1">
            <w:pPr>
              <w:spacing w:line="460" w:lineRule="exact"/>
              <w:ind w:firstLine="480" w:firstLineChars="200"/>
              <w:jc w:val="left"/>
              <w:rPr>
                <w:rFonts w:hint="eastAsia"/>
                <w:color w:val="000000" w:themeColor="text1"/>
                <w14:textFill>
                  <w14:solidFill>
                    <w14:schemeClr w14:val="tx1"/>
                  </w14:solidFill>
                </w14:textFill>
              </w:rPr>
            </w:pPr>
          </w:p>
          <w:p w14:paraId="75F54306">
            <w:pPr>
              <w:spacing w:line="460" w:lineRule="exact"/>
              <w:ind w:firstLine="480" w:firstLineChars="200"/>
              <w:jc w:val="left"/>
              <w:rPr>
                <w:rFonts w:hint="eastAsia"/>
                <w:color w:val="000000" w:themeColor="text1"/>
                <w14:textFill>
                  <w14:solidFill>
                    <w14:schemeClr w14:val="tx1"/>
                  </w14:solidFill>
                </w14:textFill>
              </w:rPr>
            </w:pPr>
          </w:p>
          <w:p w14:paraId="46FC2C49">
            <w:pPr>
              <w:spacing w:line="460" w:lineRule="exact"/>
              <w:ind w:firstLine="480" w:firstLineChars="200"/>
              <w:jc w:val="left"/>
              <w:rPr>
                <w:rFonts w:hint="eastAsia"/>
                <w:color w:val="000000" w:themeColor="text1"/>
                <w14:textFill>
                  <w14:solidFill>
                    <w14:schemeClr w14:val="tx1"/>
                  </w14:solidFill>
                </w14:textFill>
              </w:rPr>
            </w:pPr>
          </w:p>
          <w:p w14:paraId="59764F12">
            <w:pPr>
              <w:spacing w:line="460" w:lineRule="exact"/>
              <w:ind w:firstLine="480" w:firstLineChars="200"/>
              <w:jc w:val="left"/>
              <w:rPr>
                <w:rFonts w:hint="eastAsia"/>
                <w:color w:val="000000" w:themeColor="text1"/>
                <w14:textFill>
                  <w14:solidFill>
                    <w14:schemeClr w14:val="tx1"/>
                  </w14:solidFill>
                </w14:textFill>
              </w:rPr>
            </w:pPr>
          </w:p>
          <w:p w14:paraId="735F3071">
            <w:pPr>
              <w:spacing w:line="460" w:lineRule="exact"/>
              <w:ind w:firstLine="480" w:firstLineChars="200"/>
              <w:jc w:val="left"/>
              <w:rPr>
                <w:rFonts w:hint="eastAsia"/>
                <w:color w:val="000000" w:themeColor="text1"/>
                <w14:textFill>
                  <w14:solidFill>
                    <w14:schemeClr w14:val="tx1"/>
                  </w14:solidFill>
                </w14:textFill>
              </w:rPr>
            </w:pPr>
          </w:p>
          <w:p w14:paraId="0EB94F1C">
            <w:pPr>
              <w:spacing w:line="460" w:lineRule="exact"/>
              <w:ind w:firstLine="480" w:firstLineChars="200"/>
              <w:jc w:val="left"/>
              <w:rPr>
                <w:rFonts w:hint="eastAsia"/>
                <w:color w:val="000000" w:themeColor="text1"/>
                <w14:textFill>
                  <w14:solidFill>
                    <w14:schemeClr w14:val="tx1"/>
                  </w14:solidFill>
                </w14:textFill>
              </w:rPr>
            </w:pPr>
          </w:p>
          <w:p w14:paraId="67631F8C">
            <w:pPr>
              <w:spacing w:line="460" w:lineRule="exact"/>
              <w:ind w:firstLine="480" w:firstLineChars="200"/>
              <w:jc w:val="left"/>
              <w:rPr>
                <w:rFonts w:hint="eastAsia"/>
                <w:color w:val="000000" w:themeColor="text1"/>
                <w14:textFill>
                  <w14:solidFill>
                    <w14:schemeClr w14:val="tx1"/>
                  </w14:solidFill>
                </w14:textFill>
              </w:rPr>
            </w:pPr>
          </w:p>
          <w:p w14:paraId="1E6B029B">
            <w:pPr>
              <w:pStyle w:val="11"/>
              <w:spacing w:line="240" w:lineRule="auto"/>
              <w:ind w:left="0" w:right="0" w:firstLine="0"/>
              <w:jc w:val="center"/>
              <w:rPr>
                <w:b/>
                <w:bCs/>
                <w:color w:val="000000" w:themeColor="text1"/>
                <w14:textFill>
                  <w14:solidFill>
                    <w14:schemeClr w14:val="tx1"/>
                  </w14:solidFill>
                </w14:textFill>
              </w:rPr>
            </w:pPr>
            <w:r>
              <w:rPr>
                <w:b/>
                <w:bCs/>
                <w:color w:val="000000" w:themeColor="text1"/>
                <w14:textFill>
                  <w14:solidFill>
                    <w14:schemeClr w14:val="tx1"/>
                  </w14:solidFill>
                </w14:textFill>
              </w:rPr>
              <w:object>
                <v:shape id="_x0000_i1027" o:spt="75" type="#_x0000_t75" style="height:501.7pt;width:358.45pt;" o:ole="t" filled="f" o:preferrelative="t" stroked="f" coordsize="21600,21600">
                  <v:path/>
                  <v:fill on="f" focussize="0,0"/>
                  <v:stroke on="f" joinstyle="miter"/>
                  <v:imagedata r:id="rId19" o:title=""/>
                  <o:lock v:ext="edit" aspectratio="f"/>
                  <w10:wrap type="none"/>
                  <w10:anchorlock/>
                </v:shape>
                <o:OLEObject Type="Embed" ProgID="Visio.Drawing.15" ShapeID="_x0000_i1027" DrawAspect="Content" ObjectID="_1468075727" r:id="rId18">
                  <o:LockedField>false</o:LockedField>
                </o:OLEObject>
              </w:object>
            </w:r>
          </w:p>
          <w:p w14:paraId="385C1708">
            <w:pPr>
              <w:pStyle w:val="11"/>
              <w:spacing w:line="460" w:lineRule="exact"/>
              <w:ind w:left="0" w:right="0" w:firstLine="0"/>
              <w:jc w:val="center"/>
              <w:rPr>
                <w:rFonts w:eastAsia="黑体"/>
                <w:color w:val="000000" w:themeColor="text1"/>
                <w14:textFill>
                  <w14:solidFill>
                    <w14:schemeClr w14:val="tx1"/>
                  </w14:solidFill>
                </w14:textFill>
              </w:rPr>
            </w:pPr>
            <w:r>
              <w:rPr>
                <w:rFonts w:hint="eastAsia" w:eastAsia="黑体"/>
                <w:color w:val="000000" w:themeColor="text1"/>
                <w14:textFill>
                  <w14:solidFill>
                    <w14:schemeClr w14:val="tx1"/>
                  </w14:solidFill>
                </w14:textFill>
              </w:rPr>
              <w:t>图2-4  手撕素肉产品生产工艺及产污环节示意图</w:t>
            </w:r>
          </w:p>
          <w:p w14:paraId="77954966">
            <w:pPr>
              <w:spacing w:line="520" w:lineRule="exact"/>
              <w:ind w:firstLine="48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工艺流程描述：</w:t>
            </w:r>
          </w:p>
          <w:p w14:paraId="434C5440">
            <w:pPr>
              <w:spacing w:line="5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本项目以外购湿面筋为原料生产手撕素肉，生产工艺主要包括：醒面、成型、煮制、切段、油炸、拌料、罐装、杀菌及冷却、清洗及风干、贴标、质检等工序。</w:t>
            </w:r>
          </w:p>
          <w:p w14:paraId="6F015E02">
            <w:pPr>
              <w:spacing w:line="5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具体生产工艺流程如下：</w:t>
            </w:r>
          </w:p>
          <w:p w14:paraId="5632F042">
            <w:pPr>
              <w:spacing w:line="5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醒面、成型、煮制及切段：首先将外购的生面筋放在醒面机里醒面，然后在面筋成型机上成型，再将成型后的面筋放入不锈钢蒸锅内进行熟制，熟制过程中需在不锈钢锅底部间断的通入蒸气加热锅内水，使其温</w:t>
            </w:r>
            <w:r>
              <w:rPr>
                <w:color w:val="000000" w:themeColor="text1"/>
                <w14:textFill>
                  <w14:solidFill>
                    <w14:schemeClr w14:val="tx1"/>
                  </w14:solidFill>
                </w14:textFill>
              </w:rPr>
              <w:t>度保持在100℃左右</w:t>
            </w:r>
            <w:r>
              <w:rPr>
                <w:rFonts w:hint="eastAsia"/>
                <w:color w:val="000000" w:themeColor="text1"/>
                <w14:textFill>
                  <w14:solidFill>
                    <w14:schemeClr w14:val="tx1"/>
                  </w14:solidFill>
                </w14:textFill>
              </w:rPr>
              <w:t>，熟制时间为60分钟，熟制废水每天更换一次，熟制后的面筋由人工采用切菜机进行切段。此工序产生面筋废包装袋S2-1、煮制废水W2-1、成型机，切菜机设备运行噪声N2-1、N2-2。</w:t>
            </w:r>
          </w:p>
          <w:p w14:paraId="3085D202">
            <w:pPr>
              <w:spacing w:line="5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（2）油炸：切段后的面筋、辣椒放入油炸锅进行炸制定型。本工序使用电加热，油炸温度150±5℃，时间3-5分钟。此过程产生油炸油烟G2-1。</w:t>
            </w:r>
          </w:p>
          <w:p w14:paraId="652A20F2">
            <w:pPr>
              <w:spacing w:line="5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拌料、罐装：将油炸后的面筋卷与一定比例的各种调味品送入拌料机进行拌料、调味，一次拌料量为50kg左右，每次拌料5~6分钟。根据产品不同包装要求将拌料后的半成品分装至包装袋或包装罐后再淋加自制鸡汤以提升口味，然后分别送至真空包装机或异形瓶真空自动封口机上进行抽真空包装，外购成品包装袋、包装瓶及瓶盖在使用前均需使用紫外杀菌灯进行杀菌，杀菌时间为12h。此工序产生风干设备运行噪声N2-3。</w:t>
            </w:r>
          </w:p>
          <w:p w14:paraId="6F06B522">
            <w:pPr>
              <w:spacing w:line="5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鸡汤煮制工艺过程跟鸡汁素肠系列产品中鸡汤煮制工艺过程一致，此处不再赘述。</w:t>
            </w:r>
          </w:p>
          <w:p w14:paraId="6BEC6A29">
            <w:pPr>
              <w:spacing w:line="5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（4）杀菌及冷却、产品清洗及风干、贴标、质检工艺过程跟鸡汁素肠系列产品中相关工艺过程一致，此处不再赘述。</w:t>
            </w:r>
          </w:p>
          <w:bookmarkEnd w:id="9"/>
          <w:p w14:paraId="3EC5564F">
            <w:pPr>
              <w:numPr>
                <w:ilvl w:val="0"/>
                <w:numId w:val="5"/>
              </w:numPr>
              <w:spacing w:line="520" w:lineRule="exact"/>
              <w:ind w:firstLine="482" w:firstLineChars="200"/>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主要产排污环节</w:t>
            </w:r>
            <w:r>
              <w:rPr>
                <w:b/>
                <w:bCs/>
                <w:color w:val="000000" w:themeColor="text1"/>
                <w14:textFill>
                  <w14:solidFill>
                    <w14:schemeClr w14:val="tx1"/>
                  </w14:solidFill>
                </w14:textFill>
              </w:rPr>
              <w:t>：</w:t>
            </w:r>
          </w:p>
          <w:p w14:paraId="5ADFCC99">
            <w:pPr>
              <w:spacing w:line="520" w:lineRule="exact"/>
              <w:ind w:firstLine="48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本项目营运期主要污染物、产污环节及防治措施详见下表。</w:t>
            </w:r>
          </w:p>
          <w:p w14:paraId="7A6D28A3">
            <w:pPr>
              <w:spacing w:line="460" w:lineRule="exact"/>
              <w:ind w:firstLine="480" w:firstLineChars="200"/>
              <w:jc w:val="left"/>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表</w:t>
            </w:r>
            <w:r>
              <w:rPr>
                <w:rFonts w:hint="eastAsia" w:eastAsia="黑体"/>
                <w:color w:val="000000" w:themeColor="text1"/>
                <w14:textFill>
                  <w14:solidFill>
                    <w14:schemeClr w14:val="tx1"/>
                  </w14:solidFill>
                </w14:textFill>
              </w:rPr>
              <w:t>2-6</w:t>
            </w:r>
            <w:r>
              <w:rPr>
                <w:rFonts w:hint="eastAsia" w:ascii="黑体" w:hAnsi="黑体" w:eastAsia="黑体" w:cs="黑体"/>
                <w:color w:val="000000" w:themeColor="text1"/>
                <w14:textFill>
                  <w14:solidFill>
                    <w14:schemeClr w14:val="tx1"/>
                  </w14:solidFill>
                </w14:textFill>
              </w:rPr>
              <w:t xml:space="preserve">                  项目营运期产污环节一览表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5"/>
              <w:gridCol w:w="1894"/>
              <w:gridCol w:w="2128"/>
              <w:gridCol w:w="4111"/>
            </w:tblGrid>
            <w:tr w14:paraId="0C21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5" w:type="dxa"/>
                  <w:vAlign w:val="center"/>
                </w:tcPr>
                <w:p w14:paraId="386117AF">
                  <w:pPr>
                    <w:spacing w:line="280" w:lineRule="exac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污染因素</w:t>
                  </w:r>
                </w:p>
              </w:tc>
              <w:tc>
                <w:tcPr>
                  <w:tcW w:w="1894" w:type="dxa"/>
                  <w:vAlign w:val="center"/>
                </w:tcPr>
                <w:p w14:paraId="7024C9C3">
                  <w:pPr>
                    <w:spacing w:line="28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产污</w:t>
                  </w:r>
                  <w:r>
                    <w:rPr>
                      <w:b/>
                      <w:bCs/>
                      <w:color w:val="000000" w:themeColor="text1"/>
                      <w:sz w:val="21"/>
                      <w:szCs w:val="21"/>
                      <w14:textFill>
                        <w14:solidFill>
                          <w14:schemeClr w14:val="tx1"/>
                        </w14:solidFill>
                      </w14:textFill>
                    </w:rPr>
                    <w:t>环节</w:t>
                  </w:r>
                </w:p>
              </w:tc>
              <w:tc>
                <w:tcPr>
                  <w:tcW w:w="2128" w:type="dxa"/>
                  <w:vAlign w:val="center"/>
                </w:tcPr>
                <w:p w14:paraId="4AE8E4ED">
                  <w:pPr>
                    <w:spacing w:line="280" w:lineRule="exac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污染物</w:t>
                  </w:r>
                </w:p>
              </w:tc>
              <w:tc>
                <w:tcPr>
                  <w:tcW w:w="4109" w:type="dxa"/>
                  <w:vAlign w:val="center"/>
                </w:tcPr>
                <w:p w14:paraId="7580F1C7">
                  <w:pPr>
                    <w:spacing w:line="280" w:lineRule="exac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防治措施</w:t>
                  </w:r>
                </w:p>
              </w:tc>
            </w:tr>
            <w:tr w14:paraId="3AC2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5" w:type="dxa"/>
                  <w:vAlign w:val="center"/>
                </w:tcPr>
                <w:p w14:paraId="0945D904">
                  <w:pPr>
                    <w:spacing w:line="28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废水</w:t>
                  </w:r>
                </w:p>
              </w:tc>
              <w:tc>
                <w:tcPr>
                  <w:tcW w:w="1894" w:type="dxa"/>
                  <w:vAlign w:val="center"/>
                </w:tcPr>
                <w:p w14:paraId="5BE80772">
                  <w:pPr>
                    <w:spacing w:line="28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生活污水</w:t>
                  </w:r>
                  <w:r>
                    <w:rPr>
                      <w:rFonts w:hint="eastAsia"/>
                      <w:color w:val="000000" w:themeColor="text1"/>
                      <w:sz w:val="21"/>
                      <w:szCs w:val="21"/>
                      <w14:textFill>
                        <w14:solidFill>
                          <w14:schemeClr w14:val="tx1"/>
                        </w14:solidFill>
                      </w14:textFill>
                    </w:rPr>
                    <w:t>、纯水制备废水、熟制废水、</w:t>
                  </w:r>
                  <w:r>
                    <w:rPr>
                      <w:rFonts w:hint="eastAsia"/>
                      <w:color w:val="000000" w:themeColor="text1"/>
                      <w:sz w:val="21"/>
                      <w:szCs w:val="21"/>
                      <w:lang w:val="en-US" w:eastAsia="zh-CN"/>
                      <w14:textFill>
                        <w14:solidFill>
                          <w14:schemeClr w14:val="tx1"/>
                        </w14:solidFill>
                      </w14:textFill>
                    </w:rPr>
                    <w:t>原料</w:t>
                  </w:r>
                  <w:r>
                    <w:rPr>
                      <w:rFonts w:hint="eastAsia"/>
                      <w:color w:val="000000" w:themeColor="text1"/>
                      <w:sz w:val="21"/>
                      <w:szCs w:val="21"/>
                      <w14:textFill>
                        <w14:solidFill>
                          <w14:schemeClr w14:val="tx1"/>
                        </w14:solidFill>
                      </w14:textFill>
                    </w:rPr>
                    <w:t>清洗废水、杀菌废水、冷却废水、</w:t>
                  </w:r>
                  <w:r>
                    <w:rPr>
                      <w:rFonts w:hint="eastAsia"/>
                      <w:color w:val="000000" w:themeColor="text1"/>
                      <w:sz w:val="21"/>
                      <w:szCs w:val="21"/>
                      <w:highlight w:val="none"/>
                      <w:lang w:val="en-US" w:eastAsia="zh-CN"/>
                      <w14:textFill>
                        <w14:solidFill>
                          <w14:schemeClr w14:val="tx1"/>
                        </w14:solidFill>
                      </w14:textFill>
                    </w:rPr>
                    <w:t>杀菌后清洗废水、</w:t>
                  </w:r>
                  <w:r>
                    <w:rPr>
                      <w:rFonts w:hint="eastAsia"/>
                      <w:color w:val="000000" w:themeColor="text1"/>
                      <w:sz w:val="21"/>
                      <w:szCs w:val="21"/>
                      <w:highlight w:val="none"/>
                      <w14:textFill>
                        <w14:solidFill>
                          <w14:schemeClr w14:val="tx1"/>
                        </w14:solidFill>
                      </w14:textFill>
                    </w:rPr>
                    <w:t>地</w:t>
                  </w:r>
                  <w:r>
                    <w:rPr>
                      <w:rFonts w:hint="eastAsia"/>
                      <w:color w:val="000000" w:themeColor="text1"/>
                      <w:sz w:val="21"/>
                      <w:szCs w:val="21"/>
                      <w14:textFill>
                        <w14:solidFill>
                          <w14:schemeClr w14:val="tx1"/>
                        </w14:solidFill>
                      </w14:textFill>
                    </w:rPr>
                    <w:t>面清洗废水</w:t>
                  </w:r>
                </w:p>
              </w:tc>
              <w:tc>
                <w:tcPr>
                  <w:tcW w:w="2128" w:type="dxa"/>
                  <w:vAlign w:val="center"/>
                </w:tcPr>
                <w:p w14:paraId="001B1F53">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pH、</w:t>
                  </w:r>
                  <w:r>
                    <w:rPr>
                      <w:color w:val="000000" w:themeColor="text1"/>
                      <w:sz w:val="21"/>
                      <w:szCs w:val="21"/>
                      <w:lang w:val="pt-BR"/>
                      <w14:textFill>
                        <w14:solidFill>
                          <w14:schemeClr w14:val="tx1"/>
                        </w14:solidFill>
                      </w14:textFill>
                    </w:rPr>
                    <w:t>COD</w:t>
                  </w:r>
                  <w:r>
                    <w:rPr>
                      <w:color w:val="000000" w:themeColor="text1"/>
                      <w:sz w:val="21"/>
                      <w:szCs w:val="21"/>
                      <w14:textFill>
                        <w14:solidFill>
                          <w14:schemeClr w14:val="tx1"/>
                        </w14:solidFill>
                      </w14:textFill>
                    </w:rPr>
                    <w:t>、</w:t>
                  </w:r>
                  <w:r>
                    <w:rPr>
                      <w:color w:val="000000" w:themeColor="text1"/>
                      <w:sz w:val="21"/>
                      <w:szCs w:val="21"/>
                      <w:lang w:val="pt-BR"/>
                      <w14:textFill>
                        <w14:solidFill>
                          <w14:schemeClr w14:val="tx1"/>
                        </w14:solidFill>
                      </w14:textFill>
                    </w:rPr>
                    <w:t>SS</w:t>
                  </w:r>
                  <w:r>
                    <w:rPr>
                      <w:color w:val="000000" w:themeColor="text1"/>
                      <w:sz w:val="21"/>
                      <w:szCs w:val="21"/>
                      <w14:textFill>
                        <w14:solidFill>
                          <w14:schemeClr w14:val="tx1"/>
                        </w14:solidFill>
                      </w14:textFill>
                    </w:rPr>
                    <w:t>、</w:t>
                  </w:r>
                  <w:r>
                    <w:rPr>
                      <w:color w:val="000000" w:themeColor="text1"/>
                      <w:sz w:val="21"/>
                      <w:szCs w:val="21"/>
                      <w:lang w:val="pt-BR"/>
                      <w14:textFill>
                        <w14:solidFill>
                          <w14:schemeClr w14:val="tx1"/>
                        </w14:solidFill>
                      </w14:textFill>
                    </w:rPr>
                    <w:t>NH</w:t>
                  </w:r>
                  <w:r>
                    <w:rPr>
                      <w:color w:val="000000" w:themeColor="text1"/>
                      <w:sz w:val="21"/>
                      <w:szCs w:val="21"/>
                      <w:vertAlign w:val="subscript"/>
                      <w:lang w:val="pt-BR"/>
                      <w14:textFill>
                        <w14:solidFill>
                          <w14:schemeClr w14:val="tx1"/>
                        </w14:solidFill>
                      </w14:textFill>
                    </w:rPr>
                    <w:t>3</w:t>
                  </w:r>
                  <w:r>
                    <w:rPr>
                      <w:color w:val="000000" w:themeColor="text1"/>
                      <w:sz w:val="21"/>
                      <w:szCs w:val="21"/>
                      <w:lang w:val="pt-BR"/>
                      <w14:textFill>
                        <w14:solidFill>
                          <w14:schemeClr w14:val="tx1"/>
                        </w14:solidFill>
                      </w14:textFill>
                    </w:rPr>
                    <w:t>-N</w:t>
                  </w:r>
                  <w:r>
                    <w:rPr>
                      <w:color w:val="000000" w:themeColor="text1"/>
                      <w:sz w:val="21"/>
                      <w:szCs w:val="21"/>
                      <w14:textFill>
                        <w14:solidFill>
                          <w14:schemeClr w14:val="tx1"/>
                        </w14:solidFill>
                      </w14:textFill>
                    </w:rPr>
                    <w:t>、</w:t>
                  </w:r>
                  <w:r>
                    <w:rPr>
                      <w:color w:val="000000" w:themeColor="text1"/>
                      <w:sz w:val="21"/>
                      <w:szCs w:val="21"/>
                      <w:lang w:val="pt-BR"/>
                      <w14:textFill>
                        <w14:solidFill>
                          <w14:schemeClr w14:val="tx1"/>
                        </w14:solidFill>
                      </w14:textFill>
                    </w:rPr>
                    <w:t>TP</w:t>
                  </w:r>
                  <w:r>
                    <w:rPr>
                      <w:color w:val="000000" w:themeColor="text1"/>
                      <w:sz w:val="21"/>
                      <w:szCs w:val="21"/>
                      <w14:textFill>
                        <w14:solidFill>
                          <w14:schemeClr w14:val="tx1"/>
                        </w14:solidFill>
                      </w14:textFill>
                    </w:rPr>
                    <w:t>、</w:t>
                  </w:r>
                  <w:r>
                    <w:rPr>
                      <w:color w:val="000000" w:themeColor="text1"/>
                      <w:sz w:val="21"/>
                      <w:szCs w:val="21"/>
                      <w:lang w:val="pt-BR"/>
                      <w14:textFill>
                        <w14:solidFill>
                          <w14:schemeClr w14:val="tx1"/>
                        </w14:solidFill>
                      </w14:textFill>
                    </w:rPr>
                    <w:t>BOD</w:t>
                  </w:r>
                  <w:r>
                    <w:rPr>
                      <w:color w:val="000000" w:themeColor="text1"/>
                      <w:sz w:val="21"/>
                      <w:szCs w:val="21"/>
                      <w:vertAlign w:val="subscript"/>
                      <w:lang w:val="pt-BR"/>
                      <w14:textFill>
                        <w14:solidFill>
                          <w14:schemeClr w14:val="tx1"/>
                        </w14:solidFill>
                      </w14:textFill>
                    </w:rPr>
                    <w:t>5</w:t>
                  </w:r>
                  <w:r>
                    <w:rPr>
                      <w:rFonts w:hint="eastAsia"/>
                      <w:color w:val="000000" w:themeColor="text1"/>
                      <w:sz w:val="21"/>
                      <w:szCs w:val="21"/>
                      <w:vertAlign w:val="subscript"/>
                      <w:lang w:val="pt-BR"/>
                      <w14:textFill>
                        <w14:solidFill>
                          <w14:schemeClr w14:val="tx1"/>
                        </w14:solidFill>
                      </w14:textFill>
                    </w:rPr>
                    <w:t>、</w:t>
                  </w:r>
                  <w:r>
                    <w:rPr>
                      <w:rFonts w:hint="eastAsia"/>
                      <w:color w:val="000000" w:themeColor="text1"/>
                      <w:sz w:val="21"/>
                      <w:szCs w:val="21"/>
                      <w14:textFill>
                        <w14:solidFill>
                          <w14:schemeClr w14:val="tx1"/>
                        </w14:solidFill>
                      </w14:textFill>
                    </w:rPr>
                    <w:t>动植物油</w:t>
                  </w:r>
                </w:p>
              </w:tc>
              <w:tc>
                <w:tcPr>
                  <w:tcW w:w="4109" w:type="dxa"/>
                  <w:vAlign w:val="center"/>
                </w:tcPr>
                <w:p w14:paraId="70587497">
                  <w:pPr>
                    <w:spacing w:line="280" w:lineRule="exact"/>
                    <w:jc w:val="center"/>
                    <w:rPr>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生活污水经化粪池沉淀、含油废水经隔油池隔油，与其他废水一并经“水解酸化+气浮+厌氧+好氧+曝气+二次沉淀”处理后经厂区总排口排入</w:t>
                  </w:r>
                  <w:r>
                    <w:rPr>
                      <w:rFonts w:hint="eastAsia"/>
                      <w:bCs/>
                      <w:color w:val="000000" w:themeColor="text1"/>
                      <w:sz w:val="21"/>
                      <w:szCs w:val="21"/>
                      <w:lang w:eastAsia="zh-CN"/>
                      <w14:textFill>
                        <w14:solidFill>
                          <w14:schemeClr w14:val="tx1"/>
                        </w14:solidFill>
                      </w14:textFill>
                    </w:rPr>
                    <w:t>夹堤村西污水处理站</w:t>
                  </w:r>
                  <w:r>
                    <w:rPr>
                      <w:rFonts w:hint="eastAsia"/>
                      <w:bCs/>
                      <w:color w:val="000000" w:themeColor="text1"/>
                      <w:sz w:val="21"/>
                      <w:szCs w:val="21"/>
                      <w14:textFill>
                        <w14:solidFill>
                          <w14:schemeClr w14:val="tx1"/>
                        </w14:solidFill>
                      </w14:textFill>
                    </w:rPr>
                    <w:t>。目前，</w:t>
                  </w:r>
                  <w:r>
                    <w:rPr>
                      <w:rFonts w:hint="eastAsia"/>
                      <w:bCs/>
                      <w:color w:val="000000" w:themeColor="text1"/>
                      <w:sz w:val="21"/>
                      <w:szCs w:val="21"/>
                      <w:lang w:eastAsia="zh-CN"/>
                      <w14:textFill>
                        <w14:solidFill>
                          <w14:schemeClr w14:val="tx1"/>
                        </w14:solidFill>
                      </w14:textFill>
                    </w:rPr>
                    <w:t>夹堤村西污水处理站</w:t>
                  </w:r>
                  <w:r>
                    <w:rPr>
                      <w:rFonts w:hint="eastAsia"/>
                      <w:bCs/>
                      <w:color w:val="000000" w:themeColor="text1"/>
                      <w:sz w:val="21"/>
                      <w:szCs w:val="21"/>
                      <w14:textFill>
                        <w14:solidFill>
                          <w14:schemeClr w14:val="tx1"/>
                        </w14:solidFill>
                      </w14:textFill>
                    </w:rPr>
                    <w:t>尚未建成运行，在此之前厂区</w:t>
                  </w:r>
                  <w:r>
                    <w:rPr>
                      <w:rFonts w:hint="eastAsia"/>
                      <w:bCs/>
                      <w:color w:val="000000" w:themeColor="text1"/>
                      <w:sz w:val="21"/>
                      <w:szCs w:val="21"/>
                      <w:lang w:val="en-US" w:eastAsia="zh-CN"/>
                      <w14:textFill>
                        <w14:solidFill>
                          <w14:schemeClr w14:val="tx1"/>
                        </w14:solidFill>
                      </w14:textFill>
                    </w:rPr>
                    <w:t>污水处理站尾水</w:t>
                  </w:r>
                  <w:r>
                    <w:rPr>
                      <w:rFonts w:hint="eastAsia"/>
                      <w:bCs/>
                      <w:color w:val="000000" w:themeColor="text1"/>
                      <w:sz w:val="21"/>
                      <w:szCs w:val="21"/>
                      <w14:textFill>
                        <w14:solidFill>
                          <w14:schemeClr w14:val="tx1"/>
                        </w14:solidFill>
                      </w14:textFill>
                    </w:rPr>
                    <w:t>进行农灌。</w:t>
                  </w:r>
                </w:p>
              </w:tc>
            </w:tr>
            <w:tr w14:paraId="4F3C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5" w:type="dxa"/>
                  <w:vMerge w:val="restart"/>
                  <w:vAlign w:val="center"/>
                </w:tcPr>
                <w:p w14:paraId="4AF1A648">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废气</w:t>
                  </w:r>
                </w:p>
              </w:tc>
              <w:tc>
                <w:tcPr>
                  <w:tcW w:w="1894" w:type="dxa"/>
                  <w:vAlign w:val="center"/>
                </w:tcPr>
                <w:p w14:paraId="12CDFA9A">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蒸汽发生器</w:t>
                  </w:r>
                </w:p>
              </w:tc>
              <w:tc>
                <w:tcPr>
                  <w:tcW w:w="2128" w:type="dxa"/>
                  <w:vAlign w:val="center"/>
                </w:tcPr>
                <w:p w14:paraId="0AA0ECBC">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颗粒物、SO</w:t>
                  </w:r>
                  <w:r>
                    <w:rPr>
                      <w:rFonts w:hint="eastAsia"/>
                      <w:color w:val="000000" w:themeColor="text1"/>
                      <w:sz w:val="21"/>
                      <w:szCs w:val="21"/>
                      <w:vertAlign w:val="subscript"/>
                      <w14:textFill>
                        <w14:solidFill>
                          <w14:schemeClr w14:val="tx1"/>
                        </w14:solidFill>
                      </w14:textFill>
                    </w:rPr>
                    <w:t>2</w:t>
                  </w:r>
                  <w:r>
                    <w:rPr>
                      <w:rFonts w:hint="eastAsia"/>
                      <w:color w:val="000000" w:themeColor="text1"/>
                      <w:sz w:val="21"/>
                      <w:szCs w:val="21"/>
                      <w14:textFill>
                        <w14:solidFill>
                          <w14:schemeClr w14:val="tx1"/>
                        </w14:solidFill>
                      </w14:textFill>
                    </w:rPr>
                    <w:t>、NOx</w:t>
                  </w:r>
                </w:p>
              </w:tc>
              <w:tc>
                <w:tcPr>
                  <w:tcW w:w="4109" w:type="dxa"/>
                  <w:vAlign w:val="center"/>
                </w:tcPr>
                <w:p w14:paraId="691980C9">
                  <w:pPr>
                    <w:spacing w:line="280" w:lineRule="exact"/>
                    <w:rPr>
                      <w:bCs/>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蒸汽发生器燃烧废气</w:t>
                  </w:r>
                  <w:r>
                    <w:rPr>
                      <w:rFonts w:hint="eastAsia"/>
                      <w:bCs/>
                      <w:color w:val="000000" w:themeColor="text1"/>
                      <w:sz w:val="21"/>
                      <w:szCs w:val="21"/>
                      <w14:textFill>
                        <w14:solidFill>
                          <w14:schemeClr w14:val="tx1"/>
                        </w14:solidFill>
                      </w14:textFill>
                    </w:rPr>
                    <w:t>经自带低氮燃烧设施治理后，由不低于8m的排气筒DA001有组织排放。</w:t>
                  </w:r>
                </w:p>
              </w:tc>
            </w:tr>
            <w:tr w14:paraId="6C6F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5" w:type="dxa"/>
                  <w:vMerge w:val="continue"/>
                  <w:vAlign w:val="center"/>
                </w:tcPr>
                <w:p w14:paraId="4E2BDE8E">
                  <w:pPr>
                    <w:spacing w:line="280" w:lineRule="exact"/>
                    <w:jc w:val="center"/>
                    <w:rPr>
                      <w:color w:val="000000" w:themeColor="text1"/>
                      <w:sz w:val="21"/>
                      <w:szCs w:val="21"/>
                      <w14:textFill>
                        <w14:solidFill>
                          <w14:schemeClr w14:val="tx1"/>
                        </w14:solidFill>
                      </w14:textFill>
                    </w:rPr>
                  </w:pPr>
                </w:p>
              </w:tc>
              <w:tc>
                <w:tcPr>
                  <w:tcW w:w="1894" w:type="dxa"/>
                  <w:vAlign w:val="center"/>
                </w:tcPr>
                <w:p w14:paraId="5CC22075">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油炸工序</w:t>
                  </w:r>
                </w:p>
              </w:tc>
              <w:tc>
                <w:tcPr>
                  <w:tcW w:w="2128" w:type="dxa"/>
                  <w:vAlign w:val="center"/>
                </w:tcPr>
                <w:p w14:paraId="6EA26905">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油烟</w:t>
                  </w:r>
                </w:p>
              </w:tc>
              <w:tc>
                <w:tcPr>
                  <w:tcW w:w="4109" w:type="dxa"/>
                  <w:vAlign w:val="center"/>
                </w:tcPr>
                <w:p w14:paraId="64661C4A">
                  <w:pPr>
                    <w:spacing w:line="280" w:lineRule="exact"/>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油炸油烟经集气罩收集</w:t>
                  </w:r>
                  <w:r>
                    <w:rPr>
                      <w:bCs/>
                      <w:color w:val="000000" w:themeColor="text1"/>
                      <w:sz w:val="21"/>
                      <w:szCs w:val="21"/>
                      <w14:textFill>
                        <w14:solidFill>
                          <w14:schemeClr w14:val="tx1"/>
                        </w14:solidFill>
                      </w14:textFill>
                    </w:rPr>
                    <w:t>油烟净化器</w:t>
                  </w:r>
                  <w:r>
                    <w:rPr>
                      <w:rFonts w:hint="eastAsia"/>
                      <w:bCs/>
                      <w:color w:val="000000" w:themeColor="text1"/>
                      <w:sz w:val="21"/>
                      <w:szCs w:val="21"/>
                      <w14:textFill>
                        <w14:solidFill>
                          <w14:schemeClr w14:val="tx1"/>
                        </w14:solidFill>
                      </w14:textFill>
                    </w:rPr>
                    <w:t>治理后，由高出厂房顶部的排气筒DA002排放。</w:t>
                  </w:r>
                </w:p>
              </w:tc>
            </w:tr>
            <w:tr w14:paraId="778D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5" w:type="dxa"/>
                  <w:vAlign w:val="center"/>
                </w:tcPr>
                <w:p w14:paraId="3F614CA1">
                  <w:pPr>
                    <w:spacing w:line="28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噪声</w:t>
                  </w:r>
                </w:p>
              </w:tc>
              <w:tc>
                <w:tcPr>
                  <w:tcW w:w="1894" w:type="dxa"/>
                  <w:vAlign w:val="center"/>
                </w:tcPr>
                <w:p w14:paraId="28FEF9AB">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泵类、风机、空压机、切菜机、风干机等设备运行噪声</w:t>
                  </w:r>
                </w:p>
              </w:tc>
              <w:tc>
                <w:tcPr>
                  <w:tcW w:w="2128" w:type="dxa"/>
                  <w:vAlign w:val="center"/>
                </w:tcPr>
                <w:p w14:paraId="6E932B60">
                  <w:pPr>
                    <w:spacing w:line="28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噪声</w:t>
                  </w:r>
                </w:p>
              </w:tc>
              <w:tc>
                <w:tcPr>
                  <w:tcW w:w="4109" w:type="dxa"/>
                  <w:vAlign w:val="center"/>
                </w:tcPr>
                <w:p w14:paraId="71FC1175">
                  <w:pPr>
                    <w:spacing w:line="28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基础减振、厂房隔声</w:t>
                  </w:r>
                </w:p>
              </w:tc>
            </w:tr>
            <w:tr w14:paraId="08CD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5" w:type="dxa"/>
                  <w:vMerge w:val="restart"/>
                  <w:vAlign w:val="center"/>
                </w:tcPr>
                <w:p w14:paraId="7E1E6FFF">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固废</w:t>
                  </w:r>
                </w:p>
              </w:tc>
              <w:tc>
                <w:tcPr>
                  <w:tcW w:w="1894" w:type="dxa"/>
                  <w:vAlign w:val="center"/>
                </w:tcPr>
                <w:p w14:paraId="347CBCD8">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纯水制备</w:t>
                  </w:r>
                </w:p>
              </w:tc>
              <w:tc>
                <w:tcPr>
                  <w:tcW w:w="2128" w:type="dxa"/>
                  <w:vAlign w:val="center"/>
                </w:tcPr>
                <w:p w14:paraId="776180E3">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废过滤材料</w:t>
                  </w:r>
                </w:p>
              </w:tc>
              <w:tc>
                <w:tcPr>
                  <w:tcW w:w="4109" w:type="dxa"/>
                  <w:vAlign w:val="center"/>
                </w:tcPr>
                <w:p w14:paraId="25F615DA">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厂家更换时回收利用</w:t>
                  </w:r>
                </w:p>
              </w:tc>
            </w:tr>
            <w:tr w14:paraId="179F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5" w:type="dxa"/>
                  <w:vMerge w:val="continue"/>
                  <w:vAlign w:val="center"/>
                </w:tcPr>
                <w:p w14:paraId="73BABB5B">
                  <w:pPr>
                    <w:spacing w:line="280" w:lineRule="exact"/>
                    <w:jc w:val="center"/>
                    <w:rPr>
                      <w:color w:val="000000" w:themeColor="text1"/>
                      <w:sz w:val="21"/>
                      <w:szCs w:val="21"/>
                      <w14:textFill>
                        <w14:solidFill>
                          <w14:schemeClr w14:val="tx1"/>
                        </w14:solidFill>
                      </w14:textFill>
                    </w:rPr>
                  </w:pPr>
                </w:p>
              </w:tc>
              <w:tc>
                <w:tcPr>
                  <w:tcW w:w="1894" w:type="dxa"/>
                  <w:vAlign w:val="center"/>
                </w:tcPr>
                <w:p w14:paraId="5FDDF072">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生产过程</w:t>
                  </w:r>
                </w:p>
              </w:tc>
              <w:tc>
                <w:tcPr>
                  <w:tcW w:w="2128" w:type="dxa"/>
                  <w:vAlign w:val="center"/>
                </w:tcPr>
                <w:p w14:paraId="5E559995">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废包装袋</w:t>
                  </w:r>
                </w:p>
              </w:tc>
              <w:tc>
                <w:tcPr>
                  <w:tcW w:w="4109" w:type="dxa"/>
                  <w:vAlign w:val="center"/>
                </w:tcPr>
                <w:p w14:paraId="0715DAED">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一般固废间暂存，定期外售。</w:t>
                  </w:r>
                </w:p>
              </w:tc>
            </w:tr>
            <w:tr w14:paraId="752C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5" w:type="dxa"/>
                  <w:vMerge w:val="continue"/>
                  <w:vAlign w:val="center"/>
                </w:tcPr>
                <w:p w14:paraId="18405780">
                  <w:pPr>
                    <w:spacing w:line="280" w:lineRule="exact"/>
                    <w:jc w:val="center"/>
                    <w:rPr>
                      <w:color w:val="000000" w:themeColor="text1"/>
                      <w:sz w:val="21"/>
                      <w:szCs w:val="21"/>
                      <w14:textFill>
                        <w14:solidFill>
                          <w14:schemeClr w14:val="tx1"/>
                        </w14:solidFill>
                      </w14:textFill>
                    </w:rPr>
                  </w:pPr>
                </w:p>
              </w:tc>
              <w:tc>
                <w:tcPr>
                  <w:tcW w:w="1894" w:type="dxa"/>
                  <w:vAlign w:val="center"/>
                </w:tcPr>
                <w:p w14:paraId="5182F8BC">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熬制鸡汤</w:t>
                  </w:r>
                </w:p>
              </w:tc>
              <w:tc>
                <w:tcPr>
                  <w:tcW w:w="2128" w:type="dxa"/>
                  <w:vAlign w:val="center"/>
                </w:tcPr>
                <w:p w14:paraId="08FAE3D4">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废鸡架</w:t>
                  </w:r>
                </w:p>
              </w:tc>
              <w:tc>
                <w:tcPr>
                  <w:tcW w:w="4109" w:type="dxa"/>
                  <w:vAlign w:val="center"/>
                </w:tcPr>
                <w:p w14:paraId="36551AE3">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外售饲料厂</w:t>
                  </w:r>
                </w:p>
              </w:tc>
            </w:tr>
            <w:tr w14:paraId="27C0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5" w:type="dxa"/>
                  <w:vMerge w:val="continue"/>
                  <w:vAlign w:val="center"/>
                </w:tcPr>
                <w:p w14:paraId="718C83B8">
                  <w:pPr>
                    <w:spacing w:line="280" w:lineRule="exact"/>
                    <w:jc w:val="center"/>
                    <w:rPr>
                      <w:color w:val="000000" w:themeColor="text1"/>
                      <w:sz w:val="21"/>
                      <w:szCs w:val="21"/>
                      <w14:textFill>
                        <w14:solidFill>
                          <w14:schemeClr w14:val="tx1"/>
                        </w14:solidFill>
                      </w14:textFill>
                    </w:rPr>
                  </w:pPr>
                </w:p>
              </w:tc>
              <w:tc>
                <w:tcPr>
                  <w:tcW w:w="1894" w:type="dxa"/>
                  <w:vAlign w:val="center"/>
                </w:tcPr>
                <w:p w14:paraId="621702AF">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厂区污水处理站</w:t>
                  </w:r>
                </w:p>
              </w:tc>
              <w:tc>
                <w:tcPr>
                  <w:tcW w:w="2128" w:type="dxa"/>
                  <w:vAlign w:val="center"/>
                </w:tcPr>
                <w:p w14:paraId="276605D3">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污泥</w:t>
                  </w:r>
                </w:p>
              </w:tc>
              <w:tc>
                <w:tcPr>
                  <w:tcW w:w="4109" w:type="dxa"/>
                  <w:vAlign w:val="center"/>
                </w:tcPr>
                <w:p w14:paraId="51AB3494">
                  <w:pPr>
                    <w:spacing w:line="28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一般固废间暂存，送延津县垃圾焚烧厂处理</w:t>
                  </w:r>
                </w:p>
              </w:tc>
            </w:tr>
          </w:tbl>
          <w:p w14:paraId="0BEEBA99">
            <w:pPr>
              <w:pStyle w:val="11"/>
              <w:ind w:left="0" w:firstLine="0"/>
              <w:rPr>
                <w:color w:val="000000" w:themeColor="text1"/>
                <w14:textFill>
                  <w14:solidFill>
                    <w14:schemeClr w14:val="tx1"/>
                  </w14:solidFill>
                </w14:textFill>
              </w:rPr>
            </w:pPr>
          </w:p>
        </w:tc>
      </w:tr>
      <w:tr w14:paraId="08DC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5" w:hRule="atLeast"/>
          <w:jc w:val="center"/>
        </w:trPr>
        <w:tc>
          <w:tcPr>
            <w:tcW w:w="816" w:type="dxa"/>
            <w:vAlign w:val="center"/>
          </w:tcPr>
          <w:p w14:paraId="1D69708A">
            <w:pPr>
              <w:spacing w:before="100" w:beforeAutospacing="1" w:after="100" w:afterAutospacing="1"/>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与项目有关的原有环境污染问题</w:t>
            </w:r>
          </w:p>
        </w:tc>
        <w:tc>
          <w:tcPr>
            <w:tcW w:w="9545" w:type="dxa"/>
            <w:vAlign w:val="center"/>
          </w:tcPr>
          <w:p w14:paraId="5F7FA010">
            <w:pPr>
              <w:spacing w:line="520" w:lineRule="exact"/>
              <w:ind w:firstLine="480" w:firstLineChars="200"/>
              <w:rPr>
                <w:rFonts w:ascii="Helvetica" w:hAnsi="Helvetica" w:cs="Helvetica"/>
                <w:color w:val="333333"/>
                <w:shd w:val="clear" w:color="auto" w:fill="FFFFFF"/>
              </w:rPr>
            </w:pPr>
            <w:r>
              <w:rPr>
                <w:rFonts w:hint="eastAsia" w:ascii="Helvetica" w:hAnsi="Helvetica" w:cs="Helvetica"/>
                <w:color w:val="333333"/>
                <w:shd w:val="clear" w:color="auto" w:fill="FFFFFF"/>
              </w:rPr>
              <w:t>一、现有工程基本情况介绍</w:t>
            </w:r>
          </w:p>
          <w:p w14:paraId="6085D783">
            <w:pPr>
              <w:spacing w:line="520" w:lineRule="exact"/>
              <w:ind w:firstLine="480" w:firstLineChars="200"/>
              <w:rPr>
                <w:color w:val="000000" w:themeColor="text1"/>
                <w14:textFill>
                  <w14:solidFill>
                    <w14:schemeClr w14:val="tx1"/>
                  </w14:solidFill>
                </w14:textFill>
              </w:rPr>
            </w:pPr>
            <w:r>
              <w:rPr>
                <w:rFonts w:ascii="Helvetica" w:hAnsi="Helvetica" w:eastAsia="Helvetica" w:cs="Helvetica"/>
                <w:color w:val="333333"/>
                <w:shd w:val="clear" w:color="auto" w:fill="FFFFFF"/>
              </w:rPr>
              <w:t>河南朝东食品有限公司</w:t>
            </w:r>
            <w:r>
              <w:rPr>
                <w:rFonts w:hint="eastAsia" w:ascii="Helvetica" w:hAnsi="Helvetica" w:cs="Helvetica"/>
                <w:color w:val="333333"/>
                <w:shd w:val="clear" w:color="auto" w:fill="FFFFFF"/>
              </w:rPr>
              <w:t>（原名为：</w:t>
            </w:r>
            <w:r>
              <w:rPr>
                <w:color w:val="000000" w:themeColor="text1"/>
                <w14:textFill>
                  <w14:solidFill>
                    <w14:schemeClr w14:val="tx1"/>
                  </w14:solidFill>
                </w14:textFill>
              </w:rPr>
              <w:t>新乡市朝东食品厂</w:t>
            </w:r>
            <w:r>
              <w:rPr>
                <w:color w:val="333333"/>
                <w:shd w:val="clear" w:color="auto" w:fill="FFFFFF"/>
              </w:rPr>
              <w:t>）</w:t>
            </w:r>
            <w:r>
              <w:rPr>
                <w:rFonts w:eastAsia="Helvetica"/>
                <w:color w:val="333333"/>
                <w:shd w:val="clear" w:color="auto" w:fill="FFFFFF"/>
              </w:rPr>
              <w:t>成立于2008年</w:t>
            </w:r>
            <w:r>
              <w:rPr>
                <w:color w:val="333333"/>
                <w:shd w:val="clear" w:color="auto" w:fill="FFFFFF"/>
              </w:rPr>
              <w:t>12月26日</w:t>
            </w:r>
            <w:r>
              <w:rPr>
                <w:rFonts w:eastAsia="Helvetica"/>
                <w:color w:val="333333"/>
                <w:shd w:val="clear" w:color="auto" w:fill="FFFFFF"/>
              </w:rPr>
              <w:t>，位于河南省新乡市延津县榆林乡夹堤村西南，</w:t>
            </w:r>
            <w:r>
              <w:rPr>
                <w:color w:val="333333"/>
                <w:shd w:val="clear" w:color="auto" w:fill="FFFFFF"/>
              </w:rPr>
              <w:t>厂区内现有项目为《新乡市朝东食品厂年产1500吨鸡汁素肠系列产品项目现状环境影响评估报告》（延环清改备 第03号）</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目前企业处于停产状态，且排污许可证已注销。</w:t>
            </w:r>
          </w:p>
          <w:p w14:paraId="18813F97">
            <w:pPr>
              <w:pStyle w:val="11"/>
              <w:spacing w:line="520" w:lineRule="exact"/>
              <w:rPr>
                <w:color w:val="000000" w:themeColor="text1"/>
                <w14:textFill>
                  <w14:solidFill>
                    <w14:schemeClr w14:val="tx1"/>
                  </w14:solidFill>
                </w14:textFill>
              </w:rPr>
            </w:pPr>
            <w:r>
              <w:rPr>
                <w:rFonts w:ascii="宋体" w:hAnsi="宋体" w:cs="宋体"/>
              </w:rPr>
              <w:t>二、污染物排放情况</w:t>
            </w:r>
          </w:p>
          <w:p w14:paraId="62F42047">
            <w:pPr>
              <w:pStyle w:val="11"/>
              <w:spacing w:line="52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（一）废气</w:t>
            </w:r>
          </w:p>
          <w:p w14:paraId="056F8E99">
            <w:pPr>
              <w:spacing w:line="520" w:lineRule="exact"/>
              <w:ind w:firstLine="480" w:firstLineChars="200"/>
            </w:pPr>
            <w:r>
              <w:rPr>
                <w:rFonts w:hint="eastAsia"/>
                <w:color w:val="000000" w:themeColor="text1"/>
                <w14:textFill>
                  <w14:solidFill>
                    <w14:schemeClr w14:val="tx1"/>
                  </w14:solidFill>
                </w14:textFill>
              </w:rPr>
              <w:t>现有工程的废气主要为蒸汽发生器燃烧烟气及污水处理站产生的恶臭气体。蒸汽发生器烟气中氮氧化物采取低氮燃烧治理措施，</w:t>
            </w:r>
            <w:r>
              <w:rPr>
                <w:rFonts w:hint="eastAsia"/>
              </w:rPr>
              <w:t>厂区污水处理站产生恶臭区域加盖，投放除臭剂。</w:t>
            </w:r>
            <w:r>
              <w:rPr>
                <w:rFonts w:hint="eastAsia"/>
                <w:color w:val="000000" w:themeColor="text1"/>
                <w14:textFill>
                  <w14:solidFill>
                    <w14:schemeClr w14:val="tx1"/>
                  </w14:solidFill>
                </w14:textFill>
              </w:rPr>
              <w:t>根据河南朝东食品有限公司自行监测报告（报告日期：2025.06.30，报告编号：PY2506131）检测数据，颗粒物排放浓度1.4mg/m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-1.8mg/m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、氮氧化物排放浓度23/m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-27mg/m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，满足</w:t>
            </w:r>
            <w:r>
              <w:t>《锅炉大气污染物排放标准》（DB41/2089-2021）</w:t>
            </w:r>
            <w:r>
              <w:rPr>
                <w:rFonts w:hint="eastAsia"/>
              </w:rPr>
              <w:t>中</w:t>
            </w:r>
            <w:r>
              <w:t>颗粒物：5mg/m</w:t>
            </w:r>
            <w:r>
              <w:rPr>
                <w:vertAlign w:val="superscript"/>
              </w:rPr>
              <w:t>3</w:t>
            </w:r>
            <w:r>
              <w:rPr>
                <w:rFonts w:hint="eastAsia"/>
              </w:rPr>
              <w:t>、</w:t>
            </w:r>
            <w:r>
              <w:t>氮氧化物：30mg/m</w:t>
            </w:r>
            <w:r>
              <w:rPr>
                <w:vertAlign w:val="superscript"/>
              </w:rPr>
              <w:t>3</w:t>
            </w:r>
            <w:r>
              <w:rPr>
                <w:rFonts w:hint="eastAsia"/>
              </w:rPr>
              <w:t>限值要求</w:t>
            </w:r>
            <w:r>
              <w:t>。</w:t>
            </w:r>
            <w:r>
              <w:rPr>
                <w:rFonts w:hint="eastAsia"/>
              </w:rPr>
              <w:t>根据河南朝东食品有限公司自行监测报告（报告日期：2025.09.04，报告编号：PY2508042）厂界臭气浓度（无量纲）＜10，满足《恶臭污染物排放标准》(GB14554-93)中臭气浓度20（无量纲）限值要求。</w:t>
            </w:r>
          </w:p>
          <w:p w14:paraId="0EB0D328">
            <w:pPr>
              <w:pStyle w:val="11"/>
              <w:numPr>
                <w:ilvl w:val="0"/>
                <w:numId w:val="6"/>
              </w:numPr>
              <w:spacing w:line="520" w:lineRule="exact"/>
              <w:rPr>
                <w:rFonts w:ascii="宋体" w:hAnsi="宋体" w:cs="宋体"/>
              </w:rPr>
            </w:pPr>
            <w:r>
              <w:rPr>
                <w:rFonts w:ascii="宋体" w:hAnsi="宋体" w:cs="宋体"/>
              </w:rPr>
              <w:t>废</w:t>
            </w:r>
            <w:r>
              <w:rPr>
                <w:rFonts w:hint="eastAsia" w:ascii="宋体" w:hAnsi="宋体" w:cs="宋体"/>
              </w:rPr>
              <w:t>水</w:t>
            </w:r>
          </w:p>
          <w:p w14:paraId="33FA5F57">
            <w:pPr>
              <w:pStyle w:val="11"/>
              <w:spacing w:line="520" w:lineRule="exact"/>
              <w:ind w:left="0" w:right="0" w:firstLine="480" w:firstLineChars="200"/>
              <w:rPr>
                <w:color w:val="000000" w:themeColor="text1"/>
                <w:highlight w:val="yellow"/>
                <w14:textFill>
                  <w14:solidFill>
                    <w14:schemeClr w14:val="tx1"/>
                  </w14:solidFill>
                </w14:textFill>
              </w:rPr>
            </w:pPr>
            <w:r>
              <w:rPr>
                <w:rFonts w:hint="eastAsia" w:ascii="宋体" w:hAnsi="宋体" w:cs="宋体"/>
              </w:rPr>
              <w:t>现有工程废水主要为生活污水以及生产废水</w:t>
            </w:r>
            <w:r>
              <w:rPr>
                <w:rFonts w:hint="eastAsia"/>
                <w:color w:val="000000" w:themeColor="text1"/>
                <w14:textFill>
                  <w14:solidFill>
                    <w14:schemeClr w14:val="tx1"/>
                  </w14:solidFill>
                </w14:textFill>
              </w:rPr>
              <w:t>，生产废水主要包括软水制备废水，熟制废水，清洗废水、杀菌废水，冷却废水等，经厂区污水处理站处理后排入榆林排支渠，汇入大沙河。根据河南朝东食品有限公司自行监测数据（</w:t>
            </w:r>
            <w:r>
              <w:rPr>
                <w:rFonts w:hint="eastAsia"/>
              </w:rPr>
              <w:t>报告日期：2025.09.04，</w:t>
            </w:r>
            <w:r>
              <w:rPr>
                <w:rFonts w:hint="eastAsia"/>
                <w:color w:val="000000" w:themeColor="text1"/>
                <w14:textFill>
                  <w14:solidFill>
                    <w14:schemeClr w14:val="tx1"/>
                  </w14:solidFill>
                </w14:textFill>
              </w:rPr>
              <w:t>报告编号：PY2508042）厂区总排口各废水污染物排放浓度为pH7.1、BOD</w:t>
            </w:r>
            <w:r>
              <w:rPr>
                <w:rFonts w:hint="eastAsia"/>
                <w:color w:val="000000" w:themeColor="text1"/>
                <w:vertAlign w:val="subscript"/>
                <w14:textFill>
                  <w14:solidFill>
                    <w14:schemeClr w14:val="tx1"/>
                  </w14:solidFill>
                </w14:textFill>
              </w:rPr>
              <w:t>5</w:t>
            </w:r>
            <w:r>
              <w:rPr>
                <w:rFonts w:hint="eastAsia"/>
                <w:color w:val="000000" w:themeColor="text1"/>
                <w14:textFill>
                  <w14:solidFill>
                    <w14:schemeClr w14:val="tx1"/>
                  </w14:solidFill>
                </w14:textFill>
              </w:rPr>
              <w:t>5.5mg/L</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5.9mg/L、COD21mg/L</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25mg/L、氨氮0.110mg/L</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0.147mg/L、TP0.13mg/L</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0.14mg/L、满足《地表水环境质量标准》（GB3838-2002）</w:t>
            </w:r>
            <w:r>
              <w:rPr>
                <w:color w:val="000000" w:themeColor="text1"/>
                <w14:textFill>
                  <w14:solidFill>
                    <w14:schemeClr w14:val="tx1"/>
                  </w14:solidFill>
                </w14:textFill>
              </w:rPr>
              <w:t>中</w:t>
            </w:r>
            <w:r>
              <w:rPr>
                <w:rFonts w:hint="eastAsia"/>
                <w:color w:val="000000" w:themeColor="text1"/>
                <w14:textFill>
                  <w14:solidFill>
                    <w14:schemeClr w14:val="tx1"/>
                  </w14:solidFill>
                </w14:textFill>
              </w:rPr>
              <w:t>pH6</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9、BOD</w:t>
            </w:r>
            <w:r>
              <w:rPr>
                <w:rFonts w:hint="eastAsia"/>
                <w:color w:val="000000" w:themeColor="text1"/>
                <w:vertAlign w:val="subscript"/>
                <w14:textFill>
                  <w14:solidFill>
                    <w14:schemeClr w14:val="tx1"/>
                  </w14:solidFill>
                </w14:textFill>
              </w:rPr>
              <w:t>5</w:t>
            </w:r>
            <w:r>
              <w:rPr>
                <w:rFonts w:hint="eastAsia"/>
                <w:color w:val="000000" w:themeColor="text1"/>
                <w14:textFill>
                  <w14:solidFill>
                    <w14:schemeClr w14:val="tx1"/>
                  </w14:solidFill>
                </w14:textFill>
              </w:rPr>
              <w:t>6mg/L、COD30mg/L、氨氮1.5mg/L、TP0.3mg/L的地表水环境质量标准</w:t>
            </w:r>
            <w:r>
              <w:rPr>
                <w:color w:val="000000" w:themeColor="text1"/>
                <w14:textFill>
                  <w14:solidFill>
                    <w14:schemeClr w14:val="tx1"/>
                  </w14:solidFill>
                </w14:textFill>
              </w:rPr>
              <w:t>Ⅳ类标准限值</w:t>
            </w:r>
            <w:r>
              <w:rPr>
                <w:rFonts w:hint="eastAsia"/>
                <w:color w:val="000000" w:themeColor="text1"/>
                <w14:textFill>
                  <w14:solidFill>
                    <w14:schemeClr w14:val="tx1"/>
                  </w14:solidFill>
                </w14:textFill>
              </w:rPr>
              <w:t>要求。悬浮物10mg/L</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13mg/L、动植物油0.90mg/L</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0.94mg/L满足</w:t>
            </w:r>
            <w:r>
              <w:rPr>
                <w:color w:val="000000" w:themeColor="text1"/>
                <w14:textFill>
                  <w14:solidFill>
                    <w14:schemeClr w14:val="tx1"/>
                  </w14:solidFill>
                </w14:textFill>
              </w:rPr>
              <w:t>《污水综合排放标准》 （GB8978-1996）表4</w:t>
            </w:r>
            <w:r>
              <w:rPr>
                <w:rFonts w:hint="eastAsia"/>
                <w:color w:val="000000" w:themeColor="text1"/>
                <w14:textFill>
                  <w14:solidFill>
                    <w14:schemeClr w14:val="tx1"/>
                  </w14:solidFill>
                </w14:textFill>
              </w:rPr>
              <w:t>二</w:t>
            </w:r>
            <w:r>
              <w:rPr>
                <w:color w:val="000000" w:themeColor="text1"/>
                <w14:textFill>
                  <w14:solidFill>
                    <w14:schemeClr w14:val="tx1"/>
                  </w14:solidFill>
                </w14:textFill>
              </w:rPr>
              <w:t>级</w:t>
            </w:r>
            <w:r>
              <w:rPr>
                <w:rFonts w:hint="eastAsia"/>
                <w:color w:val="000000" w:themeColor="text1"/>
                <w14:textFill>
                  <w14:solidFill>
                    <w14:schemeClr w14:val="tx1"/>
                  </w14:solidFill>
                </w14:textFill>
              </w:rPr>
              <w:t>悬浮物150mg/L、动植物油15mg/L排放限值要求。</w:t>
            </w:r>
          </w:p>
          <w:p w14:paraId="72C7D651">
            <w:pPr>
              <w:pStyle w:val="11"/>
              <w:numPr>
                <w:ilvl w:val="0"/>
                <w:numId w:val="6"/>
              </w:numPr>
              <w:spacing w:line="520" w:lineRule="exact"/>
              <w:ind w:right="0"/>
              <w:rPr>
                <w:rFonts w:ascii="宋体" w:hAnsi="宋体" w:cs="宋体"/>
              </w:rPr>
            </w:pPr>
            <w:r>
              <w:rPr>
                <w:rFonts w:hint="eastAsia" w:ascii="宋体" w:hAnsi="宋体" w:cs="宋体"/>
              </w:rPr>
              <w:t>噪声</w:t>
            </w:r>
          </w:p>
          <w:p w14:paraId="3C758589">
            <w:pPr>
              <w:pStyle w:val="11"/>
              <w:spacing w:line="520" w:lineRule="exact"/>
              <w:ind w:left="0" w:right="0" w:firstLine="480" w:firstLineChars="200"/>
            </w:pPr>
            <w:r>
              <w:rPr>
                <w:rFonts w:hint="eastAsia" w:ascii="宋体" w:hAnsi="宋体" w:cs="宋体"/>
              </w:rPr>
              <w:t>现有工程的噪声主要为风机、泵类、空压机、切菜机等设备运行噪声，采取基础减震、厂房隔声、距离衰减治理措施。</w:t>
            </w:r>
            <w:r>
              <w:rPr>
                <w:rFonts w:hint="eastAsia"/>
                <w:color w:val="000000" w:themeColor="text1"/>
                <w14:textFill>
                  <w14:solidFill>
                    <w14:schemeClr w14:val="tx1"/>
                  </w14:solidFill>
                </w14:textFill>
              </w:rPr>
              <w:t>根据河南朝东食品有限公司自行监测数据（</w:t>
            </w:r>
            <w:r>
              <w:rPr>
                <w:rFonts w:hint="eastAsia"/>
              </w:rPr>
              <w:t>报告日期：2025.09.04，</w:t>
            </w:r>
            <w:r>
              <w:rPr>
                <w:rFonts w:hint="eastAsia"/>
                <w:color w:val="000000" w:themeColor="text1"/>
                <w14:textFill>
                  <w14:solidFill>
                    <w14:schemeClr w14:val="tx1"/>
                  </w14:solidFill>
                </w14:textFill>
              </w:rPr>
              <w:t>报告编号：PY2508042）</w:t>
            </w:r>
            <w:r>
              <w:rPr>
                <w:rFonts w:hint="eastAsia" w:ascii="宋体" w:hAnsi="宋体" w:cs="宋体"/>
              </w:rPr>
              <w:t>东、西、南</w:t>
            </w:r>
            <w:r>
              <w:t>、北四厂界噪声检测值为昼间53dB(A)-56dB(A)</w:t>
            </w:r>
            <w:r>
              <w:rPr>
                <w:rFonts w:hint="eastAsia"/>
              </w:rPr>
              <w:t>，满</w:t>
            </w:r>
            <w:r>
              <w:t>足</w:t>
            </w:r>
            <w:r>
              <w:rPr>
                <w:kern w:val="0"/>
              </w:rPr>
              <w:t>《工业企业厂界环境噪声排放标准》（GB12348-2008）2类标准昼间60dB(A)限值要求。</w:t>
            </w:r>
          </w:p>
          <w:p w14:paraId="598EB3DB">
            <w:pPr>
              <w:pStyle w:val="11"/>
              <w:numPr>
                <w:ilvl w:val="0"/>
                <w:numId w:val="6"/>
              </w:numPr>
              <w:spacing w:line="520" w:lineRule="exact"/>
              <w:rPr>
                <w:rFonts w:ascii="宋体" w:hAnsi="宋体" w:cs="宋体"/>
              </w:rPr>
            </w:pPr>
            <w:r>
              <w:rPr>
                <w:rFonts w:hint="eastAsia" w:ascii="宋体" w:hAnsi="宋体" w:cs="宋体"/>
              </w:rPr>
              <w:t>固废</w:t>
            </w:r>
          </w:p>
          <w:p w14:paraId="42B0C762">
            <w:pPr>
              <w:pStyle w:val="33"/>
              <w:spacing w:line="520" w:lineRule="exact"/>
              <w:ind w:firstLine="480"/>
              <w:rPr>
                <w:rFonts w:ascii="宋体" w:hAnsi="宋体"/>
                <w:szCs w:val="24"/>
              </w:rPr>
            </w:pPr>
            <w:r>
              <w:rPr>
                <w:rFonts w:hint="eastAsia" w:ascii="宋体" w:hAnsi="宋体"/>
                <w:szCs w:val="24"/>
              </w:rPr>
              <w:t>现有工程固废主要为：</w:t>
            </w:r>
            <w:r>
              <w:rPr>
                <w:rFonts w:hint="eastAsia"/>
                <w:color w:val="000000" w:themeColor="text1"/>
                <w:szCs w:val="24"/>
                <w14:textFill>
                  <w14:solidFill>
                    <w14:schemeClr w14:val="tx1"/>
                  </w14:solidFill>
                </w14:textFill>
              </w:rPr>
              <w:t>纯水制备产生的废过滤材料、生产过程产生的废包装袋、熬制鸡汤产生的鸡架、厂区污水处理站产生的污泥。现有工程废过滤材料产生量0.33t/a，厂家更换时回收利用；废包装袋产生量3.5t/a，一般固废间暂存、定期外售；废鸡架产生量</w:t>
            </w:r>
            <w:r>
              <w:rPr>
                <w:rFonts w:hint="eastAsia"/>
                <w:color w:val="000000" w:themeColor="text1"/>
                <w:szCs w:val="24"/>
                <w:lang w:val="en-US" w:eastAsia="zh-CN"/>
                <w14:textFill>
                  <w14:solidFill>
                    <w14:schemeClr w14:val="tx1"/>
                  </w14:solidFill>
                </w14:textFill>
              </w:rPr>
              <w:t>18</w:t>
            </w:r>
            <w:r>
              <w:rPr>
                <w:rFonts w:hint="eastAsia"/>
                <w:color w:val="000000" w:themeColor="text1"/>
                <w:szCs w:val="24"/>
                <w14:textFill>
                  <w14:solidFill>
                    <w14:schemeClr w14:val="tx1"/>
                  </w14:solidFill>
                </w14:textFill>
              </w:rPr>
              <w:t>t/a，外售饲料厂；厂区污水处理站污泥产生量0.42t/a，</w:t>
            </w:r>
            <w:r>
              <w:rPr>
                <w:rFonts w:ascii="宋体" w:hAnsi="宋体"/>
                <w:szCs w:val="24"/>
              </w:rPr>
              <w:t>送延津县垃圾焚烧厂处理</w:t>
            </w:r>
            <w:r>
              <w:rPr>
                <w:rFonts w:hint="eastAsia" w:ascii="宋体" w:hAnsi="宋体"/>
                <w:szCs w:val="24"/>
              </w:rPr>
              <w:t>。</w:t>
            </w:r>
          </w:p>
          <w:p w14:paraId="42B554D9">
            <w:pPr>
              <w:pStyle w:val="11"/>
              <w:spacing w:line="520" w:lineRule="exact"/>
              <w:ind w:left="0" w:firstLine="480" w:firstLineChars="200"/>
              <w:rPr>
                <w:rFonts w:ascii="宋体" w:hAnsi="宋体" w:cs="宋体"/>
              </w:rPr>
            </w:pPr>
            <w:r>
              <w:rPr>
                <w:rFonts w:hint="eastAsia" w:ascii="宋体" w:hAnsi="宋体" w:cs="宋体"/>
              </w:rPr>
              <w:t>三、现有项目污染物实际排放量核算</w:t>
            </w:r>
          </w:p>
          <w:p w14:paraId="368D71CB">
            <w:pPr>
              <w:pStyle w:val="11"/>
              <w:spacing w:line="520" w:lineRule="exact"/>
              <w:ind w:left="0" w:right="0" w:firstLine="480" w:firstLineChars="200"/>
              <w:rPr>
                <w:rFonts w:ascii="宋体" w:hAnsi="宋体" w:cs="宋体"/>
              </w:rPr>
            </w:pPr>
            <w:r>
              <w:rPr>
                <w:rFonts w:hint="eastAsia" w:ascii="宋体" w:hAnsi="宋体" w:cs="宋体"/>
              </w:rPr>
              <w:t>（一）废气污染物实际排放量核算</w:t>
            </w:r>
          </w:p>
          <w:p w14:paraId="39C6B3DD">
            <w:pPr>
              <w:pStyle w:val="11"/>
              <w:spacing w:line="520" w:lineRule="exact"/>
              <w:ind w:left="0" w:right="0" w:firstLine="480" w:firstLineChars="200"/>
              <w:rPr>
                <w:rFonts w:hint="default" w:ascii="Times New Roman" w:hAnsi="Times New Roman" w:cs="Times New Roman"/>
                <w:highlight w:val="yellow"/>
              </w:rPr>
            </w:pPr>
            <w:r>
              <w:t>根据现有工程自行监测数据，核算现有工程的实际排放量。</w:t>
            </w:r>
            <w:r>
              <w:rPr>
                <w:color w:val="000000" w:themeColor="text1"/>
                <w14:textFill>
                  <w14:solidFill>
                    <w14:schemeClr w14:val="tx1"/>
                  </w14:solidFill>
                </w14:textFill>
              </w:rPr>
              <w:t>根据河南朝东食品有限公司自行监测报告（报告日期：2025.06.30，报告编号：PY2506131）检测数据</w:t>
            </w:r>
            <w:r>
              <w:t>DA001排气筒颗粒物速率为1.95×10</w:t>
            </w:r>
            <w:r>
              <w:rPr>
                <w:vertAlign w:val="superscript"/>
              </w:rPr>
              <w:t>-3</w:t>
            </w:r>
            <w:r>
              <w:t>kg/h、氮氧化物排放速率为3.00×10</w:t>
            </w:r>
            <w:r>
              <w:rPr>
                <w:vertAlign w:val="superscript"/>
              </w:rPr>
              <w:t>-2</w:t>
            </w:r>
            <w:r>
              <w:t>kg/h，年工作时间为</w:t>
            </w:r>
            <w:r>
              <w:rPr>
                <w:rFonts w:hint="eastAsia"/>
              </w:rPr>
              <w:t>24</w:t>
            </w:r>
            <w:r>
              <w:t>00h，</w:t>
            </w:r>
            <w:r>
              <w:rPr>
                <w:rFonts w:hint="eastAsia" w:ascii="宋体" w:hAnsi="宋体" w:cs="宋体"/>
              </w:rPr>
              <w:t>核算颗粒物实</w:t>
            </w:r>
            <w:r>
              <w:rPr>
                <w:rFonts w:hint="default" w:ascii="Times New Roman" w:hAnsi="Times New Roman" w:cs="Times New Roman"/>
              </w:rPr>
              <w:t>际排放量0.0047t/a、氮氧化物实际排放量0.072t/a。由于二氧化硫未</w:t>
            </w:r>
            <w:r>
              <w:rPr>
                <w:rFonts w:hint="default" w:ascii="Times New Roman" w:hAnsi="Times New Roman" w:cs="Times New Roman"/>
                <w:lang w:val="en-US" w:eastAsia="zh-CN"/>
              </w:rPr>
              <w:t>检出</w:t>
            </w:r>
            <w:r>
              <w:rPr>
                <w:rFonts w:hint="default" w:ascii="Times New Roman" w:hAnsi="Times New Roman" w:cs="Times New Roman"/>
              </w:rPr>
              <w:t>，</w:t>
            </w:r>
            <w:r>
              <w:rPr>
                <w:rFonts w:hint="default" w:ascii="Times New Roman" w:hAnsi="Times New Roman" w:cs="Times New Roman"/>
                <w:highlight w:val="none"/>
              </w:rPr>
              <w:t>按检出限 3mg/m</w:t>
            </w:r>
            <w:r>
              <w:rPr>
                <w:rFonts w:hint="eastAsia" w:ascii="Times New Roman" w:hAnsi="Times New Roman" w:cs="Times New Roman"/>
                <w:highlight w:val="none"/>
                <w:vertAlign w:val="superscript"/>
                <w:lang w:val="en-US" w:eastAsia="zh-CN"/>
              </w:rPr>
              <w:t>3</w:t>
            </w:r>
            <w:r>
              <w:rPr>
                <w:rFonts w:hint="default" w:ascii="Times New Roman" w:hAnsi="Times New Roman" w:cs="Times New Roman"/>
                <w:highlight w:val="none"/>
                <w:lang w:val="en-US" w:eastAsia="zh-CN"/>
              </w:rPr>
              <w:t>核算实际排放量为</w:t>
            </w:r>
            <w:r>
              <w:rPr>
                <w:rFonts w:hint="default" w:ascii="Times New Roman" w:hAnsi="Times New Roman" w:cs="Times New Roman"/>
                <w:highlight w:val="none"/>
              </w:rPr>
              <w:t>0.0</w:t>
            </w:r>
            <w:r>
              <w:rPr>
                <w:rFonts w:hint="default" w:ascii="Times New Roman" w:hAnsi="Times New Roman" w:cs="Times New Roman"/>
                <w:highlight w:val="none"/>
                <w:lang w:val="en-US" w:eastAsia="zh-CN"/>
              </w:rPr>
              <w:t>08</w:t>
            </w:r>
            <w:r>
              <w:rPr>
                <w:rFonts w:hint="default" w:ascii="Times New Roman" w:hAnsi="Times New Roman" w:cs="Times New Roman"/>
                <w:highlight w:val="none"/>
              </w:rPr>
              <w:t>t/a。</w:t>
            </w:r>
          </w:p>
          <w:p w14:paraId="320530CD">
            <w:pPr>
              <w:pStyle w:val="11"/>
              <w:numPr>
                <w:ilvl w:val="0"/>
                <w:numId w:val="7"/>
              </w:numPr>
              <w:spacing w:line="520" w:lineRule="exact"/>
              <w:rPr>
                <w:rFonts w:ascii="宋体" w:hAnsi="宋体" w:cs="宋体"/>
              </w:rPr>
            </w:pPr>
            <w:r>
              <w:rPr>
                <w:rFonts w:hint="eastAsia" w:ascii="宋体" w:hAnsi="宋体" w:cs="宋体"/>
              </w:rPr>
              <w:t>废水污染物实际排放量核算</w:t>
            </w:r>
          </w:p>
          <w:p w14:paraId="4AD83C89">
            <w:pPr>
              <w:pStyle w:val="11"/>
              <w:spacing w:line="520" w:lineRule="exact"/>
              <w:ind w:left="0" w:right="0" w:firstLine="480" w:firstLineChars="200"/>
              <w:rPr>
                <w:color w:val="auto"/>
                <w:highlight w:val="none"/>
              </w:rPr>
            </w:pPr>
            <w:r>
              <w:rPr>
                <w:rFonts w:hint="eastAsia"/>
                <w:color w:val="000000" w:themeColor="text1"/>
                <w14:textFill>
                  <w14:solidFill>
                    <w14:schemeClr w14:val="tx1"/>
                  </w14:solidFill>
                </w14:textFill>
              </w:rPr>
              <w:t>根据河南朝东食品有限公司自行监测数据（</w:t>
            </w:r>
            <w:r>
              <w:rPr>
                <w:rFonts w:hint="eastAsia"/>
              </w:rPr>
              <w:t>报告日期：2025.09.04，</w:t>
            </w:r>
            <w:r>
              <w:rPr>
                <w:rFonts w:hint="eastAsia"/>
                <w:color w:val="000000" w:themeColor="text1"/>
                <w14:textFill>
                  <w14:solidFill>
                    <w14:schemeClr w14:val="tx1"/>
                  </w14:solidFill>
                </w14:textFill>
              </w:rPr>
              <w:t>报告编号：PY2508042）厂区总排口各污染物最大排放浓度如下：COD25mg/L、氨氮0.147mg/L、TP0.14m</w:t>
            </w:r>
            <w:r>
              <w:rPr>
                <w:rFonts w:hint="eastAsia"/>
                <w:color w:val="auto"/>
              </w:rPr>
              <w:t>g/L</w:t>
            </w:r>
            <w:r>
              <w:rPr>
                <w:rFonts w:hint="eastAsia"/>
                <w:color w:val="auto"/>
                <w:highlight w:val="none"/>
              </w:rPr>
              <w:t>，</w:t>
            </w:r>
            <w:r>
              <w:rPr>
                <w:rFonts w:hint="eastAsia"/>
                <w:color w:val="auto"/>
                <w:highlight w:val="none"/>
                <w:lang w:val="en-US" w:eastAsia="zh-CN"/>
              </w:rPr>
              <w:t>根据企业实际生产情况换算成满负荷产能，现有工程</w:t>
            </w:r>
            <w:r>
              <w:rPr>
                <w:rFonts w:hint="eastAsia"/>
                <w:color w:val="auto"/>
                <w:highlight w:val="none"/>
              </w:rPr>
              <w:t>实际污水排放量核算为</w:t>
            </w:r>
            <w:r>
              <w:rPr>
                <w:rFonts w:hint="eastAsia"/>
                <w:color w:val="auto"/>
                <w:highlight w:val="none"/>
                <w:lang w:val="en-US" w:eastAsia="zh-CN"/>
              </w:rPr>
              <w:t>2190</w:t>
            </w:r>
            <w:r>
              <w:rPr>
                <w:rFonts w:hint="eastAsia"/>
                <w:color w:val="auto"/>
                <w:highlight w:val="none"/>
              </w:rPr>
              <w:t>t/</w:t>
            </w:r>
            <w:r>
              <w:rPr>
                <w:rFonts w:hint="eastAsia"/>
                <w:color w:val="auto"/>
                <w:highlight w:val="none"/>
                <w:lang w:val="en-US" w:eastAsia="zh-CN"/>
              </w:rPr>
              <w:t>a</w:t>
            </w:r>
            <w:r>
              <w:rPr>
                <w:rFonts w:hint="eastAsia"/>
                <w:color w:val="auto"/>
                <w:highlight w:val="none"/>
              </w:rPr>
              <w:t>，则废水污染物排放量为COD</w:t>
            </w:r>
            <w:r>
              <w:rPr>
                <w:rFonts w:hint="eastAsia"/>
                <w:color w:val="auto"/>
                <w:highlight w:val="none"/>
                <w:lang w:eastAsia="zh-CN"/>
              </w:rPr>
              <w:t>0.0548</w:t>
            </w:r>
            <w:r>
              <w:rPr>
                <w:rFonts w:hint="eastAsia"/>
                <w:color w:val="auto"/>
                <w:highlight w:val="none"/>
              </w:rPr>
              <w:t>t/a、氨氮</w:t>
            </w:r>
            <w:r>
              <w:rPr>
                <w:rFonts w:hint="eastAsia"/>
                <w:color w:val="auto"/>
                <w:highlight w:val="none"/>
                <w:lang w:eastAsia="zh-CN"/>
              </w:rPr>
              <w:t>0.0003</w:t>
            </w:r>
            <w:r>
              <w:rPr>
                <w:rFonts w:hint="eastAsia"/>
                <w:color w:val="auto"/>
                <w:highlight w:val="none"/>
              </w:rPr>
              <w:t>t/a、TP</w:t>
            </w:r>
            <w:r>
              <w:rPr>
                <w:rFonts w:hint="eastAsia"/>
                <w:color w:val="auto"/>
                <w:highlight w:val="none"/>
                <w:lang w:eastAsia="zh-CN"/>
              </w:rPr>
              <w:t>0.0003</w:t>
            </w:r>
            <w:r>
              <w:rPr>
                <w:rFonts w:hint="eastAsia"/>
                <w:color w:val="auto"/>
                <w:highlight w:val="none"/>
              </w:rPr>
              <w:t>t/a。</w:t>
            </w:r>
          </w:p>
          <w:p w14:paraId="449B3F5B">
            <w:pPr>
              <w:pStyle w:val="11"/>
              <w:spacing w:line="520" w:lineRule="exact"/>
              <w:ind w:left="0" w:right="0"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环评批复总量控制指标为：NOx0.0768t/a、COD0.324t/a、NH</w:t>
            </w:r>
            <w:r>
              <w:rPr>
                <w:rFonts w:hint="eastAsia"/>
                <w:color w:val="000000" w:themeColor="text1"/>
                <w:vertAlign w:val="subscript"/>
                <w14:textFill>
                  <w14:solidFill>
                    <w14:schemeClr w14:val="tx1"/>
                  </w14:solidFill>
                </w14:textFill>
              </w:rPr>
              <w:t>3</w:t>
            </w:r>
            <w:r>
              <w:rPr>
                <w:rFonts w:hint="eastAsia"/>
                <w:color w:val="000000" w:themeColor="text1"/>
                <w14:textFill>
                  <w14:solidFill>
                    <w14:schemeClr w14:val="tx1"/>
                  </w14:solidFill>
                </w14:textFill>
              </w:rPr>
              <w:t>-N0.0067t/a</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TP0.0032t/a</w:t>
            </w:r>
            <w:r>
              <w:rPr>
                <w:rFonts w:hint="eastAsia"/>
                <w:color w:val="000000" w:themeColor="text1"/>
                <w14:textFill>
                  <w14:solidFill>
                    <w14:schemeClr w14:val="tx1"/>
                  </w14:solidFill>
                </w14:textFill>
              </w:rPr>
              <w:t>。</w:t>
            </w:r>
          </w:p>
          <w:p w14:paraId="05C9B82B">
            <w:pPr>
              <w:autoSpaceDE w:val="0"/>
              <w:autoSpaceDN w:val="0"/>
              <w:adjustRightInd w:val="0"/>
              <w:snapToGrid w:val="0"/>
              <w:spacing w:before="20" w:after="20" w:line="440" w:lineRule="exact"/>
              <w:ind w:firstLine="480" w:firstLineChars="200"/>
              <w:rPr>
                <w:rFonts w:eastAsia="黑体"/>
                <w:kern w:val="0"/>
              </w:rPr>
            </w:pPr>
            <w:r>
              <w:rPr>
                <w:rFonts w:hint="eastAsia" w:hAnsi="宋体" w:eastAsia="黑体" w:cs="黑体"/>
                <w:kern w:val="0"/>
                <w:lang w:bidi="ar"/>
              </w:rPr>
              <w:t>表</w:t>
            </w:r>
            <w:r>
              <w:rPr>
                <w:rFonts w:hint="eastAsia" w:eastAsia="黑体"/>
                <w:kern w:val="0"/>
                <w:lang w:bidi="ar"/>
              </w:rPr>
              <w:t>2-7</w:t>
            </w:r>
            <w:r>
              <w:rPr>
                <w:rFonts w:eastAsia="黑体"/>
                <w:kern w:val="0"/>
                <w:lang w:bidi="ar"/>
              </w:rPr>
              <w:t xml:space="preserve">  </w:t>
            </w:r>
            <w:r>
              <w:rPr>
                <w:rFonts w:hint="eastAsia" w:eastAsia="黑体"/>
                <w:kern w:val="0"/>
                <w:lang w:bidi="ar"/>
              </w:rPr>
              <w:t xml:space="preserve">               </w:t>
            </w:r>
            <w:r>
              <w:rPr>
                <w:rFonts w:hint="eastAsia" w:hAnsi="宋体" w:eastAsia="黑体" w:cs="黑体"/>
                <w:kern w:val="0"/>
                <w:lang w:bidi="ar"/>
              </w:rPr>
              <w:t>现有工程污染物排放量一览表</w:t>
            </w:r>
          </w:p>
          <w:tbl>
            <w:tblPr>
              <w:tblStyle w:val="1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995"/>
              <w:gridCol w:w="1388"/>
              <w:gridCol w:w="1521"/>
              <w:gridCol w:w="2178"/>
              <w:gridCol w:w="1442"/>
            </w:tblGrid>
            <w:tr w14:paraId="06A1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3" w:type="pct"/>
                  <w:vAlign w:val="center"/>
                </w:tcPr>
                <w:p w14:paraId="68D97F04">
                  <w:pPr>
                    <w:pStyle w:val="16"/>
                    <w:widowControl w:val="0"/>
                    <w:spacing w:before="0" w:beforeAutospacing="0" w:after="0" w:afterAutospacing="0"/>
                    <w:jc w:val="center"/>
                    <w:rPr>
                      <w:b/>
                      <w:sz w:val="21"/>
                      <w:szCs w:val="21"/>
                    </w:rPr>
                  </w:pPr>
                  <w:r>
                    <w:rPr>
                      <w:rFonts w:hint="eastAsia" w:ascii="Times New Roman" w:hAnsi="Times New Roman" w:cs="宋体"/>
                      <w:b/>
                      <w:kern w:val="2"/>
                      <w:sz w:val="21"/>
                      <w:szCs w:val="21"/>
                      <w:lang w:bidi="ar"/>
                    </w:rPr>
                    <w:t>类型</w:t>
                  </w:r>
                </w:p>
              </w:tc>
              <w:tc>
                <w:tcPr>
                  <w:tcW w:w="1075" w:type="pct"/>
                  <w:vAlign w:val="center"/>
                </w:tcPr>
                <w:p w14:paraId="65CB73D7">
                  <w:pPr>
                    <w:jc w:val="center"/>
                    <w:rPr>
                      <w:b/>
                      <w:lang w:bidi="ar"/>
                    </w:rPr>
                  </w:pPr>
                  <w:r>
                    <w:rPr>
                      <w:rFonts w:hint="eastAsia"/>
                      <w:b/>
                      <w:lang w:bidi="ar"/>
                    </w:rPr>
                    <w:t>排放口</w:t>
                  </w:r>
                </w:p>
              </w:tc>
              <w:tc>
                <w:tcPr>
                  <w:tcW w:w="748" w:type="pct"/>
                  <w:vAlign w:val="center"/>
                </w:tcPr>
                <w:p w14:paraId="129BC27C">
                  <w:pPr>
                    <w:pStyle w:val="16"/>
                    <w:widowControl w:val="0"/>
                    <w:spacing w:before="0" w:beforeAutospacing="0" w:after="0" w:afterAutospacing="0"/>
                    <w:jc w:val="center"/>
                    <w:rPr>
                      <w:b/>
                      <w:sz w:val="21"/>
                      <w:szCs w:val="21"/>
                    </w:rPr>
                  </w:pPr>
                  <w:r>
                    <w:rPr>
                      <w:rFonts w:hint="eastAsia" w:ascii="Times New Roman" w:hAnsi="Times New Roman" w:cs="宋体"/>
                      <w:b/>
                      <w:kern w:val="2"/>
                      <w:sz w:val="21"/>
                      <w:szCs w:val="21"/>
                      <w:lang w:bidi="ar"/>
                    </w:rPr>
                    <w:t>污染物</w:t>
                  </w:r>
                </w:p>
              </w:tc>
              <w:tc>
                <w:tcPr>
                  <w:tcW w:w="820" w:type="pct"/>
                  <w:vAlign w:val="center"/>
                </w:tcPr>
                <w:p w14:paraId="7CDD1008">
                  <w:pPr>
                    <w:adjustRightInd w:val="0"/>
                    <w:snapToGrid w:val="0"/>
                    <w:jc w:val="center"/>
                    <w:rPr>
                      <w:b/>
                      <w:szCs w:val="21"/>
                    </w:rPr>
                  </w:pPr>
                  <w:r>
                    <w:rPr>
                      <w:rFonts w:hint="eastAsia" w:cs="宋体"/>
                      <w:b/>
                      <w:szCs w:val="21"/>
                      <w:lang w:bidi="ar"/>
                    </w:rPr>
                    <w:t>实际排放量（</w:t>
                  </w:r>
                  <w:r>
                    <w:rPr>
                      <w:b/>
                      <w:szCs w:val="21"/>
                      <w:lang w:bidi="ar"/>
                    </w:rPr>
                    <w:t>t/a</w:t>
                  </w:r>
                  <w:r>
                    <w:rPr>
                      <w:rFonts w:hint="eastAsia" w:cs="宋体"/>
                      <w:b/>
                      <w:szCs w:val="21"/>
                      <w:lang w:bidi="ar"/>
                    </w:rPr>
                    <w:t>）</w:t>
                  </w:r>
                </w:p>
              </w:tc>
              <w:tc>
                <w:tcPr>
                  <w:tcW w:w="1174" w:type="pct"/>
                  <w:vAlign w:val="center"/>
                </w:tcPr>
                <w:p w14:paraId="27A3778C">
                  <w:pPr>
                    <w:adjustRightInd w:val="0"/>
                    <w:snapToGrid w:val="0"/>
                    <w:jc w:val="center"/>
                    <w:rPr>
                      <w:b/>
                      <w:szCs w:val="21"/>
                    </w:rPr>
                  </w:pPr>
                  <w:r>
                    <w:rPr>
                      <w:rFonts w:hint="eastAsia" w:cs="宋体"/>
                      <w:b/>
                      <w:szCs w:val="21"/>
                      <w:lang w:bidi="ar"/>
                    </w:rPr>
                    <w:t>环评总量控制指标（</w:t>
                  </w:r>
                  <w:r>
                    <w:rPr>
                      <w:b/>
                      <w:szCs w:val="21"/>
                      <w:lang w:bidi="ar"/>
                    </w:rPr>
                    <w:t>t/a</w:t>
                  </w:r>
                  <w:r>
                    <w:rPr>
                      <w:rFonts w:hint="eastAsia" w:cs="宋体"/>
                      <w:b/>
                      <w:szCs w:val="21"/>
                      <w:lang w:bidi="ar"/>
                    </w:rPr>
                    <w:t>）</w:t>
                  </w:r>
                </w:p>
              </w:tc>
              <w:tc>
                <w:tcPr>
                  <w:tcW w:w="777" w:type="pct"/>
                  <w:vAlign w:val="center"/>
                </w:tcPr>
                <w:p w14:paraId="007C43EF">
                  <w:pPr>
                    <w:adjustRightInd w:val="0"/>
                    <w:snapToGrid w:val="0"/>
                    <w:jc w:val="center"/>
                    <w:rPr>
                      <w:rFonts w:cs="宋体"/>
                      <w:b/>
                      <w:szCs w:val="21"/>
                      <w:lang w:bidi="ar"/>
                    </w:rPr>
                  </w:pPr>
                  <w:r>
                    <w:rPr>
                      <w:rFonts w:hint="eastAsia" w:cs="宋体"/>
                      <w:b/>
                      <w:szCs w:val="21"/>
                      <w:lang w:bidi="ar"/>
                    </w:rPr>
                    <w:t>许可排放量（t/a）</w:t>
                  </w:r>
                </w:p>
              </w:tc>
            </w:tr>
            <w:tr w14:paraId="4CBD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03" w:type="pct"/>
                  <w:vMerge w:val="restart"/>
                  <w:vAlign w:val="center"/>
                </w:tcPr>
                <w:p w14:paraId="716DA6B3">
                  <w:pPr>
                    <w:pStyle w:val="16"/>
                    <w:widowControl w:val="0"/>
                    <w:spacing w:before="0" w:beforeAutospacing="0" w:after="0" w:afterAutospacing="0"/>
                    <w:jc w:val="center"/>
                    <w:rPr>
                      <w:b/>
                      <w:sz w:val="21"/>
                      <w:szCs w:val="21"/>
                    </w:rPr>
                  </w:pPr>
                  <w:r>
                    <w:rPr>
                      <w:rFonts w:hint="eastAsia" w:ascii="Times New Roman" w:hAnsi="Times New Roman" w:cs="宋体"/>
                      <w:b/>
                      <w:kern w:val="2"/>
                      <w:sz w:val="21"/>
                      <w:szCs w:val="21"/>
                      <w:lang w:bidi="ar"/>
                    </w:rPr>
                    <w:t>废气</w:t>
                  </w:r>
                </w:p>
              </w:tc>
              <w:tc>
                <w:tcPr>
                  <w:tcW w:w="1075" w:type="pct"/>
                  <w:vMerge w:val="restart"/>
                  <w:vAlign w:val="center"/>
                </w:tcPr>
                <w:p w14:paraId="54C88A0F">
                  <w:pPr>
                    <w:pStyle w:val="16"/>
                    <w:widowControl w:val="0"/>
                    <w:spacing w:before="0" w:beforeAutospacing="0" w:after="0" w:afterAutospacing="0"/>
                    <w:jc w:val="center"/>
                    <w:rPr>
                      <w:rFonts w:ascii="Times New Roman" w:hAnsi="Times New Roman" w:cs="宋体"/>
                      <w:bCs/>
                      <w:kern w:val="2"/>
                      <w:sz w:val="21"/>
                      <w:szCs w:val="21"/>
                      <w:lang w:bidi="ar"/>
                    </w:rPr>
                  </w:pPr>
                  <w:r>
                    <w:rPr>
                      <w:rFonts w:hint="eastAsia" w:ascii="Times New Roman" w:hAnsi="Times New Roman" w:cs="宋体"/>
                      <w:bCs/>
                      <w:kern w:val="2"/>
                      <w:sz w:val="21"/>
                      <w:szCs w:val="21"/>
                      <w:lang w:bidi="ar"/>
                    </w:rPr>
                    <w:t>锅炉废气排气筒</w:t>
                  </w:r>
                </w:p>
              </w:tc>
              <w:tc>
                <w:tcPr>
                  <w:tcW w:w="748" w:type="pct"/>
                  <w:vAlign w:val="center"/>
                </w:tcPr>
                <w:p w14:paraId="698AADC0">
                  <w:pPr>
                    <w:pStyle w:val="16"/>
                    <w:widowControl w:val="0"/>
                    <w:spacing w:before="0" w:beforeAutospacing="0" w:after="0" w:afterAutospacing="0"/>
                    <w:jc w:val="center"/>
                    <w:rPr>
                      <w:rFonts w:ascii="Times New Roman" w:hAnsi="Times New Roman"/>
                      <w:bCs/>
                      <w:sz w:val="21"/>
                      <w:szCs w:val="21"/>
                    </w:rPr>
                  </w:pPr>
                  <w:r>
                    <w:rPr>
                      <w:rFonts w:ascii="Times New Roman" w:hAnsi="Times New Roman"/>
                      <w:bCs/>
                      <w:sz w:val="21"/>
                      <w:szCs w:val="21"/>
                    </w:rPr>
                    <w:t>颗粒物</w:t>
                  </w:r>
                </w:p>
              </w:tc>
              <w:tc>
                <w:tcPr>
                  <w:tcW w:w="820" w:type="pct"/>
                  <w:vAlign w:val="center"/>
                </w:tcPr>
                <w:p w14:paraId="25DD5CAD">
                  <w:pPr>
                    <w:jc w:val="center"/>
                    <w:rPr>
                      <w:color w:val="000000"/>
                      <w:sz w:val="21"/>
                      <w:szCs w:val="21"/>
                    </w:rPr>
                  </w:pPr>
                  <w:r>
                    <w:rPr>
                      <w:sz w:val="21"/>
                      <w:szCs w:val="21"/>
                    </w:rPr>
                    <w:t>0.0047</w:t>
                  </w:r>
                </w:p>
              </w:tc>
              <w:tc>
                <w:tcPr>
                  <w:tcW w:w="1174" w:type="pct"/>
                  <w:vAlign w:val="center"/>
                </w:tcPr>
                <w:p w14:paraId="32828469">
                  <w:pPr>
                    <w:pStyle w:val="16"/>
                    <w:widowControl w:val="0"/>
                    <w:spacing w:before="0" w:beforeAutospacing="0" w:after="0" w:afterAutospacing="0"/>
                    <w:jc w:val="center"/>
                    <w:rPr>
                      <w:rFonts w:ascii="Times New Roman" w:hAnsi="Times New Roman"/>
                      <w:bCs/>
                      <w:sz w:val="21"/>
                      <w:szCs w:val="21"/>
                    </w:rPr>
                  </w:pPr>
                  <w:r>
                    <w:rPr>
                      <w:rFonts w:ascii="Times New Roman" w:hAnsi="Times New Roman"/>
                      <w:bCs/>
                      <w:kern w:val="2"/>
                      <w:sz w:val="21"/>
                      <w:szCs w:val="21"/>
                      <w:lang w:bidi="ar"/>
                    </w:rPr>
                    <w:t>/</w:t>
                  </w:r>
                </w:p>
              </w:tc>
              <w:tc>
                <w:tcPr>
                  <w:tcW w:w="777" w:type="pct"/>
                  <w:vAlign w:val="center"/>
                </w:tcPr>
                <w:p w14:paraId="1A7D1697">
                  <w:pPr>
                    <w:pStyle w:val="16"/>
                    <w:widowControl w:val="0"/>
                    <w:spacing w:before="0" w:beforeAutospacing="0" w:after="0" w:afterAutospacing="0"/>
                    <w:jc w:val="center"/>
                    <w:rPr>
                      <w:rFonts w:ascii="Times New Roman" w:hAnsi="Times New Roman"/>
                      <w:bCs/>
                      <w:kern w:val="2"/>
                      <w:sz w:val="21"/>
                      <w:szCs w:val="21"/>
                      <w:lang w:bidi="ar"/>
                    </w:rPr>
                  </w:pPr>
                  <w:r>
                    <w:rPr>
                      <w:rFonts w:ascii="Times New Roman" w:hAnsi="Times New Roman"/>
                      <w:bCs/>
                      <w:kern w:val="2"/>
                      <w:sz w:val="21"/>
                      <w:szCs w:val="21"/>
                      <w:lang w:bidi="ar"/>
                    </w:rPr>
                    <w:t>/</w:t>
                  </w:r>
                </w:p>
              </w:tc>
            </w:tr>
            <w:tr w14:paraId="502B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03" w:type="pct"/>
                  <w:vMerge w:val="continue"/>
                  <w:vAlign w:val="center"/>
                </w:tcPr>
                <w:p w14:paraId="50632ABF">
                  <w:pPr>
                    <w:pStyle w:val="16"/>
                    <w:widowControl w:val="0"/>
                    <w:spacing w:before="0" w:beforeAutospacing="0" w:after="0" w:afterAutospacing="0"/>
                    <w:jc w:val="center"/>
                    <w:rPr>
                      <w:rFonts w:ascii="Times New Roman" w:hAnsi="Times New Roman" w:cs="宋体"/>
                      <w:b/>
                      <w:kern w:val="2"/>
                      <w:sz w:val="21"/>
                      <w:szCs w:val="21"/>
                      <w:lang w:bidi="ar"/>
                    </w:rPr>
                  </w:pPr>
                </w:p>
              </w:tc>
              <w:tc>
                <w:tcPr>
                  <w:tcW w:w="1075" w:type="pct"/>
                  <w:vMerge w:val="continue"/>
                  <w:vAlign w:val="center"/>
                </w:tcPr>
                <w:p w14:paraId="4185DBB9">
                  <w:pPr>
                    <w:pStyle w:val="16"/>
                    <w:widowControl w:val="0"/>
                    <w:spacing w:before="0" w:beforeAutospacing="0" w:after="0" w:afterAutospacing="0"/>
                    <w:jc w:val="center"/>
                    <w:rPr>
                      <w:rFonts w:ascii="Times New Roman" w:hAnsi="Times New Roman" w:cs="宋体"/>
                      <w:bCs/>
                      <w:kern w:val="2"/>
                      <w:sz w:val="21"/>
                      <w:szCs w:val="21"/>
                      <w:lang w:bidi="ar"/>
                    </w:rPr>
                  </w:pPr>
                </w:p>
              </w:tc>
              <w:tc>
                <w:tcPr>
                  <w:tcW w:w="748" w:type="pct"/>
                  <w:vAlign w:val="center"/>
                </w:tcPr>
                <w:p w14:paraId="4DE1B40A">
                  <w:pPr>
                    <w:pStyle w:val="16"/>
                    <w:widowControl w:val="0"/>
                    <w:spacing w:before="0" w:beforeAutospacing="0" w:after="0" w:afterAutospacing="0"/>
                    <w:jc w:val="center"/>
                    <w:rPr>
                      <w:rFonts w:ascii="Times New Roman" w:hAnsi="Times New Roman"/>
                      <w:bCs/>
                      <w:sz w:val="21"/>
                      <w:szCs w:val="21"/>
                    </w:rPr>
                  </w:pPr>
                  <w:r>
                    <w:rPr>
                      <w:rFonts w:ascii="Times New Roman" w:hAnsi="Times New Roman"/>
                      <w:bCs/>
                      <w:sz w:val="21"/>
                      <w:szCs w:val="21"/>
                    </w:rPr>
                    <w:t>SO</w:t>
                  </w:r>
                  <w:r>
                    <w:rPr>
                      <w:rFonts w:ascii="Times New Roman" w:hAnsi="Times New Roman"/>
                      <w:bCs/>
                      <w:sz w:val="21"/>
                      <w:szCs w:val="21"/>
                      <w:vertAlign w:val="subscript"/>
                    </w:rPr>
                    <w:t>2</w:t>
                  </w:r>
                </w:p>
              </w:tc>
              <w:tc>
                <w:tcPr>
                  <w:tcW w:w="820" w:type="pct"/>
                  <w:vAlign w:val="center"/>
                </w:tcPr>
                <w:p w14:paraId="60460137">
                  <w:pPr>
                    <w:jc w:val="center"/>
                    <w:rPr>
                      <w:rFonts w:hint="eastAsia" w:eastAsia="宋体"/>
                      <w:color w:val="000000"/>
                      <w:sz w:val="21"/>
                      <w:szCs w:val="21"/>
                      <w:lang w:eastAsia="zh-CN"/>
                    </w:rPr>
                  </w:pPr>
                  <w:r>
                    <w:rPr>
                      <w:rFonts w:hint="eastAsia"/>
                      <w:sz w:val="21"/>
                      <w:szCs w:val="21"/>
                      <w:lang w:eastAsia="zh-CN"/>
                    </w:rPr>
                    <w:t>0.008</w:t>
                  </w:r>
                </w:p>
              </w:tc>
              <w:tc>
                <w:tcPr>
                  <w:tcW w:w="1174" w:type="pct"/>
                  <w:vAlign w:val="center"/>
                </w:tcPr>
                <w:p w14:paraId="76ED13F9">
                  <w:pPr>
                    <w:pStyle w:val="16"/>
                    <w:widowControl w:val="0"/>
                    <w:spacing w:before="0" w:beforeAutospacing="0" w:after="0" w:afterAutospacing="0"/>
                    <w:jc w:val="center"/>
                    <w:rPr>
                      <w:rFonts w:ascii="Times New Roman" w:hAnsi="Times New Roman"/>
                      <w:bCs/>
                      <w:kern w:val="2"/>
                      <w:sz w:val="21"/>
                      <w:szCs w:val="21"/>
                      <w:lang w:bidi="ar"/>
                    </w:rPr>
                  </w:pPr>
                  <w:r>
                    <w:rPr>
                      <w:rFonts w:ascii="Times New Roman" w:hAnsi="Times New Roman"/>
                      <w:bCs/>
                      <w:kern w:val="2"/>
                      <w:sz w:val="21"/>
                      <w:szCs w:val="21"/>
                      <w:lang w:bidi="ar"/>
                    </w:rPr>
                    <w:t>/</w:t>
                  </w:r>
                </w:p>
              </w:tc>
              <w:tc>
                <w:tcPr>
                  <w:tcW w:w="777" w:type="pct"/>
                  <w:vAlign w:val="center"/>
                </w:tcPr>
                <w:p w14:paraId="3869594A">
                  <w:pPr>
                    <w:pStyle w:val="16"/>
                    <w:widowControl w:val="0"/>
                    <w:spacing w:before="0" w:beforeAutospacing="0" w:after="0" w:afterAutospacing="0"/>
                    <w:jc w:val="center"/>
                    <w:rPr>
                      <w:rFonts w:ascii="Times New Roman" w:hAnsi="Times New Roman"/>
                      <w:bCs/>
                      <w:kern w:val="2"/>
                      <w:sz w:val="21"/>
                      <w:szCs w:val="21"/>
                      <w:lang w:bidi="ar"/>
                    </w:rPr>
                  </w:pPr>
                  <w:r>
                    <w:rPr>
                      <w:rFonts w:ascii="Times New Roman" w:hAnsi="Times New Roman"/>
                      <w:bCs/>
                      <w:kern w:val="2"/>
                      <w:sz w:val="21"/>
                      <w:szCs w:val="21"/>
                      <w:lang w:bidi="ar"/>
                    </w:rPr>
                    <w:t>/</w:t>
                  </w:r>
                </w:p>
              </w:tc>
            </w:tr>
            <w:tr w14:paraId="51330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03" w:type="pct"/>
                  <w:vMerge w:val="continue"/>
                  <w:vAlign w:val="center"/>
                </w:tcPr>
                <w:p w14:paraId="216D6104">
                  <w:pPr>
                    <w:pStyle w:val="16"/>
                    <w:widowControl w:val="0"/>
                    <w:spacing w:before="0" w:beforeAutospacing="0" w:after="0" w:afterAutospacing="0"/>
                    <w:jc w:val="center"/>
                    <w:rPr>
                      <w:rFonts w:ascii="Times New Roman" w:hAnsi="Times New Roman" w:cs="宋体"/>
                      <w:b/>
                      <w:kern w:val="2"/>
                      <w:sz w:val="21"/>
                      <w:szCs w:val="21"/>
                      <w:lang w:bidi="ar"/>
                    </w:rPr>
                  </w:pPr>
                </w:p>
              </w:tc>
              <w:tc>
                <w:tcPr>
                  <w:tcW w:w="1075" w:type="pct"/>
                  <w:vMerge w:val="continue"/>
                  <w:vAlign w:val="center"/>
                </w:tcPr>
                <w:p w14:paraId="0D0CB7D4">
                  <w:pPr>
                    <w:pStyle w:val="16"/>
                    <w:widowControl w:val="0"/>
                    <w:spacing w:before="0" w:beforeAutospacing="0" w:after="0" w:afterAutospacing="0"/>
                    <w:jc w:val="center"/>
                    <w:rPr>
                      <w:rFonts w:ascii="Times New Roman" w:hAnsi="Times New Roman" w:cs="宋体"/>
                      <w:bCs/>
                      <w:kern w:val="2"/>
                      <w:sz w:val="21"/>
                      <w:szCs w:val="21"/>
                      <w:lang w:bidi="ar"/>
                    </w:rPr>
                  </w:pPr>
                </w:p>
              </w:tc>
              <w:tc>
                <w:tcPr>
                  <w:tcW w:w="748" w:type="pct"/>
                  <w:vAlign w:val="center"/>
                </w:tcPr>
                <w:p w14:paraId="5BF9DB51">
                  <w:pPr>
                    <w:pStyle w:val="16"/>
                    <w:widowControl w:val="0"/>
                    <w:spacing w:before="0" w:beforeAutospacing="0" w:after="0" w:afterAutospacing="0"/>
                    <w:jc w:val="center"/>
                    <w:rPr>
                      <w:rFonts w:ascii="Times New Roman" w:hAnsi="Times New Roman"/>
                      <w:bCs/>
                      <w:sz w:val="21"/>
                      <w:szCs w:val="21"/>
                    </w:rPr>
                  </w:pPr>
                  <w:r>
                    <w:rPr>
                      <w:rFonts w:ascii="Times New Roman" w:hAnsi="Times New Roman"/>
                      <w:bCs/>
                      <w:sz w:val="21"/>
                      <w:szCs w:val="21"/>
                    </w:rPr>
                    <w:t>NOx</w:t>
                  </w:r>
                </w:p>
              </w:tc>
              <w:tc>
                <w:tcPr>
                  <w:tcW w:w="820" w:type="pct"/>
                  <w:vAlign w:val="center"/>
                </w:tcPr>
                <w:p w14:paraId="4EF7AD1F">
                  <w:pPr>
                    <w:jc w:val="center"/>
                    <w:rPr>
                      <w:color w:val="000000"/>
                      <w:sz w:val="21"/>
                      <w:szCs w:val="21"/>
                    </w:rPr>
                  </w:pPr>
                  <w:r>
                    <w:rPr>
                      <w:sz w:val="21"/>
                      <w:szCs w:val="21"/>
                    </w:rPr>
                    <w:t>0.</w:t>
                  </w:r>
                  <w:r>
                    <w:rPr>
                      <w:rFonts w:hint="eastAsia"/>
                      <w:sz w:val="21"/>
                      <w:szCs w:val="21"/>
                    </w:rPr>
                    <w:t>072</w:t>
                  </w:r>
                </w:p>
              </w:tc>
              <w:tc>
                <w:tcPr>
                  <w:tcW w:w="1174" w:type="pct"/>
                  <w:vAlign w:val="center"/>
                </w:tcPr>
                <w:p w14:paraId="1346CAFA">
                  <w:pPr>
                    <w:pStyle w:val="16"/>
                    <w:widowControl w:val="0"/>
                    <w:spacing w:before="0" w:beforeAutospacing="0" w:after="0" w:afterAutospacing="0"/>
                    <w:jc w:val="center"/>
                    <w:rPr>
                      <w:rFonts w:ascii="Times New Roman" w:hAnsi="Times New Roman"/>
                      <w:bCs/>
                      <w:kern w:val="2"/>
                      <w:sz w:val="21"/>
                      <w:szCs w:val="21"/>
                      <w:lang w:bidi="ar"/>
                    </w:rPr>
                  </w:pPr>
                  <w:r>
                    <w:rPr>
                      <w:rFonts w:ascii="Times New Roman" w:hAnsi="Times New Roman"/>
                      <w:color w:val="000000" w:themeColor="text1"/>
                      <w:sz w:val="21"/>
                      <w:szCs w:val="21"/>
                      <w14:textFill>
                        <w14:solidFill>
                          <w14:schemeClr w14:val="tx1"/>
                        </w14:solidFill>
                      </w14:textFill>
                    </w:rPr>
                    <w:t>0.0768</w:t>
                  </w:r>
                </w:p>
              </w:tc>
              <w:tc>
                <w:tcPr>
                  <w:tcW w:w="777" w:type="pct"/>
                  <w:vAlign w:val="center"/>
                </w:tcPr>
                <w:p w14:paraId="286A8D74">
                  <w:pPr>
                    <w:pStyle w:val="16"/>
                    <w:widowControl w:val="0"/>
                    <w:spacing w:before="0" w:beforeAutospacing="0" w:after="0" w:afterAutospacing="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r>
            <w:tr w14:paraId="68BA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3" w:type="pct"/>
                  <w:vMerge w:val="restart"/>
                  <w:vAlign w:val="center"/>
                </w:tcPr>
                <w:p w14:paraId="57328E54">
                  <w:pPr>
                    <w:pStyle w:val="16"/>
                    <w:widowControl w:val="0"/>
                    <w:spacing w:before="0" w:beforeAutospacing="0" w:after="0" w:afterAutospacing="0"/>
                    <w:jc w:val="center"/>
                    <w:rPr>
                      <w:b/>
                      <w:sz w:val="21"/>
                      <w:szCs w:val="21"/>
                    </w:rPr>
                  </w:pPr>
                  <w:r>
                    <w:rPr>
                      <w:rFonts w:hint="eastAsia" w:ascii="Times New Roman" w:hAnsi="Times New Roman" w:cs="宋体"/>
                      <w:b/>
                      <w:kern w:val="2"/>
                      <w:sz w:val="21"/>
                      <w:szCs w:val="21"/>
                      <w:lang w:bidi="ar"/>
                    </w:rPr>
                    <w:t>废水</w:t>
                  </w:r>
                </w:p>
              </w:tc>
              <w:tc>
                <w:tcPr>
                  <w:tcW w:w="1075" w:type="pct"/>
                  <w:vMerge w:val="restart"/>
                  <w:vAlign w:val="center"/>
                </w:tcPr>
                <w:p w14:paraId="14119F6A">
                  <w:pPr>
                    <w:pStyle w:val="16"/>
                    <w:widowControl w:val="0"/>
                    <w:spacing w:before="0" w:beforeAutospacing="0" w:after="0" w:afterAutospacing="0"/>
                    <w:jc w:val="center"/>
                    <w:rPr>
                      <w:rFonts w:ascii="Times New Roman" w:hAnsi="Times New Roman"/>
                      <w:bCs/>
                      <w:kern w:val="2"/>
                      <w:sz w:val="21"/>
                      <w:szCs w:val="21"/>
                      <w:lang w:bidi="ar"/>
                    </w:rPr>
                  </w:pPr>
                  <w:r>
                    <w:rPr>
                      <w:rFonts w:ascii="Times New Roman" w:hAnsi="Times New Roman"/>
                      <w:bCs/>
                      <w:kern w:val="2"/>
                      <w:sz w:val="21"/>
                      <w:szCs w:val="21"/>
                      <w:lang w:bidi="ar"/>
                    </w:rPr>
                    <w:t>厂区总排口</w:t>
                  </w:r>
                </w:p>
              </w:tc>
              <w:tc>
                <w:tcPr>
                  <w:tcW w:w="748" w:type="pct"/>
                  <w:vAlign w:val="center"/>
                </w:tcPr>
                <w:p w14:paraId="165EC797">
                  <w:pPr>
                    <w:pStyle w:val="16"/>
                    <w:widowControl w:val="0"/>
                    <w:spacing w:before="0" w:beforeAutospacing="0" w:after="0" w:afterAutospacing="0"/>
                    <w:jc w:val="center"/>
                    <w:rPr>
                      <w:bCs/>
                      <w:sz w:val="21"/>
                      <w:szCs w:val="21"/>
                    </w:rPr>
                  </w:pPr>
                  <w:r>
                    <w:rPr>
                      <w:rFonts w:ascii="Times New Roman" w:hAnsi="Times New Roman"/>
                      <w:bCs/>
                      <w:kern w:val="2"/>
                      <w:sz w:val="21"/>
                      <w:szCs w:val="21"/>
                      <w:lang w:bidi="ar"/>
                    </w:rPr>
                    <w:t>COD</w:t>
                  </w:r>
                </w:p>
              </w:tc>
              <w:tc>
                <w:tcPr>
                  <w:tcW w:w="820" w:type="pct"/>
                  <w:vAlign w:val="center"/>
                </w:tcPr>
                <w:p w14:paraId="2E404B6E">
                  <w:pPr>
                    <w:pStyle w:val="16"/>
                    <w:widowControl w:val="0"/>
                    <w:spacing w:before="0" w:beforeAutospacing="0" w:after="0" w:afterAutospacing="0"/>
                    <w:jc w:val="center"/>
                    <w:rPr>
                      <w:rFonts w:hint="eastAsia" w:ascii="Times New Roman" w:hAnsi="Times New Roman" w:eastAsia="宋体"/>
                      <w:bCs/>
                      <w:color w:val="auto"/>
                      <w:sz w:val="21"/>
                      <w:szCs w:val="21"/>
                      <w:highlight w:val="red"/>
                      <w:lang w:eastAsia="zh-CN"/>
                    </w:rPr>
                  </w:pPr>
                  <w:r>
                    <w:rPr>
                      <w:rFonts w:hint="eastAsia" w:ascii="Times New Roman" w:hAnsi="Times New Roman"/>
                      <w:bCs/>
                      <w:color w:val="auto"/>
                      <w:kern w:val="2"/>
                      <w:sz w:val="21"/>
                      <w:szCs w:val="21"/>
                      <w:highlight w:val="none"/>
                      <w:lang w:eastAsia="zh-CN" w:bidi="ar"/>
                    </w:rPr>
                    <w:t>0.0548</w:t>
                  </w:r>
                </w:p>
              </w:tc>
              <w:tc>
                <w:tcPr>
                  <w:tcW w:w="1174" w:type="pct"/>
                  <w:vAlign w:val="center"/>
                </w:tcPr>
                <w:p w14:paraId="0F9886A8">
                  <w:pPr>
                    <w:pStyle w:val="16"/>
                    <w:widowControl w:val="0"/>
                    <w:spacing w:before="0" w:beforeAutospacing="0" w:after="0" w:afterAutospacing="0"/>
                    <w:jc w:val="center"/>
                    <w:rPr>
                      <w:rFonts w:ascii="Times New Roman" w:hAnsi="Times New Roman"/>
                      <w:bCs/>
                      <w:sz w:val="21"/>
                      <w:szCs w:val="21"/>
                    </w:rPr>
                  </w:pPr>
                  <w:r>
                    <w:rPr>
                      <w:rFonts w:hint="eastAsia" w:ascii="Times New Roman" w:hAnsi="Times New Roman"/>
                      <w:bCs/>
                      <w:kern w:val="2"/>
                      <w:sz w:val="21"/>
                      <w:szCs w:val="21"/>
                      <w:lang w:bidi="ar"/>
                    </w:rPr>
                    <w:t>0.324</w:t>
                  </w:r>
                </w:p>
              </w:tc>
              <w:tc>
                <w:tcPr>
                  <w:tcW w:w="777" w:type="pct"/>
                  <w:vAlign w:val="center"/>
                </w:tcPr>
                <w:p w14:paraId="308421D2">
                  <w:pPr>
                    <w:pStyle w:val="16"/>
                    <w:widowControl w:val="0"/>
                    <w:spacing w:before="0" w:beforeAutospacing="0" w:after="0" w:afterAutospacing="0"/>
                    <w:jc w:val="center"/>
                    <w:rPr>
                      <w:rFonts w:ascii="Times New Roman" w:hAnsi="Times New Roman"/>
                      <w:bCs/>
                      <w:kern w:val="2"/>
                      <w:sz w:val="21"/>
                      <w:szCs w:val="21"/>
                      <w:lang w:bidi="ar"/>
                    </w:rPr>
                  </w:pPr>
                  <w:r>
                    <w:rPr>
                      <w:rFonts w:hint="eastAsia" w:ascii="Times New Roman" w:hAnsi="Times New Roman"/>
                      <w:bCs/>
                      <w:kern w:val="2"/>
                      <w:sz w:val="21"/>
                      <w:szCs w:val="21"/>
                      <w:lang w:bidi="ar"/>
                    </w:rPr>
                    <w:t>/</w:t>
                  </w:r>
                </w:p>
              </w:tc>
            </w:tr>
            <w:tr w14:paraId="7D67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3" w:type="pct"/>
                  <w:vMerge w:val="continue"/>
                  <w:vAlign w:val="center"/>
                </w:tcPr>
                <w:p w14:paraId="1A30FD25">
                  <w:pPr>
                    <w:rPr>
                      <w:sz w:val="20"/>
                      <w:szCs w:val="20"/>
                    </w:rPr>
                  </w:pPr>
                </w:p>
              </w:tc>
              <w:tc>
                <w:tcPr>
                  <w:tcW w:w="1075" w:type="pct"/>
                  <w:vMerge w:val="continue"/>
                </w:tcPr>
                <w:p w14:paraId="4DDE3CF5">
                  <w:pPr>
                    <w:pStyle w:val="16"/>
                    <w:widowControl w:val="0"/>
                    <w:spacing w:before="0" w:beforeAutospacing="0" w:after="0" w:afterAutospacing="0"/>
                    <w:jc w:val="center"/>
                    <w:rPr>
                      <w:rFonts w:ascii="Times New Roman" w:hAnsi="Times New Roman"/>
                      <w:bCs/>
                      <w:kern w:val="2"/>
                      <w:sz w:val="21"/>
                      <w:szCs w:val="21"/>
                      <w:lang w:bidi="ar"/>
                    </w:rPr>
                  </w:pPr>
                </w:p>
              </w:tc>
              <w:tc>
                <w:tcPr>
                  <w:tcW w:w="748" w:type="pct"/>
                  <w:vAlign w:val="center"/>
                </w:tcPr>
                <w:p w14:paraId="4DC6DAA0">
                  <w:pPr>
                    <w:pStyle w:val="16"/>
                    <w:widowControl w:val="0"/>
                    <w:spacing w:before="0" w:beforeAutospacing="0" w:after="0" w:afterAutospacing="0"/>
                    <w:jc w:val="center"/>
                    <w:rPr>
                      <w:bCs/>
                      <w:sz w:val="21"/>
                      <w:szCs w:val="21"/>
                    </w:rPr>
                  </w:pPr>
                  <w:r>
                    <w:rPr>
                      <w:rFonts w:ascii="Times New Roman" w:hAnsi="Times New Roman"/>
                      <w:bCs/>
                      <w:kern w:val="2"/>
                      <w:sz w:val="21"/>
                      <w:szCs w:val="21"/>
                      <w:lang w:bidi="ar"/>
                    </w:rPr>
                    <w:t>NH</w:t>
                  </w:r>
                  <w:r>
                    <w:rPr>
                      <w:rFonts w:ascii="Times New Roman" w:hAnsi="Times New Roman"/>
                      <w:bCs/>
                      <w:kern w:val="2"/>
                      <w:sz w:val="21"/>
                      <w:szCs w:val="21"/>
                      <w:vertAlign w:val="subscript"/>
                      <w:lang w:bidi="ar"/>
                    </w:rPr>
                    <w:t>3</w:t>
                  </w:r>
                  <w:r>
                    <w:rPr>
                      <w:rFonts w:ascii="Times New Roman" w:hAnsi="Times New Roman"/>
                      <w:bCs/>
                      <w:kern w:val="2"/>
                      <w:sz w:val="21"/>
                      <w:szCs w:val="21"/>
                      <w:lang w:bidi="ar"/>
                    </w:rPr>
                    <w:t>-N</w:t>
                  </w:r>
                </w:p>
              </w:tc>
              <w:tc>
                <w:tcPr>
                  <w:tcW w:w="820" w:type="pct"/>
                  <w:vAlign w:val="center"/>
                </w:tcPr>
                <w:p w14:paraId="5230F0E9">
                  <w:pPr>
                    <w:pStyle w:val="16"/>
                    <w:widowControl w:val="0"/>
                    <w:spacing w:before="0" w:beforeAutospacing="0" w:after="0" w:afterAutospacing="0"/>
                    <w:jc w:val="center"/>
                    <w:rPr>
                      <w:rFonts w:hint="eastAsia" w:ascii="Times New Roman" w:hAnsi="Times New Roman" w:eastAsia="宋体"/>
                      <w:bCs/>
                      <w:color w:val="auto"/>
                      <w:sz w:val="21"/>
                      <w:szCs w:val="21"/>
                      <w:highlight w:val="none"/>
                      <w:lang w:eastAsia="zh-CN"/>
                    </w:rPr>
                  </w:pPr>
                  <w:r>
                    <w:rPr>
                      <w:rFonts w:hint="eastAsia" w:ascii="Times New Roman" w:hAnsi="Times New Roman"/>
                      <w:bCs/>
                      <w:color w:val="auto"/>
                      <w:kern w:val="2"/>
                      <w:sz w:val="21"/>
                      <w:szCs w:val="21"/>
                      <w:highlight w:val="none"/>
                      <w:lang w:eastAsia="zh-CN" w:bidi="ar"/>
                    </w:rPr>
                    <w:t>0.0003</w:t>
                  </w:r>
                </w:p>
              </w:tc>
              <w:tc>
                <w:tcPr>
                  <w:tcW w:w="1174" w:type="pct"/>
                  <w:vAlign w:val="center"/>
                </w:tcPr>
                <w:p w14:paraId="37DDBA03">
                  <w:pPr>
                    <w:pStyle w:val="16"/>
                    <w:widowControl w:val="0"/>
                    <w:spacing w:before="0" w:beforeAutospacing="0" w:after="0" w:afterAutospacing="0"/>
                    <w:jc w:val="center"/>
                    <w:rPr>
                      <w:rFonts w:ascii="Times New Roman" w:hAnsi="Times New Roman"/>
                      <w:bCs/>
                      <w:sz w:val="21"/>
                      <w:szCs w:val="21"/>
                    </w:rPr>
                  </w:pPr>
                  <w:r>
                    <w:rPr>
                      <w:rFonts w:ascii="Times New Roman" w:hAnsi="Times New Roman"/>
                      <w:bCs/>
                      <w:kern w:val="2"/>
                      <w:sz w:val="21"/>
                      <w:szCs w:val="21"/>
                      <w:lang w:bidi="ar"/>
                    </w:rPr>
                    <w:t>0.00</w:t>
                  </w:r>
                  <w:r>
                    <w:rPr>
                      <w:rFonts w:hint="eastAsia" w:ascii="Times New Roman" w:hAnsi="Times New Roman"/>
                      <w:bCs/>
                      <w:kern w:val="2"/>
                      <w:sz w:val="21"/>
                      <w:szCs w:val="21"/>
                      <w:lang w:bidi="ar"/>
                    </w:rPr>
                    <w:t>67</w:t>
                  </w:r>
                </w:p>
              </w:tc>
              <w:tc>
                <w:tcPr>
                  <w:tcW w:w="777" w:type="pct"/>
                  <w:vAlign w:val="center"/>
                </w:tcPr>
                <w:p w14:paraId="2C2FB855">
                  <w:pPr>
                    <w:pStyle w:val="16"/>
                    <w:widowControl w:val="0"/>
                    <w:spacing w:before="0" w:beforeAutospacing="0" w:after="0" w:afterAutospacing="0"/>
                    <w:jc w:val="center"/>
                    <w:rPr>
                      <w:rFonts w:ascii="Times New Roman" w:hAnsi="Times New Roman"/>
                      <w:bCs/>
                      <w:kern w:val="2"/>
                      <w:sz w:val="21"/>
                      <w:szCs w:val="21"/>
                      <w:lang w:bidi="ar"/>
                    </w:rPr>
                  </w:pPr>
                  <w:r>
                    <w:rPr>
                      <w:rFonts w:hint="eastAsia" w:ascii="Times New Roman" w:hAnsi="Times New Roman"/>
                      <w:bCs/>
                      <w:kern w:val="2"/>
                      <w:sz w:val="21"/>
                      <w:szCs w:val="21"/>
                      <w:lang w:bidi="ar"/>
                    </w:rPr>
                    <w:t>/</w:t>
                  </w:r>
                </w:p>
              </w:tc>
            </w:tr>
            <w:tr w14:paraId="0587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3" w:type="pct"/>
                  <w:vMerge w:val="continue"/>
                  <w:vAlign w:val="center"/>
                </w:tcPr>
                <w:p w14:paraId="7DBC250C">
                  <w:pPr>
                    <w:rPr>
                      <w:sz w:val="20"/>
                      <w:szCs w:val="20"/>
                    </w:rPr>
                  </w:pPr>
                </w:p>
              </w:tc>
              <w:tc>
                <w:tcPr>
                  <w:tcW w:w="1075" w:type="pct"/>
                  <w:vMerge w:val="continue"/>
                </w:tcPr>
                <w:p w14:paraId="3AB0FF19">
                  <w:pPr>
                    <w:pStyle w:val="16"/>
                    <w:widowControl w:val="0"/>
                    <w:spacing w:before="0" w:beforeAutospacing="0" w:after="0" w:afterAutospacing="0"/>
                    <w:jc w:val="center"/>
                    <w:rPr>
                      <w:rFonts w:ascii="Times New Roman" w:hAnsi="Times New Roman"/>
                      <w:bCs/>
                      <w:kern w:val="2"/>
                      <w:sz w:val="21"/>
                      <w:szCs w:val="21"/>
                      <w:lang w:bidi="ar"/>
                    </w:rPr>
                  </w:pPr>
                </w:p>
              </w:tc>
              <w:tc>
                <w:tcPr>
                  <w:tcW w:w="748" w:type="pct"/>
                  <w:vAlign w:val="center"/>
                </w:tcPr>
                <w:p w14:paraId="1995CFFC">
                  <w:pPr>
                    <w:pStyle w:val="16"/>
                    <w:widowControl w:val="0"/>
                    <w:spacing w:before="0" w:beforeAutospacing="0" w:after="0" w:afterAutospacing="0"/>
                    <w:jc w:val="center"/>
                    <w:rPr>
                      <w:rFonts w:ascii="Times New Roman" w:hAnsi="Times New Roman"/>
                      <w:bCs/>
                      <w:kern w:val="2"/>
                      <w:sz w:val="21"/>
                      <w:szCs w:val="21"/>
                      <w:lang w:bidi="ar"/>
                    </w:rPr>
                  </w:pPr>
                  <w:r>
                    <w:rPr>
                      <w:rFonts w:hint="eastAsia" w:ascii="Times New Roman" w:hAnsi="Times New Roman"/>
                      <w:bCs/>
                      <w:kern w:val="2"/>
                      <w:sz w:val="21"/>
                      <w:szCs w:val="21"/>
                      <w:lang w:bidi="ar"/>
                    </w:rPr>
                    <w:t>TP</w:t>
                  </w:r>
                </w:p>
              </w:tc>
              <w:tc>
                <w:tcPr>
                  <w:tcW w:w="820" w:type="pct"/>
                  <w:vAlign w:val="center"/>
                </w:tcPr>
                <w:p w14:paraId="3FCA63FF">
                  <w:pPr>
                    <w:pStyle w:val="16"/>
                    <w:widowControl w:val="0"/>
                    <w:spacing w:before="0" w:beforeAutospacing="0" w:after="0" w:afterAutospacing="0"/>
                    <w:jc w:val="center"/>
                    <w:rPr>
                      <w:rFonts w:hint="eastAsia" w:ascii="Times New Roman" w:hAnsi="Times New Roman" w:eastAsia="宋体"/>
                      <w:bCs/>
                      <w:color w:val="auto"/>
                      <w:kern w:val="2"/>
                      <w:sz w:val="21"/>
                      <w:szCs w:val="21"/>
                      <w:highlight w:val="none"/>
                      <w:lang w:eastAsia="zh-CN" w:bidi="ar"/>
                    </w:rPr>
                  </w:pPr>
                  <w:r>
                    <w:rPr>
                      <w:rFonts w:hint="eastAsia" w:ascii="Times New Roman" w:hAnsi="Times New Roman"/>
                      <w:color w:val="auto"/>
                      <w:sz w:val="21"/>
                      <w:szCs w:val="21"/>
                      <w:highlight w:val="none"/>
                      <w:lang w:eastAsia="zh-CN"/>
                    </w:rPr>
                    <w:t>0.0003</w:t>
                  </w:r>
                </w:p>
              </w:tc>
              <w:tc>
                <w:tcPr>
                  <w:tcW w:w="1174" w:type="pct"/>
                  <w:vAlign w:val="center"/>
                </w:tcPr>
                <w:p w14:paraId="1F896B57">
                  <w:pPr>
                    <w:pStyle w:val="16"/>
                    <w:widowControl w:val="0"/>
                    <w:spacing w:before="0" w:beforeAutospacing="0" w:after="0" w:afterAutospacing="0"/>
                    <w:jc w:val="center"/>
                    <w:rPr>
                      <w:rFonts w:hint="default" w:ascii="Times New Roman" w:hAnsi="Times New Roman" w:eastAsia="宋体"/>
                      <w:bCs/>
                      <w:kern w:val="2"/>
                      <w:sz w:val="21"/>
                      <w:szCs w:val="21"/>
                      <w:lang w:val="en-US" w:eastAsia="zh-CN" w:bidi="ar"/>
                    </w:rPr>
                  </w:pPr>
                  <w:r>
                    <w:rPr>
                      <w:rFonts w:hint="eastAsia" w:ascii="Times New Roman" w:hAnsi="Times New Roman"/>
                      <w:bCs/>
                      <w:kern w:val="2"/>
                      <w:sz w:val="21"/>
                      <w:szCs w:val="21"/>
                      <w:lang w:val="en-US" w:eastAsia="zh-CN" w:bidi="ar"/>
                    </w:rPr>
                    <w:t>0.0032</w:t>
                  </w:r>
                </w:p>
              </w:tc>
              <w:tc>
                <w:tcPr>
                  <w:tcW w:w="777" w:type="pct"/>
                  <w:vAlign w:val="center"/>
                </w:tcPr>
                <w:p w14:paraId="260E4A83">
                  <w:pPr>
                    <w:pStyle w:val="16"/>
                    <w:widowControl w:val="0"/>
                    <w:spacing w:before="0" w:beforeAutospacing="0" w:after="0" w:afterAutospacing="0"/>
                    <w:jc w:val="center"/>
                    <w:rPr>
                      <w:rFonts w:ascii="Times New Roman" w:hAnsi="Times New Roman"/>
                      <w:bCs/>
                      <w:kern w:val="2"/>
                      <w:sz w:val="21"/>
                      <w:szCs w:val="21"/>
                      <w:lang w:bidi="ar"/>
                    </w:rPr>
                  </w:pPr>
                  <w:r>
                    <w:rPr>
                      <w:rFonts w:hint="eastAsia" w:ascii="Times New Roman" w:hAnsi="Times New Roman"/>
                      <w:bCs/>
                      <w:kern w:val="2"/>
                      <w:sz w:val="21"/>
                      <w:szCs w:val="21"/>
                      <w:lang w:bidi="ar"/>
                    </w:rPr>
                    <w:t>/</w:t>
                  </w:r>
                </w:p>
              </w:tc>
            </w:tr>
          </w:tbl>
          <w:p w14:paraId="2AEFF92C">
            <w:pPr>
              <w:pStyle w:val="11"/>
              <w:spacing w:line="520" w:lineRule="exact"/>
              <w:ind w:left="0" w:firstLine="480" w:firstLineChars="200"/>
              <w:rPr>
                <w:rFonts w:ascii="宋体" w:hAnsi="宋体" w:cs="宋体"/>
              </w:rPr>
            </w:pPr>
            <w:r>
              <w:rPr>
                <w:rFonts w:hint="eastAsia" w:ascii="宋体" w:hAnsi="宋体" w:cs="宋体"/>
              </w:rPr>
              <w:t>四、</w:t>
            </w:r>
            <w:r>
              <w:rPr>
                <w:rFonts w:ascii="宋体" w:hAnsi="宋体" w:cs="宋体"/>
              </w:rPr>
              <w:t>现有项目存在的问题及整改措施</w:t>
            </w:r>
          </w:p>
          <w:p w14:paraId="4D024DA2">
            <w:pPr>
              <w:pStyle w:val="11"/>
              <w:spacing w:line="520" w:lineRule="exact"/>
              <w:ind w:left="0" w:right="0" w:firstLine="480" w:firstLineChars="200"/>
              <w:rPr>
                <w:color w:val="000000" w:themeColor="text1"/>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目前</w:t>
            </w:r>
            <w:r>
              <w:rPr>
                <w:rFonts w:hint="eastAsia"/>
                <w:color w:val="000000" w:themeColor="text1"/>
                <w:highlight w:val="none"/>
                <w14:textFill>
                  <w14:solidFill>
                    <w14:schemeClr w14:val="tx1"/>
                  </w14:solidFill>
                </w14:textFill>
              </w:rPr>
              <w:t>现有工程</w:t>
            </w:r>
            <w:r>
              <w:rPr>
                <w:rFonts w:hint="eastAsia"/>
                <w:color w:val="000000" w:themeColor="text1"/>
                <w:highlight w:val="none"/>
                <w:lang w:val="en-US" w:eastAsia="zh-CN"/>
                <w14:textFill>
                  <w14:solidFill>
                    <w14:schemeClr w14:val="tx1"/>
                  </w14:solidFill>
                </w14:textFill>
              </w:rPr>
              <w:t>处于停产状态</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企业已注销了排污许可证。</w:t>
            </w:r>
            <w:r>
              <w:rPr>
                <w:rFonts w:hint="eastAsia"/>
                <w:color w:val="000000" w:themeColor="text1"/>
                <w:highlight w:val="none"/>
                <w14:textFill>
                  <w14:solidFill>
                    <w14:schemeClr w14:val="tx1"/>
                  </w14:solidFill>
                </w14:textFill>
              </w:rPr>
              <w:t>本项</w:t>
            </w:r>
            <w:r>
              <w:rPr>
                <w:rFonts w:hint="eastAsia"/>
                <w:color w:val="000000" w:themeColor="text1"/>
                <w14:textFill>
                  <w14:solidFill>
                    <w14:schemeClr w14:val="tx1"/>
                  </w14:solidFill>
                </w14:textFill>
              </w:rPr>
              <w:t>目对现有工程进行改建，待本项目取得环评批复后，按本项目建设内容重新申请排污许可证进行试生产与验收。</w:t>
            </w:r>
          </w:p>
          <w:p w14:paraId="5A2BB695">
            <w:pPr>
              <w:pStyle w:val="11"/>
              <w:spacing w:line="480" w:lineRule="exact"/>
              <w:ind w:left="0" w:firstLine="0"/>
              <w:rPr>
                <w:color w:val="000000" w:themeColor="text1"/>
                <w14:textFill>
                  <w14:solidFill>
                    <w14:schemeClr w14:val="tx1"/>
                  </w14:solidFill>
                </w14:textFill>
              </w:rPr>
            </w:pPr>
          </w:p>
          <w:p w14:paraId="2D4280D9">
            <w:pPr>
              <w:pStyle w:val="11"/>
              <w:ind w:left="0" w:firstLine="0"/>
              <w:rPr>
                <w:color w:val="000000" w:themeColor="text1"/>
                <w14:textFill>
                  <w14:solidFill>
                    <w14:schemeClr w14:val="tx1"/>
                  </w14:solidFill>
                </w14:textFill>
              </w:rPr>
            </w:pPr>
          </w:p>
          <w:p w14:paraId="5A51338C">
            <w:pPr>
              <w:pStyle w:val="11"/>
              <w:rPr>
                <w:color w:val="000000" w:themeColor="text1"/>
                <w14:textFill>
                  <w14:solidFill>
                    <w14:schemeClr w14:val="tx1"/>
                  </w14:solidFill>
                </w14:textFill>
              </w:rPr>
            </w:pPr>
          </w:p>
          <w:p w14:paraId="76C59369">
            <w:pPr>
              <w:pStyle w:val="11"/>
              <w:rPr>
                <w:color w:val="000000" w:themeColor="text1"/>
                <w14:textFill>
                  <w14:solidFill>
                    <w14:schemeClr w14:val="tx1"/>
                  </w14:solidFill>
                </w14:textFill>
              </w:rPr>
            </w:pPr>
          </w:p>
          <w:p w14:paraId="35FB6DC1">
            <w:pPr>
              <w:pStyle w:val="11"/>
              <w:ind w:left="0" w:leftChars="0" w:firstLine="0" w:firstLineChars="0"/>
              <w:rPr>
                <w:color w:val="000000" w:themeColor="text1"/>
                <w14:textFill>
                  <w14:solidFill>
                    <w14:schemeClr w14:val="tx1"/>
                  </w14:solidFill>
                </w14:textFill>
              </w:rPr>
            </w:pPr>
          </w:p>
          <w:p w14:paraId="115321FF">
            <w:pPr>
              <w:pStyle w:val="11"/>
              <w:ind w:left="0" w:firstLine="0"/>
              <w:rPr>
                <w:color w:val="000000" w:themeColor="text1"/>
                <w14:textFill>
                  <w14:solidFill>
                    <w14:schemeClr w14:val="tx1"/>
                  </w14:solidFill>
                </w14:textFill>
              </w:rPr>
            </w:pPr>
          </w:p>
          <w:p w14:paraId="12DF9BD3">
            <w:pPr>
              <w:pStyle w:val="11"/>
              <w:ind w:left="0" w:firstLine="0"/>
              <w:rPr>
                <w:color w:val="000000" w:themeColor="text1"/>
                <w14:textFill>
                  <w14:solidFill>
                    <w14:schemeClr w14:val="tx1"/>
                  </w14:solidFill>
                </w14:textFill>
              </w:rPr>
            </w:pPr>
          </w:p>
          <w:p w14:paraId="4690723C">
            <w:pPr>
              <w:pStyle w:val="11"/>
              <w:ind w:left="0" w:firstLine="0"/>
              <w:rPr>
                <w:color w:val="000000" w:themeColor="text1"/>
                <w14:textFill>
                  <w14:solidFill>
                    <w14:schemeClr w14:val="tx1"/>
                  </w14:solidFill>
                </w14:textFill>
              </w:rPr>
            </w:pPr>
          </w:p>
          <w:p w14:paraId="13DE2171">
            <w:pPr>
              <w:pStyle w:val="11"/>
              <w:ind w:left="0" w:firstLine="0"/>
              <w:rPr>
                <w:color w:val="000000" w:themeColor="text1"/>
                <w14:textFill>
                  <w14:solidFill>
                    <w14:schemeClr w14:val="tx1"/>
                  </w14:solidFill>
                </w14:textFill>
              </w:rPr>
            </w:pPr>
          </w:p>
          <w:p w14:paraId="66AC4373">
            <w:pPr>
              <w:pStyle w:val="11"/>
              <w:ind w:left="0" w:firstLine="0"/>
              <w:rPr>
                <w:color w:val="000000" w:themeColor="text1"/>
                <w14:textFill>
                  <w14:solidFill>
                    <w14:schemeClr w14:val="tx1"/>
                  </w14:solidFill>
                </w14:textFill>
              </w:rPr>
            </w:pPr>
          </w:p>
          <w:p w14:paraId="70ED209D">
            <w:pPr>
              <w:pStyle w:val="11"/>
              <w:ind w:left="0" w:firstLine="0"/>
              <w:rPr>
                <w:color w:val="000000" w:themeColor="text1"/>
                <w14:textFill>
                  <w14:solidFill>
                    <w14:schemeClr w14:val="tx1"/>
                  </w14:solidFill>
                </w14:textFill>
              </w:rPr>
            </w:pPr>
          </w:p>
          <w:p w14:paraId="11A09089">
            <w:pPr>
              <w:pStyle w:val="11"/>
              <w:ind w:left="0" w:firstLine="0"/>
              <w:rPr>
                <w:color w:val="000000" w:themeColor="text1"/>
                <w14:textFill>
                  <w14:solidFill>
                    <w14:schemeClr w14:val="tx1"/>
                  </w14:solidFill>
                </w14:textFill>
              </w:rPr>
            </w:pPr>
          </w:p>
        </w:tc>
      </w:tr>
    </w:tbl>
    <w:p w14:paraId="6D50A643">
      <w:pPr>
        <w:adjustRightInd w:val="0"/>
        <w:snapToGrid w:val="0"/>
        <w:spacing w:before="100" w:beforeAutospacing="1" w:after="100" w:afterAutospacing="1" w:line="288" w:lineRule="auto"/>
        <w:jc w:val="center"/>
        <w:outlineLvl w:val="0"/>
        <w:rPr>
          <w:rFonts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br w:type="page"/>
      </w:r>
      <w:r>
        <w:rPr>
          <w:rFonts w:hint="eastAsia" w:ascii="黑体" w:hAnsi="黑体" w:eastAsia="黑体" w:cs="黑体"/>
          <w:color w:val="000000" w:themeColor="text1"/>
          <w:sz w:val="30"/>
          <w:szCs w:val="30"/>
          <w14:textFill>
            <w14:solidFill>
              <w14:schemeClr w14:val="tx1"/>
            </w14:solidFill>
          </w14:textFill>
        </w:rPr>
        <w:t>三、区域环境质量现状、环境保护目标及评价标准</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9018"/>
      </w:tblGrid>
      <w:tr w14:paraId="37E4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36" w:type="dxa"/>
            <w:vAlign w:val="center"/>
          </w:tcPr>
          <w:p w14:paraId="605CBD72">
            <w:pPr>
              <w:adjustRightInd w:val="0"/>
              <w:snapToGrid w:val="0"/>
              <w:spacing w:before="100" w:beforeAutospacing="1" w:after="100" w:afterAutospacing="1" w:line="288" w:lineRule="auto"/>
              <w:jc w:val="center"/>
              <w:outlineLvl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区域环境质量现状</w:t>
            </w:r>
          </w:p>
        </w:tc>
        <w:tc>
          <w:tcPr>
            <w:tcW w:w="9018" w:type="dxa"/>
            <w:vAlign w:val="center"/>
          </w:tcPr>
          <w:p w14:paraId="18426061">
            <w:pPr>
              <w:adjustRightInd w:val="0"/>
              <w:snapToGrid w:val="0"/>
              <w:spacing w:line="520" w:lineRule="exact"/>
              <w:jc w:val="left"/>
              <w:outlineLvl w:val="0"/>
              <w:rPr>
                <w:color w:val="000000" w:themeColor="text1"/>
                <w14:textFill>
                  <w14:solidFill>
                    <w14:schemeClr w14:val="tx1"/>
                  </w14:solidFill>
                </w14:textFill>
              </w:rPr>
            </w:pPr>
            <w:r>
              <w:rPr>
                <w:rFonts w:hint="eastAsia"/>
                <w:color w:val="000000" w:themeColor="text1"/>
                <w14:textFill>
                  <w14:solidFill>
                    <w14:schemeClr w14:val="tx1"/>
                  </w14:solidFill>
                </w14:textFill>
              </w:rPr>
              <w:t>根据现有环境监测资料，建设项目所在地环境质量状况如下：</w:t>
            </w:r>
          </w:p>
          <w:p w14:paraId="2D2F2A4A">
            <w:pPr>
              <w:numPr>
                <w:ilvl w:val="0"/>
                <w:numId w:val="8"/>
              </w:numPr>
              <w:adjustRightInd w:val="0"/>
              <w:snapToGrid w:val="0"/>
              <w:spacing w:line="520" w:lineRule="exact"/>
              <w:ind w:firstLine="482" w:firstLineChars="200"/>
              <w:jc w:val="left"/>
              <w:outlineLvl w:val="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环境空气质量现状</w:t>
            </w:r>
          </w:p>
          <w:p w14:paraId="416413DF">
            <w:pPr>
              <w:spacing w:line="460" w:lineRule="exact"/>
              <w:ind w:firstLine="484" w:firstLineChars="200"/>
              <w:rPr>
                <w:sz w:val="24"/>
                <w:szCs w:val="24"/>
              </w:rPr>
            </w:pPr>
            <w:r>
              <w:rPr>
                <w:rFonts w:hint="eastAsia" w:ascii="宋体" w:hAnsi="宋体" w:eastAsia="宋体" w:cs="宋体"/>
                <w:snapToGrid w:val="0"/>
                <w:spacing w:val="1"/>
                <w:kern w:val="0"/>
                <w:sz w:val="24"/>
                <w:szCs w:val="24"/>
              </w:rPr>
              <w:t>根据大气功能区划分原则，项目所在区域为二类功能区，环境空气质量应执行《环境空气质量标准》</w:t>
            </w:r>
            <w:r>
              <w:rPr>
                <w:snapToGrid w:val="0"/>
                <w:spacing w:val="1"/>
                <w:kern w:val="0"/>
                <w:sz w:val="24"/>
                <w:szCs w:val="24"/>
              </w:rPr>
              <w:t>(GB3095-2026)</w:t>
            </w:r>
            <w:r>
              <w:rPr>
                <w:rFonts w:hint="eastAsia" w:ascii="宋体" w:hAnsi="宋体" w:eastAsia="宋体" w:cs="宋体"/>
                <w:snapToGrid w:val="0"/>
                <w:spacing w:val="1"/>
                <w:kern w:val="0"/>
                <w:sz w:val="24"/>
                <w:szCs w:val="24"/>
              </w:rPr>
              <w:t>过渡阶段浓度限值二级标准。根据新乡市生态环境局发布的《新乡市</w:t>
            </w:r>
            <w:r>
              <w:rPr>
                <w:snapToGrid w:val="0"/>
                <w:spacing w:val="1"/>
                <w:kern w:val="0"/>
                <w:sz w:val="24"/>
                <w:szCs w:val="24"/>
              </w:rPr>
              <w:t>2024</w:t>
            </w:r>
            <w:r>
              <w:rPr>
                <w:rFonts w:hint="eastAsia" w:ascii="宋体" w:hAnsi="宋体" w:eastAsia="宋体" w:cs="宋体"/>
                <w:snapToGrid w:val="0"/>
                <w:spacing w:val="1"/>
                <w:kern w:val="0"/>
                <w:sz w:val="24"/>
                <w:szCs w:val="24"/>
              </w:rPr>
              <w:t>年环境质量年报》，由于发布年报时新标准尚未实施，故新乡市</w:t>
            </w:r>
            <w:r>
              <w:rPr>
                <w:snapToGrid w:val="0"/>
                <w:spacing w:val="1"/>
                <w:kern w:val="0"/>
                <w:sz w:val="24"/>
                <w:szCs w:val="24"/>
              </w:rPr>
              <w:t>2024</w:t>
            </w:r>
            <w:r>
              <w:rPr>
                <w:rFonts w:hint="eastAsia" w:ascii="宋体" w:hAnsi="宋体" w:eastAsia="宋体" w:cs="宋体"/>
                <w:snapToGrid w:val="0"/>
                <w:spacing w:val="1"/>
                <w:kern w:val="0"/>
                <w:sz w:val="24"/>
                <w:szCs w:val="24"/>
              </w:rPr>
              <w:t>年环境空气质量对标《环境空气质量标准》</w:t>
            </w:r>
            <w:r>
              <w:rPr>
                <w:snapToGrid w:val="0"/>
                <w:spacing w:val="1"/>
                <w:kern w:val="0"/>
                <w:sz w:val="24"/>
                <w:szCs w:val="24"/>
              </w:rPr>
              <w:t>(GB3095-2012)</w:t>
            </w:r>
            <w:r>
              <w:rPr>
                <w:rFonts w:hint="eastAsia" w:ascii="宋体" w:hAnsi="宋体" w:eastAsia="宋体" w:cs="宋体"/>
                <w:snapToGrid w:val="0"/>
                <w:spacing w:val="1"/>
                <w:kern w:val="0"/>
                <w:sz w:val="24"/>
                <w:szCs w:val="24"/>
              </w:rPr>
              <w:t>级标准限值，区域空气质量现状达标情况如下表所示。</w:t>
            </w:r>
          </w:p>
          <w:p w14:paraId="2EBCF44F">
            <w:pPr>
              <w:spacing w:before="156" w:beforeLines="50"/>
              <w:jc w:val="center"/>
              <w:rPr>
                <w:rFonts w:eastAsia="黑体"/>
              </w:rPr>
            </w:pPr>
            <w:r>
              <w:rPr>
                <w:rFonts w:hint="eastAsia" w:eastAsia="黑体"/>
              </w:rPr>
              <w:t>表</w:t>
            </w:r>
            <w:r>
              <w:rPr>
                <w:rFonts w:eastAsia="黑体"/>
              </w:rPr>
              <w:t xml:space="preserve">3-1  </w:t>
            </w:r>
            <w:r>
              <w:rPr>
                <w:rFonts w:hint="eastAsia" w:eastAsia="黑体"/>
              </w:rPr>
              <w:t>区域空气质量现状评价表</w:t>
            </w:r>
          </w:p>
          <w:tbl>
            <w:tblPr>
              <w:tblStyle w:val="18"/>
              <w:tblW w:w="499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57" w:type="dxa"/>
                <w:left w:w="57" w:type="dxa"/>
                <w:bottom w:w="57" w:type="dxa"/>
                <w:right w:w="57" w:type="dxa"/>
              </w:tblCellMar>
            </w:tblPr>
            <w:tblGrid>
              <w:gridCol w:w="868"/>
              <w:gridCol w:w="1111"/>
              <w:gridCol w:w="1208"/>
              <w:gridCol w:w="1190"/>
              <w:gridCol w:w="847"/>
              <w:gridCol w:w="759"/>
              <w:gridCol w:w="1190"/>
              <w:gridCol w:w="874"/>
              <w:gridCol w:w="751"/>
            </w:tblGrid>
            <w:tr w14:paraId="6D543E7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57" w:type="dxa"/>
                  <w:bottom w:w="57" w:type="dxa"/>
                  <w:right w:w="57" w:type="dxa"/>
                </w:tblCellMar>
              </w:tblPrEx>
              <w:trPr>
                <w:cantSplit/>
                <w:trHeight w:val="454" w:hRule="atLeast"/>
                <w:jc w:val="center"/>
              </w:trPr>
              <w:tc>
                <w:tcPr>
                  <w:tcW w:w="493" w:type="pct"/>
                  <w:vMerge w:val="restart"/>
                  <w:tcBorders>
                    <w:top w:val="single" w:color="auto" w:sz="8" w:space="0"/>
                    <w:left w:val="nil"/>
                    <w:bottom w:val="single" w:color="auto" w:sz="4" w:space="0"/>
                    <w:right w:val="single" w:color="auto" w:sz="4" w:space="0"/>
                  </w:tcBorders>
                  <w:noWrap w:val="0"/>
                  <w:tcMar>
                    <w:top w:w="57" w:type="dxa"/>
                    <w:left w:w="85" w:type="dxa"/>
                    <w:bottom w:w="57" w:type="dxa"/>
                    <w:right w:w="85" w:type="dxa"/>
                  </w:tcMar>
                  <w:vAlign w:val="center"/>
                </w:tcPr>
                <w:p w14:paraId="7EEA9927">
                  <w:pPr>
                    <w:autoSpaceDE w:val="0"/>
                    <w:autoSpaceDN w:val="0"/>
                    <w:adjustRightInd w:val="0"/>
                    <w:snapToGrid w:val="0"/>
                    <w:jc w:val="center"/>
                    <w:rPr>
                      <w:b/>
                      <w:sz w:val="21"/>
                      <w:szCs w:val="21"/>
                    </w:rPr>
                  </w:pPr>
                  <w:r>
                    <w:rPr>
                      <w:rFonts w:hint="eastAsia" w:ascii="宋体" w:hAnsi="宋体" w:eastAsia="宋体" w:cs="宋体"/>
                      <w:b/>
                      <w:sz w:val="21"/>
                      <w:szCs w:val="21"/>
                    </w:rPr>
                    <w:t>污染物</w:t>
                  </w:r>
                </w:p>
              </w:tc>
              <w:tc>
                <w:tcPr>
                  <w:tcW w:w="631" w:type="pct"/>
                  <w:vMerge w:val="restart"/>
                  <w:tcBorders>
                    <w:top w:val="single" w:color="auto" w:sz="8"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73E55E3B">
                  <w:pPr>
                    <w:autoSpaceDE w:val="0"/>
                    <w:autoSpaceDN w:val="0"/>
                    <w:adjustRightInd w:val="0"/>
                    <w:snapToGrid w:val="0"/>
                    <w:jc w:val="center"/>
                    <w:rPr>
                      <w:b/>
                      <w:sz w:val="21"/>
                      <w:szCs w:val="21"/>
                    </w:rPr>
                  </w:pPr>
                  <w:r>
                    <w:rPr>
                      <w:rFonts w:hint="eastAsia" w:ascii="宋体" w:hAnsi="宋体" w:eastAsia="宋体" w:cs="宋体"/>
                      <w:b/>
                      <w:sz w:val="21"/>
                      <w:szCs w:val="21"/>
                    </w:rPr>
                    <w:t>年评价指标</w:t>
                  </w:r>
                </w:p>
              </w:tc>
              <w:tc>
                <w:tcPr>
                  <w:tcW w:w="686" w:type="pct"/>
                  <w:vMerge w:val="restart"/>
                  <w:tcBorders>
                    <w:top w:val="single" w:color="auto" w:sz="8"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07C6990E">
                  <w:pPr>
                    <w:autoSpaceDE w:val="0"/>
                    <w:autoSpaceDN w:val="0"/>
                    <w:adjustRightInd w:val="0"/>
                    <w:snapToGrid w:val="0"/>
                    <w:jc w:val="center"/>
                    <w:rPr>
                      <w:b/>
                      <w:sz w:val="21"/>
                      <w:szCs w:val="21"/>
                    </w:rPr>
                  </w:pPr>
                  <w:r>
                    <w:rPr>
                      <w:rFonts w:hint="eastAsia" w:ascii="宋体" w:hAnsi="宋体" w:eastAsia="宋体" w:cs="宋体"/>
                      <w:b/>
                      <w:sz w:val="21"/>
                      <w:szCs w:val="21"/>
                    </w:rPr>
                    <w:t>现状浓度</w:t>
                  </w:r>
                  <w:r>
                    <w:rPr>
                      <w:b/>
                      <w:sz w:val="21"/>
                      <w:szCs w:val="21"/>
                    </w:rPr>
                    <w:t>/</w:t>
                  </w:r>
                </w:p>
                <w:p w14:paraId="471500C1">
                  <w:pPr>
                    <w:autoSpaceDE w:val="0"/>
                    <w:autoSpaceDN w:val="0"/>
                    <w:adjustRightInd w:val="0"/>
                    <w:snapToGrid w:val="0"/>
                    <w:jc w:val="center"/>
                    <w:rPr>
                      <w:b/>
                      <w:sz w:val="21"/>
                      <w:szCs w:val="21"/>
                    </w:rPr>
                  </w:pPr>
                  <w:r>
                    <w:rPr>
                      <w:rFonts w:hint="eastAsia" w:ascii="宋体" w:hAnsi="宋体" w:eastAsia="宋体" w:cs="宋体"/>
                      <w:b/>
                      <w:sz w:val="21"/>
                      <w:szCs w:val="21"/>
                    </w:rPr>
                    <w:t>（</w:t>
                  </w:r>
                  <w:r>
                    <w:rPr>
                      <w:b/>
                      <w:sz w:val="21"/>
                      <w:szCs w:val="21"/>
                    </w:rPr>
                    <w:t>μg/m</w:t>
                  </w:r>
                  <w:r>
                    <w:rPr>
                      <w:b/>
                      <w:sz w:val="21"/>
                      <w:szCs w:val="21"/>
                      <w:vertAlign w:val="superscript"/>
                    </w:rPr>
                    <w:t>3</w:t>
                  </w:r>
                  <w:r>
                    <w:rPr>
                      <w:rFonts w:hint="eastAsia" w:ascii="宋体" w:hAnsi="宋体" w:eastAsia="宋体" w:cs="宋体"/>
                      <w:b/>
                      <w:sz w:val="21"/>
                      <w:szCs w:val="21"/>
                    </w:rPr>
                    <w:t>）</w:t>
                  </w:r>
                </w:p>
              </w:tc>
              <w:tc>
                <w:tcPr>
                  <w:tcW w:w="1157" w:type="pct"/>
                  <w:gridSpan w:val="2"/>
                  <w:tcBorders>
                    <w:top w:val="single" w:color="auto" w:sz="8" w:space="0"/>
                    <w:left w:val="single" w:color="auto" w:sz="4" w:space="0"/>
                    <w:bottom w:val="single" w:color="000000" w:sz="4" w:space="0"/>
                    <w:right w:val="single" w:color="auto" w:sz="4" w:space="0"/>
                  </w:tcBorders>
                  <w:noWrap w:val="0"/>
                  <w:tcMar>
                    <w:top w:w="57" w:type="dxa"/>
                    <w:left w:w="85" w:type="dxa"/>
                    <w:bottom w:w="57" w:type="dxa"/>
                    <w:right w:w="85" w:type="dxa"/>
                  </w:tcMar>
                  <w:vAlign w:val="center"/>
                </w:tcPr>
                <w:p w14:paraId="0407C2BA">
                  <w:pPr>
                    <w:autoSpaceDE w:val="0"/>
                    <w:autoSpaceDN w:val="0"/>
                    <w:adjustRightInd w:val="0"/>
                    <w:snapToGrid w:val="0"/>
                    <w:jc w:val="center"/>
                    <w:rPr>
                      <w:b/>
                      <w:sz w:val="21"/>
                      <w:szCs w:val="21"/>
                    </w:rPr>
                  </w:pPr>
                  <w:r>
                    <w:rPr>
                      <w:b/>
                      <w:sz w:val="21"/>
                      <w:szCs w:val="21"/>
                    </w:rPr>
                    <w:t>GB3095-2012</w:t>
                  </w:r>
                </w:p>
              </w:tc>
              <w:tc>
                <w:tcPr>
                  <w:tcW w:w="431" w:type="pct"/>
                  <w:vMerge w:val="restart"/>
                  <w:tcBorders>
                    <w:top w:val="single" w:color="auto" w:sz="8" w:space="0"/>
                    <w:left w:val="single" w:color="auto" w:sz="4" w:space="0"/>
                    <w:bottom w:val="single" w:color="auto" w:sz="4" w:space="0"/>
                    <w:right w:val="single" w:color="000000" w:sz="4" w:space="0"/>
                  </w:tcBorders>
                  <w:noWrap w:val="0"/>
                  <w:tcMar>
                    <w:top w:w="57" w:type="dxa"/>
                    <w:left w:w="85" w:type="dxa"/>
                    <w:bottom w:w="57" w:type="dxa"/>
                    <w:right w:w="85" w:type="dxa"/>
                  </w:tcMar>
                  <w:vAlign w:val="center"/>
                </w:tcPr>
                <w:p w14:paraId="62B9F5BF">
                  <w:pPr>
                    <w:autoSpaceDE w:val="0"/>
                    <w:autoSpaceDN w:val="0"/>
                    <w:adjustRightInd w:val="0"/>
                    <w:snapToGrid w:val="0"/>
                    <w:jc w:val="center"/>
                    <w:rPr>
                      <w:b/>
                      <w:sz w:val="21"/>
                      <w:szCs w:val="21"/>
                    </w:rPr>
                  </w:pPr>
                  <w:r>
                    <w:rPr>
                      <w:rFonts w:hint="eastAsia" w:ascii="宋体" w:hAnsi="宋体" w:eastAsia="宋体" w:cs="宋体"/>
                      <w:b/>
                      <w:sz w:val="21"/>
                      <w:szCs w:val="21"/>
                    </w:rPr>
                    <w:t>达标情况</w:t>
                  </w:r>
                </w:p>
              </w:tc>
              <w:tc>
                <w:tcPr>
                  <w:tcW w:w="1172" w:type="pct"/>
                  <w:gridSpan w:val="2"/>
                  <w:tcBorders>
                    <w:top w:val="single" w:color="auto" w:sz="8" w:space="0"/>
                    <w:left w:val="single" w:color="000000" w:sz="4" w:space="0"/>
                    <w:bottom w:val="single" w:color="auto" w:sz="4" w:space="0"/>
                    <w:right w:val="single" w:color="000000" w:sz="4" w:space="0"/>
                  </w:tcBorders>
                  <w:noWrap w:val="0"/>
                  <w:tcMar>
                    <w:top w:w="57" w:type="dxa"/>
                    <w:left w:w="85" w:type="dxa"/>
                    <w:bottom w:w="57" w:type="dxa"/>
                    <w:right w:w="85" w:type="dxa"/>
                  </w:tcMar>
                  <w:vAlign w:val="center"/>
                </w:tcPr>
                <w:p w14:paraId="1DAAC6BB">
                  <w:pPr>
                    <w:autoSpaceDE w:val="0"/>
                    <w:autoSpaceDN w:val="0"/>
                    <w:adjustRightInd w:val="0"/>
                    <w:snapToGrid w:val="0"/>
                    <w:jc w:val="center"/>
                    <w:rPr>
                      <w:b/>
                      <w:sz w:val="21"/>
                      <w:szCs w:val="21"/>
                    </w:rPr>
                  </w:pPr>
                  <w:r>
                    <w:rPr>
                      <w:b/>
                      <w:sz w:val="21"/>
                      <w:szCs w:val="21"/>
                    </w:rPr>
                    <w:t>GB3095-2026</w:t>
                  </w:r>
                </w:p>
                <w:p w14:paraId="28A1DF78">
                  <w:pPr>
                    <w:autoSpaceDE w:val="0"/>
                    <w:autoSpaceDN w:val="0"/>
                    <w:adjustRightInd w:val="0"/>
                    <w:snapToGrid w:val="0"/>
                    <w:jc w:val="center"/>
                    <w:rPr>
                      <w:b/>
                      <w:sz w:val="21"/>
                      <w:szCs w:val="21"/>
                    </w:rPr>
                  </w:pPr>
                  <w:r>
                    <w:rPr>
                      <w:rFonts w:hint="eastAsia" w:ascii="宋体" w:hAnsi="宋体" w:eastAsia="宋体" w:cs="宋体"/>
                      <w:b/>
                      <w:sz w:val="21"/>
                      <w:szCs w:val="21"/>
                    </w:rPr>
                    <w:t>（过渡阶段）</w:t>
                  </w:r>
                </w:p>
              </w:tc>
              <w:tc>
                <w:tcPr>
                  <w:tcW w:w="426" w:type="pct"/>
                  <w:vMerge w:val="restart"/>
                  <w:tcBorders>
                    <w:top w:val="single" w:color="auto" w:sz="8" w:space="0"/>
                    <w:left w:val="single" w:color="000000" w:sz="4" w:space="0"/>
                    <w:bottom w:val="single" w:color="auto" w:sz="4" w:space="0"/>
                    <w:right w:val="nil"/>
                  </w:tcBorders>
                  <w:noWrap w:val="0"/>
                  <w:tcMar>
                    <w:top w:w="57" w:type="dxa"/>
                    <w:left w:w="85" w:type="dxa"/>
                    <w:bottom w:w="57" w:type="dxa"/>
                    <w:right w:w="85" w:type="dxa"/>
                  </w:tcMar>
                  <w:vAlign w:val="center"/>
                </w:tcPr>
                <w:p w14:paraId="7285B183">
                  <w:pPr>
                    <w:autoSpaceDE w:val="0"/>
                    <w:autoSpaceDN w:val="0"/>
                    <w:adjustRightInd w:val="0"/>
                    <w:snapToGrid w:val="0"/>
                    <w:jc w:val="center"/>
                    <w:rPr>
                      <w:b/>
                      <w:sz w:val="21"/>
                      <w:szCs w:val="21"/>
                    </w:rPr>
                  </w:pPr>
                  <w:r>
                    <w:rPr>
                      <w:rFonts w:hint="eastAsia" w:ascii="宋体" w:hAnsi="宋体" w:eastAsia="宋体" w:cs="宋体"/>
                      <w:b/>
                      <w:sz w:val="21"/>
                      <w:szCs w:val="21"/>
                    </w:rPr>
                    <w:t>达标情况</w:t>
                  </w:r>
                </w:p>
              </w:tc>
            </w:tr>
            <w:tr w14:paraId="4E13A6B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57" w:type="dxa"/>
                  <w:bottom w:w="57" w:type="dxa"/>
                  <w:right w:w="57" w:type="dxa"/>
                </w:tblCellMar>
              </w:tblPrEx>
              <w:trPr>
                <w:cantSplit/>
                <w:trHeight w:val="454" w:hRule="atLeast"/>
                <w:jc w:val="center"/>
              </w:trPr>
              <w:tc>
                <w:tcPr>
                  <w:tcW w:w="493" w:type="pct"/>
                  <w:vMerge w:val="continue"/>
                  <w:tcBorders>
                    <w:top w:val="single" w:color="auto" w:sz="4" w:space="0"/>
                    <w:left w:val="nil"/>
                    <w:bottom w:val="single" w:color="auto" w:sz="4" w:space="0"/>
                    <w:right w:val="single" w:color="auto" w:sz="4" w:space="0"/>
                  </w:tcBorders>
                  <w:noWrap w:val="0"/>
                  <w:tcMar>
                    <w:top w:w="57" w:type="dxa"/>
                    <w:left w:w="85" w:type="dxa"/>
                    <w:bottom w:w="57" w:type="dxa"/>
                    <w:right w:w="85" w:type="dxa"/>
                  </w:tcMar>
                  <w:vAlign w:val="center"/>
                </w:tcPr>
                <w:p w14:paraId="7612DBAE">
                  <w:pPr>
                    <w:autoSpaceDE w:val="0"/>
                    <w:autoSpaceDN w:val="0"/>
                    <w:adjustRightInd w:val="0"/>
                    <w:snapToGrid w:val="0"/>
                    <w:jc w:val="center"/>
                    <w:rPr>
                      <w:b/>
                      <w:sz w:val="21"/>
                      <w:szCs w:val="21"/>
                    </w:rPr>
                  </w:pPr>
                </w:p>
              </w:tc>
              <w:tc>
                <w:tcPr>
                  <w:tcW w:w="631" w:type="pct"/>
                  <w:vMerge w:val="continue"/>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367E64F6">
                  <w:pPr>
                    <w:autoSpaceDE w:val="0"/>
                    <w:autoSpaceDN w:val="0"/>
                    <w:adjustRightInd w:val="0"/>
                    <w:snapToGrid w:val="0"/>
                    <w:jc w:val="center"/>
                    <w:rPr>
                      <w:b/>
                      <w:sz w:val="21"/>
                      <w:szCs w:val="21"/>
                    </w:rPr>
                  </w:pPr>
                </w:p>
              </w:tc>
              <w:tc>
                <w:tcPr>
                  <w:tcW w:w="686" w:type="pct"/>
                  <w:vMerge w:val="continue"/>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2D66C5CA">
                  <w:pPr>
                    <w:autoSpaceDE w:val="0"/>
                    <w:autoSpaceDN w:val="0"/>
                    <w:adjustRightInd w:val="0"/>
                    <w:snapToGrid w:val="0"/>
                    <w:jc w:val="center"/>
                    <w:rPr>
                      <w:b/>
                      <w:sz w:val="21"/>
                      <w:szCs w:val="21"/>
                    </w:rPr>
                  </w:pPr>
                </w:p>
              </w:tc>
              <w:tc>
                <w:tcPr>
                  <w:tcW w:w="676" w:type="pct"/>
                  <w:tcBorders>
                    <w:top w:val="single" w:color="000000" w:sz="4" w:space="0"/>
                    <w:left w:val="single" w:color="auto" w:sz="4" w:space="0"/>
                    <w:bottom w:val="single" w:color="000000" w:sz="4" w:space="0"/>
                    <w:right w:val="single" w:color="auto" w:sz="4" w:space="0"/>
                  </w:tcBorders>
                  <w:noWrap w:val="0"/>
                  <w:tcMar>
                    <w:top w:w="57" w:type="dxa"/>
                    <w:left w:w="85" w:type="dxa"/>
                    <w:bottom w:w="57" w:type="dxa"/>
                    <w:right w:w="85" w:type="dxa"/>
                  </w:tcMar>
                  <w:vAlign w:val="center"/>
                </w:tcPr>
                <w:p w14:paraId="456605D0">
                  <w:pPr>
                    <w:autoSpaceDE w:val="0"/>
                    <w:autoSpaceDN w:val="0"/>
                    <w:adjustRightInd w:val="0"/>
                    <w:snapToGrid w:val="0"/>
                    <w:jc w:val="center"/>
                    <w:rPr>
                      <w:b/>
                      <w:sz w:val="21"/>
                      <w:szCs w:val="21"/>
                    </w:rPr>
                  </w:pPr>
                  <w:r>
                    <w:rPr>
                      <w:rFonts w:hint="eastAsia" w:ascii="宋体" w:hAnsi="宋体" w:eastAsia="宋体" w:cs="宋体"/>
                      <w:b/>
                      <w:sz w:val="21"/>
                      <w:szCs w:val="21"/>
                    </w:rPr>
                    <w:t>标准值</w:t>
                  </w:r>
                  <w:r>
                    <w:rPr>
                      <w:b/>
                      <w:sz w:val="21"/>
                      <w:szCs w:val="21"/>
                    </w:rPr>
                    <w:t>/</w:t>
                  </w:r>
                  <w:r>
                    <w:rPr>
                      <w:rFonts w:hint="eastAsia" w:ascii="宋体" w:hAnsi="宋体" w:eastAsia="宋体" w:cs="宋体"/>
                      <w:b/>
                      <w:sz w:val="21"/>
                      <w:szCs w:val="21"/>
                    </w:rPr>
                    <w:t>（</w:t>
                  </w:r>
                  <w:r>
                    <w:rPr>
                      <w:b/>
                      <w:bCs/>
                      <w:sz w:val="21"/>
                      <w:szCs w:val="21"/>
                    </w:rPr>
                    <w:t>μ</w:t>
                  </w:r>
                  <w:r>
                    <w:rPr>
                      <w:b/>
                      <w:sz w:val="21"/>
                      <w:szCs w:val="21"/>
                    </w:rPr>
                    <w:t>g/m</w:t>
                  </w:r>
                  <w:r>
                    <w:rPr>
                      <w:b/>
                      <w:sz w:val="21"/>
                      <w:szCs w:val="21"/>
                      <w:vertAlign w:val="superscript"/>
                    </w:rPr>
                    <w:t>3</w:t>
                  </w:r>
                  <w:r>
                    <w:rPr>
                      <w:rFonts w:hint="eastAsia" w:ascii="宋体" w:hAnsi="宋体" w:eastAsia="宋体" w:cs="宋体"/>
                      <w:b/>
                      <w:sz w:val="21"/>
                      <w:szCs w:val="21"/>
                    </w:rPr>
                    <w:t>）</w:t>
                  </w:r>
                </w:p>
              </w:tc>
              <w:tc>
                <w:tcPr>
                  <w:tcW w:w="480" w:type="pct"/>
                  <w:tcBorders>
                    <w:top w:val="single" w:color="000000" w:sz="4" w:space="0"/>
                    <w:left w:val="single" w:color="auto" w:sz="4" w:space="0"/>
                    <w:bottom w:val="single" w:color="000000" w:sz="4" w:space="0"/>
                    <w:right w:val="single" w:color="auto" w:sz="4" w:space="0"/>
                  </w:tcBorders>
                  <w:noWrap w:val="0"/>
                  <w:tcMar>
                    <w:top w:w="57" w:type="dxa"/>
                    <w:left w:w="85" w:type="dxa"/>
                    <w:bottom w:w="57" w:type="dxa"/>
                    <w:right w:w="85" w:type="dxa"/>
                  </w:tcMar>
                  <w:vAlign w:val="center"/>
                </w:tcPr>
                <w:p w14:paraId="767DF1D1">
                  <w:pPr>
                    <w:autoSpaceDE w:val="0"/>
                    <w:autoSpaceDN w:val="0"/>
                    <w:adjustRightInd w:val="0"/>
                    <w:snapToGrid w:val="0"/>
                    <w:jc w:val="center"/>
                    <w:rPr>
                      <w:b/>
                      <w:sz w:val="21"/>
                      <w:szCs w:val="21"/>
                    </w:rPr>
                  </w:pPr>
                  <w:r>
                    <w:rPr>
                      <w:rFonts w:hint="eastAsia" w:ascii="宋体" w:hAnsi="宋体" w:eastAsia="宋体" w:cs="宋体"/>
                      <w:b/>
                      <w:sz w:val="21"/>
                      <w:szCs w:val="21"/>
                    </w:rPr>
                    <w:t>占标率</w:t>
                  </w:r>
                  <w:r>
                    <w:rPr>
                      <w:b/>
                      <w:sz w:val="21"/>
                      <w:szCs w:val="21"/>
                    </w:rPr>
                    <w:t>/%</w:t>
                  </w:r>
                </w:p>
              </w:tc>
              <w:tc>
                <w:tcPr>
                  <w:tcW w:w="431" w:type="pct"/>
                  <w:vMerge w:val="continue"/>
                  <w:tcBorders>
                    <w:top w:val="single" w:color="auto" w:sz="4" w:space="0"/>
                    <w:left w:val="single" w:color="auto" w:sz="4" w:space="0"/>
                    <w:bottom w:val="single" w:color="auto" w:sz="4" w:space="0"/>
                    <w:right w:val="single" w:color="000000" w:sz="4" w:space="0"/>
                  </w:tcBorders>
                  <w:noWrap w:val="0"/>
                  <w:tcMar>
                    <w:top w:w="57" w:type="dxa"/>
                    <w:left w:w="85" w:type="dxa"/>
                    <w:bottom w:w="57" w:type="dxa"/>
                    <w:right w:w="85" w:type="dxa"/>
                  </w:tcMar>
                  <w:vAlign w:val="center"/>
                </w:tcPr>
                <w:p w14:paraId="73BA852C">
                  <w:pPr>
                    <w:autoSpaceDE w:val="0"/>
                    <w:autoSpaceDN w:val="0"/>
                    <w:adjustRightInd w:val="0"/>
                    <w:snapToGrid w:val="0"/>
                    <w:jc w:val="center"/>
                    <w:rPr>
                      <w:b/>
                      <w:sz w:val="21"/>
                      <w:szCs w:val="21"/>
                    </w:rPr>
                  </w:pPr>
                </w:p>
              </w:tc>
              <w:tc>
                <w:tcPr>
                  <w:tcW w:w="676" w:type="pct"/>
                  <w:tcBorders>
                    <w:top w:val="single" w:color="000000" w:sz="4" w:space="0"/>
                    <w:left w:val="single" w:color="000000" w:sz="4" w:space="0"/>
                    <w:bottom w:val="single" w:color="auto" w:sz="4" w:space="0"/>
                    <w:right w:val="single" w:color="000000" w:sz="4" w:space="0"/>
                  </w:tcBorders>
                  <w:noWrap w:val="0"/>
                  <w:tcMar>
                    <w:top w:w="57" w:type="dxa"/>
                    <w:left w:w="85" w:type="dxa"/>
                    <w:bottom w:w="57" w:type="dxa"/>
                    <w:right w:w="85" w:type="dxa"/>
                  </w:tcMar>
                  <w:vAlign w:val="center"/>
                </w:tcPr>
                <w:p w14:paraId="61B6F483">
                  <w:pPr>
                    <w:autoSpaceDE w:val="0"/>
                    <w:autoSpaceDN w:val="0"/>
                    <w:adjustRightInd w:val="0"/>
                    <w:snapToGrid w:val="0"/>
                    <w:jc w:val="center"/>
                    <w:rPr>
                      <w:b/>
                      <w:sz w:val="21"/>
                      <w:szCs w:val="21"/>
                    </w:rPr>
                  </w:pPr>
                  <w:r>
                    <w:rPr>
                      <w:rFonts w:hint="eastAsia" w:ascii="宋体" w:hAnsi="宋体" w:eastAsia="宋体" w:cs="宋体"/>
                      <w:b/>
                      <w:sz w:val="21"/>
                      <w:szCs w:val="21"/>
                    </w:rPr>
                    <w:t>标准值</w:t>
                  </w:r>
                  <w:r>
                    <w:rPr>
                      <w:b/>
                      <w:sz w:val="21"/>
                      <w:szCs w:val="21"/>
                    </w:rPr>
                    <w:t>/</w:t>
                  </w:r>
                  <w:r>
                    <w:rPr>
                      <w:rFonts w:hint="eastAsia" w:ascii="宋体" w:hAnsi="宋体" w:eastAsia="宋体" w:cs="宋体"/>
                      <w:b/>
                      <w:sz w:val="21"/>
                      <w:szCs w:val="21"/>
                    </w:rPr>
                    <w:t>（</w:t>
                  </w:r>
                  <w:r>
                    <w:rPr>
                      <w:b/>
                      <w:bCs/>
                      <w:sz w:val="21"/>
                      <w:szCs w:val="21"/>
                    </w:rPr>
                    <w:t>μ</w:t>
                  </w:r>
                  <w:r>
                    <w:rPr>
                      <w:b/>
                      <w:sz w:val="21"/>
                      <w:szCs w:val="21"/>
                    </w:rPr>
                    <w:t>g/m</w:t>
                  </w:r>
                  <w:r>
                    <w:rPr>
                      <w:b/>
                      <w:sz w:val="21"/>
                      <w:szCs w:val="21"/>
                      <w:vertAlign w:val="superscript"/>
                    </w:rPr>
                    <w:t>3</w:t>
                  </w:r>
                  <w:r>
                    <w:rPr>
                      <w:rFonts w:hint="eastAsia" w:ascii="宋体" w:hAnsi="宋体" w:eastAsia="宋体" w:cs="宋体"/>
                      <w:b/>
                      <w:sz w:val="21"/>
                      <w:szCs w:val="21"/>
                    </w:rPr>
                    <w:t>）</w:t>
                  </w:r>
                </w:p>
              </w:tc>
              <w:tc>
                <w:tcPr>
                  <w:tcW w:w="496" w:type="pct"/>
                  <w:tcBorders>
                    <w:top w:val="single" w:color="000000" w:sz="4" w:space="0"/>
                    <w:left w:val="single" w:color="000000" w:sz="4" w:space="0"/>
                    <w:bottom w:val="single" w:color="auto" w:sz="4" w:space="0"/>
                    <w:right w:val="single" w:color="000000" w:sz="4" w:space="0"/>
                  </w:tcBorders>
                  <w:noWrap w:val="0"/>
                  <w:tcMar>
                    <w:top w:w="57" w:type="dxa"/>
                    <w:left w:w="85" w:type="dxa"/>
                    <w:bottom w:w="57" w:type="dxa"/>
                    <w:right w:w="85" w:type="dxa"/>
                  </w:tcMar>
                  <w:vAlign w:val="center"/>
                </w:tcPr>
                <w:p w14:paraId="6323859D">
                  <w:pPr>
                    <w:autoSpaceDE w:val="0"/>
                    <w:autoSpaceDN w:val="0"/>
                    <w:adjustRightInd w:val="0"/>
                    <w:snapToGrid w:val="0"/>
                    <w:jc w:val="center"/>
                    <w:rPr>
                      <w:b/>
                      <w:sz w:val="21"/>
                      <w:szCs w:val="21"/>
                    </w:rPr>
                  </w:pPr>
                  <w:r>
                    <w:rPr>
                      <w:rFonts w:hint="eastAsia" w:ascii="宋体" w:hAnsi="宋体" w:eastAsia="宋体" w:cs="宋体"/>
                      <w:b/>
                      <w:sz w:val="21"/>
                      <w:szCs w:val="21"/>
                    </w:rPr>
                    <w:t>占标率</w:t>
                  </w:r>
                  <w:r>
                    <w:rPr>
                      <w:b/>
                      <w:sz w:val="21"/>
                      <w:szCs w:val="21"/>
                    </w:rPr>
                    <w:t>/%</w:t>
                  </w:r>
                </w:p>
              </w:tc>
              <w:tc>
                <w:tcPr>
                  <w:tcW w:w="426" w:type="pct"/>
                  <w:vMerge w:val="continue"/>
                  <w:tcBorders>
                    <w:top w:val="single" w:color="auto" w:sz="4" w:space="0"/>
                    <w:left w:val="single" w:color="000000" w:sz="4" w:space="0"/>
                    <w:bottom w:val="single" w:color="auto" w:sz="4" w:space="0"/>
                    <w:right w:val="nil"/>
                  </w:tcBorders>
                  <w:noWrap w:val="0"/>
                  <w:tcMar>
                    <w:top w:w="57" w:type="dxa"/>
                    <w:left w:w="85" w:type="dxa"/>
                    <w:bottom w:w="57" w:type="dxa"/>
                    <w:right w:w="85" w:type="dxa"/>
                  </w:tcMar>
                  <w:vAlign w:val="center"/>
                </w:tcPr>
                <w:p w14:paraId="22936CEA">
                  <w:pPr>
                    <w:autoSpaceDE w:val="0"/>
                    <w:autoSpaceDN w:val="0"/>
                    <w:adjustRightInd w:val="0"/>
                    <w:snapToGrid w:val="0"/>
                    <w:jc w:val="center"/>
                    <w:rPr>
                      <w:b/>
                      <w:sz w:val="21"/>
                      <w:szCs w:val="21"/>
                    </w:rPr>
                  </w:pPr>
                </w:p>
              </w:tc>
            </w:tr>
            <w:tr w14:paraId="18D48ED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57" w:type="dxa"/>
                  <w:bottom w:w="57" w:type="dxa"/>
                  <w:right w:w="57" w:type="dxa"/>
                </w:tblCellMar>
              </w:tblPrEx>
              <w:trPr>
                <w:cantSplit/>
                <w:trHeight w:val="454" w:hRule="atLeast"/>
                <w:jc w:val="center"/>
              </w:trPr>
              <w:tc>
                <w:tcPr>
                  <w:tcW w:w="493" w:type="pct"/>
                  <w:tcBorders>
                    <w:top w:val="single" w:color="auto" w:sz="4" w:space="0"/>
                    <w:left w:val="nil"/>
                    <w:bottom w:val="single" w:color="auto" w:sz="4" w:space="0"/>
                    <w:right w:val="single" w:color="auto" w:sz="4" w:space="0"/>
                  </w:tcBorders>
                  <w:noWrap w:val="0"/>
                  <w:tcMar>
                    <w:top w:w="57" w:type="dxa"/>
                    <w:left w:w="85" w:type="dxa"/>
                    <w:bottom w:w="57" w:type="dxa"/>
                    <w:right w:w="85" w:type="dxa"/>
                  </w:tcMar>
                  <w:vAlign w:val="center"/>
                </w:tcPr>
                <w:p w14:paraId="4701CE2D">
                  <w:pPr>
                    <w:jc w:val="center"/>
                    <w:rPr>
                      <w:sz w:val="21"/>
                      <w:szCs w:val="21"/>
                    </w:rPr>
                  </w:pPr>
                  <w:r>
                    <w:rPr>
                      <w:snapToGrid w:val="0"/>
                      <w:spacing w:val="1"/>
                      <w:kern w:val="0"/>
                      <w:sz w:val="21"/>
                      <w:szCs w:val="21"/>
                    </w:rPr>
                    <w:t>PM</w:t>
                  </w:r>
                  <w:r>
                    <w:rPr>
                      <w:snapToGrid w:val="0"/>
                      <w:spacing w:val="1"/>
                      <w:kern w:val="0"/>
                      <w:sz w:val="21"/>
                      <w:szCs w:val="21"/>
                      <w:vertAlign w:val="subscript"/>
                    </w:rPr>
                    <w:t>10</w:t>
                  </w:r>
                </w:p>
              </w:tc>
              <w:tc>
                <w:tcPr>
                  <w:tcW w:w="631"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797E6162">
                  <w:pPr>
                    <w:jc w:val="center"/>
                    <w:rPr>
                      <w:sz w:val="21"/>
                      <w:szCs w:val="21"/>
                    </w:rPr>
                  </w:pPr>
                  <w:r>
                    <w:rPr>
                      <w:rFonts w:hint="eastAsia" w:ascii="宋体" w:hAnsi="宋体" w:eastAsia="宋体" w:cs="宋体"/>
                      <w:snapToGrid w:val="0"/>
                      <w:spacing w:val="1"/>
                      <w:kern w:val="0"/>
                      <w:sz w:val="21"/>
                      <w:szCs w:val="21"/>
                    </w:rPr>
                    <w:t>年平均质量浓度</w:t>
                  </w:r>
                </w:p>
              </w:tc>
              <w:tc>
                <w:tcPr>
                  <w:tcW w:w="686"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6A2E8B35">
                  <w:pPr>
                    <w:autoSpaceDE w:val="0"/>
                    <w:autoSpaceDN w:val="0"/>
                    <w:adjustRightInd w:val="0"/>
                    <w:snapToGrid w:val="0"/>
                    <w:jc w:val="center"/>
                    <w:rPr>
                      <w:sz w:val="21"/>
                      <w:szCs w:val="21"/>
                    </w:rPr>
                  </w:pPr>
                  <w:r>
                    <w:rPr>
                      <w:sz w:val="21"/>
                      <w:szCs w:val="21"/>
                    </w:rPr>
                    <w:t>82</w:t>
                  </w:r>
                </w:p>
              </w:tc>
              <w:tc>
                <w:tcPr>
                  <w:tcW w:w="676" w:type="pct"/>
                  <w:tcBorders>
                    <w:top w:val="single" w:color="000000"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711ED0A2">
                  <w:pPr>
                    <w:autoSpaceDE w:val="0"/>
                    <w:autoSpaceDN w:val="0"/>
                    <w:adjustRightInd w:val="0"/>
                    <w:snapToGrid w:val="0"/>
                    <w:jc w:val="center"/>
                    <w:rPr>
                      <w:sz w:val="21"/>
                      <w:szCs w:val="21"/>
                    </w:rPr>
                  </w:pPr>
                  <w:r>
                    <w:rPr>
                      <w:sz w:val="21"/>
                      <w:szCs w:val="21"/>
                    </w:rPr>
                    <w:t>70</w:t>
                  </w:r>
                </w:p>
              </w:tc>
              <w:tc>
                <w:tcPr>
                  <w:tcW w:w="480" w:type="pct"/>
                  <w:tcBorders>
                    <w:top w:val="single" w:color="000000"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4F3CB1F0">
                  <w:pPr>
                    <w:autoSpaceDE w:val="0"/>
                    <w:autoSpaceDN w:val="0"/>
                    <w:adjustRightInd w:val="0"/>
                    <w:snapToGrid w:val="0"/>
                    <w:jc w:val="center"/>
                    <w:rPr>
                      <w:sz w:val="21"/>
                      <w:szCs w:val="21"/>
                    </w:rPr>
                  </w:pPr>
                  <w:r>
                    <w:rPr>
                      <w:sz w:val="21"/>
                      <w:szCs w:val="21"/>
                    </w:rPr>
                    <w:t>117.1</w:t>
                  </w:r>
                </w:p>
              </w:tc>
              <w:tc>
                <w:tcPr>
                  <w:tcW w:w="431" w:type="pct"/>
                  <w:tcBorders>
                    <w:top w:val="single" w:color="auto" w:sz="4" w:space="0"/>
                    <w:left w:val="single" w:color="auto" w:sz="4" w:space="0"/>
                    <w:bottom w:val="single" w:color="auto" w:sz="4" w:space="0"/>
                    <w:right w:val="single" w:color="000000" w:sz="4" w:space="0"/>
                  </w:tcBorders>
                  <w:noWrap w:val="0"/>
                  <w:tcMar>
                    <w:top w:w="57" w:type="dxa"/>
                    <w:left w:w="85" w:type="dxa"/>
                    <w:bottom w:w="57" w:type="dxa"/>
                    <w:right w:w="85" w:type="dxa"/>
                  </w:tcMar>
                  <w:vAlign w:val="center"/>
                </w:tcPr>
                <w:p w14:paraId="330DBD34">
                  <w:pPr>
                    <w:autoSpaceDE w:val="0"/>
                    <w:autoSpaceDN w:val="0"/>
                    <w:adjustRightInd w:val="0"/>
                    <w:snapToGrid w:val="0"/>
                    <w:jc w:val="center"/>
                    <w:rPr>
                      <w:sz w:val="21"/>
                      <w:szCs w:val="21"/>
                    </w:rPr>
                  </w:pPr>
                  <w:r>
                    <w:rPr>
                      <w:rFonts w:hint="eastAsia" w:ascii="宋体" w:hAnsi="宋体" w:eastAsia="宋体" w:cs="宋体"/>
                      <w:sz w:val="21"/>
                      <w:szCs w:val="21"/>
                    </w:rPr>
                    <w:t>超标</w:t>
                  </w:r>
                </w:p>
              </w:tc>
              <w:tc>
                <w:tcPr>
                  <w:tcW w:w="676" w:type="pct"/>
                  <w:tcBorders>
                    <w:top w:val="single" w:color="auto" w:sz="4" w:space="0"/>
                    <w:left w:val="single" w:color="000000" w:sz="4" w:space="0"/>
                    <w:bottom w:val="single" w:color="auto" w:sz="4" w:space="0"/>
                    <w:right w:val="single" w:color="000000" w:sz="4" w:space="0"/>
                  </w:tcBorders>
                  <w:noWrap w:val="0"/>
                  <w:tcMar>
                    <w:top w:w="57" w:type="dxa"/>
                    <w:left w:w="85" w:type="dxa"/>
                    <w:bottom w:w="57" w:type="dxa"/>
                    <w:right w:w="85" w:type="dxa"/>
                  </w:tcMar>
                  <w:vAlign w:val="center"/>
                </w:tcPr>
                <w:p w14:paraId="266B7348">
                  <w:pPr>
                    <w:autoSpaceDE w:val="0"/>
                    <w:autoSpaceDN w:val="0"/>
                    <w:adjustRightInd w:val="0"/>
                    <w:snapToGrid w:val="0"/>
                    <w:jc w:val="center"/>
                    <w:rPr>
                      <w:sz w:val="21"/>
                      <w:szCs w:val="21"/>
                    </w:rPr>
                  </w:pPr>
                  <w:r>
                    <w:rPr>
                      <w:sz w:val="21"/>
                      <w:szCs w:val="21"/>
                    </w:rPr>
                    <w:t>60</w:t>
                  </w:r>
                </w:p>
              </w:tc>
              <w:tc>
                <w:tcPr>
                  <w:tcW w:w="496" w:type="pct"/>
                  <w:tcBorders>
                    <w:top w:val="single" w:color="auto" w:sz="4" w:space="0"/>
                    <w:left w:val="single" w:color="000000" w:sz="4" w:space="0"/>
                    <w:bottom w:val="single" w:color="auto" w:sz="4" w:space="0"/>
                    <w:right w:val="single" w:color="000000" w:sz="4" w:space="0"/>
                  </w:tcBorders>
                  <w:noWrap w:val="0"/>
                  <w:tcMar>
                    <w:top w:w="57" w:type="dxa"/>
                    <w:left w:w="85" w:type="dxa"/>
                    <w:bottom w:w="57" w:type="dxa"/>
                    <w:right w:w="85" w:type="dxa"/>
                  </w:tcMar>
                  <w:vAlign w:val="center"/>
                </w:tcPr>
                <w:p w14:paraId="42DBBA09">
                  <w:pPr>
                    <w:autoSpaceDE w:val="0"/>
                    <w:autoSpaceDN w:val="0"/>
                    <w:adjustRightInd w:val="0"/>
                    <w:snapToGrid w:val="0"/>
                    <w:jc w:val="center"/>
                    <w:rPr>
                      <w:sz w:val="21"/>
                      <w:szCs w:val="21"/>
                    </w:rPr>
                  </w:pPr>
                  <w:r>
                    <w:rPr>
                      <w:sz w:val="21"/>
                      <w:szCs w:val="21"/>
                    </w:rPr>
                    <w:t>136.7</w:t>
                  </w:r>
                </w:p>
              </w:tc>
              <w:tc>
                <w:tcPr>
                  <w:tcW w:w="426" w:type="pct"/>
                  <w:tcBorders>
                    <w:top w:val="single" w:color="auto" w:sz="4" w:space="0"/>
                    <w:left w:val="single" w:color="000000" w:sz="4" w:space="0"/>
                    <w:bottom w:val="single" w:color="auto" w:sz="4" w:space="0"/>
                    <w:right w:val="nil"/>
                  </w:tcBorders>
                  <w:noWrap w:val="0"/>
                  <w:tcMar>
                    <w:top w:w="57" w:type="dxa"/>
                    <w:left w:w="85" w:type="dxa"/>
                    <w:bottom w:w="57" w:type="dxa"/>
                    <w:right w:w="85" w:type="dxa"/>
                  </w:tcMar>
                  <w:vAlign w:val="center"/>
                </w:tcPr>
                <w:p w14:paraId="21787EDA">
                  <w:pPr>
                    <w:autoSpaceDE w:val="0"/>
                    <w:autoSpaceDN w:val="0"/>
                    <w:adjustRightInd w:val="0"/>
                    <w:snapToGrid w:val="0"/>
                    <w:jc w:val="center"/>
                    <w:rPr>
                      <w:sz w:val="21"/>
                      <w:szCs w:val="21"/>
                    </w:rPr>
                  </w:pPr>
                  <w:r>
                    <w:rPr>
                      <w:rFonts w:hint="eastAsia" w:ascii="宋体" w:hAnsi="宋体" w:eastAsia="宋体" w:cs="宋体"/>
                      <w:sz w:val="21"/>
                      <w:szCs w:val="21"/>
                    </w:rPr>
                    <w:t>超标</w:t>
                  </w:r>
                </w:p>
              </w:tc>
            </w:tr>
            <w:tr w14:paraId="06E2A71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57" w:type="dxa"/>
                  <w:bottom w:w="57" w:type="dxa"/>
                  <w:right w:w="57" w:type="dxa"/>
                </w:tblCellMar>
              </w:tblPrEx>
              <w:trPr>
                <w:cantSplit/>
                <w:trHeight w:val="454" w:hRule="atLeast"/>
                <w:jc w:val="center"/>
              </w:trPr>
              <w:tc>
                <w:tcPr>
                  <w:tcW w:w="493" w:type="pct"/>
                  <w:tcBorders>
                    <w:top w:val="single" w:color="auto" w:sz="4" w:space="0"/>
                    <w:left w:val="nil"/>
                    <w:bottom w:val="single" w:color="auto" w:sz="4" w:space="0"/>
                    <w:right w:val="single" w:color="auto" w:sz="4" w:space="0"/>
                  </w:tcBorders>
                  <w:noWrap w:val="0"/>
                  <w:tcMar>
                    <w:top w:w="57" w:type="dxa"/>
                    <w:left w:w="85" w:type="dxa"/>
                    <w:bottom w:w="57" w:type="dxa"/>
                    <w:right w:w="85" w:type="dxa"/>
                  </w:tcMar>
                  <w:vAlign w:val="center"/>
                </w:tcPr>
                <w:p w14:paraId="2B9AA4EF">
                  <w:pPr>
                    <w:jc w:val="center"/>
                    <w:rPr>
                      <w:sz w:val="21"/>
                      <w:szCs w:val="21"/>
                    </w:rPr>
                  </w:pPr>
                  <w:r>
                    <w:rPr>
                      <w:snapToGrid w:val="0"/>
                      <w:spacing w:val="1"/>
                      <w:kern w:val="0"/>
                      <w:sz w:val="21"/>
                      <w:szCs w:val="21"/>
                    </w:rPr>
                    <w:t>PM</w:t>
                  </w:r>
                  <w:r>
                    <w:rPr>
                      <w:snapToGrid w:val="0"/>
                      <w:spacing w:val="1"/>
                      <w:kern w:val="0"/>
                      <w:sz w:val="21"/>
                      <w:szCs w:val="21"/>
                      <w:vertAlign w:val="subscript"/>
                    </w:rPr>
                    <w:t>2.5</w:t>
                  </w:r>
                </w:p>
              </w:tc>
              <w:tc>
                <w:tcPr>
                  <w:tcW w:w="631"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6FAE538F">
                  <w:pPr>
                    <w:jc w:val="center"/>
                    <w:rPr>
                      <w:sz w:val="21"/>
                      <w:szCs w:val="21"/>
                    </w:rPr>
                  </w:pPr>
                  <w:r>
                    <w:rPr>
                      <w:rFonts w:hint="eastAsia" w:ascii="宋体" w:hAnsi="宋体" w:eastAsia="宋体" w:cs="宋体"/>
                      <w:snapToGrid w:val="0"/>
                      <w:spacing w:val="1"/>
                      <w:kern w:val="0"/>
                      <w:sz w:val="21"/>
                      <w:szCs w:val="21"/>
                    </w:rPr>
                    <w:t>年平均质量浓度</w:t>
                  </w:r>
                </w:p>
              </w:tc>
              <w:tc>
                <w:tcPr>
                  <w:tcW w:w="686"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3461CDB1">
                  <w:pPr>
                    <w:autoSpaceDE w:val="0"/>
                    <w:autoSpaceDN w:val="0"/>
                    <w:adjustRightInd w:val="0"/>
                    <w:snapToGrid w:val="0"/>
                    <w:jc w:val="center"/>
                    <w:rPr>
                      <w:sz w:val="21"/>
                      <w:szCs w:val="21"/>
                    </w:rPr>
                  </w:pPr>
                  <w:r>
                    <w:rPr>
                      <w:sz w:val="21"/>
                      <w:szCs w:val="21"/>
                    </w:rPr>
                    <w:t>49</w:t>
                  </w:r>
                </w:p>
              </w:tc>
              <w:tc>
                <w:tcPr>
                  <w:tcW w:w="676"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72286880">
                  <w:pPr>
                    <w:autoSpaceDE w:val="0"/>
                    <w:autoSpaceDN w:val="0"/>
                    <w:adjustRightInd w:val="0"/>
                    <w:snapToGrid w:val="0"/>
                    <w:jc w:val="center"/>
                    <w:rPr>
                      <w:sz w:val="21"/>
                      <w:szCs w:val="21"/>
                    </w:rPr>
                  </w:pPr>
                  <w:r>
                    <w:rPr>
                      <w:sz w:val="21"/>
                      <w:szCs w:val="21"/>
                    </w:rPr>
                    <w:t>35</w:t>
                  </w:r>
                </w:p>
              </w:tc>
              <w:tc>
                <w:tcPr>
                  <w:tcW w:w="480"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23AB6C0F">
                  <w:pPr>
                    <w:autoSpaceDE w:val="0"/>
                    <w:autoSpaceDN w:val="0"/>
                    <w:adjustRightInd w:val="0"/>
                    <w:snapToGrid w:val="0"/>
                    <w:jc w:val="center"/>
                    <w:rPr>
                      <w:sz w:val="21"/>
                      <w:szCs w:val="21"/>
                    </w:rPr>
                  </w:pPr>
                  <w:r>
                    <w:rPr>
                      <w:sz w:val="21"/>
                      <w:szCs w:val="21"/>
                    </w:rPr>
                    <w:t>140</w:t>
                  </w:r>
                </w:p>
              </w:tc>
              <w:tc>
                <w:tcPr>
                  <w:tcW w:w="431" w:type="pct"/>
                  <w:tcBorders>
                    <w:top w:val="single" w:color="auto" w:sz="4" w:space="0"/>
                    <w:left w:val="single" w:color="auto" w:sz="4" w:space="0"/>
                    <w:bottom w:val="single" w:color="auto" w:sz="4" w:space="0"/>
                    <w:right w:val="single" w:color="000000" w:sz="4" w:space="0"/>
                  </w:tcBorders>
                  <w:noWrap w:val="0"/>
                  <w:tcMar>
                    <w:top w:w="57" w:type="dxa"/>
                    <w:left w:w="85" w:type="dxa"/>
                    <w:bottom w:w="57" w:type="dxa"/>
                    <w:right w:w="85" w:type="dxa"/>
                  </w:tcMar>
                  <w:vAlign w:val="center"/>
                </w:tcPr>
                <w:p w14:paraId="7AE9D29A">
                  <w:pPr>
                    <w:autoSpaceDE w:val="0"/>
                    <w:autoSpaceDN w:val="0"/>
                    <w:adjustRightInd w:val="0"/>
                    <w:snapToGrid w:val="0"/>
                    <w:jc w:val="center"/>
                    <w:rPr>
                      <w:sz w:val="21"/>
                      <w:szCs w:val="21"/>
                    </w:rPr>
                  </w:pPr>
                  <w:r>
                    <w:rPr>
                      <w:rFonts w:hint="eastAsia" w:ascii="宋体" w:hAnsi="宋体" w:eastAsia="宋体" w:cs="宋体"/>
                      <w:sz w:val="21"/>
                      <w:szCs w:val="21"/>
                    </w:rPr>
                    <w:t>超标</w:t>
                  </w:r>
                </w:p>
              </w:tc>
              <w:tc>
                <w:tcPr>
                  <w:tcW w:w="676" w:type="pct"/>
                  <w:tcBorders>
                    <w:top w:val="single" w:color="auto" w:sz="4" w:space="0"/>
                    <w:left w:val="single" w:color="000000" w:sz="4" w:space="0"/>
                    <w:bottom w:val="single" w:color="auto" w:sz="4" w:space="0"/>
                    <w:right w:val="single" w:color="000000" w:sz="4" w:space="0"/>
                  </w:tcBorders>
                  <w:noWrap w:val="0"/>
                  <w:tcMar>
                    <w:top w:w="57" w:type="dxa"/>
                    <w:left w:w="85" w:type="dxa"/>
                    <w:bottom w:w="57" w:type="dxa"/>
                    <w:right w:w="85" w:type="dxa"/>
                  </w:tcMar>
                  <w:vAlign w:val="center"/>
                </w:tcPr>
                <w:p w14:paraId="39A0C322">
                  <w:pPr>
                    <w:autoSpaceDE w:val="0"/>
                    <w:autoSpaceDN w:val="0"/>
                    <w:adjustRightInd w:val="0"/>
                    <w:snapToGrid w:val="0"/>
                    <w:jc w:val="center"/>
                    <w:rPr>
                      <w:sz w:val="21"/>
                      <w:szCs w:val="21"/>
                    </w:rPr>
                  </w:pPr>
                  <w:r>
                    <w:rPr>
                      <w:sz w:val="21"/>
                      <w:szCs w:val="21"/>
                    </w:rPr>
                    <w:t>30</w:t>
                  </w:r>
                </w:p>
              </w:tc>
              <w:tc>
                <w:tcPr>
                  <w:tcW w:w="496" w:type="pct"/>
                  <w:tcBorders>
                    <w:top w:val="single" w:color="auto" w:sz="4" w:space="0"/>
                    <w:left w:val="single" w:color="000000" w:sz="4" w:space="0"/>
                    <w:bottom w:val="single" w:color="auto" w:sz="4" w:space="0"/>
                    <w:right w:val="single" w:color="000000" w:sz="4" w:space="0"/>
                  </w:tcBorders>
                  <w:noWrap w:val="0"/>
                  <w:tcMar>
                    <w:top w:w="57" w:type="dxa"/>
                    <w:left w:w="85" w:type="dxa"/>
                    <w:bottom w:w="57" w:type="dxa"/>
                    <w:right w:w="85" w:type="dxa"/>
                  </w:tcMar>
                  <w:vAlign w:val="center"/>
                </w:tcPr>
                <w:p w14:paraId="6665C2A0">
                  <w:pPr>
                    <w:autoSpaceDE w:val="0"/>
                    <w:autoSpaceDN w:val="0"/>
                    <w:adjustRightInd w:val="0"/>
                    <w:snapToGrid w:val="0"/>
                    <w:jc w:val="center"/>
                    <w:rPr>
                      <w:sz w:val="21"/>
                      <w:szCs w:val="21"/>
                    </w:rPr>
                  </w:pPr>
                  <w:r>
                    <w:rPr>
                      <w:sz w:val="21"/>
                      <w:szCs w:val="21"/>
                    </w:rPr>
                    <w:t>163.3</w:t>
                  </w:r>
                </w:p>
              </w:tc>
              <w:tc>
                <w:tcPr>
                  <w:tcW w:w="426" w:type="pct"/>
                  <w:tcBorders>
                    <w:top w:val="single" w:color="auto" w:sz="4" w:space="0"/>
                    <w:left w:val="single" w:color="000000" w:sz="4" w:space="0"/>
                    <w:bottom w:val="single" w:color="auto" w:sz="4" w:space="0"/>
                    <w:right w:val="nil"/>
                  </w:tcBorders>
                  <w:noWrap w:val="0"/>
                  <w:tcMar>
                    <w:top w:w="57" w:type="dxa"/>
                    <w:left w:w="85" w:type="dxa"/>
                    <w:bottom w:w="57" w:type="dxa"/>
                    <w:right w:w="85" w:type="dxa"/>
                  </w:tcMar>
                  <w:vAlign w:val="center"/>
                </w:tcPr>
                <w:p w14:paraId="2880FB59">
                  <w:pPr>
                    <w:autoSpaceDE w:val="0"/>
                    <w:autoSpaceDN w:val="0"/>
                    <w:adjustRightInd w:val="0"/>
                    <w:snapToGrid w:val="0"/>
                    <w:jc w:val="center"/>
                    <w:rPr>
                      <w:sz w:val="21"/>
                      <w:szCs w:val="21"/>
                    </w:rPr>
                  </w:pPr>
                  <w:r>
                    <w:rPr>
                      <w:rFonts w:hint="eastAsia" w:ascii="宋体" w:hAnsi="宋体" w:eastAsia="宋体" w:cs="宋体"/>
                      <w:sz w:val="21"/>
                      <w:szCs w:val="21"/>
                    </w:rPr>
                    <w:t>超标</w:t>
                  </w:r>
                </w:p>
              </w:tc>
            </w:tr>
            <w:tr w14:paraId="5E87C29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57" w:type="dxa"/>
                  <w:bottom w:w="57" w:type="dxa"/>
                  <w:right w:w="57" w:type="dxa"/>
                </w:tblCellMar>
              </w:tblPrEx>
              <w:trPr>
                <w:cantSplit/>
                <w:trHeight w:val="454" w:hRule="atLeast"/>
                <w:jc w:val="center"/>
              </w:trPr>
              <w:tc>
                <w:tcPr>
                  <w:tcW w:w="493" w:type="pct"/>
                  <w:tcBorders>
                    <w:top w:val="single" w:color="auto" w:sz="4" w:space="0"/>
                    <w:left w:val="nil"/>
                    <w:bottom w:val="single" w:color="auto" w:sz="4" w:space="0"/>
                    <w:right w:val="single" w:color="auto" w:sz="4" w:space="0"/>
                  </w:tcBorders>
                  <w:noWrap w:val="0"/>
                  <w:tcMar>
                    <w:top w:w="57" w:type="dxa"/>
                    <w:left w:w="85" w:type="dxa"/>
                    <w:bottom w:w="57" w:type="dxa"/>
                    <w:right w:w="85" w:type="dxa"/>
                  </w:tcMar>
                  <w:vAlign w:val="center"/>
                </w:tcPr>
                <w:p w14:paraId="347DB689">
                  <w:pPr>
                    <w:jc w:val="center"/>
                    <w:rPr>
                      <w:sz w:val="21"/>
                      <w:szCs w:val="21"/>
                    </w:rPr>
                  </w:pPr>
                  <w:r>
                    <w:rPr>
                      <w:snapToGrid w:val="0"/>
                      <w:spacing w:val="1"/>
                      <w:kern w:val="0"/>
                      <w:sz w:val="21"/>
                      <w:szCs w:val="21"/>
                    </w:rPr>
                    <w:t>SO</w:t>
                  </w:r>
                  <w:r>
                    <w:rPr>
                      <w:snapToGrid w:val="0"/>
                      <w:spacing w:val="1"/>
                      <w:kern w:val="0"/>
                      <w:sz w:val="21"/>
                      <w:szCs w:val="21"/>
                      <w:vertAlign w:val="subscript"/>
                    </w:rPr>
                    <w:t>2</w:t>
                  </w:r>
                </w:p>
              </w:tc>
              <w:tc>
                <w:tcPr>
                  <w:tcW w:w="631"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05A3B26E">
                  <w:pPr>
                    <w:jc w:val="center"/>
                    <w:rPr>
                      <w:sz w:val="21"/>
                      <w:szCs w:val="21"/>
                    </w:rPr>
                  </w:pPr>
                  <w:r>
                    <w:rPr>
                      <w:rFonts w:hint="eastAsia" w:ascii="宋体" w:hAnsi="宋体" w:eastAsia="宋体" w:cs="宋体"/>
                      <w:snapToGrid w:val="0"/>
                      <w:spacing w:val="1"/>
                      <w:kern w:val="0"/>
                      <w:sz w:val="21"/>
                      <w:szCs w:val="21"/>
                    </w:rPr>
                    <w:t>年平均质量浓度</w:t>
                  </w:r>
                </w:p>
              </w:tc>
              <w:tc>
                <w:tcPr>
                  <w:tcW w:w="686"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2AF21DEF">
                  <w:pPr>
                    <w:autoSpaceDE w:val="0"/>
                    <w:autoSpaceDN w:val="0"/>
                    <w:adjustRightInd w:val="0"/>
                    <w:snapToGrid w:val="0"/>
                    <w:jc w:val="center"/>
                    <w:rPr>
                      <w:sz w:val="21"/>
                      <w:szCs w:val="21"/>
                    </w:rPr>
                  </w:pPr>
                  <w:r>
                    <w:rPr>
                      <w:sz w:val="21"/>
                      <w:szCs w:val="21"/>
                    </w:rPr>
                    <w:t>8</w:t>
                  </w:r>
                </w:p>
              </w:tc>
              <w:tc>
                <w:tcPr>
                  <w:tcW w:w="676"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58CC9897">
                  <w:pPr>
                    <w:autoSpaceDE w:val="0"/>
                    <w:autoSpaceDN w:val="0"/>
                    <w:adjustRightInd w:val="0"/>
                    <w:snapToGrid w:val="0"/>
                    <w:jc w:val="center"/>
                    <w:rPr>
                      <w:sz w:val="21"/>
                      <w:szCs w:val="21"/>
                    </w:rPr>
                  </w:pPr>
                  <w:r>
                    <w:rPr>
                      <w:sz w:val="21"/>
                      <w:szCs w:val="21"/>
                    </w:rPr>
                    <w:t>60</w:t>
                  </w:r>
                </w:p>
              </w:tc>
              <w:tc>
                <w:tcPr>
                  <w:tcW w:w="480"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49503606">
                  <w:pPr>
                    <w:autoSpaceDE w:val="0"/>
                    <w:autoSpaceDN w:val="0"/>
                    <w:adjustRightInd w:val="0"/>
                    <w:snapToGrid w:val="0"/>
                    <w:jc w:val="center"/>
                    <w:rPr>
                      <w:sz w:val="21"/>
                      <w:szCs w:val="21"/>
                    </w:rPr>
                  </w:pPr>
                  <w:r>
                    <w:rPr>
                      <w:sz w:val="21"/>
                      <w:szCs w:val="21"/>
                    </w:rPr>
                    <w:t>13.3</w:t>
                  </w:r>
                </w:p>
              </w:tc>
              <w:tc>
                <w:tcPr>
                  <w:tcW w:w="431" w:type="pct"/>
                  <w:tcBorders>
                    <w:top w:val="single" w:color="auto" w:sz="4" w:space="0"/>
                    <w:left w:val="single" w:color="auto" w:sz="4" w:space="0"/>
                    <w:bottom w:val="single" w:color="auto" w:sz="4" w:space="0"/>
                    <w:right w:val="single" w:color="000000" w:sz="4" w:space="0"/>
                  </w:tcBorders>
                  <w:noWrap w:val="0"/>
                  <w:tcMar>
                    <w:top w:w="57" w:type="dxa"/>
                    <w:left w:w="85" w:type="dxa"/>
                    <w:bottom w:w="57" w:type="dxa"/>
                    <w:right w:w="85" w:type="dxa"/>
                  </w:tcMar>
                  <w:vAlign w:val="center"/>
                </w:tcPr>
                <w:p w14:paraId="25E94386">
                  <w:pPr>
                    <w:autoSpaceDE w:val="0"/>
                    <w:autoSpaceDN w:val="0"/>
                    <w:adjustRightInd w:val="0"/>
                    <w:snapToGrid w:val="0"/>
                    <w:jc w:val="center"/>
                    <w:rPr>
                      <w:sz w:val="21"/>
                      <w:szCs w:val="21"/>
                    </w:rPr>
                  </w:pPr>
                  <w:r>
                    <w:rPr>
                      <w:rFonts w:hint="eastAsia" w:ascii="宋体" w:hAnsi="宋体" w:eastAsia="宋体" w:cs="宋体"/>
                      <w:sz w:val="21"/>
                      <w:szCs w:val="21"/>
                    </w:rPr>
                    <w:t>达标</w:t>
                  </w:r>
                </w:p>
              </w:tc>
              <w:tc>
                <w:tcPr>
                  <w:tcW w:w="676" w:type="pct"/>
                  <w:tcBorders>
                    <w:top w:val="single" w:color="auto" w:sz="4" w:space="0"/>
                    <w:left w:val="single" w:color="000000" w:sz="4" w:space="0"/>
                    <w:bottom w:val="single" w:color="auto" w:sz="4" w:space="0"/>
                    <w:right w:val="single" w:color="000000" w:sz="4" w:space="0"/>
                  </w:tcBorders>
                  <w:noWrap w:val="0"/>
                  <w:tcMar>
                    <w:top w:w="57" w:type="dxa"/>
                    <w:left w:w="85" w:type="dxa"/>
                    <w:bottom w:w="57" w:type="dxa"/>
                    <w:right w:w="85" w:type="dxa"/>
                  </w:tcMar>
                  <w:vAlign w:val="center"/>
                </w:tcPr>
                <w:p w14:paraId="1792A517">
                  <w:pPr>
                    <w:autoSpaceDE w:val="0"/>
                    <w:autoSpaceDN w:val="0"/>
                    <w:adjustRightInd w:val="0"/>
                    <w:snapToGrid w:val="0"/>
                    <w:jc w:val="center"/>
                    <w:rPr>
                      <w:sz w:val="21"/>
                      <w:szCs w:val="21"/>
                    </w:rPr>
                  </w:pPr>
                  <w:r>
                    <w:rPr>
                      <w:sz w:val="21"/>
                      <w:szCs w:val="21"/>
                    </w:rPr>
                    <w:t>60</w:t>
                  </w:r>
                </w:p>
              </w:tc>
              <w:tc>
                <w:tcPr>
                  <w:tcW w:w="496" w:type="pct"/>
                  <w:tcBorders>
                    <w:top w:val="single" w:color="auto" w:sz="4" w:space="0"/>
                    <w:left w:val="single" w:color="000000" w:sz="4" w:space="0"/>
                    <w:bottom w:val="single" w:color="auto" w:sz="4" w:space="0"/>
                    <w:right w:val="single" w:color="000000" w:sz="4" w:space="0"/>
                  </w:tcBorders>
                  <w:noWrap w:val="0"/>
                  <w:tcMar>
                    <w:top w:w="57" w:type="dxa"/>
                    <w:left w:w="85" w:type="dxa"/>
                    <w:bottom w:w="57" w:type="dxa"/>
                    <w:right w:w="85" w:type="dxa"/>
                  </w:tcMar>
                  <w:vAlign w:val="center"/>
                </w:tcPr>
                <w:p w14:paraId="5EC9CBDA">
                  <w:pPr>
                    <w:autoSpaceDE w:val="0"/>
                    <w:autoSpaceDN w:val="0"/>
                    <w:adjustRightInd w:val="0"/>
                    <w:snapToGrid w:val="0"/>
                    <w:jc w:val="center"/>
                    <w:rPr>
                      <w:sz w:val="21"/>
                      <w:szCs w:val="21"/>
                    </w:rPr>
                  </w:pPr>
                  <w:r>
                    <w:rPr>
                      <w:sz w:val="21"/>
                      <w:szCs w:val="21"/>
                    </w:rPr>
                    <w:t>13.3</w:t>
                  </w:r>
                </w:p>
              </w:tc>
              <w:tc>
                <w:tcPr>
                  <w:tcW w:w="426" w:type="pct"/>
                  <w:tcBorders>
                    <w:top w:val="single" w:color="auto" w:sz="4" w:space="0"/>
                    <w:left w:val="single" w:color="000000" w:sz="4" w:space="0"/>
                    <w:bottom w:val="single" w:color="auto" w:sz="4" w:space="0"/>
                    <w:right w:val="nil"/>
                  </w:tcBorders>
                  <w:noWrap w:val="0"/>
                  <w:tcMar>
                    <w:top w:w="57" w:type="dxa"/>
                    <w:left w:w="85" w:type="dxa"/>
                    <w:bottom w:w="57" w:type="dxa"/>
                    <w:right w:w="85" w:type="dxa"/>
                  </w:tcMar>
                  <w:vAlign w:val="center"/>
                </w:tcPr>
                <w:p w14:paraId="1B14D338">
                  <w:pPr>
                    <w:autoSpaceDE w:val="0"/>
                    <w:autoSpaceDN w:val="0"/>
                    <w:adjustRightInd w:val="0"/>
                    <w:snapToGrid w:val="0"/>
                    <w:jc w:val="center"/>
                    <w:rPr>
                      <w:sz w:val="21"/>
                      <w:szCs w:val="21"/>
                    </w:rPr>
                  </w:pPr>
                  <w:r>
                    <w:rPr>
                      <w:rFonts w:hint="eastAsia" w:ascii="宋体" w:hAnsi="宋体" w:eastAsia="宋体" w:cs="宋体"/>
                      <w:sz w:val="21"/>
                      <w:szCs w:val="21"/>
                    </w:rPr>
                    <w:t>达标</w:t>
                  </w:r>
                </w:p>
              </w:tc>
            </w:tr>
            <w:tr w14:paraId="211D3E9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57" w:type="dxa"/>
                  <w:bottom w:w="57" w:type="dxa"/>
                  <w:right w:w="57" w:type="dxa"/>
                </w:tblCellMar>
              </w:tblPrEx>
              <w:trPr>
                <w:cantSplit/>
                <w:trHeight w:val="454" w:hRule="atLeast"/>
                <w:jc w:val="center"/>
              </w:trPr>
              <w:tc>
                <w:tcPr>
                  <w:tcW w:w="493" w:type="pct"/>
                  <w:tcBorders>
                    <w:top w:val="single" w:color="auto" w:sz="4" w:space="0"/>
                    <w:left w:val="nil"/>
                    <w:bottom w:val="single" w:color="auto" w:sz="4" w:space="0"/>
                    <w:right w:val="single" w:color="auto" w:sz="4" w:space="0"/>
                  </w:tcBorders>
                  <w:noWrap w:val="0"/>
                  <w:tcMar>
                    <w:top w:w="57" w:type="dxa"/>
                    <w:left w:w="85" w:type="dxa"/>
                    <w:bottom w:w="57" w:type="dxa"/>
                    <w:right w:w="85" w:type="dxa"/>
                  </w:tcMar>
                  <w:vAlign w:val="center"/>
                </w:tcPr>
                <w:p w14:paraId="1C959322">
                  <w:pPr>
                    <w:jc w:val="center"/>
                    <w:rPr>
                      <w:sz w:val="21"/>
                      <w:szCs w:val="21"/>
                    </w:rPr>
                  </w:pPr>
                  <w:r>
                    <w:rPr>
                      <w:snapToGrid w:val="0"/>
                      <w:spacing w:val="1"/>
                      <w:kern w:val="0"/>
                      <w:sz w:val="21"/>
                      <w:szCs w:val="21"/>
                    </w:rPr>
                    <w:t>NO</w:t>
                  </w:r>
                  <w:r>
                    <w:rPr>
                      <w:snapToGrid w:val="0"/>
                      <w:spacing w:val="1"/>
                      <w:kern w:val="0"/>
                      <w:sz w:val="21"/>
                      <w:szCs w:val="21"/>
                      <w:vertAlign w:val="subscript"/>
                    </w:rPr>
                    <w:t>2</w:t>
                  </w:r>
                </w:p>
              </w:tc>
              <w:tc>
                <w:tcPr>
                  <w:tcW w:w="631"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032ED007">
                  <w:pPr>
                    <w:jc w:val="center"/>
                    <w:rPr>
                      <w:sz w:val="21"/>
                      <w:szCs w:val="21"/>
                    </w:rPr>
                  </w:pPr>
                  <w:r>
                    <w:rPr>
                      <w:rFonts w:hint="eastAsia" w:ascii="宋体" w:hAnsi="宋体" w:eastAsia="宋体" w:cs="宋体"/>
                      <w:snapToGrid w:val="0"/>
                      <w:spacing w:val="1"/>
                      <w:kern w:val="0"/>
                      <w:sz w:val="21"/>
                      <w:szCs w:val="21"/>
                    </w:rPr>
                    <w:t>年平均质量浓度</w:t>
                  </w:r>
                </w:p>
              </w:tc>
              <w:tc>
                <w:tcPr>
                  <w:tcW w:w="686"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34282FD0">
                  <w:pPr>
                    <w:autoSpaceDE w:val="0"/>
                    <w:autoSpaceDN w:val="0"/>
                    <w:adjustRightInd w:val="0"/>
                    <w:snapToGrid w:val="0"/>
                    <w:jc w:val="center"/>
                    <w:rPr>
                      <w:sz w:val="21"/>
                      <w:szCs w:val="21"/>
                    </w:rPr>
                  </w:pPr>
                  <w:r>
                    <w:rPr>
                      <w:sz w:val="21"/>
                      <w:szCs w:val="21"/>
                    </w:rPr>
                    <w:t>27</w:t>
                  </w:r>
                </w:p>
              </w:tc>
              <w:tc>
                <w:tcPr>
                  <w:tcW w:w="676"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4520CCE9">
                  <w:pPr>
                    <w:autoSpaceDE w:val="0"/>
                    <w:autoSpaceDN w:val="0"/>
                    <w:adjustRightInd w:val="0"/>
                    <w:snapToGrid w:val="0"/>
                    <w:jc w:val="center"/>
                    <w:rPr>
                      <w:sz w:val="21"/>
                      <w:szCs w:val="21"/>
                    </w:rPr>
                  </w:pPr>
                  <w:r>
                    <w:rPr>
                      <w:sz w:val="21"/>
                      <w:szCs w:val="21"/>
                    </w:rPr>
                    <w:t>40</w:t>
                  </w:r>
                </w:p>
              </w:tc>
              <w:tc>
                <w:tcPr>
                  <w:tcW w:w="480"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6AF574E3">
                  <w:pPr>
                    <w:autoSpaceDE w:val="0"/>
                    <w:autoSpaceDN w:val="0"/>
                    <w:adjustRightInd w:val="0"/>
                    <w:snapToGrid w:val="0"/>
                    <w:jc w:val="center"/>
                    <w:rPr>
                      <w:sz w:val="21"/>
                      <w:szCs w:val="21"/>
                    </w:rPr>
                  </w:pPr>
                  <w:r>
                    <w:rPr>
                      <w:sz w:val="21"/>
                      <w:szCs w:val="21"/>
                    </w:rPr>
                    <w:t>67.5</w:t>
                  </w:r>
                </w:p>
              </w:tc>
              <w:tc>
                <w:tcPr>
                  <w:tcW w:w="431" w:type="pct"/>
                  <w:tcBorders>
                    <w:top w:val="single" w:color="auto" w:sz="4" w:space="0"/>
                    <w:left w:val="single" w:color="auto" w:sz="4" w:space="0"/>
                    <w:bottom w:val="single" w:color="auto" w:sz="4" w:space="0"/>
                    <w:right w:val="single" w:color="000000" w:sz="4" w:space="0"/>
                  </w:tcBorders>
                  <w:noWrap w:val="0"/>
                  <w:tcMar>
                    <w:top w:w="57" w:type="dxa"/>
                    <w:left w:w="85" w:type="dxa"/>
                    <w:bottom w:w="57" w:type="dxa"/>
                    <w:right w:w="85" w:type="dxa"/>
                  </w:tcMar>
                  <w:vAlign w:val="center"/>
                </w:tcPr>
                <w:p w14:paraId="556CBC97">
                  <w:pPr>
                    <w:autoSpaceDE w:val="0"/>
                    <w:autoSpaceDN w:val="0"/>
                    <w:adjustRightInd w:val="0"/>
                    <w:snapToGrid w:val="0"/>
                    <w:jc w:val="center"/>
                    <w:rPr>
                      <w:sz w:val="21"/>
                      <w:szCs w:val="21"/>
                    </w:rPr>
                  </w:pPr>
                  <w:r>
                    <w:rPr>
                      <w:rFonts w:hint="eastAsia" w:ascii="宋体" w:hAnsi="宋体" w:eastAsia="宋体" w:cs="宋体"/>
                      <w:sz w:val="21"/>
                      <w:szCs w:val="21"/>
                    </w:rPr>
                    <w:t>达标</w:t>
                  </w:r>
                </w:p>
              </w:tc>
              <w:tc>
                <w:tcPr>
                  <w:tcW w:w="676" w:type="pct"/>
                  <w:tcBorders>
                    <w:top w:val="single" w:color="auto" w:sz="4" w:space="0"/>
                    <w:left w:val="single" w:color="000000" w:sz="4" w:space="0"/>
                    <w:bottom w:val="single" w:color="auto" w:sz="4" w:space="0"/>
                    <w:right w:val="single" w:color="000000" w:sz="4" w:space="0"/>
                  </w:tcBorders>
                  <w:noWrap w:val="0"/>
                  <w:tcMar>
                    <w:top w:w="57" w:type="dxa"/>
                    <w:left w:w="85" w:type="dxa"/>
                    <w:bottom w:w="57" w:type="dxa"/>
                    <w:right w:w="85" w:type="dxa"/>
                  </w:tcMar>
                  <w:vAlign w:val="center"/>
                </w:tcPr>
                <w:p w14:paraId="0E27A2BD">
                  <w:pPr>
                    <w:autoSpaceDE w:val="0"/>
                    <w:autoSpaceDN w:val="0"/>
                    <w:adjustRightInd w:val="0"/>
                    <w:snapToGrid w:val="0"/>
                    <w:jc w:val="center"/>
                    <w:rPr>
                      <w:sz w:val="21"/>
                      <w:szCs w:val="21"/>
                    </w:rPr>
                  </w:pPr>
                  <w:r>
                    <w:rPr>
                      <w:sz w:val="21"/>
                      <w:szCs w:val="21"/>
                    </w:rPr>
                    <w:t>40</w:t>
                  </w:r>
                </w:p>
              </w:tc>
              <w:tc>
                <w:tcPr>
                  <w:tcW w:w="496" w:type="pct"/>
                  <w:tcBorders>
                    <w:top w:val="single" w:color="auto" w:sz="4" w:space="0"/>
                    <w:left w:val="single" w:color="000000" w:sz="4" w:space="0"/>
                    <w:bottom w:val="single" w:color="auto" w:sz="4" w:space="0"/>
                    <w:right w:val="single" w:color="000000" w:sz="4" w:space="0"/>
                  </w:tcBorders>
                  <w:noWrap w:val="0"/>
                  <w:tcMar>
                    <w:top w:w="57" w:type="dxa"/>
                    <w:left w:w="85" w:type="dxa"/>
                    <w:bottom w:w="57" w:type="dxa"/>
                    <w:right w:w="85" w:type="dxa"/>
                  </w:tcMar>
                  <w:vAlign w:val="center"/>
                </w:tcPr>
                <w:p w14:paraId="15EE598F">
                  <w:pPr>
                    <w:autoSpaceDE w:val="0"/>
                    <w:autoSpaceDN w:val="0"/>
                    <w:adjustRightInd w:val="0"/>
                    <w:snapToGrid w:val="0"/>
                    <w:jc w:val="center"/>
                    <w:rPr>
                      <w:sz w:val="21"/>
                      <w:szCs w:val="21"/>
                    </w:rPr>
                  </w:pPr>
                  <w:r>
                    <w:rPr>
                      <w:sz w:val="21"/>
                      <w:szCs w:val="21"/>
                    </w:rPr>
                    <w:t>67.5</w:t>
                  </w:r>
                </w:p>
              </w:tc>
              <w:tc>
                <w:tcPr>
                  <w:tcW w:w="426" w:type="pct"/>
                  <w:tcBorders>
                    <w:top w:val="single" w:color="auto" w:sz="4" w:space="0"/>
                    <w:left w:val="single" w:color="000000" w:sz="4" w:space="0"/>
                    <w:bottom w:val="single" w:color="auto" w:sz="4" w:space="0"/>
                    <w:right w:val="nil"/>
                  </w:tcBorders>
                  <w:noWrap w:val="0"/>
                  <w:tcMar>
                    <w:top w:w="57" w:type="dxa"/>
                    <w:left w:w="85" w:type="dxa"/>
                    <w:bottom w:w="57" w:type="dxa"/>
                    <w:right w:w="85" w:type="dxa"/>
                  </w:tcMar>
                  <w:vAlign w:val="center"/>
                </w:tcPr>
                <w:p w14:paraId="3EA6FABA">
                  <w:pPr>
                    <w:autoSpaceDE w:val="0"/>
                    <w:autoSpaceDN w:val="0"/>
                    <w:adjustRightInd w:val="0"/>
                    <w:snapToGrid w:val="0"/>
                    <w:jc w:val="center"/>
                    <w:rPr>
                      <w:sz w:val="21"/>
                      <w:szCs w:val="21"/>
                    </w:rPr>
                  </w:pPr>
                  <w:r>
                    <w:rPr>
                      <w:rFonts w:hint="eastAsia" w:ascii="宋体" w:hAnsi="宋体" w:eastAsia="宋体" w:cs="宋体"/>
                      <w:sz w:val="21"/>
                      <w:szCs w:val="21"/>
                    </w:rPr>
                    <w:t>达标</w:t>
                  </w:r>
                </w:p>
              </w:tc>
            </w:tr>
            <w:tr w14:paraId="729E825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57" w:type="dxa"/>
                  <w:bottom w:w="57" w:type="dxa"/>
                  <w:right w:w="57" w:type="dxa"/>
                </w:tblCellMar>
              </w:tblPrEx>
              <w:trPr>
                <w:cantSplit/>
                <w:trHeight w:val="454" w:hRule="atLeast"/>
                <w:jc w:val="center"/>
              </w:trPr>
              <w:tc>
                <w:tcPr>
                  <w:tcW w:w="493" w:type="pct"/>
                  <w:tcBorders>
                    <w:top w:val="single" w:color="auto" w:sz="4" w:space="0"/>
                    <w:left w:val="nil"/>
                    <w:bottom w:val="single" w:color="auto" w:sz="4" w:space="0"/>
                    <w:right w:val="single" w:color="auto" w:sz="4" w:space="0"/>
                  </w:tcBorders>
                  <w:noWrap w:val="0"/>
                  <w:tcMar>
                    <w:top w:w="57" w:type="dxa"/>
                    <w:left w:w="85" w:type="dxa"/>
                    <w:bottom w:w="57" w:type="dxa"/>
                    <w:right w:w="85" w:type="dxa"/>
                  </w:tcMar>
                  <w:vAlign w:val="center"/>
                </w:tcPr>
                <w:p w14:paraId="27C3D6BB">
                  <w:pPr>
                    <w:jc w:val="center"/>
                    <w:rPr>
                      <w:sz w:val="21"/>
                      <w:szCs w:val="21"/>
                    </w:rPr>
                  </w:pPr>
                  <w:r>
                    <w:rPr>
                      <w:snapToGrid w:val="0"/>
                      <w:spacing w:val="1"/>
                      <w:kern w:val="0"/>
                      <w:sz w:val="21"/>
                      <w:szCs w:val="21"/>
                    </w:rPr>
                    <w:t>CO</w:t>
                  </w:r>
                </w:p>
              </w:tc>
              <w:tc>
                <w:tcPr>
                  <w:tcW w:w="631"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626579D5">
                  <w:pPr>
                    <w:jc w:val="center"/>
                    <w:rPr>
                      <w:sz w:val="21"/>
                      <w:szCs w:val="21"/>
                    </w:rPr>
                  </w:pPr>
                  <w:r>
                    <w:rPr>
                      <w:rFonts w:hint="eastAsia" w:ascii="宋体" w:hAnsi="宋体" w:eastAsia="宋体" w:cs="宋体"/>
                      <w:snapToGrid w:val="0"/>
                      <w:spacing w:val="1"/>
                      <w:kern w:val="0"/>
                      <w:sz w:val="21"/>
                      <w:szCs w:val="21"/>
                    </w:rPr>
                    <w:t>第</w:t>
                  </w:r>
                  <w:r>
                    <w:rPr>
                      <w:snapToGrid w:val="0"/>
                      <w:spacing w:val="1"/>
                      <w:kern w:val="0"/>
                      <w:sz w:val="21"/>
                      <w:szCs w:val="21"/>
                    </w:rPr>
                    <w:t>95</w:t>
                  </w:r>
                  <w:r>
                    <w:rPr>
                      <w:rFonts w:hint="eastAsia" w:ascii="宋体" w:hAnsi="宋体" w:eastAsia="宋体" w:cs="宋体"/>
                      <w:snapToGrid w:val="0"/>
                      <w:spacing w:val="1"/>
                      <w:kern w:val="0"/>
                      <w:sz w:val="21"/>
                      <w:szCs w:val="21"/>
                    </w:rPr>
                    <w:t>百分位浓度</w:t>
                  </w:r>
                </w:p>
              </w:tc>
              <w:tc>
                <w:tcPr>
                  <w:tcW w:w="686"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6843A04A">
                  <w:pPr>
                    <w:autoSpaceDE w:val="0"/>
                    <w:autoSpaceDN w:val="0"/>
                    <w:adjustRightInd w:val="0"/>
                    <w:snapToGrid w:val="0"/>
                    <w:jc w:val="center"/>
                    <w:rPr>
                      <w:sz w:val="21"/>
                      <w:szCs w:val="21"/>
                    </w:rPr>
                  </w:pPr>
                  <w:r>
                    <w:rPr>
                      <w:sz w:val="21"/>
                      <w:szCs w:val="21"/>
                    </w:rPr>
                    <w:t>1.3mg/m</w:t>
                  </w:r>
                  <w:r>
                    <w:rPr>
                      <w:sz w:val="21"/>
                      <w:szCs w:val="21"/>
                      <w:vertAlign w:val="superscript"/>
                    </w:rPr>
                    <w:t>3</w:t>
                  </w:r>
                </w:p>
              </w:tc>
              <w:tc>
                <w:tcPr>
                  <w:tcW w:w="676"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0050EEBC">
                  <w:pPr>
                    <w:autoSpaceDE w:val="0"/>
                    <w:autoSpaceDN w:val="0"/>
                    <w:adjustRightInd w:val="0"/>
                    <w:snapToGrid w:val="0"/>
                    <w:jc w:val="center"/>
                    <w:rPr>
                      <w:sz w:val="21"/>
                      <w:szCs w:val="21"/>
                    </w:rPr>
                  </w:pPr>
                  <w:r>
                    <w:rPr>
                      <w:sz w:val="21"/>
                      <w:szCs w:val="21"/>
                    </w:rPr>
                    <w:t>4mg/m</w:t>
                  </w:r>
                  <w:r>
                    <w:rPr>
                      <w:sz w:val="21"/>
                      <w:szCs w:val="21"/>
                      <w:vertAlign w:val="superscript"/>
                    </w:rPr>
                    <w:t>3</w:t>
                  </w:r>
                </w:p>
              </w:tc>
              <w:tc>
                <w:tcPr>
                  <w:tcW w:w="480" w:type="pct"/>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192714D1">
                  <w:pPr>
                    <w:autoSpaceDE w:val="0"/>
                    <w:autoSpaceDN w:val="0"/>
                    <w:adjustRightInd w:val="0"/>
                    <w:snapToGrid w:val="0"/>
                    <w:jc w:val="center"/>
                    <w:rPr>
                      <w:sz w:val="21"/>
                      <w:szCs w:val="21"/>
                    </w:rPr>
                  </w:pPr>
                  <w:r>
                    <w:rPr>
                      <w:sz w:val="21"/>
                      <w:szCs w:val="21"/>
                    </w:rPr>
                    <w:t>32.5</w:t>
                  </w:r>
                </w:p>
              </w:tc>
              <w:tc>
                <w:tcPr>
                  <w:tcW w:w="431" w:type="pct"/>
                  <w:tcBorders>
                    <w:top w:val="single" w:color="auto" w:sz="4" w:space="0"/>
                    <w:left w:val="single" w:color="auto" w:sz="4" w:space="0"/>
                    <w:bottom w:val="single" w:color="auto" w:sz="4" w:space="0"/>
                    <w:right w:val="single" w:color="000000" w:sz="4" w:space="0"/>
                  </w:tcBorders>
                  <w:noWrap w:val="0"/>
                  <w:tcMar>
                    <w:top w:w="57" w:type="dxa"/>
                    <w:left w:w="85" w:type="dxa"/>
                    <w:bottom w:w="57" w:type="dxa"/>
                    <w:right w:w="85" w:type="dxa"/>
                  </w:tcMar>
                  <w:vAlign w:val="center"/>
                </w:tcPr>
                <w:p w14:paraId="7D90AE71">
                  <w:pPr>
                    <w:autoSpaceDE w:val="0"/>
                    <w:autoSpaceDN w:val="0"/>
                    <w:adjustRightInd w:val="0"/>
                    <w:snapToGrid w:val="0"/>
                    <w:jc w:val="center"/>
                    <w:rPr>
                      <w:sz w:val="21"/>
                      <w:szCs w:val="21"/>
                    </w:rPr>
                  </w:pPr>
                  <w:r>
                    <w:rPr>
                      <w:rFonts w:hint="eastAsia" w:ascii="宋体" w:hAnsi="宋体" w:eastAsia="宋体" w:cs="宋体"/>
                      <w:sz w:val="21"/>
                      <w:szCs w:val="21"/>
                    </w:rPr>
                    <w:t>达标</w:t>
                  </w:r>
                </w:p>
              </w:tc>
              <w:tc>
                <w:tcPr>
                  <w:tcW w:w="676" w:type="pct"/>
                  <w:tcBorders>
                    <w:top w:val="single" w:color="auto" w:sz="4" w:space="0"/>
                    <w:left w:val="single" w:color="000000" w:sz="4" w:space="0"/>
                    <w:bottom w:val="single" w:color="auto" w:sz="4" w:space="0"/>
                    <w:right w:val="single" w:color="000000" w:sz="4" w:space="0"/>
                  </w:tcBorders>
                  <w:noWrap w:val="0"/>
                  <w:tcMar>
                    <w:top w:w="57" w:type="dxa"/>
                    <w:left w:w="85" w:type="dxa"/>
                    <w:bottom w:w="57" w:type="dxa"/>
                    <w:right w:w="85" w:type="dxa"/>
                  </w:tcMar>
                  <w:vAlign w:val="center"/>
                </w:tcPr>
                <w:p w14:paraId="5B98F022">
                  <w:pPr>
                    <w:autoSpaceDE w:val="0"/>
                    <w:autoSpaceDN w:val="0"/>
                    <w:adjustRightInd w:val="0"/>
                    <w:snapToGrid w:val="0"/>
                    <w:jc w:val="center"/>
                    <w:rPr>
                      <w:sz w:val="21"/>
                      <w:szCs w:val="21"/>
                    </w:rPr>
                  </w:pPr>
                  <w:r>
                    <w:rPr>
                      <w:sz w:val="21"/>
                      <w:szCs w:val="21"/>
                    </w:rPr>
                    <w:t>4mg/m</w:t>
                  </w:r>
                  <w:r>
                    <w:rPr>
                      <w:sz w:val="21"/>
                      <w:szCs w:val="21"/>
                      <w:vertAlign w:val="superscript"/>
                    </w:rPr>
                    <w:t>3</w:t>
                  </w:r>
                </w:p>
              </w:tc>
              <w:tc>
                <w:tcPr>
                  <w:tcW w:w="496" w:type="pct"/>
                  <w:tcBorders>
                    <w:top w:val="single" w:color="auto" w:sz="4" w:space="0"/>
                    <w:left w:val="single" w:color="000000" w:sz="4" w:space="0"/>
                    <w:bottom w:val="single" w:color="auto" w:sz="4" w:space="0"/>
                    <w:right w:val="single" w:color="000000" w:sz="4" w:space="0"/>
                  </w:tcBorders>
                  <w:noWrap w:val="0"/>
                  <w:tcMar>
                    <w:top w:w="57" w:type="dxa"/>
                    <w:left w:w="85" w:type="dxa"/>
                    <w:bottom w:w="57" w:type="dxa"/>
                    <w:right w:w="85" w:type="dxa"/>
                  </w:tcMar>
                  <w:vAlign w:val="center"/>
                </w:tcPr>
                <w:p w14:paraId="4557530D">
                  <w:pPr>
                    <w:autoSpaceDE w:val="0"/>
                    <w:autoSpaceDN w:val="0"/>
                    <w:adjustRightInd w:val="0"/>
                    <w:snapToGrid w:val="0"/>
                    <w:jc w:val="center"/>
                    <w:rPr>
                      <w:sz w:val="21"/>
                      <w:szCs w:val="21"/>
                    </w:rPr>
                  </w:pPr>
                  <w:r>
                    <w:rPr>
                      <w:sz w:val="21"/>
                      <w:szCs w:val="21"/>
                    </w:rPr>
                    <w:t>32.5</w:t>
                  </w:r>
                </w:p>
              </w:tc>
              <w:tc>
                <w:tcPr>
                  <w:tcW w:w="426" w:type="pct"/>
                  <w:tcBorders>
                    <w:top w:val="single" w:color="auto" w:sz="4" w:space="0"/>
                    <w:left w:val="single" w:color="000000" w:sz="4" w:space="0"/>
                    <w:bottom w:val="single" w:color="auto" w:sz="4" w:space="0"/>
                    <w:right w:val="nil"/>
                  </w:tcBorders>
                  <w:noWrap w:val="0"/>
                  <w:tcMar>
                    <w:top w:w="57" w:type="dxa"/>
                    <w:left w:w="85" w:type="dxa"/>
                    <w:bottom w:w="57" w:type="dxa"/>
                    <w:right w:w="85" w:type="dxa"/>
                  </w:tcMar>
                  <w:vAlign w:val="center"/>
                </w:tcPr>
                <w:p w14:paraId="39E3C4B6">
                  <w:pPr>
                    <w:autoSpaceDE w:val="0"/>
                    <w:autoSpaceDN w:val="0"/>
                    <w:adjustRightInd w:val="0"/>
                    <w:snapToGrid w:val="0"/>
                    <w:jc w:val="center"/>
                    <w:rPr>
                      <w:sz w:val="21"/>
                      <w:szCs w:val="21"/>
                    </w:rPr>
                  </w:pPr>
                  <w:r>
                    <w:rPr>
                      <w:rFonts w:hint="eastAsia" w:ascii="宋体" w:hAnsi="宋体" w:eastAsia="宋体" w:cs="宋体"/>
                      <w:sz w:val="21"/>
                      <w:szCs w:val="21"/>
                    </w:rPr>
                    <w:t>达标</w:t>
                  </w:r>
                </w:p>
              </w:tc>
            </w:tr>
            <w:tr w14:paraId="1B52116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57" w:type="dxa"/>
                  <w:bottom w:w="57" w:type="dxa"/>
                  <w:right w:w="57" w:type="dxa"/>
                </w:tblCellMar>
              </w:tblPrEx>
              <w:trPr>
                <w:cantSplit/>
                <w:trHeight w:val="454" w:hRule="atLeast"/>
                <w:jc w:val="center"/>
              </w:trPr>
              <w:tc>
                <w:tcPr>
                  <w:tcW w:w="493" w:type="pct"/>
                  <w:tcBorders>
                    <w:top w:val="single" w:color="auto" w:sz="4" w:space="0"/>
                    <w:left w:val="nil"/>
                    <w:bottom w:val="single" w:color="auto" w:sz="8" w:space="0"/>
                    <w:right w:val="single" w:color="auto" w:sz="4" w:space="0"/>
                  </w:tcBorders>
                  <w:noWrap w:val="0"/>
                  <w:tcMar>
                    <w:top w:w="57" w:type="dxa"/>
                    <w:left w:w="85" w:type="dxa"/>
                    <w:bottom w:w="57" w:type="dxa"/>
                    <w:right w:w="85" w:type="dxa"/>
                  </w:tcMar>
                  <w:vAlign w:val="center"/>
                </w:tcPr>
                <w:p w14:paraId="29BC95E7">
                  <w:pPr>
                    <w:jc w:val="center"/>
                    <w:rPr>
                      <w:sz w:val="21"/>
                      <w:szCs w:val="21"/>
                    </w:rPr>
                  </w:pPr>
                  <w:r>
                    <w:rPr>
                      <w:snapToGrid w:val="0"/>
                      <w:spacing w:val="1"/>
                      <w:kern w:val="0"/>
                      <w:sz w:val="21"/>
                      <w:szCs w:val="21"/>
                    </w:rPr>
                    <w:t>O</w:t>
                  </w:r>
                  <w:r>
                    <w:rPr>
                      <w:snapToGrid w:val="0"/>
                      <w:spacing w:val="1"/>
                      <w:kern w:val="0"/>
                      <w:sz w:val="21"/>
                      <w:szCs w:val="21"/>
                      <w:vertAlign w:val="subscript"/>
                    </w:rPr>
                    <w:t>3</w:t>
                  </w:r>
                </w:p>
              </w:tc>
              <w:tc>
                <w:tcPr>
                  <w:tcW w:w="631" w:type="pct"/>
                  <w:tcBorders>
                    <w:top w:val="single" w:color="auto" w:sz="4" w:space="0"/>
                    <w:left w:val="single" w:color="auto" w:sz="4" w:space="0"/>
                    <w:bottom w:val="single" w:color="auto" w:sz="8" w:space="0"/>
                    <w:right w:val="single" w:color="auto" w:sz="4" w:space="0"/>
                  </w:tcBorders>
                  <w:noWrap w:val="0"/>
                  <w:tcMar>
                    <w:top w:w="57" w:type="dxa"/>
                    <w:left w:w="85" w:type="dxa"/>
                    <w:bottom w:w="57" w:type="dxa"/>
                    <w:right w:w="85" w:type="dxa"/>
                  </w:tcMar>
                  <w:vAlign w:val="center"/>
                </w:tcPr>
                <w:p w14:paraId="1C2C3B4E">
                  <w:pPr>
                    <w:jc w:val="center"/>
                    <w:rPr>
                      <w:sz w:val="21"/>
                      <w:szCs w:val="21"/>
                    </w:rPr>
                  </w:pPr>
                  <w:r>
                    <w:rPr>
                      <w:rFonts w:hint="eastAsia" w:ascii="宋体" w:hAnsi="宋体" w:eastAsia="宋体" w:cs="宋体"/>
                      <w:snapToGrid w:val="0"/>
                      <w:spacing w:val="1"/>
                      <w:kern w:val="0"/>
                      <w:sz w:val="21"/>
                      <w:szCs w:val="21"/>
                    </w:rPr>
                    <w:t>第</w:t>
                  </w:r>
                  <w:r>
                    <w:rPr>
                      <w:snapToGrid w:val="0"/>
                      <w:spacing w:val="1"/>
                      <w:kern w:val="0"/>
                      <w:sz w:val="21"/>
                      <w:szCs w:val="21"/>
                    </w:rPr>
                    <w:t>90</w:t>
                  </w:r>
                  <w:r>
                    <w:rPr>
                      <w:rFonts w:hint="eastAsia" w:ascii="宋体" w:hAnsi="宋体" w:eastAsia="宋体" w:cs="宋体"/>
                      <w:snapToGrid w:val="0"/>
                      <w:spacing w:val="1"/>
                      <w:kern w:val="0"/>
                      <w:sz w:val="21"/>
                      <w:szCs w:val="21"/>
                    </w:rPr>
                    <w:t>百分位浓度</w:t>
                  </w:r>
                </w:p>
              </w:tc>
              <w:tc>
                <w:tcPr>
                  <w:tcW w:w="686" w:type="pct"/>
                  <w:tcBorders>
                    <w:top w:val="single" w:color="auto" w:sz="4" w:space="0"/>
                    <w:left w:val="single" w:color="auto" w:sz="4" w:space="0"/>
                    <w:bottom w:val="single" w:color="auto" w:sz="8" w:space="0"/>
                    <w:right w:val="single" w:color="auto" w:sz="4" w:space="0"/>
                  </w:tcBorders>
                  <w:noWrap w:val="0"/>
                  <w:tcMar>
                    <w:top w:w="57" w:type="dxa"/>
                    <w:left w:w="85" w:type="dxa"/>
                    <w:bottom w:w="57" w:type="dxa"/>
                    <w:right w:w="85" w:type="dxa"/>
                  </w:tcMar>
                  <w:vAlign w:val="center"/>
                </w:tcPr>
                <w:p w14:paraId="556C004C">
                  <w:pPr>
                    <w:autoSpaceDE w:val="0"/>
                    <w:autoSpaceDN w:val="0"/>
                    <w:adjustRightInd w:val="0"/>
                    <w:snapToGrid w:val="0"/>
                    <w:jc w:val="center"/>
                    <w:rPr>
                      <w:sz w:val="21"/>
                      <w:szCs w:val="21"/>
                    </w:rPr>
                  </w:pPr>
                  <w:r>
                    <w:rPr>
                      <w:sz w:val="21"/>
                      <w:szCs w:val="21"/>
                    </w:rPr>
                    <w:t>183</w:t>
                  </w:r>
                </w:p>
              </w:tc>
              <w:tc>
                <w:tcPr>
                  <w:tcW w:w="676" w:type="pct"/>
                  <w:tcBorders>
                    <w:top w:val="single" w:color="auto" w:sz="4" w:space="0"/>
                    <w:left w:val="single" w:color="auto" w:sz="4" w:space="0"/>
                    <w:bottom w:val="single" w:color="auto" w:sz="8" w:space="0"/>
                    <w:right w:val="single" w:color="auto" w:sz="4" w:space="0"/>
                  </w:tcBorders>
                  <w:noWrap w:val="0"/>
                  <w:tcMar>
                    <w:top w:w="57" w:type="dxa"/>
                    <w:left w:w="85" w:type="dxa"/>
                    <w:bottom w:w="57" w:type="dxa"/>
                    <w:right w:w="85" w:type="dxa"/>
                  </w:tcMar>
                  <w:vAlign w:val="center"/>
                </w:tcPr>
                <w:p w14:paraId="3472E0FC">
                  <w:pPr>
                    <w:autoSpaceDE w:val="0"/>
                    <w:autoSpaceDN w:val="0"/>
                    <w:adjustRightInd w:val="0"/>
                    <w:snapToGrid w:val="0"/>
                    <w:jc w:val="center"/>
                    <w:rPr>
                      <w:sz w:val="21"/>
                      <w:szCs w:val="21"/>
                    </w:rPr>
                  </w:pPr>
                  <w:r>
                    <w:rPr>
                      <w:sz w:val="21"/>
                      <w:szCs w:val="21"/>
                    </w:rPr>
                    <w:t>160</w:t>
                  </w:r>
                </w:p>
              </w:tc>
              <w:tc>
                <w:tcPr>
                  <w:tcW w:w="480" w:type="pct"/>
                  <w:tcBorders>
                    <w:top w:val="single" w:color="auto" w:sz="4" w:space="0"/>
                    <w:left w:val="single" w:color="auto" w:sz="4" w:space="0"/>
                    <w:bottom w:val="single" w:color="auto" w:sz="8" w:space="0"/>
                    <w:right w:val="single" w:color="auto" w:sz="4" w:space="0"/>
                  </w:tcBorders>
                  <w:noWrap w:val="0"/>
                  <w:tcMar>
                    <w:top w:w="57" w:type="dxa"/>
                    <w:left w:w="85" w:type="dxa"/>
                    <w:bottom w:w="57" w:type="dxa"/>
                    <w:right w:w="85" w:type="dxa"/>
                  </w:tcMar>
                  <w:vAlign w:val="center"/>
                </w:tcPr>
                <w:p w14:paraId="48F87A46">
                  <w:pPr>
                    <w:autoSpaceDE w:val="0"/>
                    <w:autoSpaceDN w:val="0"/>
                    <w:adjustRightInd w:val="0"/>
                    <w:snapToGrid w:val="0"/>
                    <w:jc w:val="center"/>
                    <w:rPr>
                      <w:sz w:val="21"/>
                      <w:szCs w:val="21"/>
                    </w:rPr>
                  </w:pPr>
                  <w:r>
                    <w:rPr>
                      <w:sz w:val="21"/>
                      <w:szCs w:val="21"/>
                    </w:rPr>
                    <w:t>114.4</w:t>
                  </w:r>
                </w:p>
              </w:tc>
              <w:tc>
                <w:tcPr>
                  <w:tcW w:w="431" w:type="pct"/>
                  <w:tcBorders>
                    <w:top w:val="single" w:color="auto" w:sz="4" w:space="0"/>
                    <w:left w:val="single" w:color="auto" w:sz="4" w:space="0"/>
                    <w:bottom w:val="single" w:color="auto" w:sz="8" w:space="0"/>
                    <w:right w:val="single" w:color="000000" w:sz="4" w:space="0"/>
                  </w:tcBorders>
                  <w:noWrap w:val="0"/>
                  <w:tcMar>
                    <w:top w:w="57" w:type="dxa"/>
                    <w:left w:w="85" w:type="dxa"/>
                    <w:bottom w:w="57" w:type="dxa"/>
                    <w:right w:w="85" w:type="dxa"/>
                  </w:tcMar>
                  <w:vAlign w:val="center"/>
                </w:tcPr>
                <w:p w14:paraId="7A39D2A0">
                  <w:pPr>
                    <w:autoSpaceDE w:val="0"/>
                    <w:autoSpaceDN w:val="0"/>
                    <w:adjustRightInd w:val="0"/>
                    <w:snapToGrid w:val="0"/>
                    <w:jc w:val="center"/>
                    <w:rPr>
                      <w:sz w:val="21"/>
                      <w:szCs w:val="21"/>
                    </w:rPr>
                  </w:pPr>
                  <w:r>
                    <w:rPr>
                      <w:rFonts w:hint="eastAsia" w:ascii="宋体" w:hAnsi="宋体" w:eastAsia="宋体" w:cs="宋体"/>
                      <w:sz w:val="21"/>
                      <w:szCs w:val="21"/>
                    </w:rPr>
                    <w:t>超标</w:t>
                  </w:r>
                </w:p>
              </w:tc>
              <w:tc>
                <w:tcPr>
                  <w:tcW w:w="676" w:type="pct"/>
                  <w:tcBorders>
                    <w:top w:val="single" w:color="auto" w:sz="4" w:space="0"/>
                    <w:left w:val="single" w:color="000000" w:sz="4" w:space="0"/>
                    <w:bottom w:val="single" w:color="auto" w:sz="8" w:space="0"/>
                    <w:right w:val="single" w:color="000000" w:sz="4" w:space="0"/>
                  </w:tcBorders>
                  <w:noWrap w:val="0"/>
                  <w:tcMar>
                    <w:top w:w="57" w:type="dxa"/>
                    <w:left w:w="85" w:type="dxa"/>
                    <w:bottom w:w="57" w:type="dxa"/>
                    <w:right w:w="85" w:type="dxa"/>
                  </w:tcMar>
                  <w:vAlign w:val="center"/>
                </w:tcPr>
                <w:p w14:paraId="250FCD0A">
                  <w:pPr>
                    <w:autoSpaceDE w:val="0"/>
                    <w:autoSpaceDN w:val="0"/>
                    <w:adjustRightInd w:val="0"/>
                    <w:snapToGrid w:val="0"/>
                    <w:jc w:val="center"/>
                    <w:rPr>
                      <w:sz w:val="21"/>
                      <w:szCs w:val="21"/>
                    </w:rPr>
                  </w:pPr>
                  <w:r>
                    <w:rPr>
                      <w:sz w:val="21"/>
                      <w:szCs w:val="21"/>
                    </w:rPr>
                    <w:t>160</w:t>
                  </w:r>
                </w:p>
              </w:tc>
              <w:tc>
                <w:tcPr>
                  <w:tcW w:w="496" w:type="pct"/>
                  <w:tcBorders>
                    <w:top w:val="single" w:color="auto" w:sz="4" w:space="0"/>
                    <w:left w:val="single" w:color="000000" w:sz="4" w:space="0"/>
                    <w:bottom w:val="single" w:color="auto" w:sz="8" w:space="0"/>
                    <w:right w:val="single" w:color="000000" w:sz="4" w:space="0"/>
                  </w:tcBorders>
                  <w:noWrap w:val="0"/>
                  <w:tcMar>
                    <w:top w:w="57" w:type="dxa"/>
                    <w:left w:w="85" w:type="dxa"/>
                    <w:bottom w:w="57" w:type="dxa"/>
                    <w:right w:w="85" w:type="dxa"/>
                  </w:tcMar>
                  <w:vAlign w:val="center"/>
                </w:tcPr>
                <w:p w14:paraId="48EFF191">
                  <w:pPr>
                    <w:autoSpaceDE w:val="0"/>
                    <w:autoSpaceDN w:val="0"/>
                    <w:adjustRightInd w:val="0"/>
                    <w:snapToGrid w:val="0"/>
                    <w:jc w:val="center"/>
                    <w:rPr>
                      <w:sz w:val="21"/>
                      <w:szCs w:val="21"/>
                    </w:rPr>
                  </w:pPr>
                  <w:r>
                    <w:rPr>
                      <w:sz w:val="21"/>
                      <w:szCs w:val="21"/>
                    </w:rPr>
                    <w:t>114.4</w:t>
                  </w:r>
                </w:p>
              </w:tc>
              <w:tc>
                <w:tcPr>
                  <w:tcW w:w="426" w:type="pct"/>
                  <w:tcBorders>
                    <w:top w:val="single" w:color="auto" w:sz="4" w:space="0"/>
                    <w:left w:val="single" w:color="000000" w:sz="4" w:space="0"/>
                    <w:bottom w:val="single" w:color="auto" w:sz="8" w:space="0"/>
                    <w:right w:val="nil"/>
                  </w:tcBorders>
                  <w:noWrap w:val="0"/>
                  <w:tcMar>
                    <w:top w:w="57" w:type="dxa"/>
                    <w:left w:w="85" w:type="dxa"/>
                    <w:bottom w:w="57" w:type="dxa"/>
                    <w:right w:w="85" w:type="dxa"/>
                  </w:tcMar>
                  <w:vAlign w:val="center"/>
                </w:tcPr>
                <w:p w14:paraId="2A5C8958">
                  <w:pPr>
                    <w:autoSpaceDE w:val="0"/>
                    <w:autoSpaceDN w:val="0"/>
                    <w:adjustRightInd w:val="0"/>
                    <w:snapToGrid w:val="0"/>
                    <w:jc w:val="center"/>
                    <w:rPr>
                      <w:sz w:val="21"/>
                      <w:szCs w:val="21"/>
                    </w:rPr>
                  </w:pPr>
                  <w:r>
                    <w:rPr>
                      <w:rFonts w:hint="eastAsia" w:ascii="宋体" w:hAnsi="宋体" w:eastAsia="宋体" w:cs="宋体"/>
                      <w:sz w:val="21"/>
                      <w:szCs w:val="21"/>
                    </w:rPr>
                    <w:t>超标</w:t>
                  </w:r>
                </w:p>
              </w:tc>
            </w:tr>
          </w:tbl>
          <w:p w14:paraId="7A5159AC">
            <w:p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由上表可知，其中</w:t>
            </w:r>
            <w:r>
              <w:rPr>
                <w:sz w:val="24"/>
                <w:szCs w:val="24"/>
              </w:rPr>
              <w:t>PM</w:t>
            </w:r>
            <w:r>
              <w:rPr>
                <w:sz w:val="24"/>
                <w:szCs w:val="24"/>
                <w:vertAlign w:val="subscript"/>
              </w:rPr>
              <w:t>10</w:t>
            </w:r>
            <w:r>
              <w:rPr>
                <w:rFonts w:hint="eastAsia" w:ascii="宋体" w:hAnsi="宋体" w:eastAsia="宋体" w:cs="宋体"/>
                <w:sz w:val="24"/>
                <w:szCs w:val="24"/>
              </w:rPr>
              <w:t>、</w:t>
            </w:r>
            <w:r>
              <w:rPr>
                <w:sz w:val="24"/>
                <w:szCs w:val="24"/>
              </w:rPr>
              <w:t>PM</w:t>
            </w:r>
            <w:r>
              <w:rPr>
                <w:sz w:val="24"/>
                <w:szCs w:val="24"/>
                <w:vertAlign w:val="subscript"/>
              </w:rPr>
              <w:t>2.5</w:t>
            </w:r>
            <w:r>
              <w:rPr>
                <w:rFonts w:hint="eastAsia" w:ascii="宋体" w:hAnsi="宋体" w:eastAsia="宋体" w:cs="宋体"/>
                <w:sz w:val="24"/>
                <w:szCs w:val="24"/>
              </w:rPr>
              <w:t>、</w:t>
            </w:r>
            <w:r>
              <w:rPr>
                <w:snapToGrid w:val="0"/>
                <w:spacing w:val="1"/>
                <w:kern w:val="0"/>
                <w:sz w:val="24"/>
                <w:szCs w:val="24"/>
              </w:rPr>
              <w:t>O</w:t>
            </w:r>
            <w:r>
              <w:rPr>
                <w:snapToGrid w:val="0"/>
                <w:spacing w:val="1"/>
                <w:kern w:val="0"/>
                <w:sz w:val="24"/>
                <w:szCs w:val="24"/>
                <w:vertAlign w:val="subscript"/>
              </w:rPr>
              <w:t>3</w:t>
            </w:r>
            <w:r>
              <w:rPr>
                <w:rFonts w:hint="eastAsia" w:ascii="宋体" w:hAnsi="宋体" w:eastAsia="宋体" w:cs="宋体"/>
                <w:sz w:val="24"/>
                <w:szCs w:val="24"/>
              </w:rPr>
              <w:t>均不能够满足《环境空气质量标准》（</w:t>
            </w:r>
            <w:r>
              <w:rPr>
                <w:sz w:val="24"/>
                <w:szCs w:val="24"/>
              </w:rPr>
              <w:t>GB3095-2012</w:t>
            </w:r>
            <w:r>
              <w:rPr>
                <w:rFonts w:hint="eastAsia" w:ascii="宋体" w:hAnsi="宋体" w:eastAsia="宋体" w:cs="宋体"/>
                <w:sz w:val="24"/>
                <w:szCs w:val="24"/>
              </w:rPr>
              <w:t>）二级标准要求及</w:t>
            </w:r>
            <w:r>
              <w:rPr>
                <w:sz w:val="24"/>
                <w:szCs w:val="24"/>
              </w:rPr>
              <w:t>2026</w:t>
            </w:r>
            <w:r>
              <w:rPr>
                <w:rFonts w:hint="eastAsia" w:ascii="宋体" w:hAnsi="宋体" w:eastAsia="宋体" w:cs="宋体"/>
                <w:sz w:val="24"/>
                <w:szCs w:val="24"/>
              </w:rPr>
              <w:t>年新国标中过渡阶段浓度限值的二级标准要求。根据《环境影响评价技术导则</w:t>
            </w:r>
            <w:r>
              <w:rPr>
                <w:sz w:val="24"/>
                <w:szCs w:val="24"/>
              </w:rPr>
              <w:t xml:space="preserve">  </w:t>
            </w:r>
            <w:r>
              <w:rPr>
                <w:rFonts w:hint="eastAsia" w:ascii="宋体" w:hAnsi="宋体" w:eastAsia="宋体" w:cs="宋体"/>
                <w:sz w:val="24"/>
                <w:szCs w:val="24"/>
              </w:rPr>
              <w:t>大气环境》（</w:t>
            </w:r>
            <w:r>
              <w:rPr>
                <w:sz w:val="24"/>
                <w:szCs w:val="24"/>
              </w:rPr>
              <w:t>HJ2.2-2018</w:t>
            </w:r>
            <w:r>
              <w:rPr>
                <w:rFonts w:hint="eastAsia" w:ascii="宋体" w:hAnsi="宋体" w:eastAsia="宋体" w:cs="宋体"/>
                <w:sz w:val="24"/>
                <w:szCs w:val="24"/>
              </w:rPr>
              <w:t>），本项目所在区域属于不达标区。</w:t>
            </w:r>
          </w:p>
          <w:p w14:paraId="14E76C12">
            <w:pPr>
              <w:spacing w:line="460" w:lineRule="exact"/>
              <w:ind w:firstLine="480" w:firstLineChars="200"/>
              <w:rPr>
                <w:sz w:val="24"/>
                <w:szCs w:val="24"/>
              </w:rPr>
            </w:pPr>
            <w:r>
              <w:rPr>
                <w:rFonts w:hint="eastAsia" w:ascii="宋体" w:hAnsi="宋体" w:eastAsia="宋体" w:cs="宋体"/>
                <w:sz w:val="24"/>
                <w:szCs w:val="24"/>
              </w:rPr>
              <w:t>目前，新乡市正在实施</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新乡市202</w:t>
            </w:r>
            <w:r>
              <w:rPr>
                <w:rFonts w:hint="eastAsia" w:ascii="Times New Roman" w:hAnsi="Times New Roman" w:cs="Times New Roman"/>
                <w:color w:val="000000" w:themeColor="text1"/>
                <w:lang w:val="en-US" w:eastAsia="zh-CN"/>
                <w14:textFill>
                  <w14:solidFill>
                    <w14:schemeClr w14:val="tx1"/>
                  </w14:solidFill>
                </w14:textFill>
              </w:rPr>
              <w:t>6</w:t>
            </w:r>
            <w:r>
              <w:rPr>
                <w:rFonts w:hint="eastAsia" w:ascii="Times New Roman" w:hAnsi="Times New Roman" w:cs="Times New Roman"/>
                <w:color w:val="000000" w:themeColor="text1"/>
                <w14:textFill>
                  <w14:solidFill>
                    <w14:schemeClr w14:val="tx1"/>
                  </w14:solidFill>
                </w14:textFill>
              </w:rPr>
              <w:t>年蓝天保卫战实施方案</w:t>
            </w:r>
            <w:r>
              <w:rPr>
                <w:rFonts w:hint="eastAsia" w:ascii="Times New Roman" w:hAnsi="Times New Roman" w:cs="Times New Roman"/>
                <w:color w:val="000000" w:themeColor="text1"/>
                <w:lang w:eastAsia="zh-CN"/>
                <w14:textFill>
                  <w14:solidFill>
                    <w14:schemeClr w14:val="tx1"/>
                  </w14:solidFill>
                </w14:textFill>
              </w:rPr>
              <w:t>》﹝新环委办[2026]18号﹞</w:t>
            </w:r>
            <w:r>
              <w:rPr>
                <w:rFonts w:hint="eastAsia" w:ascii="宋体" w:hAnsi="宋体" w:eastAsia="宋体" w:cs="宋体"/>
                <w:sz w:val="24"/>
                <w:szCs w:val="24"/>
              </w:rPr>
              <w:t>等一系列措施，将不断改善区域大气环境质量。</w:t>
            </w:r>
          </w:p>
          <w:p w14:paraId="424A5DB3">
            <w:pPr>
              <w:numPr>
                <w:ilvl w:val="0"/>
                <w:numId w:val="8"/>
              </w:numPr>
              <w:adjustRightInd w:val="0"/>
              <w:snapToGrid w:val="0"/>
              <w:spacing w:line="520" w:lineRule="exact"/>
              <w:ind w:firstLine="482" w:firstLineChars="200"/>
              <w:outlineLvl w:val="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地表水环境质量现状</w:t>
            </w:r>
          </w:p>
          <w:p w14:paraId="0D9B3B9D">
            <w:pPr>
              <w:adjustRightInd w:val="0"/>
              <w:snapToGrid w:val="0"/>
              <w:spacing w:line="520" w:lineRule="exact"/>
              <w:ind w:firstLine="480" w:firstLineChars="200"/>
              <w:outlineLvl w:val="0"/>
              <w:rPr>
                <w:rFonts w:ascii="黑体" w:hAnsi="黑体" w:eastAsia="黑体" w:cs="黑体"/>
                <w:color w:val="000000" w:themeColor="text1"/>
                <w14:textFill>
                  <w14:solidFill>
                    <w14:schemeClr w14:val="tx1"/>
                  </w14:solidFill>
                </w14:textFill>
              </w:rPr>
            </w:pPr>
            <w:r>
              <w:rPr>
                <w:rFonts w:hint="eastAsia"/>
                <w:color w:val="000000" w:themeColor="text1"/>
                <w14:textFill>
                  <w14:solidFill>
                    <w14:schemeClr w14:val="tx1"/>
                  </w14:solidFill>
                </w14:textFill>
              </w:rPr>
              <w:t>本项目最近的地表水体为大沙河，根据《新乡市生态环境局关于下达</w:t>
            </w:r>
            <w:r>
              <w:rPr>
                <w:color w:val="000000" w:themeColor="text1"/>
                <w14:textFill>
                  <w14:solidFill>
                    <w14:schemeClr w14:val="tx1"/>
                  </w14:solidFill>
                </w14:textFill>
              </w:rPr>
              <w:t>2025</w:t>
            </w:r>
            <w:r>
              <w:rPr>
                <w:rFonts w:hint="eastAsia"/>
                <w:color w:val="000000" w:themeColor="text1"/>
                <w14:textFill>
                  <w14:solidFill>
                    <w14:schemeClr w14:val="tx1"/>
                  </w14:solidFill>
                </w14:textFill>
              </w:rPr>
              <w:t>年地表水环境质量目标的函》，大沙河水体功能类别均为</w:t>
            </w:r>
            <w:r>
              <w:rPr>
                <w:color w:val="000000" w:themeColor="text1"/>
                <w14:textFill>
                  <w14:solidFill>
                    <w14:schemeClr w14:val="tx1"/>
                  </w14:solidFill>
                </w14:textFill>
              </w:rPr>
              <w:t>Ⅳ</w:t>
            </w:r>
            <w:r>
              <w:rPr>
                <w:rFonts w:hint="eastAsia"/>
                <w:color w:val="000000" w:themeColor="text1"/>
                <w14:textFill>
                  <w14:solidFill>
                    <w14:schemeClr w14:val="tx1"/>
                  </w14:solidFill>
                </w14:textFill>
              </w:rPr>
              <w:t>类标准。根据新乡市环境监测站对大沙河吴安屯断面的监测</w:t>
            </w:r>
            <w:r>
              <w:rPr>
                <w:color w:val="000000" w:themeColor="text1"/>
                <w14:textFill>
                  <w14:solidFill>
                    <w14:schemeClr w14:val="tx1"/>
                  </w14:solidFill>
                </w14:textFill>
              </w:rPr>
              <w:t>202</w:t>
            </w:r>
            <w:r>
              <w:rPr>
                <w:rFonts w:hint="eastAsia"/>
                <w:color w:val="000000" w:themeColor="text1"/>
                <w14:textFill>
                  <w14:solidFill>
                    <w14:schemeClr w14:val="tx1"/>
                  </w14:solidFill>
                </w14:textFill>
              </w:rPr>
              <w:t>5年年均值数据见下表。</w:t>
            </w:r>
          </w:p>
          <w:p w14:paraId="0F027E25">
            <w:pPr>
              <w:adjustRightInd w:val="0"/>
              <w:snapToGrid w:val="0"/>
              <w:spacing w:line="460" w:lineRule="exact"/>
              <w:ind w:firstLine="480" w:firstLineChars="200"/>
              <w:outlineLvl w:val="0"/>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表</w:t>
            </w:r>
            <w:r>
              <w:rPr>
                <w:rFonts w:hint="eastAsia" w:eastAsia="黑体"/>
                <w:color w:val="000000" w:themeColor="text1"/>
                <w14:textFill>
                  <w14:solidFill>
                    <w14:schemeClr w14:val="tx1"/>
                  </w14:solidFill>
                </w14:textFill>
              </w:rPr>
              <w:t>3-2</w:t>
            </w:r>
            <w:r>
              <w:rPr>
                <w:rFonts w:hint="eastAsia" w:ascii="黑体" w:hAnsi="黑体" w:eastAsia="黑体" w:cs="黑体"/>
                <w:color w:val="000000" w:themeColor="text1"/>
                <w14:textFill>
                  <w14:solidFill>
                    <w14:schemeClr w14:val="tx1"/>
                  </w14:solidFill>
                </w14:textFill>
              </w:rPr>
              <w:t xml:space="preserve">         </w:t>
            </w:r>
            <w:r>
              <w:rPr>
                <w:rFonts w:ascii="黑体" w:hAnsi="黑体" w:eastAsia="黑体" w:cs="黑体"/>
                <w:color w:val="000000" w:themeColor="text1"/>
                <w14:textFill>
                  <w14:solidFill>
                    <w14:schemeClr w14:val="tx1"/>
                  </w14:solidFill>
                </w14:textFill>
              </w:rPr>
              <w:t xml:space="preserve">  </w:t>
            </w:r>
            <w:r>
              <w:rPr>
                <w:rFonts w:hint="eastAsia" w:ascii="黑体" w:hAnsi="黑体" w:eastAsia="黑体" w:cs="黑体"/>
                <w:color w:val="000000" w:themeColor="text1"/>
                <w14:textFill>
                  <w14:solidFill>
                    <w14:schemeClr w14:val="tx1"/>
                  </w14:solidFill>
                </w14:textFill>
              </w:rPr>
              <w:t xml:space="preserve"> 大沙河吴安屯断面监测数据         单位：</w:t>
            </w:r>
            <w:r>
              <w:rPr>
                <w:rFonts w:eastAsia="黑体"/>
                <w:color w:val="000000" w:themeColor="text1"/>
                <w14:textFill>
                  <w14:solidFill>
                    <w14:schemeClr w14:val="tx1"/>
                  </w14:solidFill>
                </w14:textFill>
              </w:rPr>
              <w:t>mg</w:t>
            </w:r>
            <w:r>
              <w:rPr>
                <w:rFonts w:hint="eastAsia" w:ascii="黑体" w:hAnsi="黑体" w:eastAsia="黑体" w:cs="黑体"/>
                <w:color w:val="000000" w:themeColor="text1"/>
                <w14:textFill>
                  <w14:solidFill>
                    <w14:schemeClr w14:val="tx1"/>
                  </w14:solidFill>
                </w14:textFill>
              </w:rPr>
              <w:t>/</w:t>
            </w:r>
            <w:r>
              <w:rPr>
                <w:rFonts w:eastAsia="黑体"/>
                <w:color w:val="000000" w:themeColor="text1"/>
                <w14:textFill>
                  <w14:solidFill>
                    <w14:schemeClr w14:val="tx1"/>
                  </w14:solidFill>
                </w14:textFill>
              </w:rPr>
              <w:t>L</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6"/>
              <w:gridCol w:w="2198"/>
              <w:gridCol w:w="2199"/>
              <w:gridCol w:w="2199"/>
            </w:tblGrid>
            <w:tr w14:paraId="4AF36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0" w:type="dxa"/>
                  <w:vAlign w:val="center"/>
                </w:tcPr>
                <w:p w14:paraId="6480EC78">
                  <w:pPr>
                    <w:adjustRightInd w:val="0"/>
                    <w:snapToGrid w:val="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监测因子</w:t>
                  </w:r>
                </w:p>
              </w:tc>
              <w:tc>
                <w:tcPr>
                  <w:tcW w:w="2200" w:type="dxa"/>
                  <w:vAlign w:val="center"/>
                </w:tcPr>
                <w:p w14:paraId="0C1B6F56">
                  <w:pPr>
                    <w:adjustRightInd w:val="0"/>
                    <w:snapToGrid w:val="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COD</w:t>
                  </w:r>
                </w:p>
              </w:tc>
              <w:tc>
                <w:tcPr>
                  <w:tcW w:w="2201" w:type="dxa"/>
                  <w:vAlign w:val="center"/>
                </w:tcPr>
                <w:p w14:paraId="4B5245D9">
                  <w:pPr>
                    <w:adjustRightInd w:val="0"/>
                    <w:snapToGrid w:val="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NH</w:t>
                  </w:r>
                  <w:r>
                    <w:rPr>
                      <w:b/>
                      <w:bCs/>
                      <w:color w:val="000000" w:themeColor="text1"/>
                      <w:sz w:val="21"/>
                      <w:szCs w:val="21"/>
                      <w:vertAlign w:val="subscript"/>
                      <w14:textFill>
                        <w14:solidFill>
                          <w14:schemeClr w14:val="tx1"/>
                        </w14:solidFill>
                      </w14:textFill>
                    </w:rPr>
                    <w:t>3</w:t>
                  </w:r>
                  <w:r>
                    <w:rPr>
                      <w:b/>
                      <w:bCs/>
                      <w:color w:val="000000" w:themeColor="text1"/>
                      <w:sz w:val="21"/>
                      <w:szCs w:val="21"/>
                      <w14:textFill>
                        <w14:solidFill>
                          <w14:schemeClr w14:val="tx1"/>
                        </w14:solidFill>
                      </w14:textFill>
                    </w:rPr>
                    <w:t>-N</w:t>
                  </w:r>
                </w:p>
              </w:tc>
              <w:tc>
                <w:tcPr>
                  <w:tcW w:w="2201" w:type="dxa"/>
                  <w:vAlign w:val="center"/>
                </w:tcPr>
                <w:p w14:paraId="38E041E3">
                  <w:pPr>
                    <w:adjustRightInd w:val="0"/>
                    <w:snapToGrid w:val="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TP</w:t>
                  </w:r>
                </w:p>
              </w:tc>
            </w:tr>
            <w:tr w14:paraId="0A39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0" w:type="dxa"/>
                  <w:vAlign w:val="center"/>
                </w:tcPr>
                <w:p w14:paraId="3ED5C3C4">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监测数据</w:t>
                  </w:r>
                </w:p>
              </w:tc>
              <w:tc>
                <w:tcPr>
                  <w:tcW w:w="2200" w:type="dxa"/>
                  <w:vAlign w:val="center"/>
                </w:tcPr>
                <w:p w14:paraId="5114298D">
                  <w:pPr>
                    <w:adjustRightInd w:val="0"/>
                    <w:snapToGrid w:val="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26.1</w:t>
                  </w:r>
                </w:p>
              </w:tc>
              <w:tc>
                <w:tcPr>
                  <w:tcW w:w="2201" w:type="dxa"/>
                  <w:vAlign w:val="center"/>
                </w:tcPr>
                <w:p w14:paraId="6C96C0C6">
                  <w:pPr>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w:t>
                  </w:r>
                  <w:r>
                    <w:rPr>
                      <w:rFonts w:hint="eastAsia"/>
                      <w:color w:val="000000" w:themeColor="text1"/>
                      <w:sz w:val="21"/>
                      <w:szCs w:val="21"/>
                      <w14:textFill>
                        <w14:solidFill>
                          <w14:schemeClr w14:val="tx1"/>
                        </w14:solidFill>
                      </w14:textFill>
                    </w:rPr>
                    <w:t>.55</w:t>
                  </w:r>
                </w:p>
              </w:tc>
              <w:tc>
                <w:tcPr>
                  <w:tcW w:w="2201" w:type="dxa"/>
                  <w:vAlign w:val="center"/>
                </w:tcPr>
                <w:p w14:paraId="45FE6059">
                  <w:pPr>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w:t>
                  </w:r>
                  <w:r>
                    <w:rPr>
                      <w:rFonts w:hint="eastAsia"/>
                      <w:color w:val="000000" w:themeColor="text1"/>
                      <w:sz w:val="21"/>
                      <w:szCs w:val="21"/>
                      <w14:textFill>
                        <w14:solidFill>
                          <w14:schemeClr w14:val="tx1"/>
                        </w14:solidFill>
                      </w14:textFill>
                    </w:rPr>
                    <w:t>.236</w:t>
                  </w:r>
                </w:p>
              </w:tc>
            </w:tr>
            <w:tr w14:paraId="2864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0" w:type="dxa"/>
                  <w:vAlign w:val="center"/>
                </w:tcPr>
                <w:p w14:paraId="077E7A1A">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断面标准</w:t>
                  </w:r>
                </w:p>
              </w:tc>
              <w:tc>
                <w:tcPr>
                  <w:tcW w:w="2200" w:type="dxa"/>
                  <w:vAlign w:val="center"/>
                </w:tcPr>
                <w:p w14:paraId="36E664F0">
                  <w:pPr>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30</w:t>
                  </w:r>
                </w:p>
              </w:tc>
              <w:tc>
                <w:tcPr>
                  <w:tcW w:w="2201" w:type="dxa"/>
                  <w:vAlign w:val="center"/>
                </w:tcPr>
                <w:p w14:paraId="5083DBBF">
                  <w:pPr>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1.5</w:t>
                  </w:r>
                </w:p>
              </w:tc>
              <w:tc>
                <w:tcPr>
                  <w:tcW w:w="2201" w:type="dxa"/>
                  <w:vAlign w:val="center"/>
                </w:tcPr>
                <w:p w14:paraId="698DD1CD">
                  <w:pPr>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0.3</w:t>
                  </w:r>
                </w:p>
              </w:tc>
            </w:tr>
            <w:tr w14:paraId="0476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0" w:type="dxa"/>
                  <w:vAlign w:val="center"/>
                </w:tcPr>
                <w:p w14:paraId="5E986455">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达标情况</w:t>
                  </w:r>
                </w:p>
              </w:tc>
              <w:tc>
                <w:tcPr>
                  <w:tcW w:w="2200" w:type="dxa"/>
                  <w:vAlign w:val="center"/>
                </w:tcPr>
                <w:p w14:paraId="280F5570">
                  <w:pPr>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c>
                <w:tcPr>
                  <w:tcW w:w="2201" w:type="dxa"/>
                  <w:vAlign w:val="center"/>
                </w:tcPr>
                <w:p w14:paraId="368FD7EA">
                  <w:pPr>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c>
                <w:tcPr>
                  <w:tcW w:w="2201" w:type="dxa"/>
                  <w:vAlign w:val="center"/>
                </w:tcPr>
                <w:p w14:paraId="01D13B4A">
                  <w:pPr>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bl>
          <w:p w14:paraId="23D9A0C4">
            <w:pPr>
              <w:adjustRightInd w:val="0"/>
              <w:snapToGrid w:val="0"/>
              <w:spacing w:line="520" w:lineRule="exact"/>
              <w:ind w:firstLine="48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由上表可知，大沙河吴安屯断面</w:t>
            </w:r>
            <w:r>
              <w:rPr>
                <w:color w:val="000000" w:themeColor="text1"/>
                <w14:textFill>
                  <w14:solidFill>
                    <w14:schemeClr w14:val="tx1"/>
                  </w14:solidFill>
                </w14:textFill>
              </w:rPr>
              <w:t>COD</w:t>
            </w:r>
            <w:r>
              <w:rPr>
                <w:rFonts w:hint="eastAsia" w:ascii="宋体" w:hAnsi="宋体" w:cs="宋体"/>
                <w:color w:val="000000" w:themeColor="text1"/>
                <w14:textFill>
                  <w14:solidFill>
                    <w14:schemeClr w14:val="tx1"/>
                  </w14:solidFill>
                </w14:textFill>
              </w:rPr>
              <w:t>、</w:t>
            </w:r>
            <w:r>
              <w:rPr>
                <w:color w:val="000000" w:themeColor="text1"/>
                <w14:textFill>
                  <w14:solidFill>
                    <w14:schemeClr w14:val="tx1"/>
                  </w14:solidFill>
                </w14:textFill>
              </w:rPr>
              <w:t>NH</w:t>
            </w:r>
            <w:r>
              <w:rPr>
                <w:color w:val="000000" w:themeColor="text1"/>
                <w:vertAlign w:val="subscript"/>
                <w14:textFill>
                  <w14:solidFill>
                    <w14:schemeClr w14:val="tx1"/>
                  </w14:solidFill>
                </w14:textFill>
              </w:rPr>
              <w:t>3</w:t>
            </w:r>
            <w:r>
              <w:rPr>
                <w:rFonts w:hint="eastAsia" w:ascii="宋体" w:hAnsi="宋体" w:cs="宋体"/>
                <w:color w:val="000000" w:themeColor="text1"/>
                <w14:textFill>
                  <w14:solidFill>
                    <w14:schemeClr w14:val="tx1"/>
                  </w14:solidFill>
                </w14:textFill>
              </w:rPr>
              <w:t>-</w:t>
            </w:r>
            <w:r>
              <w:rPr>
                <w:color w:val="000000" w:themeColor="text1"/>
                <w14:textFill>
                  <w14:solidFill>
                    <w14:schemeClr w14:val="tx1"/>
                  </w14:solidFill>
                </w14:textFill>
              </w:rPr>
              <w:t>N</w:t>
            </w:r>
            <w:r>
              <w:rPr>
                <w:rFonts w:hint="eastAsia" w:ascii="宋体" w:hAnsi="宋体" w:cs="宋体"/>
                <w:color w:val="000000" w:themeColor="text1"/>
                <w14:textFill>
                  <w14:solidFill>
                    <w14:schemeClr w14:val="tx1"/>
                  </w14:solidFill>
                </w14:textFill>
              </w:rPr>
              <w:t>、</w:t>
            </w:r>
            <w:r>
              <w:rPr>
                <w:color w:val="000000" w:themeColor="text1"/>
                <w14:textFill>
                  <w14:solidFill>
                    <w14:schemeClr w14:val="tx1"/>
                  </w14:solidFill>
                </w14:textFill>
              </w:rPr>
              <w:t>TP</w:t>
            </w:r>
            <w:r>
              <w:rPr>
                <w:rFonts w:hint="eastAsia" w:ascii="宋体" w:hAnsi="宋体" w:cs="宋体"/>
                <w:color w:val="000000" w:themeColor="text1"/>
                <w14:textFill>
                  <w14:solidFill>
                    <w14:schemeClr w14:val="tx1"/>
                  </w14:solidFill>
                </w14:textFill>
              </w:rPr>
              <w:t>浓度均能够达</w:t>
            </w:r>
            <w:r>
              <w:rPr>
                <w:color w:val="000000" w:themeColor="text1"/>
                <w14:textFill>
                  <w14:solidFill>
                    <w14:schemeClr w14:val="tx1"/>
                  </w14:solidFill>
                </w14:textFill>
              </w:rPr>
              <w:t>到《地表水环境质量标准》（GB3838-2002）中Ⅳ类标准限值。</w:t>
            </w:r>
          </w:p>
          <w:p w14:paraId="54FBF02C">
            <w:pPr>
              <w:numPr>
                <w:ilvl w:val="0"/>
                <w:numId w:val="8"/>
              </w:numPr>
              <w:adjustRightInd w:val="0"/>
              <w:snapToGrid w:val="0"/>
              <w:spacing w:line="520" w:lineRule="exact"/>
              <w:ind w:firstLine="482" w:firstLineChars="200"/>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声环境质量现状</w:t>
            </w:r>
          </w:p>
          <w:p w14:paraId="3685D2DE">
            <w:pPr>
              <w:spacing w:line="520" w:lineRule="exact"/>
              <w:ind w:firstLine="480" w:firstLineChars="200"/>
              <w:rPr>
                <w:color w:val="000000" w:themeColor="text1"/>
                <w14:textFill>
                  <w14:solidFill>
                    <w14:schemeClr w14:val="tx1"/>
                  </w14:solidFill>
                </w14:textFill>
              </w:rPr>
            </w:pPr>
            <w:r>
              <w:t>根据《建设项目环境影响报告表编制技术指南（污染影响类）（试行）》，本项目厂界东侧15m处存在声环境保护目标是夹堤村，河南朝东食品有限公司委托河南琢磨检测</w:t>
            </w:r>
            <w:r>
              <w:rPr>
                <w:rFonts w:hint="eastAsia"/>
              </w:rPr>
              <w:t>研究院</w:t>
            </w:r>
            <w:r>
              <w:t>有限公司于 202</w:t>
            </w:r>
            <w:r>
              <w:rPr>
                <w:rFonts w:hint="eastAsia"/>
              </w:rPr>
              <w:t>6</w:t>
            </w:r>
            <w:r>
              <w:t>年2月</w:t>
            </w:r>
            <w:r>
              <w:rPr>
                <w:rFonts w:hint="eastAsia"/>
              </w:rPr>
              <w:t>26</w:t>
            </w:r>
            <w:r>
              <w:t>日对厂界东侧</w:t>
            </w:r>
            <w:r>
              <w:rPr>
                <w:rFonts w:hint="eastAsia"/>
              </w:rPr>
              <w:t>夹堤村</w:t>
            </w:r>
            <w:r>
              <w:t>的声环境质量现状进行了监测。根据河南琢磨检测</w:t>
            </w:r>
            <w:r>
              <w:rPr>
                <w:rFonts w:hint="eastAsia"/>
              </w:rPr>
              <w:t>研究院</w:t>
            </w:r>
            <w:r>
              <w:t>有限公司出具的监测报告（报告编号：HNZM QT/C039-04），</w:t>
            </w:r>
            <w:r>
              <w:rPr>
                <w:rFonts w:hint="eastAsia"/>
              </w:rPr>
              <w:t>夹堤村</w:t>
            </w:r>
            <w:r>
              <w:t>声环境质量为昼间52dB(A)、夜间</w:t>
            </w:r>
            <w:r>
              <w:rPr>
                <w:rFonts w:hint="eastAsia"/>
              </w:rPr>
              <w:t>48</w:t>
            </w:r>
            <w:r>
              <w:t>dB(A)，现状值均满足《声环境质量标准》（GB3096-2008）2类标准昼间60dB(A)、夜间50dB(A)要求，区域声环境质量较好。</w:t>
            </w:r>
          </w:p>
          <w:p w14:paraId="348CF556">
            <w:pPr>
              <w:spacing w:line="520" w:lineRule="exact"/>
              <w:ind w:firstLine="482" w:firstLineChars="200"/>
              <w:rPr>
                <w:b/>
                <w:color w:val="000000" w:themeColor="text1"/>
                <w14:textFill>
                  <w14:solidFill>
                    <w14:schemeClr w14:val="tx1"/>
                  </w14:solidFill>
                </w14:textFill>
              </w:rPr>
            </w:pPr>
            <w:r>
              <w:rPr>
                <w:b/>
                <w:color w:val="000000" w:themeColor="text1"/>
                <w14:textFill>
                  <w14:solidFill>
                    <w14:schemeClr w14:val="tx1"/>
                  </w14:solidFill>
                </w14:textFill>
              </w:rPr>
              <w:t>4</w:t>
            </w:r>
            <w:r>
              <w:rPr>
                <w:rFonts w:hint="eastAsia"/>
                <w:b/>
                <w:color w:val="000000" w:themeColor="text1"/>
                <w14:textFill>
                  <w14:solidFill>
                    <w14:schemeClr w14:val="tx1"/>
                  </w14:solidFill>
                </w14:textFill>
              </w:rPr>
              <w:t>、地下水、土壤环境质量现状</w:t>
            </w:r>
          </w:p>
          <w:p w14:paraId="4EF05E75">
            <w:pPr>
              <w:autoSpaceDE w:val="0"/>
              <w:autoSpaceDN w:val="0"/>
              <w:adjustRightInd w:val="0"/>
              <w:snapToGrid w:val="0"/>
              <w:spacing w:line="520" w:lineRule="exact"/>
              <w:ind w:firstLine="480" w:firstLineChars="200"/>
              <w:textAlignment w:val="baseline"/>
              <w:rPr>
                <w:color w:val="000000" w:themeColor="text1"/>
                <w:kern w:val="0"/>
                <w14:textFill>
                  <w14:solidFill>
                    <w14:schemeClr w14:val="tx1"/>
                  </w14:solidFill>
                </w14:textFill>
              </w:rPr>
            </w:pPr>
            <w:r>
              <w:rPr>
                <w:rFonts w:hint="eastAsia"/>
                <w:color w:val="000000" w:themeColor="text1"/>
                <w14:textFill>
                  <w14:solidFill>
                    <w14:schemeClr w14:val="tx1"/>
                  </w14:solidFill>
                </w14:textFill>
              </w:rPr>
              <w:t>根据《建设项目环境影响报告表编制技术指南（污染影响类）（试行）》，原则上不开展地下水和土壤环境质量现状调查，且本项目不存在地下水、土壤污染途径，因此不进行地下水、土壤质量现状调查。</w:t>
            </w:r>
          </w:p>
          <w:p w14:paraId="0B145314">
            <w:pPr>
              <w:spacing w:line="520" w:lineRule="exact"/>
              <w:ind w:firstLine="482" w:firstLineChars="200"/>
              <w:rPr>
                <w:b/>
                <w:color w:val="000000" w:themeColor="text1"/>
                <w14:textFill>
                  <w14:solidFill>
                    <w14:schemeClr w14:val="tx1"/>
                  </w14:solidFill>
                </w14:textFill>
              </w:rPr>
            </w:pPr>
            <w:r>
              <w:rPr>
                <w:b/>
                <w:color w:val="000000" w:themeColor="text1"/>
                <w14:textFill>
                  <w14:solidFill>
                    <w14:schemeClr w14:val="tx1"/>
                  </w14:solidFill>
                </w14:textFill>
              </w:rPr>
              <w:t>5</w:t>
            </w:r>
            <w:r>
              <w:rPr>
                <w:rFonts w:hint="eastAsia"/>
                <w:b/>
                <w:color w:val="000000" w:themeColor="text1"/>
                <w14:textFill>
                  <w14:solidFill>
                    <w14:schemeClr w14:val="tx1"/>
                  </w14:solidFill>
                </w14:textFill>
              </w:rPr>
              <w:t>、生态环境现状</w:t>
            </w:r>
          </w:p>
          <w:p w14:paraId="4A30837A">
            <w:pPr>
              <w:widowControl/>
              <w:spacing w:line="5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根据《建设项目环境影响报告表编制技术指南（污染影响类）（试行）》，本项目位于新乡市延津县榆林乡夹堤村西南河南朝东食品有限公司现有厂区内，且用地范围内不含有生态环境保护目标，因此不进行生态环境现状调查。</w:t>
            </w:r>
          </w:p>
        </w:tc>
      </w:tr>
      <w:tr w14:paraId="5624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6" w:type="dxa"/>
            <w:vAlign w:val="center"/>
          </w:tcPr>
          <w:p w14:paraId="41855742">
            <w:pPr>
              <w:adjustRightInd w:val="0"/>
              <w:snapToGrid w:val="0"/>
              <w:spacing w:before="100" w:beforeAutospacing="1" w:after="100" w:afterAutospacing="1" w:line="288" w:lineRule="auto"/>
              <w:jc w:val="center"/>
              <w:outlineLvl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环境保护目标</w:t>
            </w:r>
          </w:p>
        </w:tc>
        <w:tc>
          <w:tcPr>
            <w:tcW w:w="9018" w:type="dxa"/>
            <w:vAlign w:val="center"/>
          </w:tcPr>
          <w:p w14:paraId="52E62BF2">
            <w:pPr>
              <w:spacing w:line="520" w:lineRule="exac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主要环境保护目标</w:t>
            </w:r>
          </w:p>
          <w:p w14:paraId="5163DCC7">
            <w:pPr>
              <w:spacing w:line="52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根据《建设项目环境影响报告表编制技术指南（污染影响类）（试行）》，本项目厂界外500米范围内存在大气环境保护目标</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50米范围内</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声环境保护目标</w:t>
            </w:r>
            <w:r>
              <w:rPr>
                <w:rFonts w:hint="eastAsia"/>
                <w:color w:val="000000" w:themeColor="text1"/>
                <w14:textFill>
                  <w14:solidFill>
                    <w14:schemeClr w14:val="tx1"/>
                  </w14:solidFill>
                </w14:textFill>
              </w:rPr>
              <w:t>为厂区东侧15m处的夹堤村</w:t>
            </w:r>
            <w:r>
              <w:rPr>
                <w:color w:val="000000" w:themeColor="text1"/>
                <w14:textFill>
                  <w14:solidFill>
                    <w14:schemeClr w14:val="tx1"/>
                  </w14:solidFill>
                </w14:textFill>
              </w:rPr>
              <w:t>，500米范围内不存在地下水环境保护目标。本项目位于</w:t>
            </w:r>
            <w:r>
              <w:rPr>
                <w:rFonts w:hint="eastAsia"/>
                <w:color w:val="000000" w:themeColor="text1"/>
                <w14:textFill>
                  <w14:solidFill>
                    <w14:schemeClr w14:val="tx1"/>
                  </w14:solidFill>
                </w14:textFill>
              </w:rPr>
              <w:t>新乡市延津县榆林乡夹堤村西南</w:t>
            </w:r>
            <w:r>
              <w:rPr>
                <w:color w:val="000000" w:themeColor="text1"/>
                <w14:textFill>
                  <w14:solidFill>
                    <w14:schemeClr w14:val="tx1"/>
                  </w14:solidFill>
                </w14:textFill>
              </w:rPr>
              <w:t>河南朝东食品有限公司</w:t>
            </w:r>
            <w:r>
              <w:rPr>
                <w:rFonts w:hint="eastAsia"/>
                <w:color w:val="000000" w:themeColor="text1"/>
                <w14:textFill>
                  <w14:solidFill>
                    <w14:schemeClr w14:val="tx1"/>
                  </w14:solidFill>
                </w14:textFill>
              </w:rPr>
              <w:t>现有厂区内</w:t>
            </w:r>
            <w:r>
              <w:rPr>
                <w:color w:val="000000" w:themeColor="text1"/>
                <w14:textFill>
                  <w14:solidFill>
                    <w14:schemeClr w14:val="tx1"/>
                  </w14:solidFill>
                </w14:textFill>
              </w:rPr>
              <w:t>不含有生态环境保护目标。</w:t>
            </w:r>
          </w:p>
        </w:tc>
      </w:tr>
      <w:tr w14:paraId="3E18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58C32D6B">
            <w:pPr>
              <w:adjustRightInd w:val="0"/>
              <w:snapToGrid w:val="0"/>
              <w:spacing w:before="100" w:beforeAutospacing="1" w:after="100" w:afterAutospacing="1" w:line="288" w:lineRule="auto"/>
              <w:jc w:val="center"/>
              <w:outlineLvl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污染物排放控制标准</w:t>
            </w:r>
          </w:p>
        </w:tc>
        <w:tc>
          <w:tcPr>
            <w:tcW w:w="9018" w:type="dxa"/>
          </w:tcPr>
          <w:p w14:paraId="02B92C5D">
            <w:pPr>
              <w:pStyle w:val="4"/>
              <w:keepNext w:val="0"/>
              <w:spacing w:before="0" w:after="0" w:line="460" w:lineRule="exact"/>
              <w:ind w:left="0" w:firstLine="480" w:firstLineChars="200"/>
              <w:rPr>
                <w:rFonts w:ascii="黑体" w:hAnsi="黑体" w:cs="黑体"/>
                <w:b w:val="0"/>
                <w:bCs w:val="0"/>
                <w:color w:val="000000" w:themeColor="text1"/>
                <w:sz w:val="24"/>
                <w:szCs w:val="24"/>
                <w14:textFill>
                  <w14:solidFill>
                    <w14:schemeClr w14:val="tx1"/>
                  </w14:solidFill>
                </w14:textFill>
              </w:rPr>
            </w:pPr>
            <w:r>
              <w:rPr>
                <w:rFonts w:hint="eastAsia" w:ascii="黑体" w:hAnsi="黑体" w:cs="黑体"/>
                <w:b w:val="0"/>
                <w:bCs w:val="0"/>
                <w:color w:val="000000" w:themeColor="text1"/>
                <w:sz w:val="24"/>
                <w:szCs w:val="24"/>
                <w14:textFill>
                  <w14:solidFill>
                    <w14:schemeClr w14:val="tx1"/>
                  </w14:solidFill>
                </w14:textFill>
              </w:rPr>
              <w:t>表</w:t>
            </w:r>
            <w:r>
              <w:rPr>
                <w:rFonts w:hint="eastAsia"/>
                <w:b w:val="0"/>
                <w:bCs w:val="0"/>
                <w:color w:val="000000" w:themeColor="text1"/>
                <w:sz w:val="24"/>
                <w:szCs w:val="24"/>
                <w14:textFill>
                  <w14:solidFill>
                    <w14:schemeClr w14:val="tx1"/>
                  </w14:solidFill>
                </w14:textFill>
              </w:rPr>
              <w:t>3-3</w:t>
            </w:r>
            <w:r>
              <w:rPr>
                <w:rFonts w:hint="eastAsia" w:ascii="黑体" w:hAnsi="黑体" w:cs="黑体"/>
                <w:b w:val="0"/>
                <w:bCs w:val="0"/>
                <w:color w:val="000000" w:themeColor="text1"/>
                <w:sz w:val="24"/>
                <w:szCs w:val="24"/>
                <w14:textFill>
                  <w14:solidFill>
                    <w14:schemeClr w14:val="tx1"/>
                  </w14:solidFill>
                </w14:textFill>
              </w:rPr>
              <w:t xml:space="preserve">                    污染物排放标准</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3511"/>
              <w:gridCol w:w="1403"/>
              <w:gridCol w:w="2961"/>
            </w:tblGrid>
            <w:tr w14:paraId="2E6A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Align w:val="center"/>
                </w:tcPr>
                <w:p w14:paraId="123BA271">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污染物</w:t>
                  </w:r>
                </w:p>
              </w:tc>
              <w:tc>
                <w:tcPr>
                  <w:tcW w:w="3511" w:type="dxa"/>
                  <w:vAlign w:val="center"/>
                </w:tcPr>
                <w:p w14:paraId="44230C5C">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标准名称</w:t>
                  </w:r>
                </w:p>
              </w:tc>
              <w:tc>
                <w:tcPr>
                  <w:tcW w:w="1403" w:type="dxa"/>
                  <w:vAlign w:val="center"/>
                </w:tcPr>
                <w:p w14:paraId="23366754">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污染因子</w:t>
                  </w:r>
                </w:p>
              </w:tc>
              <w:tc>
                <w:tcPr>
                  <w:tcW w:w="2961" w:type="dxa"/>
                  <w:vAlign w:val="center"/>
                </w:tcPr>
                <w:p w14:paraId="2B2B228C">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标准限值</w:t>
                  </w:r>
                </w:p>
              </w:tc>
            </w:tr>
            <w:tr w14:paraId="2417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restart"/>
                  <w:vAlign w:val="center"/>
                </w:tcPr>
                <w:p w14:paraId="715DAC2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废气</w:t>
                  </w:r>
                </w:p>
              </w:tc>
              <w:tc>
                <w:tcPr>
                  <w:tcW w:w="3511" w:type="dxa"/>
                  <w:vAlign w:val="center"/>
                </w:tcPr>
                <w:p w14:paraId="179D7079">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《饮食业油烟排放标准（试行）》（GB18483-2001）表2-</w:t>
                  </w:r>
                  <w:r>
                    <w:rPr>
                      <w:rFonts w:hint="eastAsia"/>
                      <w:color w:val="000000" w:themeColor="text1"/>
                      <w:sz w:val="21"/>
                      <w:szCs w:val="21"/>
                      <w14:textFill>
                        <w14:solidFill>
                          <w14:schemeClr w14:val="tx1"/>
                        </w14:solidFill>
                      </w14:textFill>
                    </w:rPr>
                    <w:t>大</w:t>
                  </w:r>
                  <w:r>
                    <w:rPr>
                      <w:color w:val="000000" w:themeColor="text1"/>
                      <w:sz w:val="21"/>
                      <w:szCs w:val="21"/>
                      <w14:textFill>
                        <w14:solidFill>
                          <w14:schemeClr w14:val="tx1"/>
                        </w14:solidFill>
                      </w14:textFill>
                    </w:rPr>
                    <w:t>型</w:t>
                  </w:r>
                </w:p>
              </w:tc>
              <w:tc>
                <w:tcPr>
                  <w:tcW w:w="1403" w:type="dxa"/>
                  <w:vAlign w:val="center"/>
                </w:tcPr>
                <w:p w14:paraId="698ABC6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油烟</w:t>
                  </w:r>
                </w:p>
              </w:tc>
              <w:tc>
                <w:tcPr>
                  <w:tcW w:w="2961" w:type="dxa"/>
                  <w:vAlign w:val="center"/>
                </w:tcPr>
                <w:p w14:paraId="6FDA7BBC">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最高允许排放浓度2.0mg/m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，油烟去除效率≥85%</w:t>
                  </w:r>
                </w:p>
              </w:tc>
            </w:tr>
            <w:tr w14:paraId="59AE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4543AB3D">
                  <w:pPr>
                    <w:jc w:val="center"/>
                    <w:rPr>
                      <w:color w:val="000000" w:themeColor="text1"/>
                      <w:sz w:val="21"/>
                      <w:szCs w:val="21"/>
                      <w14:textFill>
                        <w14:solidFill>
                          <w14:schemeClr w14:val="tx1"/>
                        </w14:solidFill>
                      </w14:textFill>
                    </w:rPr>
                  </w:pPr>
                </w:p>
              </w:tc>
              <w:tc>
                <w:tcPr>
                  <w:tcW w:w="3511" w:type="dxa"/>
                  <w:vMerge w:val="restart"/>
                  <w:vAlign w:val="center"/>
                </w:tcPr>
                <w:p w14:paraId="5F6A3113">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《锅炉大气污染物排放标准》 （DB41/2089—2021）</w:t>
                  </w:r>
                </w:p>
              </w:tc>
              <w:tc>
                <w:tcPr>
                  <w:tcW w:w="1403" w:type="dxa"/>
                  <w:vAlign w:val="center"/>
                </w:tcPr>
                <w:p w14:paraId="5C041E2E">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颗粒物</w:t>
                  </w:r>
                </w:p>
              </w:tc>
              <w:tc>
                <w:tcPr>
                  <w:tcW w:w="2961" w:type="dxa"/>
                  <w:vAlign w:val="center"/>
                </w:tcPr>
                <w:p w14:paraId="51614429">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5mg/m</w:t>
                  </w:r>
                  <w:r>
                    <w:rPr>
                      <w:color w:val="000000" w:themeColor="text1"/>
                      <w:sz w:val="21"/>
                      <w:szCs w:val="21"/>
                      <w:vertAlign w:val="superscript"/>
                      <w14:textFill>
                        <w14:solidFill>
                          <w14:schemeClr w14:val="tx1"/>
                        </w14:solidFill>
                      </w14:textFill>
                    </w:rPr>
                    <w:t>3</w:t>
                  </w:r>
                </w:p>
              </w:tc>
            </w:tr>
            <w:tr w14:paraId="3F23F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7FAF6D6D">
                  <w:pPr>
                    <w:jc w:val="center"/>
                    <w:rPr>
                      <w:color w:val="000000" w:themeColor="text1"/>
                      <w:sz w:val="21"/>
                      <w:szCs w:val="21"/>
                      <w14:textFill>
                        <w14:solidFill>
                          <w14:schemeClr w14:val="tx1"/>
                        </w14:solidFill>
                      </w14:textFill>
                    </w:rPr>
                  </w:pPr>
                </w:p>
              </w:tc>
              <w:tc>
                <w:tcPr>
                  <w:tcW w:w="3511" w:type="dxa"/>
                  <w:vMerge w:val="continue"/>
                  <w:vAlign w:val="center"/>
                </w:tcPr>
                <w:p w14:paraId="52616146">
                  <w:pPr>
                    <w:jc w:val="center"/>
                    <w:rPr>
                      <w:color w:val="000000" w:themeColor="text1"/>
                      <w:sz w:val="21"/>
                      <w:szCs w:val="21"/>
                      <w14:textFill>
                        <w14:solidFill>
                          <w14:schemeClr w14:val="tx1"/>
                        </w14:solidFill>
                      </w14:textFill>
                    </w:rPr>
                  </w:pPr>
                </w:p>
              </w:tc>
              <w:tc>
                <w:tcPr>
                  <w:tcW w:w="1403" w:type="dxa"/>
                  <w:vAlign w:val="center"/>
                </w:tcPr>
                <w:p w14:paraId="1C0568A4">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二氧化硫</w:t>
                  </w:r>
                </w:p>
              </w:tc>
              <w:tc>
                <w:tcPr>
                  <w:tcW w:w="2961" w:type="dxa"/>
                  <w:vAlign w:val="center"/>
                </w:tcPr>
                <w:p w14:paraId="641365B4">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w:t>
                  </w:r>
                  <w:r>
                    <w:rPr>
                      <w:color w:val="000000" w:themeColor="text1"/>
                      <w:sz w:val="21"/>
                      <w:szCs w:val="21"/>
                      <w14:textFill>
                        <w14:solidFill>
                          <w14:schemeClr w14:val="tx1"/>
                        </w14:solidFill>
                      </w14:textFill>
                    </w:rPr>
                    <w:t>mg/m</w:t>
                  </w:r>
                  <w:r>
                    <w:rPr>
                      <w:color w:val="000000" w:themeColor="text1"/>
                      <w:sz w:val="21"/>
                      <w:szCs w:val="21"/>
                      <w:vertAlign w:val="superscript"/>
                      <w14:textFill>
                        <w14:solidFill>
                          <w14:schemeClr w14:val="tx1"/>
                        </w14:solidFill>
                      </w14:textFill>
                    </w:rPr>
                    <w:t>3</w:t>
                  </w:r>
                </w:p>
              </w:tc>
            </w:tr>
            <w:tr w14:paraId="08B5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65080E9A">
                  <w:pPr>
                    <w:jc w:val="center"/>
                    <w:rPr>
                      <w:color w:val="000000" w:themeColor="text1"/>
                      <w:sz w:val="21"/>
                      <w:szCs w:val="21"/>
                      <w14:textFill>
                        <w14:solidFill>
                          <w14:schemeClr w14:val="tx1"/>
                        </w14:solidFill>
                      </w14:textFill>
                    </w:rPr>
                  </w:pPr>
                </w:p>
              </w:tc>
              <w:tc>
                <w:tcPr>
                  <w:tcW w:w="3511" w:type="dxa"/>
                  <w:vMerge w:val="continue"/>
                  <w:vAlign w:val="center"/>
                </w:tcPr>
                <w:p w14:paraId="66D85E23">
                  <w:pPr>
                    <w:jc w:val="center"/>
                    <w:rPr>
                      <w:color w:val="000000" w:themeColor="text1"/>
                      <w:sz w:val="21"/>
                      <w:szCs w:val="21"/>
                      <w14:textFill>
                        <w14:solidFill>
                          <w14:schemeClr w14:val="tx1"/>
                        </w14:solidFill>
                      </w14:textFill>
                    </w:rPr>
                  </w:pPr>
                </w:p>
              </w:tc>
              <w:tc>
                <w:tcPr>
                  <w:tcW w:w="1403" w:type="dxa"/>
                  <w:vAlign w:val="center"/>
                </w:tcPr>
                <w:p w14:paraId="1C88495C">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氮氧化物</w:t>
                  </w:r>
                </w:p>
              </w:tc>
              <w:tc>
                <w:tcPr>
                  <w:tcW w:w="2961" w:type="dxa"/>
                  <w:vAlign w:val="center"/>
                </w:tcPr>
                <w:p w14:paraId="0535960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30</w:t>
                  </w:r>
                  <w:r>
                    <w:rPr>
                      <w:color w:val="000000" w:themeColor="text1"/>
                      <w:sz w:val="21"/>
                      <w:szCs w:val="21"/>
                      <w14:textFill>
                        <w14:solidFill>
                          <w14:schemeClr w14:val="tx1"/>
                        </w14:solidFill>
                      </w14:textFill>
                    </w:rPr>
                    <w:t>mg/m</w:t>
                  </w:r>
                  <w:r>
                    <w:rPr>
                      <w:color w:val="000000" w:themeColor="text1"/>
                      <w:sz w:val="21"/>
                      <w:szCs w:val="21"/>
                      <w:vertAlign w:val="superscript"/>
                      <w14:textFill>
                        <w14:solidFill>
                          <w14:schemeClr w14:val="tx1"/>
                        </w14:solidFill>
                      </w14:textFill>
                    </w:rPr>
                    <w:t>3</w:t>
                  </w:r>
                </w:p>
              </w:tc>
            </w:tr>
            <w:tr w14:paraId="6B92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009B2D6E">
                  <w:pPr>
                    <w:jc w:val="center"/>
                    <w:rPr>
                      <w:color w:val="000000" w:themeColor="text1"/>
                      <w:sz w:val="21"/>
                      <w:szCs w:val="21"/>
                      <w14:textFill>
                        <w14:solidFill>
                          <w14:schemeClr w14:val="tx1"/>
                        </w14:solidFill>
                      </w14:textFill>
                    </w:rPr>
                  </w:pPr>
                </w:p>
              </w:tc>
              <w:tc>
                <w:tcPr>
                  <w:tcW w:w="3511" w:type="dxa"/>
                  <w:vMerge w:val="restart"/>
                  <w:vAlign w:val="center"/>
                </w:tcPr>
                <w:p w14:paraId="630C7B20">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《河南省重污染天气通用行业应急减排措施制定技术指南》中涉锅炉/炉窑排放差异化管控要求中A级绩效分级排放要求-锅炉</w:t>
                  </w:r>
                </w:p>
              </w:tc>
              <w:tc>
                <w:tcPr>
                  <w:tcW w:w="1403" w:type="dxa"/>
                  <w:vAlign w:val="center"/>
                </w:tcPr>
                <w:p w14:paraId="7FADE6FE">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颗粒物</w:t>
                  </w:r>
                </w:p>
              </w:tc>
              <w:tc>
                <w:tcPr>
                  <w:tcW w:w="2961" w:type="dxa"/>
                  <w:vAlign w:val="center"/>
                </w:tcPr>
                <w:p w14:paraId="2387C92F">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5mg/m</w:t>
                  </w:r>
                  <w:r>
                    <w:rPr>
                      <w:color w:val="000000" w:themeColor="text1"/>
                      <w:sz w:val="21"/>
                      <w:szCs w:val="21"/>
                      <w:vertAlign w:val="superscript"/>
                      <w14:textFill>
                        <w14:solidFill>
                          <w14:schemeClr w14:val="tx1"/>
                        </w14:solidFill>
                      </w14:textFill>
                    </w:rPr>
                    <w:t>3</w:t>
                  </w:r>
                </w:p>
              </w:tc>
            </w:tr>
            <w:tr w14:paraId="094E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39133B23">
                  <w:pPr>
                    <w:jc w:val="center"/>
                    <w:rPr>
                      <w:color w:val="000000" w:themeColor="text1"/>
                      <w:sz w:val="21"/>
                      <w:szCs w:val="21"/>
                      <w14:textFill>
                        <w14:solidFill>
                          <w14:schemeClr w14:val="tx1"/>
                        </w14:solidFill>
                      </w14:textFill>
                    </w:rPr>
                  </w:pPr>
                </w:p>
              </w:tc>
              <w:tc>
                <w:tcPr>
                  <w:tcW w:w="3511" w:type="dxa"/>
                  <w:vMerge w:val="continue"/>
                  <w:vAlign w:val="center"/>
                </w:tcPr>
                <w:p w14:paraId="06BF12AA">
                  <w:pPr>
                    <w:jc w:val="center"/>
                    <w:rPr>
                      <w:color w:val="000000" w:themeColor="text1"/>
                      <w:sz w:val="21"/>
                      <w:szCs w:val="21"/>
                      <w14:textFill>
                        <w14:solidFill>
                          <w14:schemeClr w14:val="tx1"/>
                        </w14:solidFill>
                      </w14:textFill>
                    </w:rPr>
                  </w:pPr>
                </w:p>
              </w:tc>
              <w:tc>
                <w:tcPr>
                  <w:tcW w:w="1403" w:type="dxa"/>
                  <w:vAlign w:val="center"/>
                </w:tcPr>
                <w:p w14:paraId="2D59847D">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二氧化硫</w:t>
                  </w:r>
                </w:p>
              </w:tc>
              <w:tc>
                <w:tcPr>
                  <w:tcW w:w="2961" w:type="dxa"/>
                  <w:vAlign w:val="center"/>
                </w:tcPr>
                <w:p w14:paraId="171CCDE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w:t>
                  </w:r>
                  <w:r>
                    <w:rPr>
                      <w:color w:val="000000" w:themeColor="text1"/>
                      <w:sz w:val="21"/>
                      <w:szCs w:val="21"/>
                      <w14:textFill>
                        <w14:solidFill>
                          <w14:schemeClr w14:val="tx1"/>
                        </w14:solidFill>
                      </w14:textFill>
                    </w:rPr>
                    <w:t>mg/m</w:t>
                  </w:r>
                  <w:r>
                    <w:rPr>
                      <w:color w:val="000000" w:themeColor="text1"/>
                      <w:sz w:val="21"/>
                      <w:szCs w:val="21"/>
                      <w:vertAlign w:val="superscript"/>
                      <w14:textFill>
                        <w14:solidFill>
                          <w14:schemeClr w14:val="tx1"/>
                        </w14:solidFill>
                      </w14:textFill>
                    </w:rPr>
                    <w:t>3</w:t>
                  </w:r>
                </w:p>
              </w:tc>
            </w:tr>
            <w:tr w14:paraId="6FAC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5A462E2F">
                  <w:pPr>
                    <w:jc w:val="center"/>
                    <w:rPr>
                      <w:color w:val="000000" w:themeColor="text1"/>
                      <w:sz w:val="21"/>
                      <w:szCs w:val="21"/>
                      <w14:textFill>
                        <w14:solidFill>
                          <w14:schemeClr w14:val="tx1"/>
                        </w14:solidFill>
                      </w14:textFill>
                    </w:rPr>
                  </w:pPr>
                </w:p>
              </w:tc>
              <w:tc>
                <w:tcPr>
                  <w:tcW w:w="3511" w:type="dxa"/>
                  <w:vMerge w:val="continue"/>
                  <w:vAlign w:val="center"/>
                </w:tcPr>
                <w:p w14:paraId="6426E185">
                  <w:pPr>
                    <w:jc w:val="center"/>
                    <w:rPr>
                      <w:color w:val="000000" w:themeColor="text1"/>
                      <w:sz w:val="21"/>
                      <w:szCs w:val="21"/>
                      <w14:textFill>
                        <w14:solidFill>
                          <w14:schemeClr w14:val="tx1"/>
                        </w14:solidFill>
                      </w14:textFill>
                    </w:rPr>
                  </w:pPr>
                </w:p>
              </w:tc>
              <w:tc>
                <w:tcPr>
                  <w:tcW w:w="1403" w:type="dxa"/>
                  <w:vAlign w:val="center"/>
                </w:tcPr>
                <w:p w14:paraId="70BD7A9D">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氮氧化物</w:t>
                  </w:r>
                </w:p>
              </w:tc>
              <w:tc>
                <w:tcPr>
                  <w:tcW w:w="2961" w:type="dxa"/>
                  <w:vAlign w:val="center"/>
                </w:tcPr>
                <w:p w14:paraId="2311159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30</w:t>
                  </w:r>
                  <w:r>
                    <w:rPr>
                      <w:color w:val="000000" w:themeColor="text1"/>
                      <w:sz w:val="21"/>
                      <w:szCs w:val="21"/>
                      <w14:textFill>
                        <w14:solidFill>
                          <w14:schemeClr w14:val="tx1"/>
                        </w14:solidFill>
                      </w14:textFill>
                    </w:rPr>
                    <w:t>mg/m</w:t>
                  </w:r>
                  <w:r>
                    <w:rPr>
                      <w:color w:val="000000" w:themeColor="text1"/>
                      <w:sz w:val="21"/>
                      <w:szCs w:val="21"/>
                      <w:vertAlign w:val="superscript"/>
                      <w14:textFill>
                        <w14:solidFill>
                          <w14:schemeClr w14:val="tx1"/>
                        </w14:solidFill>
                      </w14:textFill>
                    </w:rPr>
                    <w:t>3</w:t>
                  </w:r>
                </w:p>
              </w:tc>
            </w:tr>
            <w:tr w14:paraId="50812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00EA989D">
                  <w:pPr>
                    <w:jc w:val="center"/>
                    <w:rPr>
                      <w:color w:val="000000" w:themeColor="text1"/>
                      <w:sz w:val="21"/>
                      <w:szCs w:val="21"/>
                      <w14:textFill>
                        <w14:solidFill>
                          <w14:schemeClr w14:val="tx1"/>
                        </w14:solidFill>
                      </w14:textFill>
                    </w:rPr>
                  </w:pPr>
                </w:p>
              </w:tc>
              <w:tc>
                <w:tcPr>
                  <w:tcW w:w="3511" w:type="dxa"/>
                  <w:vMerge w:val="restart"/>
                  <w:vAlign w:val="center"/>
                </w:tcPr>
                <w:p w14:paraId="7BF6CB43">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恶臭污染物排放标准</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（GB 14554-93）</w:t>
                  </w:r>
                </w:p>
              </w:tc>
              <w:tc>
                <w:tcPr>
                  <w:tcW w:w="1403" w:type="dxa"/>
                  <w:vAlign w:val="center"/>
                </w:tcPr>
                <w:p w14:paraId="3F4C38F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臭气浓度</w:t>
                  </w:r>
                </w:p>
              </w:tc>
              <w:tc>
                <w:tcPr>
                  <w:tcW w:w="2961" w:type="dxa"/>
                  <w:vAlign w:val="center"/>
                </w:tcPr>
                <w:p w14:paraId="4C20159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20（无量纲）</w:t>
                  </w:r>
                </w:p>
              </w:tc>
            </w:tr>
            <w:tr w14:paraId="283D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782B058D">
                  <w:pPr>
                    <w:jc w:val="center"/>
                    <w:rPr>
                      <w:color w:val="000000" w:themeColor="text1"/>
                      <w:sz w:val="21"/>
                      <w:szCs w:val="21"/>
                      <w14:textFill>
                        <w14:solidFill>
                          <w14:schemeClr w14:val="tx1"/>
                        </w14:solidFill>
                      </w14:textFill>
                    </w:rPr>
                  </w:pPr>
                </w:p>
              </w:tc>
              <w:tc>
                <w:tcPr>
                  <w:tcW w:w="3511" w:type="dxa"/>
                  <w:vMerge w:val="continue"/>
                  <w:vAlign w:val="center"/>
                </w:tcPr>
                <w:p w14:paraId="286254FD">
                  <w:pPr>
                    <w:jc w:val="center"/>
                    <w:rPr>
                      <w:color w:val="000000" w:themeColor="text1"/>
                      <w:sz w:val="21"/>
                      <w:szCs w:val="21"/>
                      <w14:textFill>
                        <w14:solidFill>
                          <w14:schemeClr w14:val="tx1"/>
                        </w14:solidFill>
                      </w14:textFill>
                    </w:rPr>
                  </w:pPr>
                </w:p>
              </w:tc>
              <w:tc>
                <w:tcPr>
                  <w:tcW w:w="1403" w:type="dxa"/>
                  <w:vAlign w:val="center"/>
                </w:tcPr>
                <w:p w14:paraId="39EAB3C2">
                  <w:pPr>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氨</w:t>
                  </w:r>
                </w:p>
              </w:tc>
              <w:tc>
                <w:tcPr>
                  <w:tcW w:w="2961" w:type="dxa"/>
                  <w:vAlign w:val="center"/>
                </w:tcPr>
                <w:p w14:paraId="63980797">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1.5</w:t>
                  </w:r>
                  <w:r>
                    <w:rPr>
                      <w:color w:val="000000" w:themeColor="text1"/>
                      <w:sz w:val="21"/>
                      <w:szCs w:val="21"/>
                      <w14:textFill>
                        <w14:solidFill>
                          <w14:schemeClr w14:val="tx1"/>
                        </w14:solidFill>
                      </w14:textFill>
                    </w:rPr>
                    <w:t>mg/m</w:t>
                  </w:r>
                  <w:r>
                    <w:rPr>
                      <w:color w:val="000000" w:themeColor="text1"/>
                      <w:sz w:val="21"/>
                      <w:szCs w:val="21"/>
                      <w:vertAlign w:val="superscript"/>
                      <w14:textFill>
                        <w14:solidFill>
                          <w14:schemeClr w14:val="tx1"/>
                        </w14:solidFill>
                      </w14:textFill>
                    </w:rPr>
                    <w:t>3</w:t>
                  </w:r>
                </w:p>
              </w:tc>
            </w:tr>
            <w:tr w14:paraId="613E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6CDB94F7">
                  <w:pPr>
                    <w:jc w:val="center"/>
                    <w:rPr>
                      <w:color w:val="000000" w:themeColor="text1"/>
                      <w:sz w:val="21"/>
                      <w:szCs w:val="21"/>
                      <w14:textFill>
                        <w14:solidFill>
                          <w14:schemeClr w14:val="tx1"/>
                        </w14:solidFill>
                      </w14:textFill>
                    </w:rPr>
                  </w:pPr>
                </w:p>
              </w:tc>
              <w:tc>
                <w:tcPr>
                  <w:tcW w:w="3511" w:type="dxa"/>
                  <w:vMerge w:val="continue"/>
                  <w:vAlign w:val="center"/>
                </w:tcPr>
                <w:p w14:paraId="6638C7BB">
                  <w:pPr>
                    <w:jc w:val="center"/>
                    <w:rPr>
                      <w:color w:val="000000" w:themeColor="text1"/>
                      <w:sz w:val="21"/>
                      <w:szCs w:val="21"/>
                      <w14:textFill>
                        <w14:solidFill>
                          <w14:schemeClr w14:val="tx1"/>
                        </w14:solidFill>
                      </w14:textFill>
                    </w:rPr>
                  </w:pPr>
                </w:p>
              </w:tc>
              <w:tc>
                <w:tcPr>
                  <w:tcW w:w="1403" w:type="dxa"/>
                  <w:vAlign w:val="center"/>
                </w:tcPr>
                <w:p w14:paraId="2E56E630">
                  <w:pPr>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硫化氢</w:t>
                  </w:r>
                </w:p>
              </w:tc>
              <w:tc>
                <w:tcPr>
                  <w:tcW w:w="2961" w:type="dxa"/>
                  <w:vAlign w:val="center"/>
                </w:tcPr>
                <w:p w14:paraId="405FE9BA">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0.06</w:t>
                  </w:r>
                  <w:r>
                    <w:rPr>
                      <w:color w:val="000000" w:themeColor="text1"/>
                      <w:sz w:val="21"/>
                      <w:szCs w:val="21"/>
                      <w14:textFill>
                        <w14:solidFill>
                          <w14:schemeClr w14:val="tx1"/>
                        </w14:solidFill>
                      </w14:textFill>
                    </w:rPr>
                    <w:t>mg/m</w:t>
                  </w:r>
                  <w:r>
                    <w:rPr>
                      <w:color w:val="000000" w:themeColor="text1"/>
                      <w:sz w:val="21"/>
                      <w:szCs w:val="21"/>
                      <w:vertAlign w:val="superscript"/>
                      <w14:textFill>
                        <w14:solidFill>
                          <w14:schemeClr w14:val="tx1"/>
                        </w14:solidFill>
                      </w14:textFill>
                    </w:rPr>
                    <w:t>3</w:t>
                  </w:r>
                </w:p>
              </w:tc>
            </w:tr>
            <w:tr w14:paraId="643E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restart"/>
                  <w:vAlign w:val="center"/>
                </w:tcPr>
                <w:p w14:paraId="24D4B0EB">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废水</w:t>
                  </w:r>
                </w:p>
              </w:tc>
              <w:tc>
                <w:tcPr>
                  <w:tcW w:w="3511" w:type="dxa"/>
                  <w:vMerge w:val="restart"/>
                  <w:vAlign w:val="center"/>
                </w:tcPr>
                <w:p w14:paraId="029EE1DB">
                  <w:pPr>
                    <w:jc w:val="center"/>
                    <w:rPr>
                      <w:rFonts w:hint="eastAsia" w:eastAsia="宋体"/>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《食品加工制造业水污染物排放标准 》（GB 46817—2025）表</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1间接排放</w:t>
                  </w:r>
                  <w:r>
                    <w:rPr>
                      <w:rFonts w:hint="eastAsia" w:ascii="Times New Roman" w:hAnsi="Times New Roman" w:eastAsia="宋体" w:cs="Times New Roman"/>
                      <w:color w:val="000000" w:themeColor="text1"/>
                      <w:sz w:val="21"/>
                      <w:szCs w:val="21"/>
                      <w14:textFill>
                        <w14:solidFill>
                          <w14:schemeClr w14:val="tx1"/>
                        </w14:solidFill>
                      </w14:textFill>
                    </w:rPr>
                    <w:t>标准</w:t>
                  </w:r>
                </w:p>
              </w:tc>
              <w:tc>
                <w:tcPr>
                  <w:tcW w:w="1403" w:type="dxa"/>
                  <w:vAlign w:val="center"/>
                </w:tcPr>
                <w:p w14:paraId="77F37D3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pH</w:t>
                  </w:r>
                </w:p>
              </w:tc>
              <w:tc>
                <w:tcPr>
                  <w:tcW w:w="2961" w:type="dxa"/>
                  <w:vAlign w:val="center"/>
                </w:tcPr>
                <w:p w14:paraId="1E5F864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w:t>
                  </w:r>
                  <w:r>
                    <w:rPr>
                      <w:rFonts w:hint="eastAsia" w:ascii="微软雅黑" w:hAnsi="微软雅黑" w:eastAsia="微软雅黑" w:cs="微软雅黑"/>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9</w:t>
                  </w:r>
                </w:p>
              </w:tc>
            </w:tr>
            <w:tr w14:paraId="5BA9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08F01351">
                  <w:pPr>
                    <w:jc w:val="center"/>
                    <w:rPr>
                      <w:color w:val="000000" w:themeColor="text1"/>
                      <w:sz w:val="21"/>
                      <w:szCs w:val="21"/>
                      <w14:textFill>
                        <w14:solidFill>
                          <w14:schemeClr w14:val="tx1"/>
                        </w14:solidFill>
                      </w14:textFill>
                    </w:rPr>
                  </w:pPr>
                </w:p>
              </w:tc>
              <w:tc>
                <w:tcPr>
                  <w:tcW w:w="3511" w:type="dxa"/>
                  <w:vMerge w:val="continue"/>
                  <w:vAlign w:val="center"/>
                </w:tcPr>
                <w:p w14:paraId="1443FA37">
                  <w:pPr>
                    <w:jc w:val="center"/>
                    <w:rPr>
                      <w:color w:val="000000" w:themeColor="text1"/>
                      <w:sz w:val="21"/>
                      <w:szCs w:val="21"/>
                      <w14:textFill>
                        <w14:solidFill>
                          <w14:schemeClr w14:val="tx1"/>
                        </w14:solidFill>
                      </w14:textFill>
                    </w:rPr>
                  </w:pPr>
                </w:p>
              </w:tc>
              <w:tc>
                <w:tcPr>
                  <w:tcW w:w="1403" w:type="dxa"/>
                  <w:vAlign w:val="center"/>
                </w:tcPr>
                <w:p w14:paraId="494DBBB2">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COD</w:t>
                  </w:r>
                </w:p>
              </w:tc>
              <w:tc>
                <w:tcPr>
                  <w:tcW w:w="2961" w:type="dxa"/>
                  <w:vAlign w:val="center"/>
                </w:tcPr>
                <w:p w14:paraId="5643140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50</w:t>
                  </w:r>
                  <w:r>
                    <w:rPr>
                      <w:color w:val="000000" w:themeColor="text1"/>
                      <w:sz w:val="21"/>
                      <w:szCs w:val="21"/>
                      <w14:textFill>
                        <w14:solidFill>
                          <w14:schemeClr w14:val="tx1"/>
                        </w14:solidFill>
                      </w14:textFill>
                    </w:rPr>
                    <w:t>0mg</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L</w:t>
                  </w:r>
                </w:p>
              </w:tc>
            </w:tr>
            <w:tr w14:paraId="1DC2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7FD90A9F">
                  <w:pPr>
                    <w:jc w:val="center"/>
                    <w:rPr>
                      <w:color w:val="000000" w:themeColor="text1"/>
                      <w:sz w:val="21"/>
                      <w:szCs w:val="21"/>
                      <w14:textFill>
                        <w14:solidFill>
                          <w14:schemeClr w14:val="tx1"/>
                        </w14:solidFill>
                      </w14:textFill>
                    </w:rPr>
                  </w:pPr>
                </w:p>
              </w:tc>
              <w:tc>
                <w:tcPr>
                  <w:tcW w:w="3511" w:type="dxa"/>
                  <w:vMerge w:val="continue"/>
                  <w:vAlign w:val="center"/>
                </w:tcPr>
                <w:p w14:paraId="44BF556C">
                  <w:pPr>
                    <w:jc w:val="center"/>
                    <w:rPr>
                      <w:color w:val="000000" w:themeColor="text1"/>
                      <w:sz w:val="21"/>
                      <w:szCs w:val="21"/>
                      <w14:textFill>
                        <w14:solidFill>
                          <w14:schemeClr w14:val="tx1"/>
                        </w14:solidFill>
                      </w14:textFill>
                    </w:rPr>
                  </w:pPr>
                </w:p>
              </w:tc>
              <w:tc>
                <w:tcPr>
                  <w:tcW w:w="1403" w:type="dxa"/>
                  <w:vAlign w:val="center"/>
                </w:tcPr>
                <w:p w14:paraId="25146E4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BOD</w:t>
                  </w:r>
                  <w:r>
                    <w:rPr>
                      <w:rFonts w:hint="eastAsia"/>
                      <w:color w:val="000000" w:themeColor="text1"/>
                      <w:sz w:val="21"/>
                      <w:szCs w:val="21"/>
                      <w:vertAlign w:val="subscript"/>
                      <w14:textFill>
                        <w14:solidFill>
                          <w14:schemeClr w14:val="tx1"/>
                        </w14:solidFill>
                      </w14:textFill>
                    </w:rPr>
                    <w:t>5</w:t>
                  </w:r>
                </w:p>
              </w:tc>
              <w:tc>
                <w:tcPr>
                  <w:tcW w:w="2961" w:type="dxa"/>
                  <w:vAlign w:val="center"/>
                </w:tcPr>
                <w:p w14:paraId="04F5B63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5</w:t>
                  </w:r>
                  <w:r>
                    <w:rPr>
                      <w:color w:val="000000" w:themeColor="text1"/>
                      <w:sz w:val="21"/>
                      <w:szCs w:val="21"/>
                      <w14:textFill>
                        <w14:solidFill>
                          <w14:schemeClr w14:val="tx1"/>
                        </w14:solidFill>
                      </w14:textFill>
                    </w:rPr>
                    <w:t>0mg</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L</w:t>
                  </w:r>
                </w:p>
              </w:tc>
            </w:tr>
            <w:tr w14:paraId="3088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19887148">
                  <w:pPr>
                    <w:jc w:val="center"/>
                    <w:rPr>
                      <w:color w:val="000000" w:themeColor="text1"/>
                      <w:sz w:val="21"/>
                      <w:szCs w:val="21"/>
                      <w14:textFill>
                        <w14:solidFill>
                          <w14:schemeClr w14:val="tx1"/>
                        </w14:solidFill>
                      </w14:textFill>
                    </w:rPr>
                  </w:pPr>
                </w:p>
              </w:tc>
              <w:tc>
                <w:tcPr>
                  <w:tcW w:w="3511" w:type="dxa"/>
                  <w:vMerge w:val="continue"/>
                  <w:vAlign w:val="center"/>
                </w:tcPr>
                <w:p w14:paraId="4ADEAA4B">
                  <w:pPr>
                    <w:jc w:val="center"/>
                    <w:rPr>
                      <w:color w:val="000000" w:themeColor="text1"/>
                      <w:sz w:val="21"/>
                      <w:szCs w:val="21"/>
                      <w14:textFill>
                        <w14:solidFill>
                          <w14:schemeClr w14:val="tx1"/>
                        </w14:solidFill>
                      </w14:textFill>
                    </w:rPr>
                  </w:pPr>
                </w:p>
              </w:tc>
              <w:tc>
                <w:tcPr>
                  <w:tcW w:w="1403" w:type="dxa"/>
                  <w:vAlign w:val="center"/>
                </w:tcPr>
                <w:p w14:paraId="41FE0A3F">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SS</w:t>
                  </w:r>
                </w:p>
              </w:tc>
              <w:tc>
                <w:tcPr>
                  <w:tcW w:w="2961" w:type="dxa"/>
                  <w:vAlign w:val="center"/>
                </w:tcPr>
                <w:p w14:paraId="3FCF602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400</w:t>
                  </w:r>
                  <w:r>
                    <w:rPr>
                      <w:color w:val="000000" w:themeColor="text1"/>
                      <w:sz w:val="21"/>
                      <w:szCs w:val="21"/>
                      <w14:textFill>
                        <w14:solidFill>
                          <w14:schemeClr w14:val="tx1"/>
                        </w14:solidFill>
                      </w14:textFill>
                    </w:rPr>
                    <w:t>mg</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L</w:t>
                  </w:r>
                </w:p>
              </w:tc>
            </w:tr>
            <w:tr w14:paraId="5E8E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428C34D0">
                  <w:pPr>
                    <w:jc w:val="center"/>
                    <w:rPr>
                      <w:color w:val="000000" w:themeColor="text1"/>
                      <w:sz w:val="21"/>
                      <w:szCs w:val="21"/>
                      <w14:textFill>
                        <w14:solidFill>
                          <w14:schemeClr w14:val="tx1"/>
                        </w14:solidFill>
                      </w14:textFill>
                    </w:rPr>
                  </w:pPr>
                </w:p>
              </w:tc>
              <w:tc>
                <w:tcPr>
                  <w:tcW w:w="3511" w:type="dxa"/>
                  <w:vMerge w:val="continue"/>
                  <w:vAlign w:val="center"/>
                </w:tcPr>
                <w:p w14:paraId="10343284">
                  <w:pPr>
                    <w:jc w:val="center"/>
                    <w:rPr>
                      <w:color w:val="000000" w:themeColor="text1"/>
                      <w:sz w:val="21"/>
                      <w:szCs w:val="21"/>
                      <w14:textFill>
                        <w14:solidFill>
                          <w14:schemeClr w14:val="tx1"/>
                        </w14:solidFill>
                      </w14:textFill>
                    </w:rPr>
                  </w:pPr>
                </w:p>
              </w:tc>
              <w:tc>
                <w:tcPr>
                  <w:tcW w:w="1403" w:type="dxa"/>
                  <w:vAlign w:val="center"/>
                </w:tcPr>
                <w:p w14:paraId="46D56EE2">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NH</w:t>
                  </w:r>
                  <w:r>
                    <w:rPr>
                      <w:color w:val="000000" w:themeColor="text1"/>
                      <w:sz w:val="21"/>
                      <w:szCs w:val="21"/>
                      <w:vertAlign w:val="subscript"/>
                      <w14:textFill>
                        <w14:solidFill>
                          <w14:schemeClr w14:val="tx1"/>
                        </w14:solidFill>
                      </w14:textFill>
                    </w:rPr>
                    <w:t>3</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N</w:t>
                  </w:r>
                </w:p>
              </w:tc>
              <w:tc>
                <w:tcPr>
                  <w:tcW w:w="2961" w:type="dxa"/>
                  <w:vAlign w:val="center"/>
                </w:tcPr>
                <w:p w14:paraId="6B6835F5">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45</w:t>
                  </w:r>
                  <w:r>
                    <w:rPr>
                      <w:color w:val="000000" w:themeColor="text1"/>
                      <w:sz w:val="21"/>
                      <w:szCs w:val="21"/>
                      <w14:textFill>
                        <w14:solidFill>
                          <w14:schemeClr w14:val="tx1"/>
                        </w14:solidFill>
                      </w14:textFill>
                    </w:rPr>
                    <w:t>mg</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L</w:t>
                  </w:r>
                </w:p>
              </w:tc>
            </w:tr>
            <w:tr w14:paraId="6D34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1CF91FDA">
                  <w:pPr>
                    <w:jc w:val="center"/>
                    <w:rPr>
                      <w:color w:val="000000" w:themeColor="text1"/>
                      <w:sz w:val="21"/>
                      <w:szCs w:val="21"/>
                      <w14:textFill>
                        <w14:solidFill>
                          <w14:schemeClr w14:val="tx1"/>
                        </w14:solidFill>
                      </w14:textFill>
                    </w:rPr>
                  </w:pPr>
                </w:p>
              </w:tc>
              <w:tc>
                <w:tcPr>
                  <w:tcW w:w="3511" w:type="dxa"/>
                  <w:vMerge w:val="continue"/>
                  <w:vAlign w:val="center"/>
                </w:tcPr>
                <w:p w14:paraId="72271BC1">
                  <w:pPr>
                    <w:jc w:val="center"/>
                    <w:rPr>
                      <w:color w:val="000000" w:themeColor="text1"/>
                      <w:sz w:val="21"/>
                      <w:szCs w:val="21"/>
                      <w14:textFill>
                        <w14:solidFill>
                          <w14:schemeClr w14:val="tx1"/>
                        </w14:solidFill>
                      </w14:textFill>
                    </w:rPr>
                  </w:pPr>
                </w:p>
              </w:tc>
              <w:tc>
                <w:tcPr>
                  <w:tcW w:w="1403" w:type="dxa"/>
                  <w:vAlign w:val="center"/>
                </w:tcPr>
                <w:p w14:paraId="0044A8BF">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TP</w:t>
                  </w:r>
                </w:p>
              </w:tc>
              <w:tc>
                <w:tcPr>
                  <w:tcW w:w="2961" w:type="dxa"/>
                  <w:vAlign w:val="center"/>
                </w:tcPr>
                <w:p w14:paraId="41080BE4">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8.0</w:t>
                  </w:r>
                  <w:r>
                    <w:rPr>
                      <w:color w:val="000000" w:themeColor="text1"/>
                      <w:sz w:val="21"/>
                      <w:szCs w:val="21"/>
                      <w14:textFill>
                        <w14:solidFill>
                          <w14:schemeClr w14:val="tx1"/>
                        </w14:solidFill>
                      </w14:textFill>
                    </w:rPr>
                    <w:t>mg</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L</w:t>
                  </w:r>
                </w:p>
              </w:tc>
            </w:tr>
            <w:tr w14:paraId="1B5A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59B0D9A7">
                  <w:pPr>
                    <w:jc w:val="center"/>
                    <w:rPr>
                      <w:color w:val="000000" w:themeColor="text1"/>
                      <w:sz w:val="21"/>
                      <w:szCs w:val="21"/>
                      <w14:textFill>
                        <w14:solidFill>
                          <w14:schemeClr w14:val="tx1"/>
                        </w14:solidFill>
                      </w14:textFill>
                    </w:rPr>
                  </w:pPr>
                </w:p>
              </w:tc>
              <w:tc>
                <w:tcPr>
                  <w:tcW w:w="3511" w:type="dxa"/>
                  <w:vMerge w:val="continue"/>
                  <w:vAlign w:val="center"/>
                </w:tcPr>
                <w:p w14:paraId="45F91F11">
                  <w:pPr>
                    <w:jc w:val="center"/>
                    <w:rPr>
                      <w:color w:val="000000" w:themeColor="text1"/>
                      <w:sz w:val="21"/>
                      <w:szCs w:val="21"/>
                      <w14:textFill>
                        <w14:solidFill>
                          <w14:schemeClr w14:val="tx1"/>
                        </w14:solidFill>
                      </w14:textFill>
                    </w:rPr>
                  </w:pPr>
                </w:p>
              </w:tc>
              <w:tc>
                <w:tcPr>
                  <w:tcW w:w="1403" w:type="dxa"/>
                  <w:vAlign w:val="center"/>
                </w:tcPr>
                <w:p w14:paraId="1E02A44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动植物油</w:t>
                  </w:r>
                </w:p>
              </w:tc>
              <w:tc>
                <w:tcPr>
                  <w:tcW w:w="2961" w:type="dxa"/>
                  <w:vAlign w:val="center"/>
                </w:tcPr>
                <w:p w14:paraId="414AEAD9">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29B13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7C5FFFC1">
                  <w:pPr>
                    <w:jc w:val="center"/>
                    <w:rPr>
                      <w:rFonts w:hint="eastAsia"/>
                      <w:color w:val="000000" w:themeColor="text1"/>
                      <w:sz w:val="21"/>
                      <w:szCs w:val="21"/>
                      <w14:textFill>
                        <w14:solidFill>
                          <w14:schemeClr w14:val="tx1"/>
                        </w14:solidFill>
                      </w14:textFill>
                    </w:rPr>
                  </w:pPr>
                </w:p>
              </w:tc>
              <w:tc>
                <w:tcPr>
                  <w:tcW w:w="3511" w:type="dxa"/>
                  <w:vAlign w:val="center"/>
                </w:tcPr>
                <w:p w14:paraId="16120D4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《污水综合排放标准》 （GB8978-1996）表4三级</w:t>
                  </w:r>
                </w:p>
              </w:tc>
              <w:tc>
                <w:tcPr>
                  <w:tcW w:w="1403" w:type="dxa"/>
                  <w:vAlign w:val="center"/>
                </w:tcPr>
                <w:p w14:paraId="1C0A8590">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动植物油</w:t>
                  </w:r>
                </w:p>
              </w:tc>
              <w:tc>
                <w:tcPr>
                  <w:tcW w:w="2961" w:type="dxa"/>
                  <w:vAlign w:val="center"/>
                </w:tcPr>
                <w:p w14:paraId="17CD83C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100</w:t>
                  </w:r>
                  <w:r>
                    <w:rPr>
                      <w:color w:val="000000" w:themeColor="text1"/>
                      <w:sz w:val="21"/>
                      <w:szCs w:val="21"/>
                      <w14:textFill>
                        <w14:solidFill>
                          <w14:schemeClr w14:val="tx1"/>
                        </w14:solidFill>
                      </w14:textFill>
                    </w:rPr>
                    <w:t>mg</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L</w:t>
                  </w:r>
                </w:p>
              </w:tc>
            </w:tr>
            <w:tr w14:paraId="00F4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7328DEE2">
                  <w:pPr>
                    <w:jc w:val="center"/>
                    <w:rPr>
                      <w:rFonts w:hint="eastAsia"/>
                      <w:color w:val="000000" w:themeColor="text1"/>
                      <w:sz w:val="21"/>
                      <w:szCs w:val="21"/>
                      <w14:textFill>
                        <w14:solidFill>
                          <w14:schemeClr w14:val="tx1"/>
                        </w14:solidFill>
                      </w14:textFill>
                    </w:rPr>
                  </w:pPr>
                </w:p>
              </w:tc>
              <w:tc>
                <w:tcPr>
                  <w:tcW w:w="3511" w:type="dxa"/>
                  <w:vMerge w:val="restart"/>
                  <w:vAlign w:val="center"/>
                </w:tcPr>
                <w:p w14:paraId="45216D64">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14:textFill>
                        <w14:solidFill>
                          <w14:schemeClr w14:val="tx1"/>
                        </w14:solidFill>
                      </w14:textFill>
                    </w:rPr>
                    <w:t>农田灌溉水质标准》</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r>
                    <w:rPr>
                      <w:rFonts w:hint="eastAsia" w:ascii="Times New Roman" w:hAnsi="Times New Roman" w:eastAsia="宋体" w:cs="Times New Roman"/>
                      <w:color w:val="000000" w:themeColor="text1"/>
                      <w:sz w:val="21"/>
                      <w:szCs w:val="21"/>
                      <w14:textFill>
                        <w14:solidFill>
                          <w14:schemeClr w14:val="tx1"/>
                        </w14:solidFill>
                      </w14:textFill>
                    </w:rPr>
                    <w:t>GB 5084—2021</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表1旱地作物</w:t>
                  </w:r>
                </w:p>
              </w:tc>
              <w:tc>
                <w:tcPr>
                  <w:tcW w:w="1403" w:type="dxa"/>
                  <w:vAlign w:val="center"/>
                </w:tcPr>
                <w:p w14:paraId="245B8912">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pH值</w:t>
                  </w:r>
                </w:p>
              </w:tc>
              <w:tc>
                <w:tcPr>
                  <w:tcW w:w="2961" w:type="dxa"/>
                  <w:vAlign w:val="center"/>
                </w:tcPr>
                <w:p w14:paraId="6FCFE03F">
                  <w:pPr>
                    <w:jc w:val="center"/>
                    <w:rPr>
                      <w:rFonts w:hint="eastAsia"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5.5~8.5</w:t>
                  </w:r>
                </w:p>
              </w:tc>
            </w:tr>
            <w:tr w14:paraId="4EA0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1ABA5C32">
                  <w:pPr>
                    <w:jc w:val="center"/>
                    <w:rPr>
                      <w:rFonts w:hint="eastAsia"/>
                      <w:color w:val="000000" w:themeColor="text1"/>
                      <w:sz w:val="21"/>
                      <w:szCs w:val="21"/>
                      <w14:textFill>
                        <w14:solidFill>
                          <w14:schemeClr w14:val="tx1"/>
                        </w14:solidFill>
                      </w14:textFill>
                    </w:rPr>
                  </w:pPr>
                </w:p>
              </w:tc>
              <w:tc>
                <w:tcPr>
                  <w:tcW w:w="3511" w:type="dxa"/>
                  <w:vMerge w:val="continue"/>
                  <w:vAlign w:val="center"/>
                </w:tcPr>
                <w:p w14:paraId="5AF3D967">
                  <w:pPr>
                    <w:jc w:val="center"/>
                    <w:rPr>
                      <w:rFonts w:hint="eastAsia" w:ascii="Times New Roman" w:hAnsi="Times New Roman" w:eastAsia="宋体" w:cs="Times New Roman"/>
                      <w:color w:val="000000" w:themeColor="text1"/>
                      <w:sz w:val="21"/>
                      <w:szCs w:val="21"/>
                      <w14:textFill>
                        <w14:solidFill>
                          <w14:schemeClr w14:val="tx1"/>
                        </w14:solidFill>
                      </w14:textFill>
                    </w:rPr>
                  </w:pPr>
                </w:p>
              </w:tc>
              <w:tc>
                <w:tcPr>
                  <w:tcW w:w="1403" w:type="dxa"/>
                  <w:vAlign w:val="center"/>
                </w:tcPr>
                <w:p w14:paraId="6023E102">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水温/℃</w:t>
                  </w:r>
                </w:p>
              </w:tc>
              <w:tc>
                <w:tcPr>
                  <w:tcW w:w="2961" w:type="dxa"/>
                  <w:vAlign w:val="center"/>
                </w:tcPr>
                <w:p w14:paraId="5317DD7F">
                  <w:pPr>
                    <w:jc w:val="center"/>
                    <w:rPr>
                      <w:rFonts w:hint="eastAsia"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35</w:t>
                  </w:r>
                </w:p>
              </w:tc>
            </w:tr>
            <w:tr w14:paraId="2593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7C8217E9">
                  <w:pPr>
                    <w:jc w:val="center"/>
                    <w:rPr>
                      <w:rFonts w:hint="eastAsia"/>
                      <w:color w:val="000000" w:themeColor="text1"/>
                      <w:sz w:val="21"/>
                      <w:szCs w:val="21"/>
                      <w14:textFill>
                        <w14:solidFill>
                          <w14:schemeClr w14:val="tx1"/>
                        </w14:solidFill>
                      </w14:textFill>
                    </w:rPr>
                  </w:pPr>
                </w:p>
              </w:tc>
              <w:tc>
                <w:tcPr>
                  <w:tcW w:w="3511" w:type="dxa"/>
                  <w:vMerge w:val="continue"/>
                  <w:vAlign w:val="center"/>
                </w:tcPr>
                <w:p w14:paraId="3B1197FF">
                  <w:pPr>
                    <w:jc w:val="center"/>
                    <w:rPr>
                      <w:rFonts w:hint="eastAsia" w:ascii="Times New Roman" w:hAnsi="Times New Roman" w:eastAsia="宋体" w:cs="Times New Roman"/>
                      <w:color w:val="000000" w:themeColor="text1"/>
                      <w:sz w:val="21"/>
                      <w:szCs w:val="21"/>
                      <w14:textFill>
                        <w14:solidFill>
                          <w14:schemeClr w14:val="tx1"/>
                        </w14:solidFill>
                      </w14:textFill>
                    </w:rPr>
                  </w:pPr>
                </w:p>
              </w:tc>
              <w:tc>
                <w:tcPr>
                  <w:tcW w:w="1403" w:type="dxa"/>
                  <w:vAlign w:val="center"/>
                </w:tcPr>
                <w:p w14:paraId="52A01ABA">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SS</w:t>
                  </w:r>
                </w:p>
              </w:tc>
              <w:tc>
                <w:tcPr>
                  <w:tcW w:w="2961" w:type="dxa"/>
                  <w:vAlign w:val="center"/>
                </w:tcPr>
                <w:p w14:paraId="27C453E9">
                  <w:pPr>
                    <w:jc w:val="center"/>
                    <w:rPr>
                      <w:rFonts w:hint="eastAsia"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100mg/L</w:t>
                  </w:r>
                </w:p>
              </w:tc>
            </w:tr>
            <w:tr w14:paraId="5FD5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7F2686C1">
                  <w:pPr>
                    <w:jc w:val="center"/>
                    <w:rPr>
                      <w:rFonts w:hint="eastAsia"/>
                      <w:color w:val="000000" w:themeColor="text1"/>
                      <w:sz w:val="21"/>
                      <w:szCs w:val="21"/>
                      <w14:textFill>
                        <w14:solidFill>
                          <w14:schemeClr w14:val="tx1"/>
                        </w14:solidFill>
                      </w14:textFill>
                    </w:rPr>
                  </w:pPr>
                </w:p>
              </w:tc>
              <w:tc>
                <w:tcPr>
                  <w:tcW w:w="3511" w:type="dxa"/>
                  <w:vMerge w:val="continue"/>
                  <w:vAlign w:val="center"/>
                </w:tcPr>
                <w:p w14:paraId="7C39D55C">
                  <w:pPr>
                    <w:jc w:val="center"/>
                    <w:rPr>
                      <w:rFonts w:hint="eastAsia" w:ascii="Times New Roman" w:hAnsi="Times New Roman" w:eastAsia="宋体" w:cs="Times New Roman"/>
                      <w:color w:val="000000" w:themeColor="text1"/>
                      <w:sz w:val="21"/>
                      <w:szCs w:val="21"/>
                      <w14:textFill>
                        <w14:solidFill>
                          <w14:schemeClr w14:val="tx1"/>
                        </w14:solidFill>
                      </w14:textFill>
                    </w:rPr>
                  </w:pPr>
                </w:p>
              </w:tc>
              <w:tc>
                <w:tcPr>
                  <w:tcW w:w="1403" w:type="dxa"/>
                  <w:vAlign w:val="center"/>
                </w:tcPr>
                <w:p w14:paraId="06D4CA4A">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BOD</w:t>
                  </w:r>
                  <w:r>
                    <w:rPr>
                      <w:rFonts w:hint="default" w:ascii="Times New Roman" w:hAnsi="Times New Roman" w:eastAsia="宋体" w:cs="Times New Roman"/>
                      <w:color w:val="000000" w:themeColor="text1"/>
                      <w:sz w:val="21"/>
                      <w:szCs w:val="21"/>
                      <w:vertAlign w:val="subscript"/>
                      <w14:textFill>
                        <w14:solidFill>
                          <w14:schemeClr w14:val="tx1"/>
                        </w14:solidFill>
                      </w14:textFill>
                    </w:rPr>
                    <w:t>5</w:t>
                  </w:r>
                </w:p>
              </w:tc>
              <w:tc>
                <w:tcPr>
                  <w:tcW w:w="2961" w:type="dxa"/>
                  <w:vAlign w:val="center"/>
                </w:tcPr>
                <w:p w14:paraId="3FFE5203">
                  <w:pPr>
                    <w:jc w:val="center"/>
                    <w:rPr>
                      <w:rFonts w:hint="eastAsia"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10</w:t>
                  </w:r>
                  <w:r>
                    <w:rPr>
                      <w:rFonts w:hint="eastAsia" w:ascii="Times New Roman" w:hAnsi="Times New Roman" w:eastAsia="宋体" w:cs="Times New Roman"/>
                      <w:color w:val="000000" w:themeColor="text1"/>
                      <w:sz w:val="21"/>
                      <w:szCs w:val="21"/>
                      <w14:textFill>
                        <w14:solidFill>
                          <w14:schemeClr w14:val="tx1"/>
                        </w14:solidFill>
                      </w14:textFill>
                    </w:rPr>
                    <w:t>0mg/L</w:t>
                  </w:r>
                </w:p>
              </w:tc>
            </w:tr>
            <w:tr w14:paraId="4BBD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Merge w:val="continue"/>
                  <w:vAlign w:val="center"/>
                </w:tcPr>
                <w:p w14:paraId="146F5657">
                  <w:pPr>
                    <w:jc w:val="center"/>
                    <w:rPr>
                      <w:rFonts w:hint="eastAsia"/>
                      <w:color w:val="000000" w:themeColor="text1"/>
                      <w:sz w:val="21"/>
                      <w:szCs w:val="21"/>
                      <w14:textFill>
                        <w14:solidFill>
                          <w14:schemeClr w14:val="tx1"/>
                        </w14:solidFill>
                      </w14:textFill>
                    </w:rPr>
                  </w:pPr>
                </w:p>
              </w:tc>
              <w:tc>
                <w:tcPr>
                  <w:tcW w:w="3511" w:type="dxa"/>
                  <w:vMerge w:val="continue"/>
                  <w:vAlign w:val="center"/>
                </w:tcPr>
                <w:p w14:paraId="77E3B24A">
                  <w:pPr>
                    <w:jc w:val="center"/>
                    <w:rPr>
                      <w:rFonts w:hint="eastAsia" w:ascii="Times New Roman" w:hAnsi="Times New Roman" w:eastAsia="宋体" w:cs="Times New Roman"/>
                      <w:color w:val="000000" w:themeColor="text1"/>
                      <w:sz w:val="21"/>
                      <w:szCs w:val="21"/>
                      <w14:textFill>
                        <w14:solidFill>
                          <w14:schemeClr w14:val="tx1"/>
                        </w14:solidFill>
                      </w14:textFill>
                    </w:rPr>
                  </w:pPr>
                </w:p>
              </w:tc>
              <w:tc>
                <w:tcPr>
                  <w:tcW w:w="1403" w:type="dxa"/>
                  <w:vAlign w:val="center"/>
                </w:tcPr>
                <w:p w14:paraId="53C40A07">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COD</w:t>
                  </w:r>
                </w:p>
              </w:tc>
              <w:tc>
                <w:tcPr>
                  <w:tcW w:w="2961" w:type="dxa"/>
                  <w:vAlign w:val="center"/>
                </w:tcPr>
                <w:p w14:paraId="5E64B2F1">
                  <w:pPr>
                    <w:jc w:val="center"/>
                    <w:rPr>
                      <w:rFonts w:hint="eastAsia"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14:textFill>
                        <w14:solidFill>
                          <w14:schemeClr w14:val="tx1"/>
                        </w14:solidFill>
                      </w14:textFill>
                    </w:rPr>
                    <w:t>00mg/L</w:t>
                  </w:r>
                </w:p>
              </w:tc>
            </w:tr>
            <w:tr w14:paraId="0463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Align w:val="center"/>
                </w:tcPr>
                <w:p w14:paraId="6687379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噪声</w:t>
                  </w:r>
                </w:p>
              </w:tc>
              <w:tc>
                <w:tcPr>
                  <w:tcW w:w="3511" w:type="dxa"/>
                  <w:vAlign w:val="center"/>
                </w:tcPr>
                <w:p w14:paraId="04DAEC70">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《工业企业厂界环境噪声排放标准》（GB12348-2008）2类</w:t>
                  </w:r>
                </w:p>
              </w:tc>
              <w:tc>
                <w:tcPr>
                  <w:tcW w:w="1403" w:type="dxa"/>
                  <w:vAlign w:val="center"/>
                </w:tcPr>
                <w:p w14:paraId="7231F44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噪声</w:t>
                  </w:r>
                </w:p>
              </w:tc>
              <w:tc>
                <w:tcPr>
                  <w:tcW w:w="2961" w:type="dxa"/>
                  <w:vAlign w:val="center"/>
                </w:tcPr>
                <w:p w14:paraId="19F77F4F">
                  <w:pPr>
                    <w:jc w:val="center"/>
                    <w:rPr>
                      <w:color w:val="000000" w:themeColor="text1"/>
                      <w14:textFill>
                        <w14:solidFill>
                          <w14:schemeClr w14:val="tx1"/>
                        </w14:solidFill>
                      </w14:textFill>
                    </w:rPr>
                  </w:pPr>
                  <w:r>
                    <w:rPr>
                      <w:color w:val="000000" w:themeColor="text1"/>
                      <w:sz w:val="21"/>
                      <w:szCs w:val="21"/>
                      <w14:textFill>
                        <w14:solidFill>
                          <w14:schemeClr w14:val="tx1"/>
                        </w14:solidFill>
                      </w14:textFill>
                    </w:rPr>
                    <w:t>昼间60dB(A)</w:t>
                  </w:r>
                </w:p>
              </w:tc>
            </w:tr>
            <w:tr w14:paraId="4D9B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7" w:type="dxa"/>
                  <w:vAlign w:val="center"/>
                </w:tcPr>
                <w:p w14:paraId="5562658E">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固废</w:t>
                  </w:r>
                </w:p>
              </w:tc>
              <w:tc>
                <w:tcPr>
                  <w:tcW w:w="7875" w:type="dxa"/>
                  <w:gridSpan w:val="3"/>
                  <w:vAlign w:val="center"/>
                </w:tcPr>
                <w:p w14:paraId="13FE8D00">
                  <w:pPr>
                    <w:jc w:val="center"/>
                    <w:rPr>
                      <w:color w:val="000000" w:themeColor="text1"/>
                      <w14:textFill>
                        <w14:solidFill>
                          <w14:schemeClr w14:val="tx1"/>
                        </w14:solidFill>
                      </w14:textFill>
                    </w:rPr>
                  </w:pPr>
                  <w:r>
                    <w:rPr>
                      <w:color w:val="000000" w:themeColor="text1"/>
                      <w:sz w:val="21"/>
                      <w:szCs w:val="21"/>
                      <w14:textFill>
                        <w14:solidFill>
                          <w14:schemeClr w14:val="tx1"/>
                        </w14:solidFill>
                      </w14:textFill>
                    </w:rPr>
                    <w:t>《一般工业固体废物贮存和填埋污染控制标准》（GB18599-2020）中相应防渗漏、防雨淋、防扬尘等环境保护要求</w:t>
                  </w:r>
                </w:p>
              </w:tc>
            </w:tr>
          </w:tbl>
          <w:p w14:paraId="41EA3426">
            <w:pPr>
              <w:rPr>
                <w:color w:val="000000" w:themeColor="text1"/>
                <w14:textFill>
                  <w14:solidFill>
                    <w14:schemeClr w14:val="tx1"/>
                  </w14:solidFill>
                </w14:textFill>
              </w:rPr>
            </w:pPr>
          </w:p>
        </w:tc>
      </w:tr>
      <w:tr w14:paraId="50C3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0339F7D3">
            <w:pPr>
              <w:adjustRightInd w:val="0"/>
              <w:snapToGrid w:val="0"/>
              <w:spacing w:before="100" w:beforeAutospacing="1" w:after="100" w:afterAutospacing="1" w:line="288" w:lineRule="auto"/>
              <w:jc w:val="center"/>
              <w:outlineLvl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总量控制标准</w:t>
            </w:r>
          </w:p>
        </w:tc>
        <w:tc>
          <w:tcPr>
            <w:tcW w:w="9018" w:type="dxa"/>
            <w:vAlign w:val="center"/>
          </w:tcPr>
          <w:p w14:paraId="7EEE1247">
            <w:pPr>
              <w:spacing w:line="52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根据《新乡市生态环境局关于转发&lt;河南省生态环境厅关于印发建设项目主要污染物排放总量指标管理工作内部规程的通知&gt;的通知》，建设项目环境影响评价文件中应明确建设项目主要污染物排放总量及替代方案。</w:t>
            </w:r>
          </w:p>
          <w:p w14:paraId="7C1FC983">
            <w:pPr>
              <w:adjustRightInd w:val="0"/>
              <w:snapToGrid w:val="0"/>
              <w:spacing w:line="520" w:lineRule="exact"/>
              <w:ind w:firstLine="480" w:firstLineChars="200"/>
              <w:rPr>
                <w:color w:val="000000" w:themeColor="text1"/>
                <w14:textFill>
                  <w14:solidFill>
                    <w14:schemeClr w14:val="tx1"/>
                  </w14:solidFill>
                </w14:textFill>
              </w:rPr>
            </w:pPr>
            <w:r>
              <w:rPr>
                <w:rFonts w:hint="eastAsia"/>
                <w:szCs w:val="32"/>
              </w:rPr>
              <w:t>本项目建成后全厂污染</w:t>
            </w:r>
            <w:r>
              <w:rPr>
                <w:rFonts w:hint="eastAsia"/>
              </w:rPr>
              <w:t>物排放量为：颗粒物</w:t>
            </w:r>
            <w:r>
              <w:rPr>
                <w:rFonts w:hint="eastAsia"/>
                <w:color w:val="000000" w:themeColor="text1"/>
                <w14:textFill>
                  <w14:solidFill>
                    <w14:schemeClr w14:val="tx1"/>
                  </w14:solidFill>
                </w14:textFill>
              </w:rPr>
              <w:t xml:space="preserve">0.0047 </w:t>
            </w:r>
            <w:r>
              <w:rPr>
                <w:rFonts w:hint="eastAsia"/>
              </w:rPr>
              <w:t>t/a，SO</w:t>
            </w:r>
            <w:r>
              <w:rPr>
                <w:rFonts w:hint="eastAsia"/>
                <w:vertAlign w:val="subscript"/>
              </w:rPr>
              <w:t>2</w:t>
            </w:r>
            <w:r>
              <w:rPr>
                <w:rFonts w:hint="eastAsia"/>
              </w:rPr>
              <w:t xml:space="preserve"> </w:t>
            </w:r>
            <w:r>
              <w:rPr>
                <w:rFonts w:hint="eastAsia"/>
                <w:color w:val="000000" w:themeColor="text1"/>
                <w:lang w:eastAsia="zh-CN"/>
                <w14:textFill>
                  <w14:solidFill>
                    <w14:schemeClr w14:val="tx1"/>
                  </w14:solidFill>
                </w14:textFill>
              </w:rPr>
              <w:t>0.008</w:t>
            </w:r>
            <w:r>
              <w:rPr>
                <w:rFonts w:hint="eastAsia"/>
              </w:rPr>
              <w:t xml:space="preserve">t/a，NOx </w:t>
            </w:r>
            <w:r>
              <w:rPr>
                <w:rFonts w:hint="eastAsia"/>
                <w:color w:val="000000" w:themeColor="text1"/>
                <w14:textFill>
                  <w14:solidFill>
                    <w14:schemeClr w14:val="tx1"/>
                  </w14:solidFill>
                </w14:textFill>
              </w:rPr>
              <w:t>0.072</w:t>
            </w:r>
            <w:r>
              <w:rPr>
                <w:rFonts w:hint="eastAsia"/>
              </w:rPr>
              <w:t>t/a、COD</w:t>
            </w:r>
            <w:r>
              <w:rPr>
                <w:rFonts w:hint="eastAsia"/>
                <w:color w:val="000000" w:themeColor="text1"/>
                <w:lang w:eastAsia="zh-CN"/>
                <w14:textFill>
                  <w14:solidFill>
                    <w14:schemeClr w14:val="tx1"/>
                  </w14:solidFill>
                </w14:textFill>
              </w:rPr>
              <w:t>0.0546</w:t>
            </w:r>
            <w:r>
              <w:rPr>
                <w:rFonts w:hint="eastAsia"/>
              </w:rPr>
              <w:t>t/a、</w:t>
            </w:r>
            <w:r>
              <w:rPr>
                <w:rFonts w:hint="eastAsia"/>
                <w:color w:val="000000" w:themeColor="text1"/>
                <w14:textFill>
                  <w14:solidFill>
                    <w14:schemeClr w14:val="tx1"/>
                  </w14:solidFill>
                </w14:textFill>
              </w:rPr>
              <w:t>氨氮</w:t>
            </w:r>
            <w:r>
              <w:rPr>
                <w:rFonts w:hint="eastAsia"/>
                <w:color w:val="000000" w:themeColor="text1"/>
                <w:lang w:eastAsia="zh-CN"/>
                <w14:textFill>
                  <w14:solidFill>
                    <w14:schemeClr w14:val="tx1"/>
                  </w14:solidFill>
                </w14:textFill>
              </w:rPr>
              <w:t>0.0003</w:t>
            </w:r>
            <w:r>
              <w:rPr>
                <w:rFonts w:hint="eastAsia"/>
                <w:color w:val="000000" w:themeColor="text1"/>
                <w14:textFill>
                  <w14:solidFill>
                    <w14:schemeClr w14:val="tx1"/>
                  </w14:solidFill>
                </w14:textFill>
              </w:rPr>
              <w:t xml:space="preserve"> t/a、TP</w:t>
            </w:r>
            <w:r>
              <w:rPr>
                <w:rFonts w:hint="eastAsia"/>
                <w:color w:val="000000" w:themeColor="text1"/>
                <w:lang w:eastAsia="zh-CN"/>
                <w14:textFill>
                  <w14:solidFill>
                    <w14:schemeClr w14:val="tx1"/>
                  </w14:solidFill>
                </w14:textFill>
              </w:rPr>
              <w:t>0.0003</w:t>
            </w:r>
            <w:r>
              <w:rPr>
                <w:rFonts w:hint="eastAsia"/>
                <w:color w:val="000000" w:themeColor="text1"/>
                <w14:textFill>
                  <w14:solidFill>
                    <w14:schemeClr w14:val="tx1"/>
                  </w14:solidFill>
                </w14:textFill>
              </w:rPr>
              <w:t>t/a。</w:t>
            </w:r>
          </w:p>
          <w:p w14:paraId="3895CF4B">
            <w:pPr>
              <w:adjustRightInd w:val="0"/>
              <w:snapToGrid w:val="0"/>
              <w:spacing w:line="520" w:lineRule="exact"/>
              <w:ind w:firstLine="480" w:firstLineChars="200"/>
              <w:rPr>
                <w:color w:val="000000" w:themeColor="text1"/>
                <w14:textFill>
                  <w14:solidFill>
                    <w14:schemeClr w14:val="tx1"/>
                  </w14:solidFill>
                </w14:textFill>
              </w:rPr>
            </w:pPr>
            <w:r>
              <w:rPr>
                <w:rFonts w:hint="eastAsia"/>
                <w:szCs w:val="32"/>
              </w:rPr>
              <w:t>本项目建成后全厂污染物排放增减量：颗粒物0t/a，SO</w:t>
            </w:r>
            <w:r>
              <w:rPr>
                <w:rFonts w:hint="eastAsia"/>
                <w:szCs w:val="32"/>
                <w:vertAlign w:val="subscript"/>
              </w:rPr>
              <w:t xml:space="preserve">2 </w:t>
            </w:r>
            <w:r>
              <w:rPr>
                <w:rFonts w:hint="eastAsia"/>
                <w:szCs w:val="32"/>
              </w:rPr>
              <w:t>0t/a，NOx 0t/a、</w:t>
            </w:r>
            <w:r>
              <w:rPr>
                <w:rFonts w:hint="eastAsia"/>
              </w:rPr>
              <w:t>COD</w:t>
            </w:r>
            <w:r>
              <w:rPr>
                <w:rFonts w:hint="eastAsia"/>
                <w:lang w:eastAsia="zh-CN"/>
              </w:rPr>
              <w:t>-0.0002</w:t>
            </w:r>
            <w:r>
              <w:rPr>
                <w:rFonts w:hint="eastAsia"/>
              </w:rPr>
              <w:t>t/a、</w:t>
            </w:r>
            <w:r>
              <w:rPr>
                <w:rFonts w:hint="eastAsia"/>
                <w:color w:val="000000" w:themeColor="text1"/>
                <w14:textFill>
                  <w14:solidFill>
                    <w14:schemeClr w14:val="tx1"/>
                  </w14:solidFill>
                </w14:textFill>
              </w:rPr>
              <w:t>氨</w:t>
            </w:r>
            <w:r>
              <w:rPr>
                <w:rFonts w:hint="eastAsia"/>
                <w:color w:val="000000" w:themeColor="text1"/>
                <w:sz w:val="24"/>
                <w:szCs w:val="24"/>
                <w14:textFill>
                  <w14:solidFill>
                    <w14:schemeClr w14:val="tx1"/>
                  </w14:solidFill>
                </w14:textFill>
              </w:rPr>
              <w:t>氮</w:t>
            </w:r>
            <w:r>
              <w:rPr>
                <w:rFonts w:hint="eastAsia"/>
                <w:sz w:val="24"/>
                <w:szCs w:val="24"/>
                <w:lang w:val="en-US" w:eastAsia="zh-CN"/>
              </w:rPr>
              <w:t>0</w:t>
            </w:r>
            <w:r>
              <w:rPr>
                <w:rFonts w:hint="eastAsia"/>
                <w:color w:val="000000" w:themeColor="text1"/>
                <w:sz w:val="24"/>
                <w:szCs w:val="24"/>
                <w14:textFill>
                  <w14:solidFill>
                    <w14:schemeClr w14:val="tx1"/>
                  </w14:solidFill>
                </w14:textFill>
              </w:rPr>
              <w:t xml:space="preserve"> t/a、TP</w:t>
            </w:r>
            <w:r>
              <w:rPr>
                <w:rFonts w:hint="eastAsia"/>
                <w:sz w:val="24"/>
                <w:szCs w:val="24"/>
                <w:lang w:val="en-US" w:eastAsia="zh-CN"/>
              </w:rPr>
              <w:t>0</w:t>
            </w:r>
            <w:r>
              <w:rPr>
                <w:rFonts w:hint="eastAsia"/>
                <w:color w:val="000000" w:themeColor="text1"/>
                <w:sz w:val="24"/>
                <w:szCs w:val="24"/>
                <w14:textFill>
                  <w14:solidFill>
                    <w14:schemeClr w14:val="tx1"/>
                  </w14:solidFill>
                </w14:textFill>
              </w:rPr>
              <w:t>t/a。</w:t>
            </w:r>
            <w:r>
              <w:rPr>
                <w:rFonts w:hint="eastAsia"/>
                <w:color w:val="000000" w:themeColor="text1"/>
                <w14:textFill>
                  <w14:solidFill>
                    <w14:schemeClr w14:val="tx1"/>
                  </w14:solidFill>
                </w14:textFill>
              </w:rPr>
              <w:t>不新增污染物排放量。</w:t>
            </w:r>
          </w:p>
          <w:p w14:paraId="322C5668">
            <w:pPr>
              <w:spacing w:line="460" w:lineRule="exact"/>
              <w:jc w:val="center"/>
              <w:rPr>
                <w:rFonts w:hint="eastAsia" w:eastAsia="黑体"/>
              </w:rPr>
            </w:pPr>
          </w:p>
          <w:p w14:paraId="2199FEFB">
            <w:pPr>
              <w:spacing w:line="460" w:lineRule="exact"/>
              <w:jc w:val="center"/>
              <w:rPr>
                <w:rFonts w:hint="eastAsia" w:eastAsia="黑体"/>
              </w:rPr>
            </w:pPr>
          </w:p>
          <w:p w14:paraId="6B3F9FE8">
            <w:pPr>
              <w:spacing w:line="460" w:lineRule="exact"/>
              <w:jc w:val="center"/>
              <w:rPr>
                <w:rFonts w:hint="eastAsia" w:eastAsia="黑体"/>
              </w:rPr>
            </w:pPr>
          </w:p>
          <w:p w14:paraId="7D73A572">
            <w:pPr>
              <w:spacing w:line="460" w:lineRule="exact"/>
              <w:jc w:val="center"/>
              <w:rPr>
                <w:rFonts w:hint="eastAsia" w:eastAsia="黑体"/>
              </w:rPr>
            </w:pPr>
          </w:p>
          <w:p w14:paraId="5C88F158">
            <w:pPr>
              <w:spacing w:line="460" w:lineRule="exact"/>
              <w:jc w:val="center"/>
              <w:rPr>
                <w:rFonts w:hint="eastAsia" w:eastAsia="黑体"/>
              </w:rPr>
            </w:pPr>
          </w:p>
          <w:p w14:paraId="7224C80A">
            <w:pPr>
              <w:spacing w:line="460" w:lineRule="exact"/>
              <w:jc w:val="center"/>
              <w:rPr>
                <w:rFonts w:hint="eastAsia" w:eastAsia="黑体"/>
              </w:rPr>
            </w:pPr>
          </w:p>
          <w:p w14:paraId="4A1FE4F1">
            <w:pPr>
              <w:spacing w:line="460" w:lineRule="exact"/>
              <w:jc w:val="center"/>
              <w:rPr>
                <w:rFonts w:hint="eastAsia" w:eastAsia="黑体"/>
              </w:rPr>
            </w:pPr>
          </w:p>
          <w:p w14:paraId="71B5BE44">
            <w:pPr>
              <w:spacing w:line="460" w:lineRule="exact"/>
              <w:jc w:val="center"/>
              <w:rPr>
                <w:rFonts w:hint="eastAsia" w:eastAsia="黑体"/>
              </w:rPr>
            </w:pPr>
          </w:p>
          <w:p w14:paraId="3F7AD609">
            <w:pPr>
              <w:spacing w:line="460" w:lineRule="exact"/>
              <w:jc w:val="center"/>
              <w:rPr>
                <w:rFonts w:hint="eastAsia" w:eastAsia="黑体"/>
              </w:rPr>
            </w:pPr>
          </w:p>
          <w:p w14:paraId="16815433">
            <w:pPr>
              <w:pStyle w:val="11"/>
              <w:ind w:left="0" w:firstLine="0"/>
              <w:rPr>
                <w:color w:val="000000" w:themeColor="text1"/>
                <w14:textFill>
                  <w14:solidFill>
                    <w14:schemeClr w14:val="tx1"/>
                  </w14:solidFill>
                </w14:textFill>
              </w:rPr>
            </w:pPr>
          </w:p>
          <w:p w14:paraId="658C715B">
            <w:pPr>
              <w:pStyle w:val="11"/>
              <w:ind w:left="0" w:firstLine="0"/>
              <w:rPr>
                <w:color w:val="000000" w:themeColor="text1"/>
                <w14:textFill>
                  <w14:solidFill>
                    <w14:schemeClr w14:val="tx1"/>
                  </w14:solidFill>
                </w14:textFill>
              </w:rPr>
            </w:pPr>
          </w:p>
          <w:p w14:paraId="4BBD59A3">
            <w:pPr>
              <w:pStyle w:val="11"/>
              <w:ind w:left="0" w:firstLine="0"/>
              <w:rPr>
                <w:color w:val="000000" w:themeColor="text1"/>
                <w14:textFill>
                  <w14:solidFill>
                    <w14:schemeClr w14:val="tx1"/>
                  </w14:solidFill>
                </w14:textFill>
              </w:rPr>
            </w:pPr>
          </w:p>
        </w:tc>
      </w:tr>
    </w:tbl>
    <w:p w14:paraId="03D5DAD0">
      <w:pPr>
        <w:adjustRightInd w:val="0"/>
        <w:snapToGrid w:val="0"/>
        <w:spacing w:before="100" w:beforeAutospacing="1" w:after="100" w:afterAutospacing="1" w:line="288" w:lineRule="auto"/>
        <w:outlineLvl w:val="0"/>
        <w:rPr>
          <w:rFonts w:ascii="黑体" w:hAnsi="黑体" w:eastAsia="黑体" w:cs="黑体"/>
          <w:color w:val="000000" w:themeColor="text1"/>
          <w:sz w:val="30"/>
          <w:szCs w:val="30"/>
          <w14:textFill>
            <w14:solidFill>
              <w14:schemeClr w14:val="tx1"/>
            </w14:solidFill>
          </w14:textFill>
        </w:rPr>
        <w:sectPr>
          <w:pgSz w:w="11906" w:h="16838"/>
          <w:pgMar w:top="1701" w:right="1134" w:bottom="1701" w:left="1134" w:header="851" w:footer="992" w:gutter="0"/>
          <w:cols w:space="720" w:num="1"/>
          <w:docGrid w:type="lines" w:linePitch="312" w:charSpace="0"/>
        </w:sectPr>
      </w:pPr>
    </w:p>
    <w:p w14:paraId="29D44326">
      <w:pPr>
        <w:pStyle w:val="4"/>
        <w:keepNext w:val="0"/>
        <w:widowControl/>
        <w:overflowPunct/>
        <w:spacing w:before="100" w:beforeAutospacing="1" w:after="100" w:afterAutospacing="1" w:line="240" w:lineRule="auto"/>
        <w:ind w:left="0" w:firstLine="0"/>
        <w:jc w:val="center"/>
        <w:rPr>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四、主要环境影响和保护措施</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8983"/>
      </w:tblGrid>
      <w:tr w14:paraId="2762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1" w:type="dxa"/>
            <w:vAlign w:val="center"/>
          </w:tcPr>
          <w:p w14:paraId="41752D7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施工期环境保护措施</w:t>
            </w:r>
          </w:p>
        </w:tc>
        <w:tc>
          <w:tcPr>
            <w:tcW w:w="8983" w:type="dxa"/>
            <w:vAlign w:val="center"/>
          </w:tcPr>
          <w:p w14:paraId="021404CC">
            <w:pPr>
              <w:spacing w:line="520" w:lineRule="exact"/>
              <w:ind w:firstLine="480" w:firstLineChars="200"/>
              <w:rPr>
                <w:bCs/>
                <w:color w:val="000000" w:themeColor="text1"/>
                <w14:textFill>
                  <w14:solidFill>
                    <w14:schemeClr w14:val="tx1"/>
                  </w14:solidFill>
                </w14:textFill>
              </w:rPr>
            </w:pPr>
            <w:r>
              <w:rPr>
                <w:rFonts w:ascii="宋体" w:hAnsi="宋体" w:cs="宋体"/>
              </w:rPr>
              <w:t>本项目在已建成厂房内进行建设，不涉及厂房建筑物的施工建设，只需要安装设备， 故本次评价不对施工期环境影响进行分析。</w:t>
            </w:r>
          </w:p>
        </w:tc>
      </w:tr>
      <w:tr w14:paraId="0461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871" w:type="dxa"/>
            <w:vAlign w:val="center"/>
          </w:tcPr>
          <w:p w14:paraId="504B7A8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运营期环境影响和保护措施</w:t>
            </w:r>
          </w:p>
        </w:tc>
        <w:tc>
          <w:tcPr>
            <w:tcW w:w="8983" w:type="dxa"/>
            <w:vAlign w:val="center"/>
          </w:tcPr>
          <w:p w14:paraId="4DB20BC7">
            <w:pPr>
              <w:spacing w:line="520" w:lineRule="exact"/>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营运期环境影响分析</w:t>
            </w:r>
          </w:p>
          <w:p w14:paraId="03D7D760">
            <w:pPr>
              <w:spacing w:line="5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营运期污染因素主要有废水、废气、噪声、固废，具体内容详见以下分析。</w:t>
            </w:r>
          </w:p>
          <w:p w14:paraId="0796D29B">
            <w:pPr>
              <w:numPr>
                <w:ilvl w:val="0"/>
                <w:numId w:val="9"/>
              </w:numPr>
              <w:spacing w:line="520" w:lineRule="exact"/>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废水</w:t>
            </w:r>
          </w:p>
          <w:p w14:paraId="55D0CA60">
            <w:pPr>
              <w:pStyle w:val="11"/>
              <w:numPr>
                <w:ilvl w:val="0"/>
                <w:numId w:val="10"/>
              </w:numPr>
              <w:spacing w:line="520" w:lineRule="exact"/>
              <w:ind w:left="0" w:right="0" w:firstLine="482" w:firstLineChars="200"/>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废水污染物产排情况</w:t>
            </w:r>
          </w:p>
          <w:p w14:paraId="0A9958D1">
            <w:pPr>
              <w:spacing w:line="520" w:lineRule="exact"/>
              <w:ind w:firstLine="480" w:firstLineChars="200"/>
              <w:rPr>
                <w:rFonts w:hint="default" w:ascii="Times New Roman" w:hAnsi="Times New Roman" w:cs="Times New Roman"/>
              </w:rPr>
            </w:pPr>
            <w:r>
              <w:rPr>
                <w:rFonts w:hint="default" w:ascii="Times New Roman" w:hAnsi="Times New Roman" w:cs="Times New Roman"/>
              </w:rPr>
              <w:t>1）水量分析</w:t>
            </w:r>
          </w:p>
          <w:p w14:paraId="329EA624">
            <w:pPr>
              <w:spacing w:line="520" w:lineRule="exact"/>
              <w:ind w:firstLine="480" w:firstLineChars="200"/>
              <w:rPr>
                <w:color w:val="000000" w:themeColor="text1"/>
                <w:highlight w:val="none"/>
                <w14:textFill>
                  <w14:solidFill>
                    <w14:schemeClr w14:val="tx1"/>
                  </w14:solidFill>
                </w14:textFill>
              </w:rPr>
            </w:pPr>
            <w:r>
              <w:rPr>
                <w:rFonts w:ascii="宋体" w:hAnsi="宋体" w:cs="宋体"/>
              </w:rPr>
              <w:t>本项目</w:t>
            </w:r>
            <w:r>
              <w:rPr>
                <w:rFonts w:hint="eastAsia" w:ascii="宋体" w:hAnsi="宋体" w:cs="宋体"/>
              </w:rPr>
              <w:t>为改建项目，员工从现有工程中调剂，</w:t>
            </w:r>
            <w:r>
              <w:rPr>
                <w:rFonts w:ascii="宋体" w:hAnsi="宋体" w:cs="宋体"/>
              </w:rPr>
              <w:t>不新</w:t>
            </w:r>
            <w:r>
              <w:rPr>
                <w:rFonts w:hint="eastAsia"/>
                <w:color w:val="000000" w:themeColor="text1"/>
                <w14:textFill>
                  <w14:solidFill>
                    <w14:schemeClr w14:val="tx1"/>
                  </w14:solidFill>
                </w14:textFill>
              </w:rPr>
              <w:t>增员工，生活污水不新增。废水主要</w:t>
            </w:r>
            <w:r>
              <w:rPr>
                <w:rFonts w:hint="eastAsia"/>
                <w:color w:val="auto"/>
              </w:rPr>
              <w:t>为生产废水，主要包括软水制备废水，熟制废水，清洗废水、杀菌废水，冷却废水等，新鲜用水量</w:t>
            </w:r>
            <w:r>
              <w:rPr>
                <w:rFonts w:hint="eastAsia"/>
                <w:color w:val="auto"/>
                <w:highlight w:val="none"/>
              </w:rPr>
              <w:t>为</w:t>
            </w:r>
            <w:r>
              <w:rPr>
                <w:rFonts w:hint="eastAsia"/>
                <w:color w:val="auto"/>
                <w:highlight w:val="none"/>
                <w:lang w:val="en-US" w:eastAsia="zh-CN"/>
              </w:rPr>
              <w:t>8.7083</w:t>
            </w:r>
            <w:r>
              <w:rPr>
                <w:rFonts w:hint="eastAsia"/>
                <w:color w:val="auto"/>
                <w:highlight w:val="none"/>
              </w:rPr>
              <w:t>t/d，废水排放量为</w:t>
            </w:r>
            <w:r>
              <w:rPr>
                <w:rFonts w:hint="eastAsia"/>
                <w:color w:val="auto"/>
                <w:highlight w:val="none"/>
                <w:lang w:val="en-US" w:eastAsia="zh-CN"/>
              </w:rPr>
              <w:t>7.2833</w:t>
            </w:r>
            <w:r>
              <w:rPr>
                <w:rFonts w:hint="eastAsia"/>
                <w:color w:val="auto"/>
                <w:highlight w:val="none"/>
              </w:rPr>
              <w:t>t/d，具体水</w:t>
            </w:r>
            <w:r>
              <w:rPr>
                <w:rFonts w:hint="eastAsia"/>
                <w:color w:val="000000" w:themeColor="text1"/>
                <w:highlight w:val="none"/>
                <w14:textFill>
                  <w14:solidFill>
                    <w14:schemeClr w14:val="tx1"/>
                  </w14:solidFill>
                </w14:textFill>
              </w:rPr>
              <w:t>量分析如下。</w:t>
            </w:r>
          </w:p>
          <w:p w14:paraId="5F5BE312">
            <w:pPr>
              <w:spacing w:line="520" w:lineRule="exact"/>
              <w:ind w:firstLine="48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①</w:t>
            </w:r>
            <w:r>
              <w:rPr>
                <w:rFonts w:hint="eastAsia"/>
                <w:color w:val="000000" w:themeColor="text1"/>
                <w:highlight w:val="none"/>
                <w14:textFill>
                  <w14:solidFill>
                    <w14:schemeClr w14:val="tx1"/>
                  </w14:solidFill>
                </w14:textFill>
              </w:rPr>
              <w:t>生活污水</w:t>
            </w:r>
          </w:p>
          <w:p w14:paraId="1DBD5D51">
            <w:pPr>
              <w:spacing w:line="520" w:lineRule="exact"/>
              <w:ind w:firstLine="480" w:firstLineChars="200"/>
              <w:rPr>
                <w:color w:val="000000" w:themeColor="text1"/>
                <w14:textFill>
                  <w14:solidFill>
                    <w14:schemeClr w14:val="tx1"/>
                  </w14:solidFill>
                </w14:textFill>
              </w:rPr>
            </w:pPr>
            <w:r>
              <w:rPr>
                <w:rFonts w:hint="eastAsia"/>
                <w:color w:val="000000" w:themeColor="text1"/>
                <w:highlight w:val="none"/>
                <w14:textFill>
                  <w14:solidFill>
                    <w14:schemeClr w14:val="tx1"/>
                  </w14:solidFill>
                </w14:textFill>
              </w:rPr>
              <w:t>本项目员工30人，</w:t>
            </w: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班生产，每</w:t>
            </w:r>
            <w:r>
              <w:rPr>
                <w:rFonts w:hint="eastAsia"/>
                <w:color w:val="000000" w:themeColor="text1"/>
                <w14:textFill>
                  <w14:solidFill>
                    <w14:schemeClr w14:val="tx1"/>
                  </w14:solidFill>
                </w14:textFill>
              </w:rPr>
              <w:t>班8h，年工作300天，员工不在厂内食宿，生活用水量按30L/人 d计，则生活用水量为0.9m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/d（270m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/a），排放系数以0.8计，则生活污水排放量为0.72m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/d（216m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/a）。</w:t>
            </w:r>
          </w:p>
          <w:p w14:paraId="3B113F59">
            <w:pPr>
              <w:spacing w:line="520" w:lineRule="exact"/>
              <w:ind w:firstLine="480" w:firstLineChars="200"/>
              <w:rPr>
                <w:rFonts w:ascii="宋体" w:hAnsi="宋体" w:cs="宋体"/>
              </w:rPr>
            </w:pPr>
            <w:r>
              <w:rPr>
                <w:rFonts w:hint="eastAsia"/>
                <w:color w:val="000000" w:themeColor="text1"/>
                <w14:textFill>
                  <w14:solidFill>
                    <w14:schemeClr w14:val="tx1"/>
                  </w14:solidFill>
                </w14:textFill>
              </w:rPr>
              <w:t>②地面清</w:t>
            </w:r>
            <w:r>
              <w:rPr>
                <w:rFonts w:ascii="宋体" w:hAnsi="宋体" w:cs="宋体"/>
              </w:rPr>
              <w:t>洗水</w:t>
            </w:r>
          </w:p>
          <w:p w14:paraId="15560E85">
            <w:pPr>
              <w:pStyle w:val="11"/>
              <w:spacing w:line="520" w:lineRule="exact"/>
              <w:ind w:left="0" w:right="0" w:firstLine="480" w:firstLineChars="200"/>
              <w:rPr>
                <w:color w:val="auto"/>
              </w:rPr>
            </w:pPr>
            <w:r>
              <w:t>本项目车</w:t>
            </w:r>
            <w:r>
              <w:rPr>
                <w:color w:val="auto"/>
              </w:rPr>
              <w:t>间地面每</w:t>
            </w:r>
            <w:r>
              <w:rPr>
                <w:rFonts w:hint="eastAsia"/>
                <w:color w:val="auto"/>
                <w:lang w:val="en-US" w:eastAsia="zh-CN"/>
              </w:rPr>
              <w:t>两</w:t>
            </w:r>
            <w:r>
              <w:rPr>
                <w:color w:val="auto"/>
              </w:rPr>
              <w:t>天清洗</w:t>
            </w:r>
            <w:r>
              <w:rPr>
                <w:rFonts w:hint="eastAsia"/>
                <w:color w:val="auto"/>
                <w:lang w:val="en-US" w:eastAsia="zh-CN"/>
              </w:rPr>
              <w:t>一</w:t>
            </w:r>
            <w:r>
              <w:rPr>
                <w:color w:val="auto"/>
              </w:rPr>
              <w:t>次，清洗用水量按1L/m</w:t>
            </w:r>
            <w:r>
              <w:rPr>
                <w:color w:val="auto"/>
                <w:vertAlign w:val="superscript"/>
              </w:rPr>
              <w:t>2</w:t>
            </w:r>
            <w:r>
              <w:rPr>
                <w:color w:val="auto"/>
              </w:rPr>
              <w:t>/次核算，本项目车间需要清洗面积约120</w:t>
            </w:r>
            <w:r>
              <w:rPr>
                <w:rFonts w:hint="eastAsia"/>
                <w:color w:val="auto"/>
              </w:rPr>
              <w:t>0</w:t>
            </w:r>
            <w:r>
              <w:rPr>
                <w:color w:val="auto"/>
              </w:rPr>
              <w:t>m</w:t>
            </w:r>
            <w:r>
              <w:rPr>
                <w:color w:val="auto"/>
                <w:vertAlign w:val="superscript"/>
              </w:rPr>
              <w:t>2</w:t>
            </w:r>
            <w:r>
              <w:rPr>
                <w:color w:val="auto"/>
              </w:rPr>
              <w:t>，则用水量为</w:t>
            </w:r>
            <w:r>
              <w:rPr>
                <w:rFonts w:hint="eastAsia"/>
                <w:color w:val="auto"/>
                <w:lang w:val="en-US" w:eastAsia="zh-CN"/>
              </w:rPr>
              <w:t>0.6</w:t>
            </w:r>
            <w:r>
              <w:rPr>
                <w:color w:val="auto"/>
              </w:rPr>
              <w:t>m</w:t>
            </w:r>
            <w:r>
              <w:rPr>
                <w:color w:val="auto"/>
                <w:vertAlign w:val="superscript"/>
              </w:rPr>
              <w:t>3</w:t>
            </w:r>
            <w:r>
              <w:rPr>
                <w:color w:val="auto"/>
              </w:rPr>
              <w:t>/d（</w:t>
            </w:r>
            <w:r>
              <w:rPr>
                <w:rFonts w:hint="eastAsia"/>
                <w:color w:val="auto"/>
                <w:lang w:val="en-US" w:eastAsia="zh-CN"/>
              </w:rPr>
              <w:t>18</w:t>
            </w:r>
            <w:r>
              <w:rPr>
                <w:rFonts w:hint="eastAsia"/>
                <w:color w:val="auto"/>
              </w:rPr>
              <w:t>0</w:t>
            </w:r>
            <w:r>
              <w:rPr>
                <w:color w:val="auto"/>
              </w:rPr>
              <w:t>m</w:t>
            </w:r>
            <w:r>
              <w:rPr>
                <w:color w:val="auto"/>
                <w:vertAlign w:val="superscript"/>
              </w:rPr>
              <w:t>3</w:t>
            </w:r>
            <w:r>
              <w:rPr>
                <w:color w:val="auto"/>
              </w:rPr>
              <w:t>/a），排污系数按0.8计，废水产生量为</w:t>
            </w:r>
            <w:r>
              <w:rPr>
                <w:rFonts w:hint="eastAsia"/>
                <w:color w:val="auto"/>
                <w:lang w:val="en-US" w:eastAsia="zh-CN"/>
              </w:rPr>
              <w:t>0.48</w:t>
            </w:r>
            <w:r>
              <w:rPr>
                <w:color w:val="auto"/>
              </w:rPr>
              <w:t>m</w:t>
            </w:r>
            <w:r>
              <w:rPr>
                <w:color w:val="auto"/>
                <w:vertAlign w:val="superscript"/>
              </w:rPr>
              <w:t>3</w:t>
            </w:r>
            <w:r>
              <w:rPr>
                <w:color w:val="auto"/>
              </w:rPr>
              <w:t>/d（</w:t>
            </w:r>
            <w:r>
              <w:rPr>
                <w:rFonts w:hint="eastAsia"/>
                <w:color w:val="auto"/>
                <w:lang w:val="en-US" w:eastAsia="zh-CN"/>
              </w:rPr>
              <w:t>144</w:t>
            </w:r>
            <w:r>
              <w:rPr>
                <w:color w:val="auto"/>
              </w:rPr>
              <w:t>m</w:t>
            </w:r>
            <w:r>
              <w:rPr>
                <w:color w:val="auto"/>
                <w:vertAlign w:val="superscript"/>
              </w:rPr>
              <w:t>3</w:t>
            </w:r>
            <w:r>
              <w:rPr>
                <w:color w:val="auto"/>
              </w:rPr>
              <w:t>/a）。</w:t>
            </w:r>
          </w:p>
          <w:p w14:paraId="37591AA0">
            <w:pPr>
              <w:pStyle w:val="11"/>
              <w:spacing w:line="520" w:lineRule="exact"/>
              <w:ind w:left="480" w:leftChars="200" w:right="0" w:firstLine="0"/>
              <w:rPr>
                <w:color w:val="auto"/>
              </w:rPr>
            </w:pPr>
            <w:r>
              <w:rPr>
                <w:rFonts w:hint="eastAsia"/>
                <w:color w:val="auto"/>
              </w:rPr>
              <w:t>③设备清洗水</w:t>
            </w:r>
          </w:p>
          <w:p w14:paraId="115FB14A">
            <w:pPr>
              <w:pStyle w:val="11"/>
              <w:spacing w:line="520" w:lineRule="exact"/>
              <w:ind w:left="0" w:right="0" w:firstLine="480" w:firstLineChars="200"/>
              <w:rPr>
                <w:color w:val="auto"/>
              </w:rPr>
            </w:pPr>
            <w:r>
              <w:rPr>
                <w:color w:val="auto"/>
              </w:rPr>
              <w:t>本项目</w:t>
            </w:r>
            <w:r>
              <w:rPr>
                <w:rFonts w:hint="eastAsia"/>
                <w:color w:val="auto"/>
              </w:rPr>
              <w:t>洗菜机、拌料机、切菜机、蒸煮锅</w:t>
            </w:r>
            <w:r>
              <w:rPr>
                <w:color w:val="auto"/>
              </w:rPr>
              <w:t>等均需进行清洗，</w:t>
            </w:r>
            <w:r>
              <w:rPr>
                <w:rFonts w:hint="eastAsia"/>
                <w:color w:val="auto"/>
              </w:rPr>
              <w:t>类比现有工程</w:t>
            </w:r>
            <w:r>
              <w:rPr>
                <w:color w:val="auto"/>
              </w:rPr>
              <w:t>，清洗水用量约为</w:t>
            </w:r>
            <w:r>
              <w:rPr>
                <w:rFonts w:hint="eastAsia"/>
                <w:color w:val="auto"/>
                <w:lang w:val="en-US" w:eastAsia="zh-CN"/>
              </w:rPr>
              <w:t>2.4</w:t>
            </w:r>
            <w:r>
              <w:rPr>
                <w:color w:val="auto"/>
              </w:rPr>
              <w:t>m</w:t>
            </w:r>
            <w:r>
              <w:rPr>
                <w:color w:val="auto"/>
                <w:vertAlign w:val="superscript"/>
              </w:rPr>
              <w:t>3</w:t>
            </w:r>
            <w:r>
              <w:rPr>
                <w:color w:val="auto"/>
              </w:rPr>
              <w:t>/d（</w:t>
            </w:r>
            <w:r>
              <w:rPr>
                <w:rFonts w:hint="eastAsia"/>
                <w:color w:val="auto"/>
                <w:lang w:val="en-US" w:eastAsia="zh-CN"/>
              </w:rPr>
              <w:t>72</w:t>
            </w:r>
            <w:r>
              <w:rPr>
                <w:rFonts w:hint="eastAsia"/>
                <w:color w:val="auto"/>
              </w:rPr>
              <w:t>0</w:t>
            </w:r>
            <w:r>
              <w:rPr>
                <w:color w:val="auto"/>
              </w:rPr>
              <w:t>m</w:t>
            </w:r>
            <w:r>
              <w:rPr>
                <w:color w:val="auto"/>
                <w:vertAlign w:val="superscript"/>
              </w:rPr>
              <w:t>3</w:t>
            </w:r>
            <w:r>
              <w:rPr>
                <w:color w:val="auto"/>
              </w:rPr>
              <w:t>/a）</w:t>
            </w:r>
            <w:r>
              <w:rPr>
                <w:rFonts w:hint="eastAsia"/>
                <w:color w:val="auto"/>
              </w:rPr>
              <w:t>，损耗率为</w:t>
            </w:r>
            <w:r>
              <w:rPr>
                <w:rFonts w:hint="eastAsia"/>
                <w:color w:val="auto"/>
                <w:lang w:val="en-US" w:eastAsia="zh-CN"/>
              </w:rPr>
              <w:t>3</w:t>
            </w:r>
            <w:r>
              <w:rPr>
                <w:rFonts w:hint="eastAsia"/>
                <w:color w:val="auto"/>
              </w:rPr>
              <w:t>0%</w:t>
            </w:r>
            <w:r>
              <w:rPr>
                <w:color w:val="auto"/>
              </w:rPr>
              <w:t>，废水产生量为</w:t>
            </w:r>
            <w:r>
              <w:rPr>
                <w:rFonts w:hint="eastAsia"/>
                <w:color w:val="auto"/>
                <w:lang w:val="en-US" w:eastAsia="zh-CN"/>
              </w:rPr>
              <w:t>1.68</w:t>
            </w:r>
            <w:r>
              <w:rPr>
                <w:color w:val="auto"/>
              </w:rPr>
              <w:t>m</w:t>
            </w:r>
            <w:r>
              <w:rPr>
                <w:color w:val="auto"/>
                <w:vertAlign w:val="superscript"/>
              </w:rPr>
              <w:t>3</w:t>
            </w:r>
            <w:r>
              <w:rPr>
                <w:color w:val="auto"/>
              </w:rPr>
              <w:t>/d（</w:t>
            </w:r>
            <w:r>
              <w:rPr>
                <w:rFonts w:hint="eastAsia"/>
                <w:color w:val="auto"/>
                <w:lang w:val="en-US" w:eastAsia="zh-CN"/>
              </w:rPr>
              <w:t>504</w:t>
            </w:r>
            <w:r>
              <w:rPr>
                <w:color w:val="auto"/>
              </w:rPr>
              <w:t>m</w:t>
            </w:r>
            <w:r>
              <w:rPr>
                <w:color w:val="auto"/>
                <w:vertAlign w:val="superscript"/>
              </w:rPr>
              <w:t>3</w:t>
            </w:r>
            <w:r>
              <w:rPr>
                <w:color w:val="auto"/>
              </w:rPr>
              <w:t>/a）。</w:t>
            </w:r>
          </w:p>
          <w:p w14:paraId="28919483">
            <w:pPr>
              <w:pStyle w:val="11"/>
              <w:spacing w:line="520" w:lineRule="exact"/>
              <w:ind w:left="0" w:right="0" w:firstLine="480" w:firstLineChars="200"/>
              <w:rPr>
                <w:color w:val="auto"/>
              </w:rPr>
            </w:pPr>
            <w:r>
              <w:rPr>
                <w:rFonts w:hint="eastAsia"/>
                <w:color w:val="auto"/>
              </w:rPr>
              <w:t>④</w:t>
            </w:r>
            <w:r>
              <w:rPr>
                <w:rFonts w:hint="eastAsia"/>
                <w:color w:val="auto"/>
                <w:lang w:val="en-US" w:eastAsia="zh-CN"/>
              </w:rPr>
              <w:t>原料</w:t>
            </w:r>
            <w:r>
              <w:rPr>
                <w:rFonts w:hint="eastAsia"/>
                <w:color w:val="auto"/>
              </w:rPr>
              <w:t>清洗水：</w:t>
            </w:r>
            <w:r>
              <w:rPr>
                <w:color w:val="auto"/>
              </w:rPr>
              <w:t>本项目香菇、竹笋、鸡架需要清洗，需要清洗的原料量为445t/d，</w:t>
            </w:r>
            <w:r>
              <w:rPr>
                <w:rFonts w:hint="eastAsia"/>
                <w:color w:val="auto"/>
              </w:rPr>
              <w:t>类比</w:t>
            </w:r>
            <w:r>
              <w:rPr>
                <w:color w:val="auto"/>
              </w:rPr>
              <w:t>现有工程清洗水用量平均为1.</w:t>
            </w:r>
            <w:r>
              <w:rPr>
                <w:rFonts w:hint="eastAsia"/>
                <w:color w:val="auto"/>
                <w:lang w:val="en-US" w:eastAsia="zh-CN"/>
              </w:rPr>
              <w:t>0</w:t>
            </w:r>
            <w:r>
              <w:rPr>
                <w:color w:val="auto"/>
              </w:rPr>
              <w:t>L/公斤-原料，折合为</w:t>
            </w:r>
            <w:r>
              <w:rPr>
                <w:rFonts w:hint="eastAsia"/>
                <w:color w:val="auto"/>
                <w:lang w:val="en-US" w:eastAsia="zh-CN"/>
              </w:rPr>
              <w:t>1.4833</w:t>
            </w:r>
            <w:r>
              <w:rPr>
                <w:color w:val="auto"/>
              </w:rPr>
              <w:t>m</w:t>
            </w:r>
            <w:r>
              <w:rPr>
                <w:color w:val="auto"/>
                <w:vertAlign w:val="superscript"/>
              </w:rPr>
              <w:t>3</w:t>
            </w:r>
            <w:r>
              <w:rPr>
                <w:color w:val="auto"/>
              </w:rPr>
              <w:t>/d （</w:t>
            </w:r>
            <w:r>
              <w:rPr>
                <w:rFonts w:hint="eastAsia"/>
                <w:color w:val="auto"/>
                <w:lang w:val="en-US" w:eastAsia="zh-CN"/>
              </w:rPr>
              <w:t>445</w:t>
            </w:r>
            <w:r>
              <w:rPr>
                <w:color w:val="auto"/>
              </w:rPr>
              <w:t>m</w:t>
            </w:r>
            <w:r>
              <w:rPr>
                <w:color w:val="auto"/>
                <w:vertAlign w:val="superscript"/>
              </w:rPr>
              <w:t>3</w:t>
            </w:r>
            <w:r>
              <w:rPr>
                <w:color w:val="auto"/>
              </w:rPr>
              <w:t>/a）。产污系数以0.</w:t>
            </w:r>
            <w:r>
              <w:rPr>
                <w:rFonts w:hint="eastAsia"/>
                <w:color w:val="auto"/>
                <w:lang w:val="en-US" w:eastAsia="zh-CN"/>
              </w:rPr>
              <w:t>7</w:t>
            </w:r>
            <w:r>
              <w:rPr>
                <w:color w:val="auto"/>
              </w:rPr>
              <w:t>计，则清洗废水产生量为1.</w:t>
            </w:r>
            <w:r>
              <w:rPr>
                <w:rFonts w:hint="eastAsia"/>
                <w:color w:val="auto"/>
                <w:lang w:val="en-US" w:eastAsia="zh-CN"/>
              </w:rPr>
              <w:t>0383</w:t>
            </w:r>
            <w:r>
              <w:rPr>
                <w:color w:val="auto"/>
              </w:rPr>
              <w:t>m</w:t>
            </w:r>
            <w:r>
              <w:rPr>
                <w:color w:val="auto"/>
                <w:vertAlign w:val="superscript"/>
              </w:rPr>
              <w:t>3</w:t>
            </w:r>
            <w:r>
              <w:rPr>
                <w:color w:val="auto"/>
              </w:rPr>
              <w:t>/d（</w:t>
            </w:r>
            <w:r>
              <w:rPr>
                <w:rFonts w:hint="eastAsia"/>
                <w:color w:val="auto"/>
                <w:lang w:val="en-US" w:eastAsia="zh-CN"/>
              </w:rPr>
              <w:t>311.493</w:t>
            </w:r>
            <w:r>
              <w:rPr>
                <w:color w:val="auto"/>
              </w:rPr>
              <w:t>m</w:t>
            </w:r>
            <w:r>
              <w:rPr>
                <w:color w:val="auto"/>
                <w:vertAlign w:val="superscript"/>
              </w:rPr>
              <w:t>3</w:t>
            </w:r>
            <w:r>
              <w:rPr>
                <w:color w:val="auto"/>
              </w:rPr>
              <w:t>/a）。</w:t>
            </w:r>
          </w:p>
          <w:p w14:paraId="690F1765">
            <w:pPr>
              <w:pStyle w:val="11"/>
              <w:spacing w:line="520" w:lineRule="exact"/>
              <w:ind w:left="0" w:right="0" w:firstLine="480" w:firstLineChars="200"/>
              <w:rPr>
                <w:color w:val="auto"/>
              </w:rPr>
            </w:pPr>
            <w:r>
              <w:rPr>
                <w:rFonts w:hint="eastAsia"/>
                <w:color w:val="auto"/>
              </w:rPr>
              <w:fldChar w:fldCharType="begin"/>
            </w:r>
            <w:r>
              <w:rPr>
                <w:rFonts w:hint="eastAsia"/>
                <w:color w:val="auto"/>
              </w:rPr>
              <w:instrText xml:space="preserve"> = 5 \* GB3 \* MERGEFORMAT </w:instrText>
            </w:r>
            <w:r>
              <w:rPr>
                <w:rFonts w:hint="eastAsia"/>
                <w:color w:val="auto"/>
              </w:rPr>
              <w:fldChar w:fldCharType="separate"/>
            </w:r>
            <w:r>
              <w:rPr>
                <w:color w:val="auto"/>
              </w:rPr>
              <w:t>⑤</w:t>
            </w:r>
            <w:r>
              <w:rPr>
                <w:rFonts w:hint="eastAsia"/>
                <w:color w:val="auto"/>
              </w:rPr>
              <w:fldChar w:fldCharType="end"/>
            </w:r>
            <w:r>
              <w:rPr>
                <w:rFonts w:hint="eastAsia"/>
                <w:color w:val="auto"/>
              </w:rPr>
              <w:t>纯水制备</w:t>
            </w:r>
          </w:p>
          <w:p w14:paraId="2EFBC834">
            <w:pPr>
              <w:pStyle w:val="11"/>
              <w:spacing w:line="520" w:lineRule="exact"/>
              <w:ind w:left="0" w:right="0" w:firstLine="480" w:firstLineChars="200"/>
              <w:rPr>
                <w:color w:val="auto"/>
              </w:rPr>
            </w:pPr>
            <w:r>
              <w:rPr>
                <w:rFonts w:hint="eastAsia"/>
                <w:color w:val="auto"/>
              </w:rPr>
              <w:t>本项目纯水主要用于蒸汽发生器用水（蒸汽发生器产生的蒸汽主要用于：熟制用水、煮鸡汤用水、杀菌用水）、冷却用水。</w:t>
            </w:r>
          </w:p>
          <w:p w14:paraId="645AC59B">
            <w:pPr>
              <w:pStyle w:val="11"/>
              <w:spacing w:line="520" w:lineRule="exact"/>
              <w:ind w:left="0" w:right="0" w:firstLine="480" w:firstLineChars="200"/>
              <w:rPr>
                <w:color w:val="000000" w:themeColor="text1"/>
                <w14:textFill>
                  <w14:solidFill>
                    <w14:schemeClr w14:val="tx1"/>
                  </w14:solidFill>
                </w14:textFill>
              </w:rPr>
            </w:pPr>
            <w:r>
              <w:rPr>
                <w:rFonts w:hint="eastAsia"/>
                <w:color w:val="auto"/>
              </w:rPr>
              <w:t>a、蒸汽发生器用水：类比现有工程核算熟制过程用蒸汽量为</w:t>
            </w:r>
            <w:r>
              <w:rPr>
                <w:rFonts w:hint="eastAsia"/>
                <w:color w:val="auto"/>
                <w:lang w:val="en-US" w:eastAsia="zh-CN"/>
              </w:rPr>
              <w:t>1</w:t>
            </w:r>
            <w:r>
              <w:rPr>
                <w:rFonts w:hint="eastAsia"/>
                <w:color w:val="auto"/>
              </w:rPr>
              <w:t>.4t/d、煮鸡汤蒸汽量</w:t>
            </w:r>
            <w:r>
              <w:rPr>
                <w:rFonts w:hint="eastAsia"/>
                <w:color w:val="auto"/>
                <w:lang w:val="en-US" w:eastAsia="zh-CN"/>
              </w:rPr>
              <w:t>1</w:t>
            </w:r>
            <w:r>
              <w:rPr>
                <w:rFonts w:hint="eastAsia"/>
                <w:color w:val="auto"/>
              </w:rPr>
              <w:t>.1t/d、此过程采用蒸汽间接加热蒸煮锅，蒸汽间接加热后回用于蒸汽发生器用作补充水；杀菌过程用蒸汽量</w:t>
            </w:r>
            <w:r>
              <w:rPr>
                <w:rFonts w:hint="eastAsia"/>
                <w:color w:val="auto"/>
                <w:lang w:val="en-US" w:eastAsia="zh-CN"/>
              </w:rPr>
              <w:t>0.6</w:t>
            </w:r>
            <w:r>
              <w:rPr>
                <w:rFonts w:hint="eastAsia"/>
                <w:color w:val="auto"/>
              </w:rPr>
              <w:t>t/d，损耗量约10%，杀菌废水产生量</w:t>
            </w:r>
            <w:r>
              <w:rPr>
                <w:rFonts w:hint="eastAsia"/>
                <w:color w:val="auto"/>
                <w:lang w:val="en-US" w:eastAsia="zh-CN"/>
              </w:rPr>
              <w:t>0.54</w:t>
            </w:r>
            <w:r>
              <w:rPr>
                <w:rFonts w:hint="eastAsia"/>
                <w:color w:val="auto"/>
              </w:rPr>
              <w:t>t/d，排入厂区</w:t>
            </w:r>
            <w:r>
              <w:rPr>
                <w:rFonts w:hint="eastAsia"/>
                <w:color w:val="000000" w:themeColor="text1"/>
                <w14:textFill>
                  <w14:solidFill>
                    <w14:schemeClr w14:val="tx1"/>
                  </w14:solidFill>
                </w14:textFill>
              </w:rPr>
              <w:t>污水处理厂。</w:t>
            </w:r>
          </w:p>
          <w:p w14:paraId="5628CA74">
            <w:pPr>
              <w:pStyle w:val="11"/>
              <w:spacing w:line="520" w:lineRule="exact"/>
              <w:ind w:left="0" w:right="0" w:firstLine="480" w:firstLineChars="200"/>
              <w:rPr>
                <w:color w:val="auto"/>
              </w:rPr>
            </w:pPr>
            <w:r>
              <w:rPr>
                <w:rFonts w:hint="eastAsia"/>
                <w:color w:val="000000" w:themeColor="text1"/>
                <w:lang w:val="en-US" w:eastAsia="zh-CN"/>
                <w14:textFill>
                  <w14:solidFill>
                    <w14:schemeClr w14:val="tx1"/>
                  </w14:solidFill>
                </w14:textFill>
              </w:rPr>
              <w:t>b</w:t>
            </w:r>
            <w:r>
              <w:rPr>
                <w:rFonts w:hint="eastAsia"/>
                <w:color w:val="000000" w:themeColor="text1"/>
                <w14:textFill>
                  <w14:solidFill>
                    <w14:schemeClr w14:val="tx1"/>
                  </w14:solidFill>
                </w14:textFill>
              </w:rPr>
              <w:t>、冷却</w:t>
            </w:r>
            <w:r>
              <w:rPr>
                <w:rFonts w:hint="eastAsia"/>
                <w:color w:val="auto"/>
              </w:rPr>
              <w:t>水：类比现有工程，冷却水用量与产品质量的比值为0.3：1，本项目产品产能为1500t/a，冷却水用量为450t/a（1.5t/d），冷却过程水损耗为</w:t>
            </w:r>
            <w:r>
              <w:rPr>
                <w:rFonts w:hint="eastAsia"/>
                <w:color w:val="auto"/>
                <w:lang w:val="en-US" w:eastAsia="zh-CN"/>
              </w:rPr>
              <w:t>2</w:t>
            </w:r>
            <w:r>
              <w:rPr>
                <w:rFonts w:hint="eastAsia"/>
                <w:color w:val="auto"/>
              </w:rPr>
              <w:t>0%，则冷却废水排放量为1.</w:t>
            </w:r>
            <w:r>
              <w:rPr>
                <w:rFonts w:hint="eastAsia"/>
                <w:color w:val="auto"/>
                <w:lang w:val="en-US" w:eastAsia="zh-CN"/>
              </w:rPr>
              <w:t>2</w:t>
            </w:r>
            <w:r>
              <w:rPr>
                <w:rFonts w:hint="eastAsia"/>
                <w:color w:val="auto"/>
              </w:rPr>
              <w:t>t/d。</w:t>
            </w:r>
          </w:p>
          <w:p w14:paraId="470F0379">
            <w:pPr>
              <w:pStyle w:val="11"/>
              <w:spacing w:line="520" w:lineRule="exact"/>
              <w:ind w:left="0" w:right="0" w:firstLine="480" w:firstLineChars="200"/>
              <w:rPr>
                <w:color w:val="auto"/>
              </w:rPr>
            </w:pPr>
            <w:r>
              <w:rPr>
                <w:rFonts w:hint="eastAsia"/>
                <w:color w:val="auto"/>
                <w:lang w:val="en-US" w:eastAsia="zh-CN"/>
              </w:rPr>
              <w:t>c</w:t>
            </w:r>
            <w:r>
              <w:rPr>
                <w:rFonts w:hint="eastAsia"/>
                <w:color w:val="auto"/>
              </w:rPr>
              <w:t>、熟制水</w:t>
            </w:r>
          </w:p>
          <w:p w14:paraId="5891782D">
            <w:pPr>
              <w:pStyle w:val="11"/>
              <w:spacing w:line="520" w:lineRule="exact"/>
              <w:ind w:left="0" w:right="0" w:firstLine="480" w:firstLineChars="200"/>
              <w:rPr>
                <w:color w:val="auto"/>
              </w:rPr>
            </w:pPr>
            <w:r>
              <w:rPr>
                <w:rFonts w:hint="eastAsia"/>
                <w:color w:val="auto"/>
              </w:rPr>
              <w:t>类比现有工程面筋</w:t>
            </w:r>
            <w:r>
              <w:rPr>
                <w:rFonts w:hint="eastAsia"/>
                <w:color w:val="auto"/>
                <w:lang w:val="en-US" w:eastAsia="zh-CN"/>
              </w:rPr>
              <w:t>熟制</w:t>
            </w:r>
            <w:r>
              <w:rPr>
                <w:rFonts w:hint="eastAsia"/>
                <w:color w:val="auto"/>
              </w:rPr>
              <w:t>用水量与生面筋质量之比为</w:t>
            </w:r>
            <w:r>
              <w:rPr>
                <w:rFonts w:hint="eastAsia"/>
                <w:color w:val="auto"/>
                <w:lang w:val="en-US" w:eastAsia="zh-CN"/>
              </w:rPr>
              <w:t>0.5</w:t>
            </w:r>
            <w:r>
              <w:rPr>
                <w:rFonts w:hint="eastAsia"/>
                <w:color w:val="auto"/>
              </w:rPr>
              <w:t>：1，本项目生面筋</w:t>
            </w:r>
            <w:r>
              <w:rPr>
                <w:rFonts w:hint="eastAsia"/>
                <w:color w:val="auto"/>
                <w:lang w:val="en-US" w:eastAsia="zh-CN"/>
              </w:rPr>
              <w:t>用量</w:t>
            </w:r>
            <w:r>
              <w:rPr>
                <w:rFonts w:hint="eastAsia"/>
                <w:color w:val="auto"/>
              </w:rPr>
              <w:t>为1200t/a，则</w:t>
            </w:r>
            <w:r>
              <w:rPr>
                <w:rFonts w:hint="eastAsia"/>
                <w:color w:val="auto"/>
                <w:highlight w:val="none"/>
              </w:rPr>
              <w:t>面筋</w:t>
            </w:r>
            <w:r>
              <w:rPr>
                <w:rFonts w:hint="eastAsia"/>
                <w:color w:val="auto"/>
                <w:highlight w:val="none"/>
                <w:lang w:val="en-US" w:eastAsia="zh-CN"/>
              </w:rPr>
              <w:t>熟制</w:t>
            </w:r>
            <w:r>
              <w:rPr>
                <w:rFonts w:hint="eastAsia"/>
                <w:color w:val="auto"/>
                <w:highlight w:val="none"/>
              </w:rPr>
              <w:t>用水为</w:t>
            </w:r>
            <w:r>
              <w:rPr>
                <w:rFonts w:hint="eastAsia"/>
                <w:color w:val="auto"/>
                <w:highlight w:val="none"/>
                <w:lang w:val="en-US" w:eastAsia="zh-CN"/>
              </w:rPr>
              <w:t>600</w:t>
            </w:r>
            <w:r>
              <w:rPr>
                <w:rFonts w:hint="eastAsia"/>
                <w:color w:val="auto"/>
                <w:highlight w:val="none"/>
              </w:rPr>
              <w:t>t/a（</w:t>
            </w:r>
            <w:r>
              <w:rPr>
                <w:rFonts w:hint="eastAsia"/>
                <w:color w:val="auto"/>
                <w:highlight w:val="none"/>
                <w:lang w:val="en-US" w:eastAsia="zh-CN"/>
              </w:rPr>
              <w:t>2</w:t>
            </w:r>
            <w:r>
              <w:rPr>
                <w:rFonts w:hint="eastAsia"/>
                <w:color w:val="auto"/>
                <w:highlight w:val="none"/>
              </w:rPr>
              <w:t>t/d）</w:t>
            </w:r>
            <w:r>
              <w:rPr>
                <w:rFonts w:hint="eastAsia"/>
                <w:color w:val="auto"/>
              </w:rPr>
              <w:t>，生面筋含水率与面筋煮熟</w:t>
            </w:r>
            <w:r>
              <w:rPr>
                <w:rFonts w:hint="eastAsia"/>
                <w:color w:val="auto"/>
                <w:lang w:val="en-US" w:eastAsia="zh-CN"/>
              </w:rPr>
              <w:t>后</w:t>
            </w:r>
            <w:r>
              <w:rPr>
                <w:rFonts w:hint="eastAsia"/>
                <w:color w:val="auto"/>
              </w:rPr>
              <w:t>含水率</w:t>
            </w:r>
            <w:r>
              <w:rPr>
                <w:rFonts w:hint="eastAsia"/>
                <w:color w:val="auto"/>
                <w:lang w:val="en-US" w:eastAsia="zh-CN"/>
              </w:rPr>
              <w:t>均为6</w:t>
            </w:r>
            <w:r>
              <w:rPr>
                <w:rFonts w:hint="eastAsia"/>
                <w:color w:val="auto"/>
              </w:rPr>
              <w:t>0%，此处不再考虑面筋熟制含水率变化情况。熟制过程水损耗约</w:t>
            </w:r>
            <w:r>
              <w:rPr>
                <w:rFonts w:hint="eastAsia"/>
                <w:color w:val="auto"/>
                <w:lang w:val="en-US" w:eastAsia="zh-CN"/>
              </w:rPr>
              <w:t>60</w:t>
            </w:r>
            <w:r>
              <w:rPr>
                <w:rFonts w:hint="eastAsia"/>
                <w:color w:val="auto"/>
              </w:rPr>
              <w:t>%，则面筋熟制废水产生量为</w:t>
            </w:r>
            <w:r>
              <w:rPr>
                <w:rFonts w:hint="eastAsia"/>
                <w:color w:val="auto"/>
                <w:lang w:val="en-US" w:eastAsia="zh-CN"/>
              </w:rPr>
              <w:t>0.</w:t>
            </w:r>
            <w:r>
              <w:rPr>
                <w:rFonts w:hint="eastAsia"/>
                <w:color w:val="auto"/>
              </w:rPr>
              <w:t>8t/d。</w:t>
            </w:r>
          </w:p>
          <w:p w14:paraId="0835EAA6">
            <w:pPr>
              <w:pStyle w:val="11"/>
              <w:spacing w:line="520" w:lineRule="exact"/>
              <w:ind w:left="0" w:right="0" w:firstLine="480" w:firstLineChars="200"/>
              <w:rPr>
                <w:color w:val="auto"/>
              </w:rPr>
            </w:pPr>
            <w:r>
              <w:rPr>
                <w:rFonts w:hint="eastAsia"/>
                <w:color w:val="auto"/>
                <w:lang w:val="en-US" w:eastAsia="zh-CN"/>
              </w:rPr>
              <w:t>d</w:t>
            </w:r>
            <w:r>
              <w:rPr>
                <w:rFonts w:hint="eastAsia"/>
                <w:color w:val="auto"/>
              </w:rPr>
              <w:t>、煮鸡汤用水</w:t>
            </w:r>
          </w:p>
          <w:p w14:paraId="6A9D4D3E">
            <w:pPr>
              <w:pStyle w:val="11"/>
              <w:spacing w:line="520" w:lineRule="exact"/>
              <w:ind w:right="0"/>
              <w:rPr>
                <w:color w:val="auto"/>
              </w:rPr>
            </w:pPr>
            <w:r>
              <w:rPr>
                <w:rFonts w:hint="eastAsia"/>
                <w:color w:val="auto"/>
              </w:rPr>
              <w:t xml:space="preserve"> 类比现有工程煮鸡汤用水为0.6t/d，损耗量为10%，0.54t/d进入产品。</w:t>
            </w:r>
          </w:p>
          <w:p w14:paraId="50B986F4">
            <w:pPr>
              <w:pStyle w:val="11"/>
              <w:spacing w:line="520" w:lineRule="exact"/>
              <w:ind w:left="0" w:right="0" w:firstLine="480" w:firstLineChars="200"/>
              <w:rPr>
                <w:rFonts w:hint="eastAsia"/>
                <w:color w:val="auto"/>
              </w:rPr>
            </w:pPr>
            <w:r>
              <w:rPr>
                <w:rFonts w:hint="eastAsia"/>
                <w:color w:val="auto"/>
              </w:rPr>
              <w:t>以上用水均来自纯水制备的纯水，经核算所需纯水量为</w:t>
            </w:r>
            <w:r>
              <w:rPr>
                <w:rFonts w:hint="eastAsia"/>
                <w:color w:val="auto"/>
                <w:lang w:val="en-US" w:eastAsia="zh-CN"/>
              </w:rPr>
              <w:t>2.1</w:t>
            </w:r>
            <w:r>
              <w:rPr>
                <w:rFonts w:hint="eastAsia"/>
                <w:color w:val="auto"/>
              </w:rPr>
              <w:t>t/d，纯水与废水比率为4：1，则纯水制备废水产生量为</w:t>
            </w:r>
            <w:r>
              <w:rPr>
                <w:rFonts w:hint="eastAsia"/>
                <w:color w:val="auto"/>
                <w:lang w:val="en-US" w:eastAsia="zh-CN"/>
              </w:rPr>
              <w:t>0.525</w:t>
            </w:r>
            <w:r>
              <w:rPr>
                <w:rFonts w:hint="eastAsia"/>
                <w:color w:val="auto"/>
              </w:rPr>
              <w:t>t/d，纯水制备新鲜水用量为</w:t>
            </w:r>
            <w:r>
              <w:rPr>
                <w:rFonts w:hint="eastAsia"/>
                <w:color w:val="auto"/>
                <w:lang w:val="en-US" w:eastAsia="zh-CN"/>
              </w:rPr>
              <w:t>2.625</w:t>
            </w:r>
            <w:r>
              <w:rPr>
                <w:rFonts w:hint="eastAsia"/>
                <w:color w:val="auto"/>
              </w:rPr>
              <w:t>t/d。</w:t>
            </w:r>
          </w:p>
          <w:p w14:paraId="4FF7E437">
            <w:pPr>
              <w:pStyle w:val="11"/>
              <w:keepNext w:val="0"/>
              <w:keepLines w:val="0"/>
              <w:pageBreakBefore w:val="0"/>
              <w:widowControl w:val="0"/>
              <w:numPr>
                <w:ilvl w:val="0"/>
                <w:numId w:val="0"/>
              </w:numPr>
              <w:kinsoku/>
              <w:wordWrap/>
              <w:overflowPunct/>
              <w:topLinePunct w:val="0"/>
              <w:autoSpaceDE/>
              <w:autoSpaceDN/>
              <w:bidi w:val="0"/>
              <w:adjustRightInd/>
              <w:snapToGrid/>
              <w:ind w:leftChars="200" w:right="-510" w:rightChars="0"/>
              <w:textAlignment w:val="auto"/>
              <w:rPr>
                <w:rFonts w:hint="default"/>
                <w:color w:val="auto"/>
                <w:lang w:val="en-US" w:eastAsia="zh-CN"/>
              </w:rPr>
            </w:pPr>
            <w:r>
              <w:rPr>
                <w:rFonts w:hint="eastAsia" w:ascii="微软雅黑" w:hAnsi="微软雅黑" w:eastAsia="微软雅黑" w:cs="微软雅黑"/>
                <w:color w:val="auto"/>
                <w:lang w:val="en-US" w:eastAsia="zh-CN"/>
              </w:rPr>
              <w:t>⑥</w:t>
            </w:r>
            <w:r>
              <w:rPr>
                <w:rFonts w:hint="eastAsia"/>
                <w:color w:val="auto"/>
                <w:lang w:val="en-US" w:eastAsia="zh-CN"/>
              </w:rPr>
              <w:t>杀菌后清洗用水</w:t>
            </w:r>
          </w:p>
          <w:p w14:paraId="36408791">
            <w:pPr>
              <w:spacing w:line="460" w:lineRule="exact"/>
              <w:ind w:firstLine="480" w:firstLineChars="200"/>
              <w:rPr>
                <w:rFonts w:hint="eastAsia"/>
                <w:color w:val="auto"/>
                <w:highlight w:val="none"/>
              </w:rPr>
            </w:pPr>
            <w:r>
              <w:rPr>
                <w:rFonts w:hint="eastAsia"/>
                <w:color w:val="auto"/>
                <w:highlight w:val="none"/>
                <w:lang w:val="en-US" w:eastAsia="zh-CN"/>
              </w:rPr>
              <w:t>杀菌后</w:t>
            </w:r>
            <w:r>
              <w:rPr>
                <w:rFonts w:hint="eastAsia"/>
                <w:color w:val="auto"/>
                <w:highlight w:val="none"/>
              </w:rPr>
              <w:t>产品外包装上含有残留的油渍，需</w:t>
            </w:r>
            <w:r>
              <w:rPr>
                <w:rFonts w:hint="eastAsia"/>
                <w:color w:val="auto"/>
                <w:highlight w:val="none"/>
                <w:lang w:val="en-US" w:eastAsia="zh-CN"/>
              </w:rPr>
              <w:t>在清洗线</w:t>
            </w:r>
            <w:r>
              <w:rPr>
                <w:rFonts w:hint="eastAsia"/>
                <w:color w:val="auto"/>
                <w:highlight w:val="none"/>
              </w:rPr>
              <w:t>进行除油清洗</w:t>
            </w:r>
            <w:r>
              <w:rPr>
                <w:rFonts w:hint="eastAsia"/>
                <w:color w:val="auto"/>
                <w:highlight w:val="none"/>
                <w:lang w:eastAsia="zh-CN"/>
              </w:rPr>
              <w:t>，</w:t>
            </w:r>
            <w:r>
              <w:rPr>
                <w:rFonts w:hint="eastAsia"/>
                <w:color w:val="auto"/>
                <w:highlight w:val="none"/>
              </w:rPr>
              <w:t>清洗废水</w:t>
            </w:r>
            <w:r>
              <w:rPr>
                <w:rFonts w:hint="eastAsia"/>
                <w:color w:val="auto"/>
                <w:highlight w:val="none"/>
                <w:lang w:val="en-US" w:eastAsia="zh-CN"/>
              </w:rPr>
              <w:t>循环使用，由于损耗补充新鲜水，同时为确保清洗水水质定期外排。清洗线循环水量为5m</w:t>
            </w:r>
            <w:r>
              <w:rPr>
                <w:rFonts w:hint="eastAsia"/>
                <w:color w:val="auto"/>
                <w:highlight w:val="none"/>
                <w:vertAlign w:val="superscript"/>
                <w:lang w:val="en-US" w:eastAsia="zh-CN"/>
              </w:rPr>
              <w:t>3</w:t>
            </w:r>
            <w:r>
              <w:rPr>
                <w:rFonts w:hint="eastAsia"/>
                <w:color w:val="auto"/>
                <w:highlight w:val="none"/>
                <w:lang w:val="en-US" w:eastAsia="zh-CN"/>
              </w:rPr>
              <w:t>/h（40m</w:t>
            </w:r>
            <w:r>
              <w:rPr>
                <w:rFonts w:hint="eastAsia"/>
                <w:color w:val="auto"/>
                <w:highlight w:val="none"/>
                <w:vertAlign w:val="superscript"/>
                <w:lang w:val="en-US" w:eastAsia="zh-CN"/>
              </w:rPr>
              <w:t>3</w:t>
            </w:r>
            <w:r>
              <w:rPr>
                <w:rFonts w:hint="eastAsia"/>
                <w:color w:val="auto"/>
                <w:highlight w:val="none"/>
                <w:lang w:val="en-US" w:eastAsia="zh-CN"/>
              </w:rPr>
              <w:t>/d），损耗量以循环水量1%计，则损耗量为0.4m</w:t>
            </w:r>
            <w:r>
              <w:rPr>
                <w:rFonts w:hint="eastAsia"/>
                <w:color w:val="auto"/>
                <w:highlight w:val="none"/>
                <w:vertAlign w:val="superscript"/>
                <w:lang w:val="en-US" w:eastAsia="zh-CN"/>
              </w:rPr>
              <w:t>3</w:t>
            </w:r>
            <w:r>
              <w:rPr>
                <w:rFonts w:hint="eastAsia"/>
                <w:color w:val="auto"/>
                <w:highlight w:val="none"/>
                <w:lang w:val="en-US" w:eastAsia="zh-CN"/>
              </w:rPr>
              <w:t>/d。清洗线循环水槽水量为4.5m</w:t>
            </w:r>
            <w:r>
              <w:rPr>
                <w:rFonts w:hint="eastAsia"/>
                <w:color w:val="auto"/>
                <w:highlight w:val="none"/>
                <w:vertAlign w:val="superscript"/>
                <w:lang w:val="en-US" w:eastAsia="zh-CN"/>
              </w:rPr>
              <w:t>3</w:t>
            </w:r>
            <w:r>
              <w:rPr>
                <w:rFonts w:hint="eastAsia"/>
                <w:color w:val="auto"/>
                <w:highlight w:val="none"/>
                <w:lang w:val="en-US" w:eastAsia="zh-CN"/>
              </w:rPr>
              <w:t>，半个月外排一次，则外排清洗废水量为0.3m</w:t>
            </w:r>
            <w:r>
              <w:rPr>
                <w:rFonts w:hint="eastAsia"/>
                <w:color w:val="auto"/>
                <w:highlight w:val="none"/>
                <w:vertAlign w:val="superscript"/>
                <w:lang w:val="en-US" w:eastAsia="zh-CN"/>
              </w:rPr>
              <w:t>3</w:t>
            </w:r>
            <w:r>
              <w:rPr>
                <w:rFonts w:hint="eastAsia"/>
                <w:color w:val="auto"/>
                <w:highlight w:val="none"/>
                <w:lang w:val="en-US" w:eastAsia="zh-CN"/>
              </w:rPr>
              <w:t>/d。</w:t>
            </w:r>
          </w:p>
          <w:p w14:paraId="2C7B22EE">
            <w:pPr>
              <w:pStyle w:val="11"/>
              <w:numPr>
                <w:ilvl w:val="0"/>
                <w:numId w:val="11"/>
              </w:numPr>
              <w:spacing w:line="520" w:lineRule="exact"/>
              <w:ind w:left="0" w:right="0" w:firstLine="480" w:firstLineChars="200"/>
              <w:rPr>
                <w:color w:val="auto"/>
              </w:rPr>
            </w:pPr>
            <w:r>
              <w:rPr>
                <w:rFonts w:hint="eastAsia"/>
                <w:color w:val="auto"/>
              </w:rPr>
              <w:t>水质分析</w:t>
            </w:r>
          </w:p>
          <w:p w14:paraId="7AE05894">
            <w:pPr>
              <w:pStyle w:val="11"/>
              <w:spacing w:line="520" w:lineRule="exact"/>
              <w:ind w:left="0" w:right="0" w:firstLine="480" w:firstLineChars="200"/>
              <w:rPr>
                <w:color w:val="000000" w:themeColor="text1"/>
                <w14:textFill>
                  <w14:solidFill>
                    <w14:schemeClr w14:val="tx1"/>
                  </w14:solidFill>
                </w14:textFill>
              </w:rPr>
            </w:pPr>
            <w:r>
              <w:rPr>
                <w:rFonts w:hint="eastAsia"/>
                <w:color w:val="auto"/>
              </w:rPr>
              <w:t>本项目废水混合后经厂区污水处理站处理，处理工艺为“隔油池+水解酸化+气浮+厌氧+好氧+曝气+沉淀+清水池”，设计处理规模：</w:t>
            </w:r>
            <w:r>
              <w:rPr>
                <w:rFonts w:hint="eastAsia"/>
                <w:color w:val="auto"/>
                <w:lang w:val="en-US" w:eastAsia="zh-CN"/>
              </w:rPr>
              <w:t>2</w:t>
            </w:r>
            <w:r>
              <w:rPr>
                <w:rFonts w:hint="eastAsia"/>
                <w:color w:val="auto"/>
              </w:rPr>
              <w:t>0m</w:t>
            </w:r>
            <w:r>
              <w:rPr>
                <w:rFonts w:hint="eastAsia"/>
                <w:color w:val="auto"/>
                <w:vertAlign w:val="superscript"/>
              </w:rPr>
              <w:t>3</w:t>
            </w:r>
            <w:r>
              <w:rPr>
                <w:rFonts w:hint="eastAsia"/>
                <w:color w:val="auto"/>
              </w:rPr>
              <w:t>/d；由于本项目对现有</w:t>
            </w:r>
            <w:r>
              <w:rPr>
                <w:rFonts w:hint="eastAsia"/>
                <w:color w:val="000000" w:themeColor="text1"/>
                <w14:textFill>
                  <w14:solidFill>
                    <w14:schemeClr w14:val="tx1"/>
                  </w14:solidFill>
                </w14:textFill>
              </w:rPr>
              <w:t>工程进行改建，主要产品产能、生产工艺跟现有基本相同，且污水处理站依托现有污水处理设施，具有可比性，根据河南朝东食品有限公司自行监测数据（</w:t>
            </w:r>
            <w:r>
              <w:rPr>
                <w:rFonts w:hint="eastAsia"/>
              </w:rPr>
              <w:t>报告日期：2025.09.04，</w:t>
            </w:r>
            <w:r>
              <w:rPr>
                <w:rFonts w:hint="eastAsia"/>
                <w:color w:val="000000" w:themeColor="text1"/>
                <w14:textFill>
                  <w14:solidFill>
                    <w14:schemeClr w14:val="tx1"/>
                  </w14:solidFill>
                </w14:textFill>
              </w:rPr>
              <w:t>报告编号：PY2508042）厂区总排口污染物排放浓度为pH7.1、悬浮物10mg/L</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13mg/L、BOD</w:t>
            </w:r>
            <w:r>
              <w:rPr>
                <w:rFonts w:hint="eastAsia"/>
                <w:color w:val="000000" w:themeColor="text1"/>
                <w:vertAlign w:val="subscript"/>
                <w14:textFill>
                  <w14:solidFill>
                    <w14:schemeClr w14:val="tx1"/>
                  </w14:solidFill>
                </w14:textFill>
              </w:rPr>
              <w:t>5</w:t>
            </w:r>
            <w:r>
              <w:rPr>
                <w:rFonts w:hint="eastAsia"/>
                <w:color w:val="000000" w:themeColor="text1"/>
                <w14:textFill>
                  <w14:solidFill>
                    <w14:schemeClr w14:val="tx1"/>
                  </w14:solidFill>
                </w14:textFill>
              </w:rPr>
              <w:t>5.5mg/L</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5.9mg/L、COD21mg/L</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25mg/L、氨氮0.110mg/L</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0.147mg/L、TP0.13mg/L</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0.14mg/L、动植物油0.90mg/L</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0.94mg/L。根据污水治理设施设计污染物处理效率COD处理效率96%、BOD</w:t>
            </w:r>
            <w:r>
              <w:rPr>
                <w:rFonts w:hint="eastAsia"/>
                <w:color w:val="000000" w:themeColor="text1"/>
                <w:vertAlign w:val="subscript"/>
                <w14:textFill>
                  <w14:solidFill>
                    <w14:schemeClr w14:val="tx1"/>
                  </w14:solidFill>
                </w14:textFill>
              </w:rPr>
              <w:t>5</w:t>
            </w:r>
            <w:r>
              <w:rPr>
                <w:rFonts w:hint="eastAsia"/>
                <w:color w:val="000000" w:themeColor="text1"/>
                <w14:textFill>
                  <w14:solidFill>
                    <w14:schemeClr w14:val="tx1"/>
                  </w14:solidFill>
                </w14:textFill>
              </w:rPr>
              <w:t>处理效率99%、SS处理效率98%、氨氮处理效率70%、总磷处理效率60%、动植物油处理效率99.2%。以自行监测数据厂区总排口各污染物最大浓度核算各污染物产生浓度如下：悬浮物650mg/L、BOD</w:t>
            </w:r>
            <w:r>
              <w:rPr>
                <w:rFonts w:hint="eastAsia"/>
                <w:color w:val="000000" w:themeColor="text1"/>
                <w:vertAlign w:val="subscript"/>
                <w14:textFill>
                  <w14:solidFill>
                    <w14:schemeClr w14:val="tx1"/>
                  </w14:solidFill>
                </w14:textFill>
              </w:rPr>
              <w:t>5</w:t>
            </w:r>
            <w:r>
              <w:rPr>
                <w:rFonts w:hint="eastAsia"/>
                <w:color w:val="000000" w:themeColor="text1"/>
                <w14:textFill>
                  <w14:solidFill>
                    <w14:schemeClr w14:val="tx1"/>
                  </w14:solidFill>
                </w14:textFill>
              </w:rPr>
              <w:t>590mg/L、COD625mg/L、氨氮0.49mg/L、TP0.35mg/L、动植物油117.5mg/L。</w:t>
            </w:r>
          </w:p>
          <w:p w14:paraId="2DCC7703">
            <w:pPr>
              <w:pStyle w:val="11"/>
              <w:numPr>
                <w:ilvl w:val="0"/>
                <w:numId w:val="11"/>
              </w:numPr>
              <w:spacing w:line="520" w:lineRule="exact"/>
              <w:ind w:left="0" w:right="0"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废水产排及达标分析</w:t>
            </w:r>
          </w:p>
          <w:p w14:paraId="22EACA1B">
            <w:pPr>
              <w:pStyle w:val="11"/>
              <w:spacing w:line="520" w:lineRule="exact"/>
              <w:ind w:left="480" w:leftChars="200" w:right="0"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本项目废水产排情况如下表所示。</w:t>
            </w:r>
          </w:p>
          <w:p w14:paraId="77C5C598">
            <w:pPr>
              <w:pStyle w:val="33"/>
              <w:ind w:firstLine="480"/>
              <w:rPr>
                <w:color w:val="000000" w:themeColor="text1"/>
                <w14:textFill>
                  <w14:solidFill>
                    <w14:schemeClr w14:val="tx1"/>
                  </w14:solidFill>
                </w14:textFill>
              </w:rPr>
            </w:pPr>
            <w:r>
              <w:rPr>
                <w:rFonts w:hint="eastAsia" w:ascii="黑体" w:hAnsi="黑体" w:eastAsia="黑体" w:cs="黑体"/>
                <w:szCs w:val="24"/>
              </w:rPr>
              <w:t>表4-1              本项目</w:t>
            </w:r>
            <w:r>
              <w:rPr>
                <w:rFonts w:hint="eastAsia" w:ascii="黑体" w:hAnsi="黑体" w:eastAsia="黑体" w:cs="黑体"/>
                <w:color w:val="000000" w:themeColor="text1"/>
                <w:szCs w:val="24"/>
                <w14:textFill>
                  <w14:solidFill>
                    <w14:schemeClr w14:val="tx1"/>
                  </w14:solidFill>
                </w14:textFill>
              </w:rPr>
              <w:t>废水</w:t>
            </w:r>
            <w:r>
              <w:rPr>
                <w:rFonts w:hint="eastAsia" w:ascii="黑体" w:hAnsi="黑体" w:eastAsia="黑体" w:cs="黑体"/>
                <w:szCs w:val="24"/>
              </w:rPr>
              <w:t>产生情况一览表</w:t>
            </w:r>
          </w:p>
          <w:tbl>
            <w:tblPr>
              <w:tblStyle w:val="19"/>
              <w:tblW w:w="88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927"/>
              <w:gridCol w:w="859"/>
              <w:gridCol w:w="791"/>
              <w:gridCol w:w="981"/>
              <w:gridCol w:w="846"/>
              <w:gridCol w:w="818"/>
              <w:gridCol w:w="696"/>
              <w:gridCol w:w="767"/>
            </w:tblGrid>
            <w:tr w14:paraId="1C01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 w:hRule="atLeast"/>
              </w:trPr>
              <w:tc>
                <w:tcPr>
                  <w:tcW w:w="2117" w:type="dxa"/>
                  <w:vMerge w:val="restart"/>
                  <w:vAlign w:val="center"/>
                </w:tcPr>
                <w:p w14:paraId="7A38C23A">
                  <w:pPr>
                    <w:pStyle w:val="11"/>
                    <w:spacing w:line="240" w:lineRule="exact"/>
                    <w:ind w:left="0" w:right="0" w:firstLine="0"/>
                    <w:jc w:val="center"/>
                    <w:rPr>
                      <w:b/>
                      <w:bCs/>
                      <w:sz w:val="21"/>
                      <w:szCs w:val="21"/>
                    </w:rPr>
                  </w:pPr>
                  <w:r>
                    <w:rPr>
                      <w:b/>
                      <w:bCs/>
                      <w:sz w:val="21"/>
                      <w:szCs w:val="21"/>
                    </w:rPr>
                    <w:t>废水种类</w:t>
                  </w:r>
                </w:p>
              </w:tc>
              <w:tc>
                <w:tcPr>
                  <w:tcW w:w="927" w:type="dxa"/>
                  <w:vMerge w:val="restart"/>
                  <w:vAlign w:val="center"/>
                </w:tcPr>
                <w:p w14:paraId="1FD42E06">
                  <w:pPr>
                    <w:pStyle w:val="11"/>
                    <w:spacing w:line="240" w:lineRule="exact"/>
                    <w:ind w:left="0" w:right="0" w:firstLine="0"/>
                    <w:jc w:val="center"/>
                    <w:rPr>
                      <w:b/>
                      <w:bCs/>
                      <w:sz w:val="21"/>
                      <w:szCs w:val="21"/>
                    </w:rPr>
                  </w:pPr>
                  <w:r>
                    <w:rPr>
                      <w:b/>
                      <w:bCs/>
                      <w:sz w:val="21"/>
                      <w:szCs w:val="21"/>
                    </w:rPr>
                    <w:t>废水量 （t/d）</w:t>
                  </w:r>
                </w:p>
              </w:tc>
              <w:tc>
                <w:tcPr>
                  <w:tcW w:w="5758" w:type="dxa"/>
                  <w:gridSpan w:val="7"/>
                  <w:vAlign w:val="center"/>
                </w:tcPr>
                <w:p w14:paraId="339C3E6F">
                  <w:pPr>
                    <w:pStyle w:val="11"/>
                    <w:spacing w:line="240" w:lineRule="exact"/>
                    <w:ind w:left="0" w:right="0" w:firstLine="0"/>
                    <w:jc w:val="center"/>
                    <w:rPr>
                      <w:b/>
                      <w:bCs/>
                      <w:sz w:val="21"/>
                      <w:szCs w:val="21"/>
                    </w:rPr>
                  </w:pPr>
                  <w:r>
                    <w:rPr>
                      <w:rFonts w:hint="eastAsia"/>
                      <w:b/>
                      <w:bCs/>
                      <w:sz w:val="21"/>
                      <w:szCs w:val="21"/>
                    </w:rPr>
                    <w:t>污染物浓度（mgL）</w:t>
                  </w:r>
                </w:p>
              </w:tc>
            </w:tr>
            <w:tr w14:paraId="5153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2117" w:type="dxa"/>
                  <w:vMerge w:val="continue"/>
                  <w:vAlign w:val="center"/>
                </w:tcPr>
                <w:p w14:paraId="67E722CF">
                  <w:pPr>
                    <w:pStyle w:val="11"/>
                    <w:spacing w:line="240" w:lineRule="exact"/>
                    <w:ind w:left="0" w:right="0" w:firstLine="0"/>
                    <w:jc w:val="center"/>
                    <w:rPr>
                      <w:b/>
                      <w:bCs/>
                      <w:sz w:val="21"/>
                      <w:szCs w:val="21"/>
                    </w:rPr>
                  </w:pPr>
                </w:p>
              </w:tc>
              <w:tc>
                <w:tcPr>
                  <w:tcW w:w="927" w:type="dxa"/>
                  <w:vMerge w:val="continue"/>
                  <w:vAlign w:val="center"/>
                </w:tcPr>
                <w:p w14:paraId="042EF5CD">
                  <w:pPr>
                    <w:pStyle w:val="11"/>
                    <w:spacing w:line="240" w:lineRule="exact"/>
                    <w:ind w:left="0" w:right="0" w:firstLine="0"/>
                    <w:jc w:val="center"/>
                    <w:rPr>
                      <w:b/>
                      <w:bCs/>
                      <w:sz w:val="21"/>
                      <w:szCs w:val="21"/>
                    </w:rPr>
                  </w:pPr>
                </w:p>
              </w:tc>
              <w:tc>
                <w:tcPr>
                  <w:tcW w:w="859" w:type="dxa"/>
                  <w:vAlign w:val="center"/>
                </w:tcPr>
                <w:p w14:paraId="74023B68">
                  <w:pPr>
                    <w:pStyle w:val="11"/>
                    <w:spacing w:line="240" w:lineRule="exact"/>
                    <w:ind w:left="0" w:right="0" w:firstLine="0"/>
                    <w:jc w:val="center"/>
                    <w:rPr>
                      <w:b/>
                      <w:bCs/>
                      <w:sz w:val="21"/>
                      <w:szCs w:val="21"/>
                    </w:rPr>
                  </w:pPr>
                  <w:r>
                    <w:rPr>
                      <w:b/>
                      <w:bCs/>
                      <w:sz w:val="21"/>
                      <w:szCs w:val="21"/>
                    </w:rPr>
                    <w:t>pH</w:t>
                  </w:r>
                </w:p>
              </w:tc>
              <w:tc>
                <w:tcPr>
                  <w:tcW w:w="791" w:type="dxa"/>
                  <w:vAlign w:val="center"/>
                </w:tcPr>
                <w:p w14:paraId="61CC238A">
                  <w:pPr>
                    <w:pStyle w:val="11"/>
                    <w:spacing w:line="240" w:lineRule="exact"/>
                    <w:ind w:left="0" w:right="0" w:firstLine="0"/>
                    <w:jc w:val="center"/>
                    <w:rPr>
                      <w:b/>
                      <w:bCs/>
                      <w:sz w:val="21"/>
                      <w:szCs w:val="21"/>
                    </w:rPr>
                  </w:pPr>
                  <w:r>
                    <w:rPr>
                      <w:b/>
                      <w:bCs/>
                      <w:sz w:val="21"/>
                      <w:szCs w:val="21"/>
                    </w:rPr>
                    <w:t>COD</w:t>
                  </w:r>
                </w:p>
              </w:tc>
              <w:tc>
                <w:tcPr>
                  <w:tcW w:w="981" w:type="dxa"/>
                  <w:vAlign w:val="center"/>
                </w:tcPr>
                <w:p w14:paraId="17A75AAD">
                  <w:pPr>
                    <w:pStyle w:val="11"/>
                    <w:spacing w:line="240" w:lineRule="exact"/>
                    <w:ind w:left="0" w:right="0" w:firstLine="0"/>
                    <w:jc w:val="center"/>
                    <w:rPr>
                      <w:b/>
                      <w:bCs/>
                      <w:sz w:val="21"/>
                      <w:szCs w:val="21"/>
                    </w:rPr>
                  </w:pPr>
                  <w:r>
                    <w:rPr>
                      <w:b/>
                      <w:bCs/>
                      <w:sz w:val="21"/>
                      <w:szCs w:val="21"/>
                    </w:rPr>
                    <w:t>NH</w:t>
                  </w:r>
                  <w:r>
                    <w:rPr>
                      <w:b/>
                      <w:bCs/>
                      <w:sz w:val="21"/>
                      <w:szCs w:val="21"/>
                      <w:vertAlign w:val="subscript"/>
                    </w:rPr>
                    <w:t>3</w:t>
                  </w:r>
                  <w:r>
                    <w:rPr>
                      <w:b/>
                      <w:bCs/>
                      <w:sz w:val="21"/>
                      <w:szCs w:val="21"/>
                    </w:rPr>
                    <w:t>-N</w:t>
                  </w:r>
                </w:p>
              </w:tc>
              <w:tc>
                <w:tcPr>
                  <w:tcW w:w="846" w:type="dxa"/>
                  <w:vAlign w:val="center"/>
                </w:tcPr>
                <w:p w14:paraId="4736D907">
                  <w:pPr>
                    <w:pStyle w:val="11"/>
                    <w:spacing w:line="240" w:lineRule="exact"/>
                    <w:ind w:left="0" w:right="0" w:firstLine="0"/>
                    <w:jc w:val="center"/>
                    <w:rPr>
                      <w:b/>
                      <w:bCs/>
                      <w:sz w:val="21"/>
                      <w:szCs w:val="21"/>
                    </w:rPr>
                  </w:pPr>
                  <w:r>
                    <w:rPr>
                      <w:b/>
                      <w:bCs/>
                      <w:sz w:val="21"/>
                      <w:szCs w:val="21"/>
                    </w:rPr>
                    <w:t>SS</w:t>
                  </w:r>
                </w:p>
              </w:tc>
              <w:tc>
                <w:tcPr>
                  <w:tcW w:w="818" w:type="dxa"/>
                  <w:vAlign w:val="center"/>
                </w:tcPr>
                <w:p w14:paraId="4B3C1BE0">
                  <w:pPr>
                    <w:pStyle w:val="11"/>
                    <w:spacing w:line="240" w:lineRule="exact"/>
                    <w:ind w:left="0" w:right="0" w:firstLine="0"/>
                    <w:jc w:val="center"/>
                    <w:rPr>
                      <w:b/>
                      <w:bCs/>
                      <w:sz w:val="21"/>
                      <w:szCs w:val="21"/>
                    </w:rPr>
                  </w:pPr>
                  <w:r>
                    <w:rPr>
                      <w:b/>
                      <w:bCs/>
                      <w:sz w:val="21"/>
                      <w:szCs w:val="21"/>
                    </w:rPr>
                    <w:t>BOD</w:t>
                  </w:r>
                  <w:r>
                    <w:rPr>
                      <w:b/>
                      <w:bCs/>
                      <w:sz w:val="21"/>
                      <w:szCs w:val="21"/>
                      <w:vertAlign w:val="subscript"/>
                    </w:rPr>
                    <w:t>5</w:t>
                  </w:r>
                </w:p>
              </w:tc>
              <w:tc>
                <w:tcPr>
                  <w:tcW w:w="696" w:type="dxa"/>
                  <w:vAlign w:val="center"/>
                </w:tcPr>
                <w:p w14:paraId="17DBBC34">
                  <w:pPr>
                    <w:pStyle w:val="11"/>
                    <w:spacing w:line="240" w:lineRule="exact"/>
                    <w:ind w:left="0" w:right="0" w:firstLine="0"/>
                    <w:jc w:val="center"/>
                    <w:rPr>
                      <w:b/>
                      <w:bCs/>
                      <w:sz w:val="21"/>
                      <w:szCs w:val="21"/>
                    </w:rPr>
                  </w:pPr>
                  <w:r>
                    <w:rPr>
                      <w:b/>
                      <w:bCs/>
                      <w:sz w:val="21"/>
                      <w:szCs w:val="21"/>
                    </w:rPr>
                    <w:t>TP</w:t>
                  </w:r>
                </w:p>
              </w:tc>
              <w:tc>
                <w:tcPr>
                  <w:tcW w:w="767" w:type="dxa"/>
                  <w:vAlign w:val="center"/>
                </w:tcPr>
                <w:p w14:paraId="6A481C1E">
                  <w:pPr>
                    <w:pStyle w:val="11"/>
                    <w:spacing w:line="240" w:lineRule="exact"/>
                    <w:ind w:left="0" w:right="0" w:firstLine="0"/>
                    <w:jc w:val="center"/>
                    <w:rPr>
                      <w:b/>
                      <w:bCs/>
                      <w:sz w:val="21"/>
                      <w:szCs w:val="21"/>
                    </w:rPr>
                  </w:pPr>
                  <w:r>
                    <w:rPr>
                      <w:b/>
                      <w:bCs/>
                      <w:sz w:val="21"/>
                      <w:szCs w:val="21"/>
                    </w:rPr>
                    <w:t>动植物油</w:t>
                  </w:r>
                </w:p>
              </w:tc>
            </w:tr>
            <w:tr w14:paraId="3CAD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2117" w:type="dxa"/>
                  <w:vAlign w:val="center"/>
                </w:tcPr>
                <w:p w14:paraId="642266F3">
                  <w:pPr>
                    <w:pStyle w:val="11"/>
                    <w:spacing w:line="240" w:lineRule="exact"/>
                    <w:ind w:left="0" w:right="0" w:firstLine="0"/>
                    <w:jc w:val="center"/>
                    <w:rPr>
                      <w:sz w:val="21"/>
                      <w:szCs w:val="21"/>
                    </w:rPr>
                  </w:pPr>
                  <w:r>
                    <w:rPr>
                      <w:rFonts w:hint="eastAsia"/>
                      <w:sz w:val="21"/>
                      <w:szCs w:val="21"/>
                    </w:rPr>
                    <w:t>生活污水</w:t>
                  </w:r>
                </w:p>
              </w:tc>
              <w:tc>
                <w:tcPr>
                  <w:tcW w:w="927" w:type="dxa"/>
                  <w:vAlign w:val="center"/>
                </w:tcPr>
                <w:p w14:paraId="3E607A94">
                  <w:pPr>
                    <w:pStyle w:val="11"/>
                    <w:spacing w:line="240" w:lineRule="exact"/>
                    <w:ind w:left="0" w:right="0" w:firstLine="0"/>
                    <w:jc w:val="center"/>
                    <w:rPr>
                      <w:sz w:val="21"/>
                      <w:szCs w:val="21"/>
                    </w:rPr>
                  </w:pPr>
                  <w:r>
                    <w:rPr>
                      <w:rFonts w:hint="eastAsia"/>
                      <w:sz w:val="21"/>
                      <w:szCs w:val="21"/>
                    </w:rPr>
                    <w:t>0.72</w:t>
                  </w:r>
                </w:p>
              </w:tc>
              <w:tc>
                <w:tcPr>
                  <w:tcW w:w="859" w:type="dxa"/>
                  <w:vMerge w:val="restart"/>
                  <w:vAlign w:val="center"/>
                </w:tcPr>
                <w:p w14:paraId="6E7B64DA">
                  <w:pPr>
                    <w:pStyle w:val="11"/>
                    <w:spacing w:line="240" w:lineRule="exact"/>
                    <w:ind w:left="0" w:right="0" w:firstLine="0"/>
                    <w:jc w:val="center"/>
                    <w:rPr>
                      <w:sz w:val="21"/>
                      <w:szCs w:val="21"/>
                    </w:rPr>
                  </w:pPr>
                  <w:r>
                    <w:rPr>
                      <w:rFonts w:hint="eastAsia"/>
                      <w:sz w:val="21"/>
                      <w:szCs w:val="21"/>
                    </w:rPr>
                    <w:t>7.1</w:t>
                  </w:r>
                </w:p>
              </w:tc>
              <w:tc>
                <w:tcPr>
                  <w:tcW w:w="791" w:type="dxa"/>
                  <w:vMerge w:val="restart"/>
                  <w:vAlign w:val="center"/>
                </w:tcPr>
                <w:p w14:paraId="15DADAB6">
                  <w:pPr>
                    <w:pStyle w:val="11"/>
                    <w:spacing w:line="240" w:lineRule="exact"/>
                    <w:ind w:left="0" w:right="0" w:firstLine="0"/>
                    <w:jc w:val="center"/>
                    <w:rPr>
                      <w:sz w:val="21"/>
                      <w:szCs w:val="21"/>
                    </w:rPr>
                  </w:pPr>
                  <w:r>
                    <w:rPr>
                      <w:rFonts w:hint="eastAsia"/>
                      <w:sz w:val="21"/>
                      <w:szCs w:val="21"/>
                    </w:rPr>
                    <w:t>625</w:t>
                  </w:r>
                </w:p>
              </w:tc>
              <w:tc>
                <w:tcPr>
                  <w:tcW w:w="981" w:type="dxa"/>
                  <w:vMerge w:val="restart"/>
                  <w:vAlign w:val="center"/>
                </w:tcPr>
                <w:p w14:paraId="282945C3">
                  <w:pPr>
                    <w:pStyle w:val="11"/>
                    <w:spacing w:line="240" w:lineRule="exact"/>
                    <w:ind w:left="0" w:right="0" w:firstLine="0"/>
                    <w:jc w:val="center"/>
                    <w:rPr>
                      <w:sz w:val="21"/>
                      <w:szCs w:val="21"/>
                    </w:rPr>
                  </w:pPr>
                  <w:r>
                    <w:rPr>
                      <w:rFonts w:hint="eastAsia"/>
                      <w:sz w:val="21"/>
                      <w:szCs w:val="21"/>
                    </w:rPr>
                    <w:t>0.49</w:t>
                  </w:r>
                </w:p>
              </w:tc>
              <w:tc>
                <w:tcPr>
                  <w:tcW w:w="846" w:type="dxa"/>
                  <w:vMerge w:val="restart"/>
                  <w:vAlign w:val="center"/>
                </w:tcPr>
                <w:p w14:paraId="0DD86C9D">
                  <w:pPr>
                    <w:pStyle w:val="11"/>
                    <w:spacing w:line="240" w:lineRule="exact"/>
                    <w:ind w:left="0" w:right="0" w:firstLine="0"/>
                    <w:jc w:val="center"/>
                    <w:rPr>
                      <w:sz w:val="21"/>
                      <w:szCs w:val="21"/>
                    </w:rPr>
                  </w:pPr>
                  <w:r>
                    <w:rPr>
                      <w:rFonts w:hint="eastAsia"/>
                      <w:sz w:val="21"/>
                      <w:szCs w:val="21"/>
                    </w:rPr>
                    <w:t>650</w:t>
                  </w:r>
                </w:p>
              </w:tc>
              <w:tc>
                <w:tcPr>
                  <w:tcW w:w="818" w:type="dxa"/>
                  <w:vMerge w:val="restart"/>
                  <w:vAlign w:val="center"/>
                </w:tcPr>
                <w:p w14:paraId="2295A98C">
                  <w:pPr>
                    <w:pStyle w:val="11"/>
                    <w:spacing w:line="240" w:lineRule="exact"/>
                    <w:ind w:left="0" w:right="0" w:firstLine="0"/>
                    <w:jc w:val="center"/>
                    <w:rPr>
                      <w:sz w:val="21"/>
                      <w:szCs w:val="21"/>
                    </w:rPr>
                  </w:pPr>
                  <w:r>
                    <w:rPr>
                      <w:rFonts w:hint="eastAsia"/>
                      <w:sz w:val="21"/>
                      <w:szCs w:val="21"/>
                    </w:rPr>
                    <w:t>590</w:t>
                  </w:r>
                </w:p>
              </w:tc>
              <w:tc>
                <w:tcPr>
                  <w:tcW w:w="696" w:type="dxa"/>
                  <w:vMerge w:val="restart"/>
                  <w:vAlign w:val="center"/>
                </w:tcPr>
                <w:p w14:paraId="5ADA30BD">
                  <w:pPr>
                    <w:pStyle w:val="11"/>
                    <w:spacing w:line="240" w:lineRule="exact"/>
                    <w:ind w:left="0" w:right="0" w:firstLine="0"/>
                    <w:jc w:val="center"/>
                    <w:rPr>
                      <w:sz w:val="21"/>
                      <w:szCs w:val="21"/>
                    </w:rPr>
                  </w:pPr>
                  <w:r>
                    <w:rPr>
                      <w:rFonts w:hint="eastAsia"/>
                      <w:sz w:val="21"/>
                      <w:szCs w:val="21"/>
                    </w:rPr>
                    <w:t>0.35</w:t>
                  </w:r>
                </w:p>
              </w:tc>
              <w:tc>
                <w:tcPr>
                  <w:tcW w:w="767" w:type="dxa"/>
                  <w:vMerge w:val="restart"/>
                  <w:vAlign w:val="center"/>
                </w:tcPr>
                <w:p w14:paraId="7A291DFB">
                  <w:pPr>
                    <w:pStyle w:val="11"/>
                    <w:spacing w:line="240" w:lineRule="exact"/>
                    <w:ind w:left="0" w:right="0" w:firstLine="0"/>
                    <w:jc w:val="center"/>
                    <w:rPr>
                      <w:sz w:val="21"/>
                      <w:szCs w:val="21"/>
                    </w:rPr>
                  </w:pPr>
                  <w:r>
                    <w:rPr>
                      <w:rFonts w:hint="eastAsia"/>
                      <w:sz w:val="21"/>
                      <w:szCs w:val="21"/>
                    </w:rPr>
                    <w:t>117.5</w:t>
                  </w:r>
                </w:p>
              </w:tc>
            </w:tr>
            <w:tr w14:paraId="0BDD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117" w:type="dxa"/>
                  <w:vAlign w:val="center"/>
                </w:tcPr>
                <w:p w14:paraId="5B159E03">
                  <w:pPr>
                    <w:pStyle w:val="11"/>
                    <w:spacing w:line="240" w:lineRule="exact"/>
                    <w:ind w:left="0" w:right="0" w:firstLine="0"/>
                    <w:jc w:val="center"/>
                    <w:rPr>
                      <w:sz w:val="21"/>
                      <w:szCs w:val="21"/>
                    </w:rPr>
                  </w:pPr>
                  <w:r>
                    <w:rPr>
                      <w:sz w:val="21"/>
                      <w:szCs w:val="21"/>
                    </w:rPr>
                    <w:t>地面清洗水</w:t>
                  </w:r>
                </w:p>
              </w:tc>
              <w:tc>
                <w:tcPr>
                  <w:tcW w:w="927" w:type="dxa"/>
                  <w:vAlign w:val="center"/>
                </w:tcPr>
                <w:p w14:paraId="21D4181B">
                  <w:pPr>
                    <w:pStyle w:val="11"/>
                    <w:spacing w:line="240" w:lineRule="exact"/>
                    <w:ind w:left="0" w:right="0" w:firstLine="0"/>
                    <w:jc w:val="center"/>
                    <w:rPr>
                      <w:rFonts w:hint="default" w:eastAsia="宋体"/>
                      <w:sz w:val="21"/>
                      <w:szCs w:val="21"/>
                      <w:lang w:val="en-US" w:eastAsia="zh-CN"/>
                    </w:rPr>
                  </w:pPr>
                  <w:r>
                    <w:rPr>
                      <w:rFonts w:hint="eastAsia"/>
                      <w:sz w:val="21"/>
                      <w:szCs w:val="21"/>
                      <w:lang w:val="en-US" w:eastAsia="zh-CN"/>
                    </w:rPr>
                    <w:t>0.48</w:t>
                  </w:r>
                </w:p>
              </w:tc>
              <w:tc>
                <w:tcPr>
                  <w:tcW w:w="859" w:type="dxa"/>
                  <w:vMerge w:val="continue"/>
                  <w:vAlign w:val="center"/>
                </w:tcPr>
                <w:p w14:paraId="6BCBA0C3">
                  <w:pPr>
                    <w:pStyle w:val="11"/>
                    <w:spacing w:line="240" w:lineRule="exact"/>
                    <w:ind w:left="0" w:right="0" w:firstLine="0"/>
                    <w:jc w:val="center"/>
                    <w:rPr>
                      <w:sz w:val="21"/>
                      <w:szCs w:val="21"/>
                    </w:rPr>
                  </w:pPr>
                </w:p>
              </w:tc>
              <w:tc>
                <w:tcPr>
                  <w:tcW w:w="791" w:type="dxa"/>
                  <w:vMerge w:val="continue"/>
                  <w:vAlign w:val="center"/>
                </w:tcPr>
                <w:p w14:paraId="48E67AE7">
                  <w:pPr>
                    <w:pStyle w:val="11"/>
                    <w:spacing w:line="240" w:lineRule="exact"/>
                    <w:ind w:left="0" w:right="0" w:firstLine="0"/>
                    <w:jc w:val="center"/>
                    <w:rPr>
                      <w:sz w:val="21"/>
                      <w:szCs w:val="21"/>
                    </w:rPr>
                  </w:pPr>
                </w:p>
              </w:tc>
              <w:tc>
                <w:tcPr>
                  <w:tcW w:w="981" w:type="dxa"/>
                  <w:vMerge w:val="continue"/>
                  <w:vAlign w:val="center"/>
                </w:tcPr>
                <w:p w14:paraId="561C4D0D">
                  <w:pPr>
                    <w:pStyle w:val="11"/>
                    <w:spacing w:line="240" w:lineRule="exact"/>
                    <w:ind w:left="0" w:right="0" w:firstLine="0"/>
                    <w:jc w:val="center"/>
                    <w:rPr>
                      <w:sz w:val="21"/>
                      <w:szCs w:val="21"/>
                    </w:rPr>
                  </w:pPr>
                </w:p>
              </w:tc>
              <w:tc>
                <w:tcPr>
                  <w:tcW w:w="846" w:type="dxa"/>
                  <w:vMerge w:val="continue"/>
                  <w:vAlign w:val="center"/>
                </w:tcPr>
                <w:p w14:paraId="406B13F9">
                  <w:pPr>
                    <w:pStyle w:val="11"/>
                    <w:spacing w:line="240" w:lineRule="exact"/>
                    <w:ind w:left="0" w:right="0" w:firstLine="0"/>
                    <w:jc w:val="center"/>
                    <w:rPr>
                      <w:sz w:val="21"/>
                      <w:szCs w:val="21"/>
                    </w:rPr>
                  </w:pPr>
                </w:p>
              </w:tc>
              <w:tc>
                <w:tcPr>
                  <w:tcW w:w="818" w:type="dxa"/>
                  <w:vMerge w:val="continue"/>
                  <w:vAlign w:val="center"/>
                </w:tcPr>
                <w:p w14:paraId="6565B20A">
                  <w:pPr>
                    <w:pStyle w:val="11"/>
                    <w:spacing w:line="240" w:lineRule="exact"/>
                    <w:ind w:left="0" w:right="0" w:firstLine="0"/>
                    <w:jc w:val="center"/>
                    <w:rPr>
                      <w:sz w:val="21"/>
                      <w:szCs w:val="21"/>
                    </w:rPr>
                  </w:pPr>
                </w:p>
              </w:tc>
              <w:tc>
                <w:tcPr>
                  <w:tcW w:w="696" w:type="dxa"/>
                  <w:vMerge w:val="continue"/>
                  <w:vAlign w:val="center"/>
                </w:tcPr>
                <w:p w14:paraId="52EED1EC">
                  <w:pPr>
                    <w:pStyle w:val="11"/>
                    <w:spacing w:line="240" w:lineRule="exact"/>
                    <w:ind w:left="0" w:right="0" w:firstLine="0"/>
                    <w:jc w:val="center"/>
                    <w:rPr>
                      <w:sz w:val="21"/>
                      <w:szCs w:val="21"/>
                    </w:rPr>
                  </w:pPr>
                </w:p>
              </w:tc>
              <w:tc>
                <w:tcPr>
                  <w:tcW w:w="767" w:type="dxa"/>
                  <w:vMerge w:val="continue"/>
                  <w:vAlign w:val="center"/>
                </w:tcPr>
                <w:p w14:paraId="47360544">
                  <w:pPr>
                    <w:pStyle w:val="11"/>
                    <w:spacing w:line="240" w:lineRule="exact"/>
                    <w:ind w:left="0" w:right="0" w:firstLine="0"/>
                    <w:jc w:val="center"/>
                    <w:rPr>
                      <w:sz w:val="21"/>
                      <w:szCs w:val="21"/>
                    </w:rPr>
                  </w:pPr>
                </w:p>
              </w:tc>
            </w:tr>
            <w:tr w14:paraId="77AE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17" w:type="dxa"/>
                  <w:vAlign w:val="center"/>
                </w:tcPr>
                <w:p w14:paraId="4A7F2DC2">
                  <w:pPr>
                    <w:pStyle w:val="11"/>
                    <w:spacing w:line="240" w:lineRule="exact"/>
                    <w:ind w:left="0" w:right="0" w:firstLine="0"/>
                    <w:jc w:val="center"/>
                    <w:rPr>
                      <w:sz w:val="21"/>
                      <w:szCs w:val="21"/>
                    </w:rPr>
                  </w:pPr>
                  <w:r>
                    <w:rPr>
                      <w:rFonts w:hint="eastAsia"/>
                      <w:sz w:val="21"/>
                      <w:szCs w:val="21"/>
                    </w:rPr>
                    <w:t>设备清洗水</w:t>
                  </w:r>
                </w:p>
              </w:tc>
              <w:tc>
                <w:tcPr>
                  <w:tcW w:w="927" w:type="dxa"/>
                  <w:vAlign w:val="center"/>
                </w:tcPr>
                <w:p w14:paraId="1E833D06">
                  <w:pPr>
                    <w:pStyle w:val="11"/>
                    <w:spacing w:line="240" w:lineRule="exact"/>
                    <w:ind w:left="0" w:right="0" w:firstLine="0"/>
                    <w:jc w:val="center"/>
                    <w:rPr>
                      <w:rFonts w:hint="default" w:eastAsia="宋体"/>
                      <w:sz w:val="21"/>
                      <w:szCs w:val="21"/>
                      <w:lang w:val="en-US" w:eastAsia="zh-CN"/>
                    </w:rPr>
                  </w:pPr>
                  <w:r>
                    <w:rPr>
                      <w:rFonts w:hint="eastAsia"/>
                      <w:sz w:val="21"/>
                      <w:szCs w:val="21"/>
                      <w:lang w:val="en-US" w:eastAsia="zh-CN"/>
                    </w:rPr>
                    <w:t>1.68</w:t>
                  </w:r>
                </w:p>
              </w:tc>
              <w:tc>
                <w:tcPr>
                  <w:tcW w:w="859" w:type="dxa"/>
                  <w:vMerge w:val="continue"/>
                  <w:vAlign w:val="center"/>
                </w:tcPr>
                <w:p w14:paraId="0B1182BE">
                  <w:pPr>
                    <w:pStyle w:val="11"/>
                    <w:spacing w:line="240" w:lineRule="exact"/>
                    <w:ind w:left="0" w:right="0" w:firstLine="0"/>
                    <w:jc w:val="center"/>
                    <w:rPr>
                      <w:sz w:val="21"/>
                      <w:szCs w:val="21"/>
                    </w:rPr>
                  </w:pPr>
                </w:p>
              </w:tc>
              <w:tc>
                <w:tcPr>
                  <w:tcW w:w="791" w:type="dxa"/>
                  <w:vMerge w:val="continue"/>
                  <w:vAlign w:val="center"/>
                </w:tcPr>
                <w:p w14:paraId="2AD0DB5B">
                  <w:pPr>
                    <w:pStyle w:val="11"/>
                    <w:spacing w:line="240" w:lineRule="exact"/>
                    <w:ind w:left="0" w:right="0" w:firstLine="0"/>
                    <w:jc w:val="center"/>
                    <w:rPr>
                      <w:sz w:val="21"/>
                      <w:szCs w:val="21"/>
                    </w:rPr>
                  </w:pPr>
                </w:p>
              </w:tc>
              <w:tc>
                <w:tcPr>
                  <w:tcW w:w="981" w:type="dxa"/>
                  <w:vMerge w:val="continue"/>
                  <w:vAlign w:val="center"/>
                </w:tcPr>
                <w:p w14:paraId="47F715F5">
                  <w:pPr>
                    <w:pStyle w:val="11"/>
                    <w:spacing w:line="240" w:lineRule="exact"/>
                    <w:ind w:left="0" w:right="0" w:firstLine="0"/>
                    <w:jc w:val="center"/>
                    <w:rPr>
                      <w:sz w:val="21"/>
                      <w:szCs w:val="21"/>
                    </w:rPr>
                  </w:pPr>
                </w:p>
              </w:tc>
              <w:tc>
                <w:tcPr>
                  <w:tcW w:w="846" w:type="dxa"/>
                  <w:vMerge w:val="continue"/>
                  <w:vAlign w:val="center"/>
                </w:tcPr>
                <w:p w14:paraId="3F63CB1D">
                  <w:pPr>
                    <w:pStyle w:val="11"/>
                    <w:spacing w:line="240" w:lineRule="exact"/>
                    <w:ind w:left="0" w:right="0" w:firstLine="0"/>
                    <w:jc w:val="center"/>
                    <w:rPr>
                      <w:sz w:val="21"/>
                      <w:szCs w:val="21"/>
                    </w:rPr>
                  </w:pPr>
                </w:p>
              </w:tc>
              <w:tc>
                <w:tcPr>
                  <w:tcW w:w="818" w:type="dxa"/>
                  <w:vMerge w:val="continue"/>
                  <w:vAlign w:val="center"/>
                </w:tcPr>
                <w:p w14:paraId="19E77963">
                  <w:pPr>
                    <w:pStyle w:val="11"/>
                    <w:spacing w:line="240" w:lineRule="exact"/>
                    <w:ind w:left="0" w:right="0" w:firstLine="0"/>
                    <w:jc w:val="center"/>
                    <w:rPr>
                      <w:sz w:val="21"/>
                      <w:szCs w:val="21"/>
                    </w:rPr>
                  </w:pPr>
                </w:p>
              </w:tc>
              <w:tc>
                <w:tcPr>
                  <w:tcW w:w="696" w:type="dxa"/>
                  <w:vMerge w:val="continue"/>
                  <w:vAlign w:val="center"/>
                </w:tcPr>
                <w:p w14:paraId="23254349">
                  <w:pPr>
                    <w:pStyle w:val="11"/>
                    <w:spacing w:line="240" w:lineRule="exact"/>
                    <w:ind w:left="0" w:right="0" w:firstLine="0"/>
                    <w:jc w:val="center"/>
                    <w:rPr>
                      <w:sz w:val="21"/>
                      <w:szCs w:val="21"/>
                    </w:rPr>
                  </w:pPr>
                </w:p>
              </w:tc>
              <w:tc>
                <w:tcPr>
                  <w:tcW w:w="767" w:type="dxa"/>
                  <w:vMerge w:val="continue"/>
                  <w:vAlign w:val="center"/>
                </w:tcPr>
                <w:p w14:paraId="4B95F93B">
                  <w:pPr>
                    <w:pStyle w:val="11"/>
                    <w:spacing w:line="240" w:lineRule="exact"/>
                    <w:ind w:left="0" w:right="0" w:firstLine="0"/>
                    <w:jc w:val="center"/>
                    <w:rPr>
                      <w:sz w:val="21"/>
                      <w:szCs w:val="21"/>
                    </w:rPr>
                  </w:pPr>
                </w:p>
              </w:tc>
            </w:tr>
            <w:tr w14:paraId="79C9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17" w:type="dxa"/>
                  <w:vAlign w:val="center"/>
                </w:tcPr>
                <w:p w14:paraId="42DDC82F">
                  <w:pPr>
                    <w:pStyle w:val="11"/>
                    <w:spacing w:line="240" w:lineRule="exact"/>
                    <w:ind w:left="0" w:right="0" w:firstLine="0"/>
                    <w:jc w:val="center"/>
                    <w:rPr>
                      <w:sz w:val="21"/>
                      <w:szCs w:val="21"/>
                    </w:rPr>
                  </w:pPr>
                  <w:r>
                    <w:rPr>
                      <w:rFonts w:hint="eastAsia"/>
                      <w:sz w:val="21"/>
                      <w:szCs w:val="21"/>
                    </w:rPr>
                    <w:t>杀菌废水</w:t>
                  </w:r>
                </w:p>
              </w:tc>
              <w:tc>
                <w:tcPr>
                  <w:tcW w:w="927" w:type="dxa"/>
                  <w:vAlign w:val="center"/>
                </w:tcPr>
                <w:p w14:paraId="4E29B57E">
                  <w:pPr>
                    <w:pStyle w:val="11"/>
                    <w:spacing w:line="240" w:lineRule="exact"/>
                    <w:ind w:left="0" w:right="0" w:firstLine="0"/>
                    <w:jc w:val="center"/>
                    <w:rPr>
                      <w:rFonts w:hint="default" w:eastAsia="宋体"/>
                      <w:sz w:val="21"/>
                      <w:szCs w:val="21"/>
                      <w:lang w:val="en-US" w:eastAsia="zh-CN"/>
                    </w:rPr>
                  </w:pPr>
                  <w:r>
                    <w:rPr>
                      <w:rFonts w:hint="eastAsia"/>
                      <w:sz w:val="21"/>
                      <w:szCs w:val="21"/>
                      <w:lang w:val="en-US" w:eastAsia="zh-CN"/>
                    </w:rPr>
                    <w:t>0.54</w:t>
                  </w:r>
                </w:p>
              </w:tc>
              <w:tc>
                <w:tcPr>
                  <w:tcW w:w="859" w:type="dxa"/>
                  <w:vMerge w:val="continue"/>
                  <w:vAlign w:val="center"/>
                </w:tcPr>
                <w:p w14:paraId="33871FE6">
                  <w:pPr>
                    <w:pStyle w:val="11"/>
                    <w:spacing w:line="240" w:lineRule="exact"/>
                    <w:ind w:left="0" w:right="0" w:firstLine="0"/>
                    <w:jc w:val="center"/>
                    <w:rPr>
                      <w:sz w:val="21"/>
                      <w:szCs w:val="21"/>
                    </w:rPr>
                  </w:pPr>
                </w:p>
              </w:tc>
              <w:tc>
                <w:tcPr>
                  <w:tcW w:w="791" w:type="dxa"/>
                  <w:vMerge w:val="continue"/>
                  <w:vAlign w:val="center"/>
                </w:tcPr>
                <w:p w14:paraId="0EA362CF">
                  <w:pPr>
                    <w:pStyle w:val="11"/>
                    <w:spacing w:line="240" w:lineRule="exact"/>
                    <w:ind w:left="0" w:right="0" w:firstLine="0"/>
                    <w:jc w:val="center"/>
                    <w:rPr>
                      <w:sz w:val="21"/>
                      <w:szCs w:val="21"/>
                    </w:rPr>
                  </w:pPr>
                </w:p>
              </w:tc>
              <w:tc>
                <w:tcPr>
                  <w:tcW w:w="981" w:type="dxa"/>
                  <w:vMerge w:val="continue"/>
                  <w:vAlign w:val="center"/>
                </w:tcPr>
                <w:p w14:paraId="3C21E7AD">
                  <w:pPr>
                    <w:pStyle w:val="11"/>
                    <w:spacing w:line="240" w:lineRule="exact"/>
                    <w:ind w:left="0" w:right="0" w:firstLine="0"/>
                    <w:jc w:val="center"/>
                    <w:rPr>
                      <w:sz w:val="21"/>
                      <w:szCs w:val="21"/>
                    </w:rPr>
                  </w:pPr>
                </w:p>
              </w:tc>
              <w:tc>
                <w:tcPr>
                  <w:tcW w:w="846" w:type="dxa"/>
                  <w:vMerge w:val="continue"/>
                  <w:vAlign w:val="center"/>
                </w:tcPr>
                <w:p w14:paraId="773CC294">
                  <w:pPr>
                    <w:pStyle w:val="11"/>
                    <w:spacing w:line="240" w:lineRule="exact"/>
                    <w:ind w:left="0" w:right="0" w:firstLine="0"/>
                    <w:jc w:val="center"/>
                    <w:rPr>
                      <w:sz w:val="21"/>
                      <w:szCs w:val="21"/>
                    </w:rPr>
                  </w:pPr>
                </w:p>
              </w:tc>
              <w:tc>
                <w:tcPr>
                  <w:tcW w:w="818" w:type="dxa"/>
                  <w:vMerge w:val="continue"/>
                  <w:vAlign w:val="center"/>
                </w:tcPr>
                <w:p w14:paraId="6B533F1F">
                  <w:pPr>
                    <w:pStyle w:val="11"/>
                    <w:spacing w:line="240" w:lineRule="exact"/>
                    <w:ind w:left="0" w:right="0" w:firstLine="0"/>
                    <w:jc w:val="center"/>
                    <w:rPr>
                      <w:sz w:val="21"/>
                      <w:szCs w:val="21"/>
                    </w:rPr>
                  </w:pPr>
                </w:p>
              </w:tc>
              <w:tc>
                <w:tcPr>
                  <w:tcW w:w="696" w:type="dxa"/>
                  <w:vMerge w:val="continue"/>
                  <w:vAlign w:val="center"/>
                </w:tcPr>
                <w:p w14:paraId="2A138CCF">
                  <w:pPr>
                    <w:pStyle w:val="11"/>
                    <w:spacing w:line="240" w:lineRule="exact"/>
                    <w:ind w:left="0" w:right="0" w:firstLine="0"/>
                    <w:jc w:val="center"/>
                    <w:rPr>
                      <w:sz w:val="21"/>
                      <w:szCs w:val="21"/>
                    </w:rPr>
                  </w:pPr>
                </w:p>
              </w:tc>
              <w:tc>
                <w:tcPr>
                  <w:tcW w:w="767" w:type="dxa"/>
                  <w:vMerge w:val="continue"/>
                  <w:vAlign w:val="center"/>
                </w:tcPr>
                <w:p w14:paraId="63CF800B">
                  <w:pPr>
                    <w:pStyle w:val="11"/>
                    <w:spacing w:line="240" w:lineRule="exact"/>
                    <w:ind w:left="0" w:right="0" w:firstLine="0"/>
                    <w:jc w:val="center"/>
                    <w:rPr>
                      <w:sz w:val="21"/>
                      <w:szCs w:val="21"/>
                    </w:rPr>
                  </w:pPr>
                </w:p>
              </w:tc>
            </w:tr>
            <w:tr w14:paraId="6200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2117" w:type="dxa"/>
                  <w:vAlign w:val="center"/>
                </w:tcPr>
                <w:p w14:paraId="08ECFA60">
                  <w:pPr>
                    <w:pStyle w:val="11"/>
                    <w:spacing w:line="240" w:lineRule="exact"/>
                    <w:ind w:left="0" w:right="0" w:firstLine="0"/>
                    <w:jc w:val="center"/>
                    <w:rPr>
                      <w:sz w:val="21"/>
                      <w:szCs w:val="21"/>
                    </w:rPr>
                  </w:pPr>
                  <w:r>
                    <w:rPr>
                      <w:rFonts w:hint="eastAsia"/>
                      <w:sz w:val="21"/>
                      <w:szCs w:val="21"/>
                      <w:lang w:val="en-US" w:eastAsia="zh-CN"/>
                    </w:rPr>
                    <w:t>原料</w:t>
                  </w:r>
                  <w:r>
                    <w:rPr>
                      <w:rFonts w:hint="eastAsia"/>
                      <w:sz w:val="21"/>
                      <w:szCs w:val="21"/>
                    </w:rPr>
                    <w:t>清洗废水</w:t>
                  </w:r>
                </w:p>
              </w:tc>
              <w:tc>
                <w:tcPr>
                  <w:tcW w:w="927" w:type="dxa"/>
                  <w:vAlign w:val="center"/>
                </w:tcPr>
                <w:p w14:paraId="7B3249D9">
                  <w:pPr>
                    <w:pStyle w:val="11"/>
                    <w:spacing w:line="240" w:lineRule="exact"/>
                    <w:ind w:left="0" w:right="0" w:firstLine="0"/>
                    <w:jc w:val="center"/>
                    <w:rPr>
                      <w:rFonts w:hint="default" w:eastAsia="宋体"/>
                      <w:sz w:val="21"/>
                      <w:szCs w:val="21"/>
                      <w:lang w:val="en-US" w:eastAsia="zh-CN"/>
                    </w:rPr>
                  </w:pPr>
                  <w:r>
                    <w:rPr>
                      <w:sz w:val="21"/>
                      <w:szCs w:val="21"/>
                    </w:rPr>
                    <w:t>1.</w:t>
                  </w:r>
                  <w:r>
                    <w:rPr>
                      <w:rFonts w:hint="eastAsia"/>
                      <w:sz w:val="21"/>
                      <w:szCs w:val="21"/>
                      <w:lang w:val="en-US" w:eastAsia="zh-CN"/>
                    </w:rPr>
                    <w:t>0383</w:t>
                  </w:r>
                </w:p>
              </w:tc>
              <w:tc>
                <w:tcPr>
                  <w:tcW w:w="859" w:type="dxa"/>
                  <w:vMerge w:val="continue"/>
                  <w:vAlign w:val="center"/>
                </w:tcPr>
                <w:p w14:paraId="55811033">
                  <w:pPr>
                    <w:pStyle w:val="11"/>
                    <w:spacing w:line="240" w:lineRule="exact"/>
                    <w:ind w:left="0" w:right="0" w:firstLine="0"/>
                    <w:jc w:val="center"/>
                    <w:rPr>
                      <w:sz w:val="21"/>
                      <w:szCs w:val="21"/>
                    </w:rPr>
                  </w:pPr>
                </w:p>
              </w:tc>
              <w:tc>
                <w:tcPr>
                  <w:tcW w:w="791" w:type="dxa"/>
                  <w:vMerge w:val="continue"/>
                  <w:vAlign w:val="center"/>
                </w:tcPr>
                <w:p w14:paraId="1E616D4B">
                  <w:pPr>
                    <w:pStyle w:val="11"/>
                    <w:spacing w:line="240" w:lineRule="exact"/>
                    <w:ind w:left="0" w:right="0" w:firstLine="0"/>
                    <w:jc w:val="center"/>
                    <w:rPr>
                      <w:sz w:val="21"/>
                      <w:szCs w:val="21"/>
                    </w:rPr>
                  </w:pPr>
                </w:p>
              </w:tc>
              <w:tc>
                <w:tcPr>
                  <w:tcW w:w="981" w:type="dxa"/>
                  <w:vMerge w:val="continue"/>
                  <w:vAlign w:val="center"/>
                </w:tcPr>
                <w:p w14:paraId="4387155D">
                  <w:pPr>
                    <w:pStyle w:val="11"/>
                    <w:spacing w:line="240" w:lineRule="exact"/>
                    <w:ind w:left="0" w:right="0" w:firstLine="0"/>
                    <w:jc w:val="center"/>
                    <w:rPr>
                      <w:sz w:val="21"/>
                      <w:szCs w:val="21"/>
                    </w:rPr>
                  </w:pPr>
                </w:p>
              </w:tc>
              <w:tc>
                <w:tcPr>
                  <w:tcW w:w="846" w:type="dxa"/>
                  <w:vMerge w:val="continue"/>
                  <w:vAlign w:val="center"/>
                </w:tcPr>
                <w:p w14:paraId="0F7D0E74">
                  <w:pPr>
                    <w:pStyle w:val="11"/>
                    <w:spacing w:line="240" w:lineRule="exact"/>
                    <w:ind w:left="0" w:right="0" w:firstLine="0"/>
                    <w:jc w:val="center"/>
                    <w:rPr>
                      <w:sz w:val="21"/>
                      <w:szCs w:val="21"/>
                    </w:rPr>
                  </w:pPr>
                </w:p>
              </w:tc>
              <w:tc>
                <w:tcPr>
                  <w:tcW w:w="818" w:type="dxa"/>
                  <w:vMerge w:val="continue"/>
                  <w:vAlign w:val="center"/>
                </w:tcPr>
                <w:p w14:paraId="33DE3BA8">
                  <w:pPr>
                    <w:pStyle w:val="11"/>
                    <w:spacing w:line="240" w:lineRule="exact"/>
                    <w:ind w:left="0" w:right="0" w:firstLine="0"/>
                    <w:jc w:val="center"/>
                    <w:rPr>
                      <w:sz w:val="21"/>
                      <w:szCs w:val="21"/>
                    </w:rPr>
                  </w:pPr>
                </w:p>
              </w:tc>
              <w:tc>
                <w:tcPr>
                  <w:tcW w:w="696" w:type="dxa"/>
                  <w:vMerge w:val="continue"/>
                  <w:vAlign w:val="center"/>
                </w:tcPr>
                <w:p w14:paraId="57A24EBF">
                  <w:pPr>
                    <w:pStyle w:val="11"/>
                    <w:spacing w:line="240" w:lineRule="exact"/>
                    <w:ind w:left="0" w:right="0" w:firstLine="0"/>
                    <w:jc w:val="center"/>
                    <w:rPr>
                      <w:sz w:val="21"/>
                      <w:szCs w:val="21"/>
                    </w:rPr>
                  </w:pPr>
                </w:p>
              </w:tc>
              <w:tc>
                <w:tcPr>
                  <w:tcW w:w="767" w:type="dxa"/>
                  <w:vMerge w:val="continue"/>
                  <w:vAlign w:val="center"/>
                </w:tcPr>
                <w:p w14:paraId="2B68D47F">
                  <w:pPr>
                    <w:pStyle w:val="11"/>
                    <w:spacing w:line="240" w:lineRule="exact"/>
                    <w:ind w:left="0" w:right="0" w:firstLine="0"/>
                    <w:jc w:val="center"/>
                    <w:rPr>
                      <w:sz w:val="21"/>
                      <w:szCs w:val="21"/>
                    </w:rPr>
                  </w:pPr>
                </w:p>
              </w:tc>
            </w:tr>
            <w:tr w14:paraId="30AF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117" w:type="dxa"/>
                  <w:vAlign w:val="center"/>
                </w:tcPr>
                <w:p w14:paraId="22DBC768">
                  <w:pPr>
                    <w:pStyle w:val="11"/>
                    <w:spacing w:line="240" w:lineRule="exact"/>
                    <w:ind w:left="0" w:right="0" w:firstLine="0"/>
                    <w:jc w:val="center"/>
                    <w:rPr>
                      <w:sz w:val="21"/>
                      <w:szCs w:val="21"/>
                    </w:rPr>
                  </w:pPr>
                  <w:r>
                    <w:rPr>
                      <w:rFonts w:hint="eastAsia"/>
                      <w:sz w:val="21"/>
                      <w:szCs w:val="21"/>
                    </w:rPr>
                    <w:t>冷却废水</w:t>
                  </w:r>
                </w:p>
              </w:tc>
              <w:tc>
                <w:tcPr>
                  <w:tcW w:w="927" w:type="dxa"/>
                  <w:vAlign w:val="center"/>
                </w:tcPr>
                <w:p w14:paraId="49D66B1E">
                  <w:pPr>
                    <w:pStyle w:val="11"/>
                    <w:spacing w:line="240" w:lineRule="exact"/>
                    <w:ind w:left="0" w:right="0" w:firstLine="0"/>
                    <w:jc w:val="center"/>
                    <w:rPr>
                      <w:rFonts w:hint="default" w:eastAsia="宋体"/>
                      <w:sz w:val="21"/>
                      <w:szCs w:val="21"/>
                      <w:lang w:val="en-US" w:eastAsia="zh-CN"/>
                    </w:rPr>
                  </w:pPr>
                  <w:r>
                    <w:rPr>
                      <w:rFonts w:hint="eastAsia"/>
                      <w:sz w:val="21"/>
                      <w:szCs w:val="21"/>
                      <w:lang w:val="en-US" w:eastAsia="zh-CN"/>
                    </w:rPr>
                    <w:t>1.2</w:t>
                  </w:r>
                </w:p>
              </w:tc>
              <w:tc>
                <w:tcPr>
                  <w:tcW w:w="859" w:type="dxa"/>
                  <w:vMerge w:val="continue"/>
                  <w:vAlign w:val="center"/>
                </w:tcPr>
                <w:p w14:paraId="639C8894">
                  <w:pPr>
                    <w:pStyle w:val="11"/>
                    <w:spacing w:line="240" w:lineRule="exact"/>
                    <w:ind w:left="0" w:right="0" w:firstLine="0"/>
                    <w:jc w:val="center"/>
                    <w:rPr>
                      <w:sz w:val="21"/>
                      <w:szCs w:val="21"/>
                    </w:rPr>
                  </w:pPr>
                </w:p>
              </w:tc>
              <w:tc>
                <w:tcPr>
                  <w:tcW w:w="791" w:type="dxa"/>
                  <w:vMerge w:val="continue"/>
                  <w:vAlign w:val="center"/>
                </w:tcPr>
                <w:p w14:paraId="558859E1">
                  <w:pPr>
                    <w:pStyle w:val="11"/>
                    <w:spacing w:line="240" w:lineRule="exact"/>
                    <w:ind w:left="0" w:right="0" w:firstLine="0"/>
                    <w:jc w:val="center"/>
                    <w:rPr>
                      <w:sz w:val="21"/>
                      <w:szCs w:val="21"/>
                    </w:rPr>
                  </w:pPr>
                </w:p>
              </w:tc>
              <w:tc>
                <w:tcPr>
                  <w:tcW w:w="981" w:type="dxa"/>
                  <w:vMerge w:val="continue"/>
                  <w:vAlign w:val="center"/>
                </w:tcPr>
                <w:p w14:paraId="3532A471">
                  <w:pPr>
                    <w:pStyle w:val="11"/>
                    <w:spacing w:line="240" w:lineRule="exact"/>
                    <w:ind w:left="0" w:right="0" w:firstLine="0"/>
                    <w:jc w:val="center"/>
                    <w:rPr>
                      <w:sz w:val="21"/>
                      <w:szCs w:val="21"/>
                    </w:rPr>
                  </w:pPr>
                </w:p>
              </w:tc>
              <w:tc>
                <w:tcPr>
                  <w:tcW w:w="846" w:type="dxa"/>
                  <w:vMerge w:val="continue"/>
                  <w:vAlign w:val="center"/>
                </w:tcPr>
                <w:p w14:paraId="7C2F6747">
                  <w:pPr>
                    <w:pStyle w:val="11"/>
                    <w:spacing w:line="240" w:lineRule="exact"/>
                    <w:ind w:left="0" w:right="0" w:firstLine="0"/>
                    <w:jc w:val="center"/>
                    <w:rPr>
                      <w:sz w:val="21"/>
                      <w:szCs w:val="21"/>
                    </w:rPr>
                  </w:pPr>
                </w:p>
              </w:tc>
              <w:tc>
                <w:tcPr>
                  <w:tcW w:w="818" w:type="dxa"/>
                  <w:vMerge w:val="continue"/>
                  <w:vAlign w:val="center"/>
                </w:tcPr>
                <w:p w14:paraId="372B850B">
                  <w:pPr>
                    <w:pStyle w:val="11"/>
                    <w:spacing w:line="240" w:lineRule="exact"/>
                    <w:ind w:left="0" w:right="0" w:firstLine="0"/>
                    <w:jc w:val="center"/>
                    <w:rPr>
                      <w:sz w:val="21"/>
                      <w:szCs w:val="21"/>
                    </w:rPr>
                  </w:pPr>
                </w:p>
              </w:tc>
              <w:tc>
                <w:tcPr>
                  <w:tcW w:w="696" w:type="dxa"/>
                  <w:vMerge w:val="continue"/>
                  <w:vAlign w:val="center"/>
                </w:tcPr>
                <w:p w14:paraId="5B602739">
                  <w:pPr>
                    <w:pStyle w:val="11"/>
                    <w:spacing w:line="240" w:lineRule="exact"/>
                    <w:ind w:left="0" w:right="0" w:firstLine="0"/>
                    <w:jc w:val="center"/>
                    <w:rPr>
                      <w:sz w:val="21"/>
                      <w:szCs w:val="21"/>
                    </w:rPr>
                  </w:pPr>
                </w:p>
              </w:tc>
              <w:tc>
                <w:tcPr>
                  <w:tcW w:w="767" w:type="dxa"/>
                  <w:vMerge w:val="continue"/>
                  <w:vAlign w:val="center"/>
                </w:tcPr>
                <w:p w14:paraId="33AB124E">
                  <w:pPr>
                    <w:pStyle w:val="11"/>
                    <w:spacing w:line="240" w:lineRule="exact"/>
                    <w:ind w:left="0" w:right="0" w:firstLine="0"/>
                    <w:jc w:val="center"/>
                    <w:rPr>
                      <w:sz w:val="21"/>
                      <w:szCs w:val="21"/>
                    </w:rPr>
                  </w:pPr>
                </w:p>
              </w:tc>
            </w:tr>
            <w:tr w14:paraId="1EB8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117" w:type="dxa"/>
                  <w:vAlign w:val="center"/>
                </w:tcPr>
                <w:p w14:paraId="293A0849">
                  <w:pPr>
                    <w:pStyle w:val="11"/>
                    <w:spacing w:line="240" w:lineRule="exact"/>
                    <w:ind w:left="0" w:right="0" w:firstLine="0"/>
                    <w:jc w:val="center"/>
                    <w:rPr>
                      <w:sz w:val="21"/>
                      <w:szCs w:val="21"/>
                    </w:rPr>
                  </w:pPr>
                  <w:r>
                    <w:rPr>
                      <w:rFonts w:hint="eastAsia"/>
                      <w:sz w:val="21"/>
                      <w:szCs w:val="21"/>
                    </w:rPr>
                    <w:t>熟制废水</w:t>
                  </w:r>
                </w:p>
              </w:tc>
              <w:tc>
                <w:tcPr>
                  <w:tcW w:w="927" w:type="dxa"/>
                  <w:vAlign w:val="center"/>
                </w:tcPr>
                <w:p w14:paraId="646C0116">
                  <w:pPr>
                    <w:pStyle w:val="11"/>
                    <w:spacing w:line="240" w:lineRule="exact"/>
                    <w:ind w:left="0" w:right="0" w:firstLine="0"/>
                    <w:jc w:val="center"/>
                    <w:rPr>
                      <w:rFonts w:hint="default" w:eastAsia="宋体"/>
                      <w:sz w:val="21"/>
                      <w:szCs w:val="21"/>
                      <w:lang w:val="en-US" w:eastAsia="zh-CN"/>
                    </w:rPr>
                  </w:pPr>
                  <w:r>
                    <w:rPr>
                      <w:rFonts w:hint="eastAsia"/>
                      <w:sz w:val="21"/>
                      <w:szCs w:val="21"/>
                      <w:lang w:val="en-US" w:eastAsia="zh-CN"/>
                    </w:rPr>
                    <w:t>0.8</w:t>
                  </w:r>
                </w:p>
              </w:tc>
              <w:tc>
                <w:tcPr>
                  <w:tcW w:w="859" w:type="dxa"/>
                  <w:vMerge w:val="continue"/>
                  <w:vAlign w:val="center"/>
                </w:tcPr>
                <w:p w14:paraId="044DE0E6">
                  <w:pPr>
                    <w:pStyle w:val="11"/>
                    <w:spacing w:line="240" w:lineRule="exact"/>
                    <w:ind w:left="0" w:right="0" w:firstLine="0"/>
                    <w:jc w:val="center"/>
                    <w:rPr>
                      <w:sz w:val="21"/>
                      <w:szCs w:val="21"/>
                    </w:rPr>
                  </w:pPr>
                </w:p>
              </w:tc>
              <w:tc>
                <w:tcPr>
                  <w:tcW w:w="791" w:type="dxa"/>
                  <w:vMerge w:val="continue"/>
                  <w:vAlign w:val="center"/>
                </w:tcPr>
                <w:p w14:paraId="7DCE294E">
                  <w:pPr>
                    <w:pStyle w:val="11"/>
                    <w:spacing w:line="240" w:lineRule="exact"/>
                    <w:ind w:left="0" w:right="0" w:firstLine="0"/>
                    <w:jc w:val="center"/>
                    <w:rPr>
                      <w:sz w:val="21"/>
                      <w:szCs w:val="21"/>
                    </w:rPr>
                  </w:pPr>
                </w:p>
              </w:tc>
              <w:tc>
                <w:tcPr>
                  <w:tcW w:w="981" w:type="dxa"/>
                  <w:vMerge w:val="continue"/>
                  <w:vAlign w:val="center"/>
                </w:tcPr>
                <w:p w14:paraId="30AEC105">
                  <w:pPr>
                    <w:pStyle w:val="11"/>
                    <w:spacing w:line="240" w:lineRule="exact"/>
                    <w:ind w:left="0" w:right="0" w:firstLine="0"/>
                    <w:jc w:val="center"/>
                    <w:rPr>
                      <w:sz w:val="21"/>
                      <w:szCs w:val="21"/>
                    </w:rPr>
                  </w:pPr>
                </w:p>
              </w:tc>
              <w:tc>
                <w:tcPr>
                  <w:tcW w:w="846" w:type="dxa"/>
                  <w:vMerge w:val="continue"/>
                  <w:vAlign w:val="center"/>
                </w:tcPr>
                <w:p w14:paraId="04CB1295">
                  <w:pPr>
                    <w:pStyle w:val="11"/>
                    <w:spacing w:line="240" w:lineRule="exact"/>
                    <w:ind w:left="0" w:right="0" w:firstLine="0"/>
                    <w:jc w:val="center"/>
                    <w:rPr>
                      <w:sz w:val="21"/>
                      <w:szCs w:val="21"/>
                    </w:rPr>
                  </w:pPr>
                </w:p>
              </w:tc>
              <w:tc>
                <w:tcPr>
                  <w:tcW w:w="818" w:type="dxa"/>
                  <w:vMerge w:val="continue"/>
                  <w:vAlign w:val="center"/>
                </w:tcPr>
                <w:p w14:paraId="06361028">
                  <w:pPr>
                    <w:pStyle w:val="11"/>
                    <w:spacing w:line="240" w:lineRule="exact"/>
                    <w:ind w:left="0" w:right="0" w:firstLine="0"/>
                    <w:jc w:val="center"/>
                    <w:rPr>
                      <w:sz w:val="21"/>
                      <w:szCs w:val="21"/>
                    </w:rPr>
                  </w:pPr>
                </w:p>
              </w:tc>
              <w:tc>
                <w:tcPr>
                  <w:tcW w:w="696" w:type="dxa"/>
                  <w:vMerge w:val="continue"/>
                  <w:vAlign w:val="center"/>
                </w:tcPr>
                <w:p w14:paraId="4AD8CF2B">
                  <w:pPr>
                    <w:pStyle w:val="11"/>
                    <w:spacing w:line="240" w:lineRule="exact"/>
                    <w:ind w:left="0" w:right="0" w:firstLine="0"/>
                    <w:jc w:val="center"/>
                    <w:rPr>
                      <w:sz w:val="21"/>
                      <w:szCs w:val="21"/>
                    </w:rPr>
                  </w:pPr>
                </w:p>
              </w:tc>
              <w:tc>
                <w:tcPr>
                  <w:tcW w:w="767" w:type="dxa"/>
                  <w:vMerge w:val="continue"/>
                  <w:vAlign w:val="center"/>
                </w:tcPr>
                <w:p w14:paraId="40F9E74D">
                  <w:pPr>
                    <w:pStyle w:val="11"/>
                    <w:spacing w:line="240" w:lineRule="exact"/>
                    <w:ind w:left="0" w:right="0" w:firstLine="0"/>
                    <w:jc w:val="center"/>
                    <w:rPr>
                      <w:sz w:val="21"/>
                      <w:szCs w:val="21"/>
                    </w:rPr>
                  </w:pPr>
                </w:p>
              </w:tc>
            </w:tr>
            <w:tr w14:paraId="6705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117" w:type="dxa"/>
                  <w:vAlign w:val="center"/>
                </w:tcPr>
                <w:p w14:paraId="5CFF48F6">
                  <w:pPr>
                    <w:pStyle w:val="11"/>
                    <w:spacing w:line="240" w:lineRule="exact"/>
                    <w:ind w:left="0" w:right="0" w:firstLine="0"/>
                    <w:jc w:val="center"/>
                    <w:rPr>
                      <w:sz w:val="21"/>
                      <w:szCs w:val="21"/>
                    </w:rPr>
                  </w:pPr>
                  <w:r>
                    <w:rPr>
                      <w:rFonts w:hint="eastAsia"/>
                      <w:sz w:val="21"/>
                      <w:szCs w:val="21"/>
                    </w:rPr>
                    <w:t>纯水制备废水</w:t>
                  </w:r>
                </w:p>
              </w:tc>
              <w:tc>
                <w:tcPr>
                  <w:tcW w:w="927" w:type="dxa"/>
                  <w:vAlign w:val="center"/>
                </w:tcPr>
                <w:p w14:paraId="665ACD88">
                  <w:pPr>
                    <w:pStyle w:val="11"/>
                    <w:spacing w:line="240" w:lineRule="exact"/>
                    <w:ind w:left="0" w:right="0" w:firstLine="0"/>
                    <w:jc w:val="center"/>
                    <w:rPr>
                      <w:rFonts w:hint="default" w:eastAsia="宋体"/>
                      <w:sz w:val="21"/>
                      <w:szCs w:val="21"/>
                      <w:lang w:val="en-US" w:eastAsia="zh-CN"/>
                    </w:rPr>
                  </w:pPr>
                  <w:r>
                    <w:rPr>
                      <w:rFonts w:hint="eastAsia"/>
                      <w:sz w:val="21"/>
                      <w:szCs w:val="21"/>
                      <w:lang w:val="en-US" w:eastAsia="zh-CN"/>
                    </w:rPr>
                    <w:t>0.525</w:t>
                  </w:r>
                </w:p>
              </w:tc>
              <w:tc>
                <w:tcPr>
                  <w:tcW w:w="859" w:type="dxa"/>
                  <w:vMerge w:val="continue"/>
                  <w:vAlign w:val="center"/>
                </w:tcPr>
                <w:p w14:paraId="3A82AD6D">
                  <w:pPr>
                    <w:pStyle w:val="11"/>
                    <w:spacing w:line="240" w:lineRule="exact"/>
                    <w:ind w:left="0" w:right="0" w:firstLine="0"/>
                    <w:jc w:val="center"/>
                    <w:rPr>
                      <w:sz w:val="21"/>
                      <w:szCs w:val="21"/>
                    </w:rPr>
                  </w:pPr>
                </w:p>
              </w:tc>
              <w:tc>
                <w:tcPr>
                  <w:tcW w:w="791" w:type="dxa"/>
                  <w:vMerge w:val="continue"/>
                  <w:vAlign w:val="center"/>
                </w:tcPr>
                <w:p w14:paraId="460157A9">
                  <w:pPr>
                    <w:pStyle w:val="11"/>
                    <w:spacing w:line="240" w:lineRule="exact"/>
                    <w:ind w:left="0" w:right="0" w:firstLine="0"/>
                    <w:jc w:val="center"/>
                    <w:rPr>
                      <w:sz w:val="21"/>
                      <w:szCs w:val="21"/>
                    </w:rPr>
                  </w:pPr>
                </w:p>
              </w:tc>
              <w:tc>
                <w:tcPr>
                  <w:tcW w:w="981" w:type="dxa"/>
                  <w:vMerge w:val="continue"/>
                  <w:vAlign w:val="center"/>
                </w:tcPr>
                <w:p w14:paraId="6AC47DDE">
                  <w:pPr>
                    <w:pStyle w:val="11"/>
                    <w:spacing w:line="240" w:lineRule="exact"/>
                    <w:ind w:left="0" w:right="0" w:firstLine="0"/>
                    <w:jc w:val="center"/>
                    <w:rPr>
                      <w:sz w:val="21"/>
                      <w:szCs w:val="21"/>
                    </w:rPr>
                  </w:pPr>
                </w:p>
              </w:tc>
              <w:tc>
                <w:tcPr>
                  <w:tcW w:w="846" w:type="dxa"/>
                  <w:vMerge w:val="continue"/>
                  <w:vAlign w:val="center"/>
                </w:tcPr>
                <w:p w14:paraId="6428A356">
                  <w:pPr>
                    <w:pStyle w:val="11"/>
                    <w:spacing w:line="240" w:lineRule="exact"/>
                    <w:ind w:left="0" w:right="0" w:firstLine="0"/>
                    <w:jc w:val="center"/>
                    <w:rPr>
                      <w:sz w:val="21"/>
                      <w:szCs w:val="21"/>
                    </w:rPr>
                  </w:pPr>
                </w:p>
              </w:tc>
              <w:tc>
                <w:tcPr>
                  <w:tcW w:w="818" w:type="dxa"/>
                  <w:vMerge w:val="continue"/>
                  <w:vAlign w:val="center"/>
                </w:tcPr>
                <w:p w14:paraId="69901C0D">
                  <w:pPr>
                    <w:pStyle w:val="11"/>
                    <w:spacing w:line="240" w:lineRule="exact"/>
                    <w:ind w:left="0" w:right="0" w:firstLine="0"/>
                    <w:jc w:val="center"/>
                    <w:rPr>
                      <w:sz w:val="21"/>
                      <w:szCs w:val="21"/>
                    </w:rPr>
                  </w:pPr>
                </w:p>
              </w:tc>
              <w:tc>
                <w:tcPr>
                  <w:tcW w:w="696" w:type="dxa"/>
                  <w:vMerge w:val="continue"/>
                  <w:vAlign w:val="center"/>
                </w:tcPr>
                <w:p w14:paraId="08E596D8">
                  <w:pPr>
                    <w:pStyle w:val="11"/>
                    <w:spacing w:line="240" w:lineRule="exact"/>
                    <w:ind w:left="0" w:right="0" w:firstLine="0"/>
                    <w:jc w:val="center"/>
                    <w:rPr>
                      <w:sz w:val="21"/>
                      <w:szCs w:val="21"/>
                    </w:rPr>
                  </w:pPr>
                </w:p>
              </w:tc>
              <w:tc>
                <w:tcPr>
                  <w:tcW w:w="767" w:type="dxa"/>
                  <w:vMerge w:val="continue"/>
                  <w:vAlign w:val="center"/>
                </w:tcPr>
                <w:p w14:paraId="4A18DC5A">
                  <w:pPr>
                    <w:pStyle w:val="11"/>
                    <w:spacing w:line="240" w:lineRule="exact"/>
                    <w:ind w:left="0" w:right="0" w:firstLine="0"/>
                    <w:jc w:val="center"/>
                    <w:rPr>
                      <w:sz w:val="21"/>
                      <w:szCs w:val="21"/>
                    </w:rPr>
                  </w:pPr>
                </w:p>
              </w:tc>
            </w:tr>
            <w:tr w14:paraId="0D4A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117" w:type="dxa"/>
                  <w:vAlign w:val="center"/>
                </w:tcPr>
                <w:p w14:paraId="1CE63E36">
                  <w:pPr>
                    <w:pStyle w:val="11"/>
                    <w:spacing w:line="240" w:lineRule="exact"/>
                    <w:ind w:left="0" w:right="0" w:firstLine="0"/>
                    <w:jc w:val="center"/>
                    <w:rPr>
                      <w:rFonts w:hint="default" w:eastAsia="宋体"/>
                      <w:sz w:val="21"/>
                      <w:szCs w:val="21"/>
                      <w:lang w:val="en-US" w:eastAsia="zh-CN"/>
                    </w:rPr>
                  </w:pPr>
                  <w:r>
                    <w:rPr>
                      <w:rFonts w:hint="eastAsia"/>
                      <w:sz w:val="21"/>
                      <w:szCs w:val="21"/>
                      <w:lang w:val="en-US" w:eastAsia="zh-CN"/>
                    </w:rPr>
                    <w:t>杀菌后清洗废水</w:t>
                  </w:r>
                </w:p>
              </w:tc>
              <w:tc>
                <w:tcPr>
                  <w:tcW w:w="927" w:type="dxa"/>
                  <w:vAlign w:val="center"/>
                </w:tcPr>
                <w:p w14:paraId="504AD5A9">
                  <w:pPr>
                    <w:pStyle w:val="11"/>
                    <w:spacing w:line="240" w:lineRule="exact"/>
                    <w:ind w:left="0" w:right="0" w:firstLine="0"/>
                    <w:jc w:val="center"/>
                    <w:rPr>
                      <w:rFonts w:hint="default"/>
                      <w:sz w:val="21"/>
                      <w:szCs w:val="21"/>
                      <w:lang w:val="en-US" w:eastAsia="zh-CN"/>
                    </w:rPr>
                  </w:pPr>
                  <w:r>
                    <w:rPr>
                      <w:rFonts w:hint="eastAsia"/>
                      <w:sz w:val="21"/>
                      <w:szCs w:val="21"/>
                      <w:lang w:val="en-US" w:eastAsia="zh-CN"/>
                    </w:rPr>
                    <w:t>0.3</w:t>
                  </w:r>
                </w:p>
              </w:tc>
              <w:tc>
                <w:tcPr>
                  <w:tcW w:w="859" w:type="dxa"/>
                  <w:vMerge w:val="continue"/>
                  <w:vAlign w:val="center"/>
                </w:tcPr>
                <w:p w14:paraId="405F5E53">
                  <w:pPr>
                    <w:pStyle w:val="11"/>
                    <w:spacing w:line="240" w:lineRule="exact"/>
                    <w:ind w:left="0" w:right="0" w:firstLine="0"/>
                    <w:jc w:val="center"/>
                    <w:rPr>
                      <w:sz w:val="21"/>
                      <w:szCs w:val="21"/>
                    </w:rPr>
                  </w:pPr>
                </w:p>
              </w:tc>
              <w:tc>
                <w:tcPr>
                  <w:tcW w:w="791" w:type="dxa"/>
                  <w:vMerge w:val="continue"/>
                  <w:vAlign w:val="center"/>
                </w:tcPr>
                <w:p w14:paraId="75AB3E66">
                  <w:pPr>
                    <w:pStyle w:val="11"/>
                    <w:spacing w:line="240" w:lineRule="exact"/>
                    <w:ind w:left="0" w:right="0" w:firstLine="0"/>
                    <w:jc w:val="center"/>
                    <w:rPr>
                      <w:sz w:val="21"/>
                      <w:szCs w:val="21"/>
                    </w:rPr>
                  </w:pPr>
                </w:p>
              </w:tc>
              <w:tc>
                <w:tcPr>
                  <w:tcW w:w="981" w:type="dxa"/>
                  <w:vMerge w:val="continue"/>
                  <w:vAlign w:val="center"/>
                </w:tcPr>
                <w:p w14:paraId="29FE081F">
                  <w:pPr>
                    <w:pStyle w:val="11"/>
                    <w:spacing w:line="240" w:lineRule="exact"/>
                    <w:ind w:left="0" w:right="0" w:firstLine="0"/>
                    <w:jc w:val="center"/>
                    <w:rPr>
                      <w:sz w:val="21"/>
                      <w:szCs w:val="21"/>
                    </w:rPr>
                  </w:pPr>
                </w:p>
              </w:tc>
              <w:tc>
                <w:tcPr>
                  <w:tcW w:w="846" w:type="dxa"/>
                  <w:vMerge w:val="continue"/>
                  <w:vAlign w:val="center"/>
                </w:tcPr>
                <w:p w14:paraId="3C3D1975">
                  <w:pPr>
                    <w:pStyle w:val="11"/>
                    <w:spacing w:line="240" w:lineRule="exact"/>
                    <w:ind w:left="0" w:right="0" w:firstLine="0"/>
                    <w:jc w:val="center"/>
                    <w:rPr>
                      <w:sz w:val="21"/>
                      <w:szCs w:val="21"/>
                    </w:rPr>
                  </w:pPr>
                </w:p>
              </w:tc>
              <w:tc>
                <w:tcPr>
                  <w:tcW w:w="818" w:type="dxa"/>
                  <w:vMerge w:val="continue"/>
                  <w:vAlign w:val="center"/>
                </w:tcPr>
                <w:p w14:paraId="42008785">
                  <w:pPr>
                    <w:pStyle w:val="11"/>
                    <w:spacing w:line="240" w:lineRule="exact"/>
                    <w:ind w:left="0" w:right="0" w:firstLine="0"/>
                    <w:jc w:val="center"/>
                    <w:rPr>
                      <w:sz w:val="21"/>
                      <w:szCs w:val="21"/>
                    </w:rPr>
                  </w:pPr>
                </w:p>
              </w:tc>
              <w:tc>
                <w:tcPr>
                  <w:tcW w:w="696" w:type="dxa"/>
                  <w:vMerge w:val="continue"/>
                  <w:vAlign w:val="center"/>
                </w:tcPr>
                <w:p w14:paraId="3D39136E">
                  <w:pPr>
                    <w:pStyle w:val="11"/>
                    <w:spacing w:line="240" w:lineRule="exact"/>
                    <w:ind w:left="0" w:right="0" w:firstLine="0"/>
                    <w:jc w:val="center"/>
                    <w:rPr>
                      <w:sz w:val="21"/>
                      <w:szCs w:val="21"/>
                    </w:rPr>
                  </w:pPr>
                </w:p>
              </w:tc>
              <w:tc>
                <w:tcPr>
                  <w:tcW w:w="767" w:type="dxa"/>
                  <w:vMerge w:val="continue"/>
                  <w:vAlign w:val="center"/>
                </w:tcPr>
                <w:p w14:paraId="0CCB8E55">
                  <w:pPr>
                    <w:pStyle w:val="11"/>
                    <w:spacing w:line="240" w:lineRule="exact"/>
                    <w:ind w:left="0" w:right="0" w:firstLine="0"/>
                    <w:jc w:val="center"/>
                    <w:rPr>
                      <w:sz w:val="21"/>
                      <w:szCs w:val="21"/>
                    </w:rPr>
                  </w:pPr>
                </w:p>
              </w:tc>
            </w:tr>
            <w:tr w14:paraId="435A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117" w:type="dxa"/>
                  <w:vAlign w:val="center"/>
                </w:tcPr>
                <w:p w14:paraId="6F6FEF0F">
                  <w:pPr>
                    <w:pStyle w:val="11"/>
                    <w:spacing w:line="240" w:lineRule="exact"/>
                    <w:ind w:left="0" w:right="0" w:firstLine="0"/>
                    <w:jc w:val="center"/>
                    <w:rPr>
                      <w:sz w:val="21"/>
                      <w:szCs w:val="21"/>
                    </w:rPr>
                  </w:pPr>
                  <w:r>
                    <w:rPr>
                      <w:rFonts w:hint="eastAsia"/>
                      <w:sz w:val="21"/>
                      <w:szCs w:val="21"/>
                    </w:rPr>
                    <w:t>治理措施</w:t>
                  </w:r>
                </w:p>
              </w:tc>
              <w:tc>
                <w:tcPr>
                  <w:tcW w:w="6685" w:type="dxa"/>
                  <w:gridSpan w:val="8"/>
                  <w:vAlign w:val="center"/>
                </w:tcPr>
                <w:p w14:paraId="2DD2ED38">
                  <w:pPr>
                    <w:pStyle w:val="11"/>
                    <w:spacing w:line="240" w:lineRule="exact"/>
                    <w:ind w:left="0" w:right="0" w:firstLine="0"/>
                    <w:jc w:val="center"/>
                    <w:rPr>
                      <w:sz w:val="21"/>
                      <w:szCs w:val="21"/>
                    </w:rPr>
                  </w:pPr>
                  <w:r>
                    <w:rPr>
                      <w:rFonts w:hint="eastAsia"/>
                      <w:sz w:val="21"/>
                      <w:szCs w:val="21"/>
                    </w:rPr>
                    <w:t>厂区污水处理站废水处理工艺“隔油池+水解酸化+气浮+厌氧+好氧+曝气+沉淀+清水池”</w:t>
                  </w:r>
                </w:p>
              </w:tc>
            </w:tr>
            <w:tr w14:paraId="34CC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117" w:type="dxa"/>
                  <w:vAlign w:val="center"/>
                </w:tcPr>
                <w:p w14:paraId="33598BB3">
                  <w:pPr>
                    <w:pStyle w:val="11"/>
                    <w:spacing w:line="240" w:lineRule="exact"/>
                    <w:ind w:left="0" w:right="0" w:firstLine="0"/>
                    <w:jc w:val="center"/>
                    <w:rPr>
                      <w:sz w:val="21"/>
                      <w:szCs w:val="21"/>
                    </w:rPr>
                  </w:pPr>
                  <w:r>
                    <w:rPr>
                      <w:rFonts w:hint="eastAsia"/>
                      <w:sz w:val="21"/>
                      <w:szCs w:val="21"/>
                    </w:rPr>
                    <w:t>去除效率</w:t>
                  </w:r>
                </w:p>
              </w:tc>
              <w:tc>
                <w:tcPr>
                  <w:tcW w:w="927" w:type="dxa"/>
                  <w:vAlign w:val="center"/>
                </w:tcPr>
                <w:p w14:paraId="7857E1CB">
                  <w:pPr>
                    <w:pStyle w:val="11"/>
                    <w:spacing w:line="240" w:lineRule="exact"/>
                    <w:ind w:left="0" w:right="0" w:firstLine="0"/>
                    <w:jc w:val="center"/>
                    <w:rPr>
                      <w:sz w:val="21"/>
                      <w:szCs w:val="21"/>
                    </w:rPr>
                  </w:pPr>
                  <w:r>
                    <w:rPr>
                      <w:rFonts w:hint="eastAsia"/>
                      <w:sz w:val="21"/>
                      <w:szCs w:val="21"/>
                    </w:rPr>
                    <w:t>/</w:t>
                  </w:r>
                </w:p>
              </w:tc>
              <w:tc>
                <w:tcPr>
                  <w:tcW w:w="859" w:type="dxa"/>
                  <w:vAlign w:val="center"/>
                </w:tcPr>
                <w:p w14:paraId="13D1B2B1">
                  <w:pPr>
                    <w:pStyle w:val="11"/>
                    <w:spacing w:line="240" w:lineRule="exact"/>
                    <w:ind w:left="0" w:right="0" w:firstLine="0"/>
                    <w:jc w:val="center"/>
                    <w:rPr>
                      <w:sz w:val="21"/>
                      <w:szCs w:val="21"/>
                    </w:rPr>
                  </w:pPr>
                  <w:r>
                    <w:rPr>
                      <w:rFonts w:hint="eastAsia"/>
                      <w:sz w:val="21"/>
                      <w:szCs w:val="21"/>
                    </w:rPr>
                    <w:t>/</w:t>
                  </w:r>
                </w:p>
              </w:tc>
              <w:tc>
                <w:tcPr>
                  <w:tcW w:w="791" w:type="dxa"/>
                  <w:vAlign w:val="center"/>
                </w:tcPr>
                <w:p w14:paraId="7600841F">
                  <w:pPr>
                    <w:pStyle w:val="11"/>
                    <w:spacing w:line="240" w:lineRule="exact"/>
                    <w:ind w:left="0" w:right="0" w:firstLine="0"/>
                    <w:jc w:val="center"/>
                    <w:rPr>
                      <w:sz w:val="21"/>
                      <w:szCs w:val="21"/>
                    </w:rPr>
                  </w:pPr>
                  <w:r>
                    <w:rPr>
                      <w:rFonts w:hint="eastAsia"/>
                      <w:color w:val="000000" w:themeColor="text1"/>
                      <w:sz w:val="21"/>
                      <w:szCs w:val="21"/>
                      <w14:textFill>
                        <w14:solidFill>
                          <w14:schemeClr w14:val="tx1"/>
                        </w14:solidFill>
                      </w14:textFill>
                    </w:rPr>
                    <w:t>96%</w:t>
                  </w:r>
                </w:p>
              </w:tc>
              <w:tc>
                <w:tcPr>
                  <w:tcW w:w="981" w:type="dxa"/>
                  <w:vAlign w:val="center"/>
                </w:tcPr>
                <w:p w14:paraId="0A146A52">
                  <w:pPr>
                    <w:pStyle w:val="11"/>
                    <w:spacing w:line="240" w:lineRule="exact"/>
                    <w:ind w:left="0" w:right="0" w:firstLine="0"/>
                    <w:jc w:val="center"/>
                    <w:rPr>
                      <w:sz w:val="21"/>
                      <w:szCs w:val="21"/>
                    </w:rPr>
                  </w:pPr>
                  <w:r>
                    <w:rPr>
                      <w:rFonts w:hint="eastAsia"/>
                      <w:color w:val="000000" w:themeColor="text1"/>
                      <w:sz w:val="21"/>
                      <w:szCs w:val="21"/>
                      <w14:textFill>
                        <w14:solidFill>
                          <w14:schemeClr w14:val="tx1"/>
                        </w14:solidFill>
                      </w14:textFill>
                    </w:rPr>
                    <w:t>70%</w:t>
                  </w:r>
                </w:p>
              </w:tc>
              <w:tc>
                <w:tcPr>
                  <w:tcW w:w="846" w:type="dxa"/>
                  <w:vAlign w:val="center"/>
                </w:tcPr>
                <w:p w14:paraId="5212CBEA">
                  <w:pPr>
                    <w:pStyle w:val="11"/>
                    <w:spacing w:line="240" w:lineRule="exact"/>
                    <w:ind w:left="0" w:right="0" w:firstLine="0"/>
                    <w:jc w:val="center"/>
                    <w:rPr>
                      <w:sz w:val="21"/>
                      <w:szCs w:val="21"/>
                    </w:rPr>
                  </w:pPr>
                  <w:r>
                    <w:rPr>
                      <w:rFonts w:hint="eastAsia"/>
                      <w:color w:val="000000" w:themeColor="text1"/>
                      <w:sz w:val="21"/>
                      <w:szCs w:val="21"/>
                      <w14:textFill>
                        <w14:solidFill>
                          <w14:schemeClr w14:val="tx1"/>
                        </w14:solidFill>
                      </w14:textFill>
                    </w:rPr>
                    <w:t>98%</w:t>
                  </w:r>
                </w:p>
              </w:tc>
              <w:tc>
                <w:tcPr>
                  <w:tcW w:w="818" w:type="dxa"/>
                  <w:vAlign w:val="center"/>
                </w:tcPr>
                <w:p w14:paraId="210D3005">
                  <w:pPr>
                    <w:pStyle w:val="11"/>
                    <w:spacing w:line="240" w:lineRule="exact"/>
                    <w:ind w:left="0" w:right="0" w:firstLine="0"/>
                    <w:jc w:val="center"/>
                    <w:rPr>
                      <w:sz w:val="21"/>
                      <w:szCs w:val="21"/>
                    </w:rPr>
                  </w:pPr>
                  <w:r>
                    <w:rPr>
                      <w:rFonts w:hint="eastAsia"/>
                      <w:color w:val="000000" w:themeColor="text1"/>
                      <w:sz w:val="21"/>
                      <w:szCs w:val="21"/>
                      <w14:textFill>
                        <w14:solidFill>
                          <w14:schemeClr w14:val="tx1"/>
                        </w14:solidFill>
                      </w14:textFill>
                    </w:rPr>
                    <w:t>99%</w:t>
                  </w:r>
                </w:p>
              </w:tc>
              <w:tc>
                <w:tcPr>
                  <w:tcW w:w="696" w:type="dxa"/>
                  <w:vAlign w:val="center"/>
                </w:tcPr>
                <w:p w14:paraId="3599CD0E">
                  <w:pPr>
                    <w:pStyle w:val="11"/>
                    <w:spacing w:line="240" w:lineRule="exact"/>
                    <w:ind w:left="0" w:right="0" w:firstLine="0"/>
                    <w:jc w:val="center"/>
                    <w:rPr>
                      <w:sz w:val="21"/>
                      <w:szCs w:val="21"/>
                    </w:rPr>
                  </w:pPr>
                  <w:r>
                    <w:rPr>
                      <w:rFonts w:hint="eastAsia"/>
                      <w:color w:val="000000" w:themeColor="text1"/>
                      <w:sz w:val="21"/>
                      <w:szCs w:val="21"/>
                      <w14:textFill>
                        <w14:solidFill>
                          <w14:schemeClr w14:val="tx1"/>
                        </w14:solidFill>
                      </w14:textFill>
                    </w:rPr>
                    <w:t>60%</w:t>
                  </w:r>
                </w:p>
              </w:tc>
              <w:tc>
                <w:tcPr>
                  <w:tcW w:w="767" w:type="dxa"/>
                  <w:vAlign w:val="center"/>
                </w:tcPr>
                <w:p w14:paraId="2E38CE31">
                  <w:pPr>
                    <w:pStyle w:val="11"/>
                    <w:spacing w:line="240" w:lineRule="exact"/>
                    <w:ind w:left="0" w:right="0" w:firstLine="0"/>
                    <w:jc w:val="center"/>
                    <w:rPr>
                      <w:sz w:val="21"/>
                      <w:szCs w:val="21"/>
                    </w:rPr>
                  </w:pPr>
                  <w:r>
                    <w:rPr>
                      <w:rFonts w:hint="eastAsia"/>
                      <w:color w:val="000000" w:themeColor="text1"/>
                      <w:sz w:val="21"/>
                      <w:szCs w:val="21"/>
                      <w14:textFill>
                        <w14:solidFill>
                          <w14:schemeClr w14:val="tx1"/>
                        </w14:solidFill>
                      </w14:textFill>
                    </w:rPr>
                    <w:t>99.2%</w:t>
                  </w:r>
                </w:p>
              </w:tc>
            </w:tr>
            <w:tr w14:paraId="7A1F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117" w:type="dxa"/>
                  <w:vAlign w:val="center"/>
                </w:tcPr>
                <w:p w14:paraId="21EF7551">
                  <w:pPr>
                    <w:pStyle w:val="11"/>
                    <w:spacing w:line="240" w:lineRule="exact"/>
                    <w:ind w:left="0" w:right="0" w:firstLine="0"/>
                    <w:jc w:val="center"/>
                    <w:rPr>
                      <w:sz w:val="21"/>
                      <w:szCs w:val="21"/>
                    </w:rPr>
                  </w:pPr>
                  <w:r>
                    <w:rPr>
                      <w:rFonts w:hint="eastAsia"/>
                      <w:sz w:val="21"/>
                      <w:szCs w:val="21"/>
                    </w:rPr>
                    <w:t>厂区总排口出水</w:t>
                  </w:r>
                </w:p>
              </w:tc>
              <w:tc>
                <w:tcPr>
                  <w:tcW w:w="927" w:type="dxa"/>
                  <w:shd w:val="clear" w:color="auto" w:fill="auto"/>
                  <w:vAlign w:val="center"/>
                </w:tcPr>
                <w:p w14:paraId="3ACE45F7">
                  <w:pPr>
                    <w:pStyle w:val="11"/>
                    <w:spacing w:line="240" w:lineRule="exact"/>
                    <w:ind w:left="0" w:right="0" w:firstLine="0"/>
                    <w:jc w:val="center"/>
                    <w:rPr>
                      <w:rFonts w:hint="default" w:eastAsia="宋体"/>
                      <w:sz w:val="21"/>
                      <w:szCs w:val="21"/>
                      <w:lang w:val="en-US" w:eastAsia="zh-CN"/>
                    </w:rPr>
                  </w:pPr>
                  <w:r>
                    <w:rPr>
                      <w:rFonts w:hint="eastAsia"/>
                      <w:sz w:val="21"/>
                      <w:szCs w:val="21"/>
                      <w:lang w:val="en-US" w:eastAsia="zh-CN"/>
                    </w:rPr>
                    <w:t>7.2833</w:t>
                  </w:r>
                </w:p>
              </w:tc>
              <w:tc>
                <w:tcPr>
                  <w:tcW w:w="859" w:type="dxa"/>
                  <w:vAlign w:val="center"/>
                </w:tcPr>
                <w:p w14:paraId="64FA0B06">
                  <w:pPr>
                    <w:pStyle w:val="11"/>
                    <w:spacing w:line="240" w:lineRule="exact"/>
                    <w:ind w:left="0" w:right="0" w:firstLine="0"/>
                    <w:jc w:val="center"/>
                    <w:rPr>
                      <w:color w:val="auto"/>
                      <w:sz w:val="21"/>
                      <w:szCs w:val="21"/>
                      <w:highlight w:val="none"/>
                    </w:rPr>
                  </w:pPr>
                  <w:r>
                    <w:rPr>
                      <w:rFonts w:hint="eastAsia"/>
                      <w:color w:val="auto"/>
                      <w:sz w:val="21"/>
                      <w:szCs w:val="21"/>
                      <w:highlight w:val="none"/>
                    </w:rPr>
                    <w:t>7.1</w:t>
                  </w:r>
                </w:p>
              </w:tc>
              <w:tc>
                <w:tcPr>
                  <w:tcW w:w="791" w:type="dxa"/>
                  <w:vAlign w:val="center"/>
                </w:tcPr>
                <w:p w14:paraId="7A1083ED">
                  <w:pPr>
                    <w:pStyle w:val="11"/>
                    <w:spacing w:line="240" w:lineRule="exact"/>
                    <w:ind w:left="0" w:right="0" w:firstLine="0"/>
                    <w:jc w:val="center"/>
                    <w:rPr>
                      <w:color w:val="auto"/>
                      <w:sz w:val="21"/>
                      <w:szCs w:val="21"/>
                      <w:highlight w:val="none"/>
                    </w:rPr>
                  </w:pPr>
                  <w:r>
                    <w:rPr>
                      <w:rFonts w:hint="eastAsia"/>
                      <w:color w:val="auto"/>
                      <w:sz w:val="21"/>
                      <w:szCs w:val="21"/>
                      <w:highlight w:val="none"/>
                    </w:rPr>
                    <w:t>25</w:t>
                  </w:r>
                </w:p>
              </w:tc>
              <w:tc>
                <w:tcPr>
                  <w:tcW w:w="981" w:type="dxa"/>
                  <w:vAlign w:val="center"/>
                </w:tcPr>
                <w:p w14:paraId="3D765BEA">
                  <w:pPr>
                    <w:pStyle w:val="11"/>
                    <w:spacing w:line="240" w:lineRule="exact"/>
                    <w:ind w:left="0" w:right="0" w:firstLine="0"/>
                    <w:jc w:val="center"/>
                    <w:rPr>
                      <w:color w:val="auto"/>
                      <w:sz w:val="21"/>
                      <w:szCs w:val="21"/>
                      <w:highlight w:val="none"/>
                    </w:rPr>
                  </w:pPr>
                  <w:r>
                    <w:rPr>
                      <w:rFonts w:hint="eastAsia"/>
                      <w:color w:val="auto"/>
                      <w:sz w:val="21"/>
                      <w:szCs w:val="21"/>
                      <w:highlight w:val="none"/>
                    </w:rPr>
                    <w:t>0.147</w:t>
                  </w:r>
                </w:p>
              </w:tc>
              <w:tc>
                <w:tcPr>
                  <w:tcW w:w="846" w:type="dxa"/>
                  <w:vAlign w:val="center"/>
                </w:tcPr>
                <w:p w14:paraId="549BC3B5">
                  <w:pPr>
                    <w:pStyle w:val="11"/>
                    <w:spacing w:line="240" w:lineRule="exact"/>
                    <w:ind w:left="0" w:right="0" w:firstLine="0"/>
                    <w:jc w:val="center"/>
                    <w:rPr>
                      <w:color w:val="auto"/>
                      <w:sz w:val="21"/>
                      <w:szCs w:val="21"/>
                      <w:highlight w:val="none"/>
                    </w:rPr>
                  </w:pPr>
                  <w:r>
                    <w:rPr>
                      <w:rFonts w:hint="eastAsia"/>
                      <w:color w:val="auto"/>
                      <w:sz w:val="21"/>
                      <w:szCs w:val="21"/>
                      <w:highlight w:val="none"/>
                    </w:rPr>
                    <w:t>13</w:t>
                  </w:r>
                </w:p>
              </w:tc>
              <w:tc>
                <w:tcPr>
                  <w:tcW w:w="818" w:type="dxa"/>
                  <w:vAlign w:val="center"/>
                </w:tcPr>
                <w:p w14:paraId="2A1D6E28">
                  <w:pPr>
                    <w:pStyle w:val="11"/>
                    <w:spacing w:line="240" w:lineRule="exact"/>
                    <w:ind w:left="0" w:right="0" w:firstLine="0"/>
                    <w:jc w:val="center"/>
                    <w:rPr>
                      <w:color w:val="auto"/>
                      <w:sz w:val="21"/>
                      <w:szCs w:val="21"/>
                      <w:highlight w:val="none"/>
                    </w:rPr>
                  </w:pPr>
                  <w:r>
                    <w:rPr>
                      <w:rFonts w:hint="eastAsia"/>
                      <w:color w:val="auto"/>
                      <w:sz w:val="21"/>
                      <w:szCs w:val="21"/>
                      <w:highlight w:val="none"/>
                    </w:rPr>
                    <w:t>5.9</w:t>
                  </w:r>
                </w:p>
              </w:tc>
              <w:tc>
                <w:tcPr>
                  <w:tcW w:w="696" w:type="dxa"/>
                  <w:vAlign w:val="center"/>
                </w:tcPr>
                <w:p w14:paraId="5AC649CF">
                  <w:pPr>
                    <w:pStyle w:val="11"/>
                    <w:spacing w:line="240" w:lineRule="exact"/>
                    <w:ind w:left="0" w:right="0" w:firstLine="0"/>
                    <w:jc w:val="center"/>
                    <w:rPr>
                      <w:color w:val="auto"/>
                      <w:sz w:val="21"/>
                      <w:szCs w:val="21"/>
                      <w:highlight w:val="none"/>
                    </w:rPr>
                  </w:pPr>
                  <w:r>
                    <w:rPr>
                      <w:rFonts w:hint="eastAsia"/>
                      <w:color w:val="auto"/>
                      <w:sz w:val="21"/>
                      <w:szCs w:val="21"/>
                      <w:highlight w:val="none"/>
                    </w:rPr>
                    <w:t>0.14</w:t>
                  </w:r>
                </w:p>
              </w:tc>
              <w:tc>
                <w:tcPr>
                  <w:tcW w:w="767" w:type="dxa"/>
                  <w:vAlign w:val="center"/>
                </w:tcPr>
                <w:p w14:paraId="1E5D8B73">
                  <w:pPr>
                    <w:pStyle w:val="11"/>
                    <w:spacing w:line="240" w:lineRule="exact"/>
                    <w:ind w:left="0" w:right="0" w:firstLine="0"/>
                    <w:jc w:val="center"/>
                    <w:rPr>
                      <w:color w:val="auto"/>
                      <w:sz w:val="21"/>
                      <w:szCs w:val="21"/>
                      <w:highlight w:val="none"/>
                    </w:rPr>
                  </w:pPr>
                  <w:r>
                    <w:rPr>
                      <w:rFonts w:hint="eastAsia"/>
                      <w:color w:val="auto"/>
                      <w:sz w:val="21"/>
                      <w:szCs w:val="21"/>
                      <w:highlight w:val="none"/>
                    </w:rPr>
                    <w:t>0.94</w:t>
                  </w:r>
                </w:p>
              </w:tc>
            </w:tr>
            <w:tr w14:paraId="6099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117" w:type="dxa"/>
                  <w:vAlign w:val="center"/>
                </w:tcPr>
                <w:p w14:paraId="72CE0E62">
                  <w:pPr>
                    <w:pStyle w:val="11"/>
                    <w:spacing w:line="240" w:lineRule="exact"/>
                    <w:ind w:left="0" w:right="0" w:firstLine="0"/>
                    <w:jc w:val="center"/>
                    <w:rPr>
                      <w:rFonts w:hint="default"/>
                      <w:sz w:val="21"/>
                      <w:szCs w:val="21"/>
                      <w:lang w:val="en-US"/>
                    </w:rPr>
                  </w:pPr>
                  <w:r>
                    <w:rPr>
                      <w:rFonts w:hint="eastAsia" w:ascii="Times New Roman" w:hAnsi="Times New Roman" w:eastAsia="宋体" w:cs="Times New Roman"/>
                      <w:color w:val="000000" w:themeColor="text1"/>
                      <w:sz w:val="21"/>
                      <w:szCs w:val="21"/>
                      <w14:textFill>
                        <w14:solidFill>
                          <w14:schemeClr w14:val="tx1"/>
                        </w14:solidFill>
                      </w14:textFill>
                    </w:rPr>
                    <w:t>《食品加工制造业水污染物排放标准 》（GB 46817—2025）表</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cs="Times New Roman"/>
                      <w:color w:val="000000" w:themeColor="text1"/>
                      <w:sz w:val="21"/>
                      <w:szCs w:val="21"/>
                      <w:lang w:val="en-US" w:eastAsia="zh-CN"/>
                      <w14:textFill>
                        <w14:solidFill>
                          <w14:schemeClr w14:val="tx1"/>
                        </w14:solidFill>
                      </w14:textFill>
                    </w:rPr>
                    <w:t>间接排放</w:t>
                  </w:r>
                </w:p>
              </w:tc>
              <w:tc>
                <w:tcPr>
                  <w:tcW w:w="927" w:type="dxa"/>
                  <w:shd w:val="clear" w:color="auto" w:fill="auto"/>
                  <w:vAlign w:val="center"/>
                </w:tcPr>
                <w:p w14:paraId="0BF50698">
                  <w:pPr>
                    <w:pStyle w:val="11"/>
                    <w:spacing w:line="240" w:lineRule="exact"/>
                    <w:ind w:left="0" w:right="0" w:firstLine="0"/>
                    <w:jc w:val="center"/>
                    <w:rPr>
                      <w:rFonts w:hint="eastAsia" w:eastAsia="宋体"/>
                      <w:sz w:val="21"/>
                      <w:szCs w:val="21"/>
                      <w:lang w:val="en-US" w:eastAsia="zh-CN"/>
                    </w:rPr>
                  </w:pPr>
                  <w:r>
                    <w:rPr>
                      <w:rFonts w:hint="eastAsia"/>
                      <w:sz w:val="21"/>
                      <w:szCs w:val="21"/>
                      <w:lang w:val="en-US" w:eastAsia="zh-CN"/>
                    </w:rPr>
                    <w:t>/</w:t>
                  </w:r>
                </w:p>
              </w:tc>
              <w:tc>
                <w:tcPr>
                  <w:tcW w:w="859" w:type="dxa"/>
                  <w:vAlign w:val="center"/>
                </w:tcPr>
                <w:p w14:paraId="16C1C389">
                  <w:pPr>
                    <w:pStyle w:val="11"/>
                    <w:spacing w:line="240" w:lineRule="exact"/>
                    <w:ind w:left="0" w:right="0" w:firstLine="0"/>
                    <w:jc w:val="center"/>
                    <w:rPr>
                      <w:rFonts w:hint="eastAsia"/>
                      <w:sz w:val="21"/>
                      <w:szCs w:val="21"/>
                    </w:rPr>
                  </w:pPr>
                  <w:r>
                    <w:rPr>
                      <w:rFonts w:hint="eastAsia"/>
                      <w:color w:val="000000" w:themeColor="text1"/>
                      <w:sz w:val="21"/>
                      <w:szCs w:val="21"/>
                      <w14:textFill>
                        <w14:solidFill>
                          <w14:schemeClr w14:val="tx1"/>
                        </w14:solidFill>
                      </w14:textFill>
                    </w:rPr>
                    <w:t>6</w:t>
                  </w:r>
                  <w:r>
                    <w:rPr>
                      <w:rFonts w:hint="eastAsia" w:ascii="微软雅黑" w:hAnsi="微软雅黑" w:eastAsia="微软雅黑" w:cs="微软雅黑"/>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9</w:t>
                  </w:r>
                </w:p>
              </w:tc>
              <w:tc>
                <w:tcPr>
                  <w:tcW w:w="791" w:type="dxa"/>
                  <w:vAlign w:val="center"/>
                </w:tcPr>
                <w:p w14:paraId="1999650D">
                  <w:pPr>
                    <w:pStyle w:val="11"/>
                    <w:spacing w:line="240" w:lineRule="exact"/>
                    <w:ind w:left="0" w:right="0" w:firstLine="0"/>
                    <w:jc w:val="center"/>
                    <w:rPr>
                      <w:rFonts w:hint="default" w:eastAsia="宋体"/>
                      <w:sz w:val="21"/>
                      <w:szCs w:val="21"/>
                      <w:lang w:val="en-US" w:eastAsia="zh-CN"/>
                    </w:rPr>
                  </w:pPr>
                  <w:r>
                    <w:rPr>
                      <w:rFonts w:hint="eastAsia"/>
                      <w:sz w:val="21"/>
                      <w:szCs w:val="21"/>
                      <w:lang w:val="en-US" w:eastAsia="zh-CN"/>
                    </w:rPr>
                    <w:t>500</w:t>
                  </w:r>
                </w:p>
              </w:tc>
              <w:tc>
                <w:tcPr>
                  <w:tcW w:w="981" w:type="dxa"/>
                  <w:vAlign w:val="center"/>
                </w:tcPr>
                <w:p w14:paraId="7D94AE70">
                  <w:pPr>
                    <w:pStyle w:val="11"/>
                    <w:spacing w:line="240" w:lineRule="exact"/>
                    <w:ind w:left="0" w:right="0" w:firstLine="0"/>
                    <w:jc w:val="center"/>
                    <w:rPr>
                      <w:rFonts w:hint="default" w:eastAsia="宋体"/>
                      <w:sz w:val="21"/>
                      <w:szCs w:val="21"/>
                      <w:lang w:val="en-US" w:eastAsia="zh-CN"/>
                    </w:rPr>
                  </w:pPr>
                  <w:r>
                    <w:rPr>
                      <w:rFonts w:hint="eastAsia"/>
                      <w:sz w:val="21"/>
                      <w:szCs w:val="21"/>
                      <w:lang w:val="en-US" w:eastAsia="zh-CN"/>
                    </w:rPr>
                    <w:t>45</w:t>
                  </w:r>
                </w:p>
              </w:tc>
              <w:tc>
                <w:tcPr>
                  <w:tcW w:w="846" w:type="dxa"/>
                  <w:vAlign w:val="center"/>
                </w:tcPr>
                <w:p w14:paraId="01B2946D">
                  <w:pPr>
                    <w:pStyle w:val="11"/>
                    <w:spacing w:line="240" w:lineRule="exact"/>
                    <w:ind w:left="0" w:right="0" w:firstLine="0"/>
                    <w:jc w:val="center"/>
                    <w:rPr>
                      <w:rFonts w:hint="default" w:eastAsia="宋体"/>
                      <w:sz w:val="21"/>
                      <w:szCs w:val="21"/>
                      <w:lang w:val="en-US" w:eastAsia="zh-CN"/>
                    </w:rPr>
                  </w:pPr>
                  <w:r>
                    <w:rPr>
                      <w:rFonts w:hint="eastAsia"/>
                      <w:sz w:val="21"/>
                      <w:szCs w:val="21"/>
                      <w:lang w:val="en-US" w:eastAsia="zh-CN"/>
                    </w:rPr>
                    <w:t>400</w:t>
                  </w:r>
                </w:p>
              </w:tc>
              <w:tc>
                <w:tcPr>
                  <w:tcW w:w="818" w:type="dxa"/>
                  <w:vAlign w:val="center"/>
                </w:tcPr>
                <w:p w14:paraId="44DEFF78">
                  <w:pPr>
                    <w:pStyle w:val="11"/>
                    <w:spacing w:line="240" w:lineRule="exact"/>
                    <w:ind w:left="0" w:right="0" w:firstLine="0"/>
                    <w:jc w:val="center"/>
                    <w:rPr>
                      <w:rFonts w:hint="default" w:eastAsia="宋体"/>
                      <w:sz w:val="21"/>
                      <w:szCs w:val="21"/>
                      <w:lang w:val="en-US" w:eastAsia="zh-CN"/>
                    </w:rPr>
                  </w:pPr>
                  <w:r>
                    <w:rPr>
                      <w:rFonts w:hint="eastAsia"/>
                      <w:sz w:val="21"/>
                      <w:szCs w:val="21"/>
                      <w:lang w:val="en-US" w:eastAsia="zh-CN"/>
                    </w:rPr>
                    <w:t>350</w:t>
                  </w:r>
                </w:p>
              </w:tc>
              <w:tc>
                <w:tcPr>
                  <w:tcW w:w="696" w:type="dxa"/>
                  <w:vAlign w:val="center"/>
                </w:tcPr>
                <w:p w14:paraId="5B9D62BC">
                  <w:pPr>
                    <w:pStyle w:val="11"/>
                    <w:spacing w:line="240" w:lineRule="exact"/>
                    <w:ind w:left="0" w:right="0" w:firstLine="0"/>
                    <w:jc w:val="center"/>
                    <w:rPr>
                      <w:rFonts w:hint="default" w:eastAsia="宋体"/>
                      <w:sz w:val="21"/>
                      <w:szCs w:val="21"/>
                      <w:lang w:val="en-US" w:eastAsia="zh-CN"/>
                    </w:rPr>
                  </w:pPr>
                  <w:r>
                    <w:rPr>
                      <w:rFonts w:hint="eastAsia"/>
                      <w:sz w:val="21"/>
                      <w:szCs w:val="21"/>
                      <w:lang w:val="en-US" w:eastAsia="zh-CN"/>
                    </w:rPr>
                    <w:t>8.0</w:t>
                  </w:r>
                </w:p>
              </w:tc>
              <w:tc>
                <w:tcPr>
                  <w:tcW w:w="767" w:type="dxa"/>
                  <w:vAlign w:val="center"/>
                </w:tcPr>
                <w:p w14:paraId="4574F4F1">
                  <w:pPr>
                    <w:pStyle w:val="11"/>
                    <w:spacing w:line="240" w:lineRule="exact"/>
                    <w:ind w:left="0" w:right="0" w:firstLine="0"/>
                    <w:jc w:val="center"/>
                    <w:rPr>
                      <w:rFonts w:hint="eastAsia" w:eastAsia="宋体"/>
                      <w:sz w:val="21"/>
                      <w:szCs w:val="21"/>
                      <w:lang w:eastAsia="zh-CN"/>
                    </w:rPr>
                  </w:pPr>
                  <w:r>
                    <w:rPr>
                      <w:rFonts w:hint="eastAsia"/>
                      <w:sz w:val="21"/>
                      <w:szCs w:val="21"/>
                      <w:lang w:val="en-US" w:eastAsia="zh-CN"/>
                    </w:rPr>
                    <w:t>/</w:t>
                  </w:r>
                </w:p>
              </w:tc>
            </w:tr>
            <w:tr w14:paraId="016C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117" w:type="dxa"/>
                  <w:vAlign w:val="center"/>
                </w:tcPr>
                <w:p w14:paraId="5CDF1BBD">
                  <w:pPr>
                    <w:pStyle w:val="11"/>
                    <w:spacing w:line="240" w:lineRule="exact"/>
                    <w:ind w:left="0" w:right="0" w:firstLine="0"/>
                    <w:jc w:val="center"/>
                    <w:rPr>
                      <w:sz w:val="21"/>
                      <w:szCs w:val="21"/>
                    </w:rPr>
                  </w:pPr>
                  <w:r>
                    <w:rPr>
                      <w:color w:val="000000" w:themeColor="text1"/>
                      <w:sz w:val="21"/>
                      <w:szCs w:val="21"/>
                      <w14:textFill>
                        <w14:solidFill>
                          <w14:schemeClr w14:val="tx1"/>
                        </w14:solidFill>
                      </w14:textFill>
                    </w:rPr>
                    <w:t>《污水综合排放标准》 （GB8978-1996）表4三级</w:t>
                  </w:r>
                </w:p>
              </w:tc>
              <w:tc>
                <w:tcPr>
                  <w:tcW w:w="927" w:type="dxa"/>
                  <w:vAlign w:val="center"/>
                </w:tcPr>
                <w:p w14:paraId="154F4C5D">
                  <w:pPr>
                    <w:pStyle w:val="11"/>
                    <w:spacing w:line="240" w:lineRule="exact"/>
                    <w:ind w:left="0" w:right="0" w:firstLine="0"/>
                    <w:jc w:val="center"/>
                    <w:rPr>
                      <w:sz w:val="21"/>
                      <w:szCs w:val="21"/>
                    </w:rPr>
                  </w:pPr>
                  <w:r>
                    <w:rPr>
                      <w:rFonts w:hint="eastAsia"/>
                      <w:sz w:val="21"/>
                      <w:szCs w:val="21"/>
                    </w:rPr>
                    <w:t>/</w:t>
                  </w:r>
                </w:p>
              </w:tc>
              <w:tc>
                <w:tcPr>
                  <w:tcW w:w="859" w:type="dxa"/>
                  <w:vAlign w:val="center"/>
                </w:tcPr>
                <w:p w14:paraId="43F79D09">
                  <w:pPr>
                    <w:pStyle w:val="11"/>
                    <w:spacing w:line="240" w:lineRule="exact"/>
                    <w:ind w:left="0" w:right="0" w:firstLine="0"/>
                    <w:jc w:val="center"/>
                    <w:rPr>
                      <w:rFonts w:hint="eastAsia" w:eastAsia="宋体"/>
                      <w:sz w:val="21"/>
                      <w:szCs w:val="21"/>
                      <w:lang w:val="en-US" w:eastAsia="zh-CN"/>
                    </w:rPr>
                  </w:pPr>
                  <w:r>
                    <w:rPr>
                      <w:rFonts w:hint="eastAsia"/>
                      <w:sz w:val="21"/>
                      <w:szCs w:val="21"/>
                      <w:lang w:val="en-US" w:eastAsia="zh-CN"/>
                    </w:rPr>
                    <w:t>/</w:t>
                  </w:r>
                </w:p>
              </w:tc>
              <w:tc>
                <w:tcPr>
                  <w:tcW w:w="791" w:type="dxa"/>
                  <w:vAlign w:val="center"/>
                </w:tcPr>
                <w:p w14:paraId="5D5B4121">
                  <w:pPr>
                    <w:pStyle w:val="11"/>
                    <w:spacing w:line="240" w:lineRule="exact"/>
                    <w:ind w:left="0" w:right="0" w:firstLine="0"/>
                    <w:jc w:val="center"/>
                    <w:rPr>
                      <w:rFonts w:hint="eastAsia" w:eastAsia="宋体"/>
                      <w:sz w:val="21"/>
                      <w:szCs w:val="21"/>
                      <w:lang w:val="en-US" w:eastAsia="zh-CN"/>
                    </w:rPr>
                  </w:pPr>
                  <w:r>
                    <w:rPr>
                      <w:rFonts w:hint="eastAsia"/>
                      <w:sz w:val="21"/>
                      <w:szCs w:val="21"/>
                      <w:lang w:val="en-US" w:eastAsia="zh-CN"/>
                    </w:rPr>
                    <w:t>/</w:t>
                  </w:r>
                </w:p>
              </w:tc>
              <w:tc>
                <w:tcPr>
                  <w:tcW w:w="981" w:type="dxa"/>
                  <w:vAlign w:val="center"/>
                </w:tcPr>
                <w:p w14:paraId="4F88B6DA">
                  <w:pPr>
                    <w:pStyle w:val="11"/>
                    <w:spacing w:line="240" w:lineRule="exact"/>
                    <w:ind w:left="0" w:right="0" w:firstLine="0"/>
                    <w:jc w:val="center"/>
                    <w:rPr>
                      <w:rFonts w:hint="eastAsia" w:eastAsia="宋体"/>
                      <w:sz w:val="21"/>
                      <w:szCs w:val="21"/>
                      <w:lang w:val="en-US" w:eastAsia="zh-CN"/>
                    </w:rPr>
                  </w:pPr>
                  <w:r>
                    <w:rPr>
                      <w:rFonts w:hint="eastAsia"/>
                      <w:sz w:val="21"/>
                      <w:szCs w:val="21"/>
                      <w:lang w:val="en-US" w:eastAsia="zh-CN"/>
                    </w:rPr>
                    <w:t>/</w:t>
                  </w:r>
                </w:p>
              </w:tc>
              <w:tc>
                <w:tcPr>
                  <w:tcW w:w="846" w:type="dxa"/>
                  <w:vAlign w:val="center"/>
                </w:tcPr>
                <w:p w14:paraId="68CE03E0">
                  <w:pPr>
                    <w:pStyle w:val="11"/>
                    <w:spacing w:line="240" w:lineRule="exact"/>
                    <w:ind w:left="0" w:right="0" w:firstLine="0"/>
                    <w:jc w:val="center"/>
                    <w:rPr>
                      <w:rFonts w:hint="eastAsia" w:eastAsia="宋体"/>
                      <w:sz w:val="21"/>
                      <w:szCs w:val="21"/>
                      <w:lang w:val="en-US" w:eastAsia="zh-CN"/>
                    </w:rPr>
                  </w:pPr>
                  <w:r>
                    <w:rPr>
                      <w:rFonts w:hint="eastAsia"/>
                      <w:sz w:val="21"/>
                      <w:szCs w:val="21"/>
                      <w:lang w:val="en-US" w:eastAsia="zh-CN"/>
                    </w:rPr>
                    <w:t>/</w:t>
                  </w:r>
                </w:p>
              </w:tc>
              <w:tc>
                <w:tcPr>
                  <w:tcW w:w="818" w:type="dxa"/>
                  <w:vAlign w:val="center"/>
                </w:tcPr>
                <w:p w14:paraId="57C36BDD">
                  <w:pPr>
                    <w:pStyle w:val="11"/>
                    <w:spacing w:line="240" w:lineRule="exact"/>
                    <w:ind w:left="0" w:right="0" w:firstLine="0"/>
                    <w:jc w:val="center"/>
                    <w:rPr>
                      <w:rFonts w:hint="eastAsia" w:eastAsia="宋体"/>
                      <w:sz w:val="21"/>
                      <w:szCs w:val="21"/>
                      <w:lang w:val="en-US" w:eastAsia="zh-CN"/>
                    </w:rPr>
                  </w:pPr>
                  <w:r>
                    <w:rPr>
                      <w:rFonts w:hint="eastAsia"/>
                      <w:sz w:val="21"/>
                      <w:szCs w:val="21"/>
                      <w:lang w:val="en-US" w:eastAsia="zh-CN"/>
                    </w:rPr>
                    <w:t>/</w:t>
                  </w:r>
                </w:p>
              </w:tc>
              <w:tc>
                <w:tcPr>
                  <w:tcW w:w="696" w:type="dxa"/>
                  <w:vAlign w:val="center"/>
                </w:tcPr>
                <w:p w14:paraId="43A0002E">
                  <w:pPr>
                    <w:pStyle w:val="11"/>
                    <w:spacing w:line="240" w:lineRule="exact"/>
                    <w:ind w:left="0" w:right="0" w:firstLine="0"/>
                    <w:jc w:val="center"/>
                    <w:rPr>
                      <w:sz w:val="21"/>
                      <w:szCs w:val="21"/>
                    </w:rPr>
                  </w:pPr>
                  <w:r>
                    <w:rPr>
                      <w:rFonts w:hint="eastAsia"/>
                      <w:sz w:val="21"/>
                      <w:szCs w:val="21"/>
                    </w:rPr>
                    <w:t>/</w:t>
                  </w:r>
                </w:p>
              </w:tc>
              <w:tc>
                <w:tcPr>
                  <w:tcW w:w="767" w:type="dxa"/>
                  <w:vAlign w:val="center"/>
                </w:tcPr>
                <w:p w14:paraId="7074FEC7">
                  <w:pPr>
                    <w:pStyle w:val="11"/>
                    <w:spacing w:line="240" w:lineRule="exact"/>
                    <w:ind w:left="0" w:right="0" w:firstLine="0"/>
                    <w:jc w:val="center"/>
                    <w:rPr>
                      <w:sz w:val="21"/>
                      <w:szCs w:val="21"/>
                    </w:rPr>
                  </w:pPr>
                  <w:r>
                    <w:rPr>
                      <w:rFonts w:hint="eastAsia"/>
                      <w:color w:val="000000" w:themeColor="text1"/>
                      <w:sz w:val="21"/>
                      <w:szCs w:val="21"/>
                      <w14:textFill>
                        <w14:solidFill>
                          <w14:schemeClr w14:val="tx1"/>
                        </w14:solidFill>
                      </w14:textFill>
                    </w:rPr>
                    <w:t>100</w:t>
                  </w:r>
                </w:p>
              </w:tc>
            </w:tr>
            <w:tr w14:paraId="7FD9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117" w:type="dxa"/>
                  <w:vAlign w:val="center"/>
                </w:tcPr>
                <w:p w14:paraId="5CAD44F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《农田灌溉水质标准》（GB5084-20</w:t>
                  </w:r>
                  <w:r>
                    <w:rPr>
                      <w:rFonts w:hint="eastAsia"/>
                      <w:color w:val="000000" w:themeColor="text1"/>
                      <w:sz w:val="21"/>
                      <w:szCs w:val="21"/>
                      <w:lang w:val="en-US" w:eastAsia="zh-CN"/>
                      <w14:textFill>
                        <w14:solidFill>
                          <w14:schemeClr w14:val="tx1"/>
                        </w14:solidFill>
                      </w14:textFill>
                    </w:rPr>
                    <w:t>21</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表1旱地作物</w:t>
                  </w:r>
                </w:p>
              </w:tc>
              <w:tc>
                <w:tcPr>
                  <w:tcW w:w="927" w:type="dxa"/>
                  <w:vAlign w:val="center"/>
                </w:tcPr>
                <w:p w14:paraId="4AA9A4C9">
                  <w:pPr>
                    <w:pStyle w:val="11"/>
                    <w:spacing w:line="240" w:lineRule="exact"/>
                    <w:ind w:left="0" w:right="0" w:firstLine="0"/>
                    <w:jc w:val="center"/>
                    <w:rPr>
                      <w:sz w:val="21"/>
                      <w:szCs w:val="21"/>
                    </w:rPr>
                  </w:pPr>
                  <w:r>
                    <w:rPr>
                      <w:rFonts w:hint="eastAsia"/>
                      <w:sz w:val="21"/>
                      <w:szCs w:val="21"/>
                    </w:rPr>
                    <w:t>/</w:t>
                  </w:r>
                </w:p>
              </w:tc>
              <w:tc>
                <w:tcPr>
                  <w:tcW w:w="859" w:type="dxa"/>
                  <w:vAlign w:val="center"/>
                </w:tcPr>
                <w:p w14:paraId="22B250FC">
                  <w:pPr>
                    <w:pStyle w:val="11"/>
                    <w:spacing w:line="240" w:lineRule="exact"/>
                    <w:ind w:left="0" w:right="0" w:firstLine="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5.5</w:t>
                  </w:r>
                  <w:r>
                    <w:rPr>
                      <w:rFonts w:eastAsia="微软雅黑"/>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8.5</w:t>
                  </w:r>
                </w:p>
              </w:tc>
              <w:tc>
                <w:tcPr>
                  <w:tcW w:w="791" w:type="dxa"/>
                  <w:vAlign w:val="center"/>
                </w:tcPr>
                <w:p w14:paraId="5D78E559">
                  <w:pPr>
                    <w:pStyle w:val="11"/>
                    <w:spacing w:line="240" w:lineRule="exact"/>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200</w:t>
                  </w:r>
                </w:p>
              </w:tc>
              <w:tc>
                <w:tcPr>
                  <w:tcW w:w="981" w:type="dxa"/>
                  <w:vAlign w:val="center"/>
                </w:tcPr>
                <w:p w14:paraId="25B5A4B3">
                  <w:pPr>
                    <w:pStyle w:val="11"/>
                    <w:spacing w:line="240" w:lineRule="exact"/>
                    <w:ind w:left="0" w:right="0" w:firstLine="0"/>
                    <w:jc w:val="center"/>
                    <w:rPr>
                      <w:sz w:val="21"/>
                      <w:szCs w:val="21"/>
                    </w:rPr>
                  </w:pPr>
                  <w:r>
                    <w:rPr>
                      <w:rFonts w:hint="eastAsia"/>
                      <w:sz w:val="21"/>
                      <w:szCs w:val="21"/>
                    </w:rPr>
                    <w:t>/</w:t>
                  </w:r>
                </w:p>
              </w:tc>
              <w:tc>
                <w:tcPr>
                  <w:tcW w:w="846" w:type="dxa"/>
                  <w:vAlign w:val="center"/>
                </w:tcPr>
                <w:p w14:paraId="1E696D70">
                  <w:pPr>
                    <w:pStyle w:val="11"/>
                    <w:spacing w:line="240" w:lineRule="exact"/>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100</w:t>
                  </w:r>
                </w:p>
              </w:tc>
              <w:tc>
                <w:tcPr>
                  <w:tcW w:w="818" w:type="dxa"/>
                  <w:vAlign w:val="center"/>
                </w:tcPr>
                <w:p w14:paraId="28D8C5F2">
                  <w:pPr>
                    <w:pStyle w:val="11"/>
                    <w:spacing w:line="240" w:lineRule="exact"/>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100</w:t>
                  </w:r>
                </w:p>
              </w:tc>
              <w:tc>
                <w:tcPr>
                  <w:tcW w:w="696" w:type="dxa"/>
                  <w:vAlign w:val="center"/>
                </w:tcPr>
                <w:p w14:paraId="48744BF0">
                  <w:pPr>
                    <w:pStyle w:val="11"/>
                    <w:spacing w:line="240" w:lineRule="exact"/>
                    <w:ind w:left="0" w:right="0" w:firstLine="0"/>
                    <w:jc w:val="center"/>
                    <w:rPr>
                      <w:sz w:val="21"/>
                      <w:szCs w:val="21"/>
                    </w:rPr>
                  </w:pPr>
                  <w:r>
                    <w:rPr>
                      <w:rFonts w:hint="eastAsia"/>
                      <w:sz w:val="21"/>
                      <w:szCs w:val="21"/>
                    </w:rPr>
                    <w:t>/</w:t>
                  </w:r>
                </w:p>
              </w:tc>
              <w:tc>
                <w:tcPr>
                  <w:tcW w:w="767" w:type="dxa"/>
                  <w:vAlign w:val="center"/>
                </w:tcPr>
                <w:p w14:paraId="05405996">
                  <w:pPr>
                    <w:pStyle w:val="11"/>
                    <w:spacing w:line="240" w:lineRule="exact"/>
                    <w:ind w:left="0" w:right="0" w:firstLine="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r>
          </w:tbl>
          <w:p w14:paraId="3841B5BA">
            <w:pPr>
              <w:pStyle w:val="11"/>
              <w:spacing w:line="520" w:lineRule="exact"/>
              <w:ind w:left="0" w:right="0" w:firstLine="480" w:firstLineChars="200"/>
              <w:rPr>
                <w:color w:val="auto"/>
              </w:rPr>
            </w:pPr>
            <w:r>
              <w:rPr>
                <w:sz w:val="24"/>
                <w:szCs w:val="24"/>
              </w:rPr>
              <w:t>由上表可知，本项目外排废水各污染物排放浓度均</w:t>
            </w:r>
            <w:r>
              <w:rPr>
                <w:rFonts w:hint="eastAsia"/>
                <w:sz w:val="24"/>
                <w:szCs w:val="24"/>
                <w:lang w:val="en-US" w:eastAsia="zh-CN"/>
              </w:rPr>
              <w:t>满足</w:t>
            </w:r>
            <w:r>
              <w:rPr>
                <w:rFonts w:hint="eastAsia" w:ascii="Times New Roman" w:hAnsi="Times New Roman" w:eastAsia="宋体" w:cs="Times New Roman"/>
                <w:color w:val="000000" w:themeColor="text1"/>
                <w:sz w:val="24"/>
                <w:szCs w:val="24"/>
                <w14:textFill>
                  <w14:solidFill>
                    <w14:schemeClr w14:val="tx1"/>
                  </w14:solidFill>
                </w14:textFill>
              </w:rPr>
              <w:t>《食品加工制造业水污染物排放标准 》（GB 46817—2025）表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1中</w:t>
            </w:r>
            <w:r>
              <w:rPr>
                <w:sz w:val="24"/>
                <w:szCs w:val="24"/>
              </w:rPr>
              <w:t>COD500mg/L、BOD</w:t>
            </w:r>
            <w:r>
              <w:rPr>
                <w:sz w:val="24"/>
                <w:szCs w:val="24"/>
                <w:vertAlign w:val="subscript"/>
              </w:rPr>
              <w:t>5</w:t>
            </w:r>
            <w:r>
              <w:rPr>
                <w:sz w:val="24"/>
                <w:szCs w:val="24"/>
              </w:rPr>
              <w:t>3</w:t>
            </w:r>
            <w:r>
              <w:rPr>
                <w:rFonts w:hint="eastAsia"/>
                <w:sz w:val="24"/>
                <w:szCs w:val="24"/>
                <w:lang w:val="en-US" w:eastAsia="zh-CN"/>
              </w:rPr>
              <w:t>5</w:t>
            </w:r>
            <w:r>
              <w:rPr>
                <w:sz w:val="24"/>
                <w:szCs w:val="24"/>
              </w:rPr>
              <w:t>0mg/L、SS400mg/L</w:t>
            </w:r>
            <w:r>
              <w:rPr>
                <w:rFonts w:hint="eastAsia"/>
                <w:sz w:val="24"/>
                <w:szCs w:val="24"/>
                <w:lang w:eastAsia="zh-CN"/>
              </w:rPr>
              <w:t>、</w:t>
            </w:r>
            <w:r>
              <w:rPr>
                <w:color w:val="000000" w:themeColor="text1"/>
                <w:sz w:val="24"/>
                <w:szCs w:val="24"/>
                <w14:textFill>
                  <w14:solidFill>
                    <w14:schemeClr w14:val="tx1"/>
                  </w14:solidFill>
                </w14:textFill>
              </w:rPr>
              <w:t>NH</w:t>
            </w:r>
            <w:r>
              <w:rPr>
                <w:color w:val="000000" w:themeColor="text1"/>
                <w:sz w:val="24"/>
                <w:szCs w:val="24"/>
                <w:vertAlign w:val="subscript"/>
                <w14:textFill>
                  <w14:solidFill>
                    <w14:schemeClr w14:val="tx1"/>
                  </w14:solidFill>
                </w14:textFill>
              </w:rPr>
              <w:t>3</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N</w:t>
            </w:r>
            <w:r>
              <w:rPr>
                <w:rFonts w:hint="eastAsia"/>
                <w:color w:val="000000" w:themeColor="text1"/>
                <w:sz w:val="24"/>
                <w:szCs w:val="24"/>
                <w:lang w:val="en-US" w:eastAsia="zh-CN"/>
                <w14:textFill>
                  <w14:solidFill>
                    <w14:schemeClr w14:val="tx1"/>
                  </w14:solidFill>
                </w14:textFill>
              </w:rPr>
              <w:t>45</w:t>
            </w:r>
            <w:r>
              <w:rPr>
                <w:sz w:val="24"/>
                <w:szCs w:val="24"/>
              </w:rPr>
              <w:t>mg/L</w:t>
            </w:r>
            <w:r>
              <w:rPr>
                <w:rFonts w:hint="eastAsia"/>
                <w:sz w:val="24"/>
                <w:szCs w:val="24"/>
                <w:lang w:eastAsia="zh-CN"/>
              </w:rPr>
              <w:t>、</w:t>
            </w:r>
            <w:r>
              <w:rPr>
                <w:color w:val="000000" w:themeColor="text1"/>
                <w:sz w:val="24"/>
                <w:szCs w:val="24"/>
                <w14:textFill>
                  <w14:solidFill>
                    <w14:schemeClr w14:val="tx1"/>
                  </w14:solidFill>
                </w14:textFill>
              </w:rPr>
              <w:t>TP</w:t>
            </w:r>
            <w:r>
              <w:rPr>
                <w:rFonts w:hint="eastAsia"/>
                <w:color w:val="000000" w:themeColor="text1"/>
                <w:sz w:val="24"/>
                <w:szCs w:val="24"/>
                <w:lang w:val="en-US" w:eastAsia="zh-CN"/>
                <w14:textFill>
                  <w14:solidFill>
                    <w14:schemeClr w14:val="tx1"/>
                  </w14:solidFill>
                </w14:textFill>
              </w:rPr>
              <w:t>8.0</w:t>
            </w:r>
            <w:r>
              <w:rPr>
                <w:color w:val="000000" w:themeColor="text1"/>
                <w:sz w:val="24"/>
                <w:szCs w:val="24"/>
                <w14:textFill>
                  <w14:solidFill>
                    <w14:schemeClr w14:val="tx1"/>
                  </w14:solidFill>
                </w14:textFill>
              </w:rPr>
              <w:t>mg</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L</w:t>
            </w:r>
            <w:r>
              <w:rPr>
                <w:rFonts w:hint="eastAsia"/>
                <w:color w:val="000000" w:themeColor="text1"/>
                <w:sz w:val="24"/>
                <w:szCs w:val="24"/>
                <w:lang w:val="en-US" w:eastAsia="zh-CN"/>
                <w14:textFill>
                  <w14:solidFill>
                    <w14:schemeClr w14:val="tx1"/>
                  </w14:solidFill>
                </w14:textFill>
              </w:rPr>
              <w:t>的限值</w:t>
            </w:r>
            <w:r>
              <w:rPr>
                <w:sz w:val="24"/>
                <w:szCs w:val="24"/>
              </w:rPr>
              <w:t>要求，</w:t>
            </w:r>
            <w:r>
              <w:rPr>
                <w:rFonts w:hint="eastAsia"/>
                <w:sz w:val="24"/>
                <w:szCs w:val="24"/>
                <w:lang w:val="en-US" w:eastAsia="zh-CN"/>
              </w:rPr>
              <w:t>动植物油满足</w:t>
            </w:r>
            <w:r>
              <w:rPr>
                <w:rFonts w:hint="eastAsia"/>
                <w:color w:val="000000" w:themeColor="text1"/>
                <w:sz w:val="24"/>
                <w:szCs w:val="24"/>
                <w14:textFill>
                  <w14:solidFill>
                    <w14:schemeClr w14:val="tx1"/>
                  </w14:solidFill>
                </w14:textFill>
              </w:rPr>
              <w:t>《污水综合排放标准》 （GB8978-1996）表4三级100</w:t>
            </w:r>
            <w:r>
              <w:rPr>
                <w:color w:val="000000" w:themeColor="text1"/>
                <w:sz w:val="24"/>
                <w:szCs w:val="24"/>
                <w14:textFill>
                  <w14:solidFill>
                    <w14:schemeClr w14:val="tx1"/>
                  </w14:solidFill>
                </w14:textFill>
              </w:rPr>
              <w:t>mg</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L</w:t>
            </w:r>
            <w:r>
              <w:rPr>
                <w:rFonts w:hint="eastAsia"/>
                <w:color w:val="000000" w:themeColor="text1"/>
                <w:sz w:val="24"/>
                <w:szCs w:val="24"/>
                <w:lang w:val="en-US" w:eastAsia="zh-CN"/>
                <w14:textFill>
                  <w14:solidFill>
                    <w14:schemeClr w14:val="tx1"/>
                  </w14:solidFill>
                </w14:textFill>
              </w:rPr>
              <w:t>限值要求；</w:t>
            </w:r>
            <w:r>
              <w:rPr>
                <w:sz w:val="24"/>
                <w:szCs w:val="24"/>
              </w:rPr>
              <w:t>同时满足</w:t>
            </w:r>
            <w:r>
              <w:rPr>
                <w:rFonts w:hint="eastAsia"/>
                <w:color w:val="000000" w:themeColor="text1"/>
                <w:sz w:val="24"/>
                <w:szCs w:val="24"/>
                <w14:textFill>
                  <w14:solidFill>
                    <w14:schemeClr w14:val="tx1"/>
                  </w14:solidFill>
                </w14:textFill>
              </w:rPr>
              <w:t>《农田灌溉水质标准》</w:t>
            </w:r>
            <w:r>
              <w:rPr>
                <w:rFonts w:hint="eastAsia"/>
                <w:color w:val="000000" w:themeColor="text1"/>
                <w14:textFill>
                  <w14:solidFill>
                    <w14:schemeClr w14:val="tx1"/>
                  </w14:solidFill>
                </w14:textFill>
              </w:rPr>
              <w:t>（GB5084-20</w:t>
            </w:r>
            <w:r>
              <w:rPr>
                <w:rFonts w:hint="eastAsia"/>
                <w:color w:val="000000" w:themeColor="text1"/>
                <w:lang w:val="en-US" w:eastAsia="zh-CN"/>
                <w14:textFill>
                  <w14:solidFill>
                    <w14:schemeClr w14:val="tx1"/>
                  </w14:solidFill>
                </w14:textFill>
              </w:rPr>
              <w:t>2</w:t>
            </w:r>
            <w:r>
              <w:rPr>
                <w:rFonts w:hint="eastAsia"/>
                <w:color w:val="auto"/>
                <w:lang w:val="en-US" w:eastAsia="zh-CN"/>
              </w:rPr>
              <w:t>1</w:t>
            </w:r>
            <w:r>
              <w:rPr>
                <w:rFonts w:hint="eastAsia"/>
                <w:color w:val="auto"/>
              </w:rPr>
              <w:t>)</w:t>
            </w:r>
            <w:r>
              <w:rPr>
                <w:color w:val="auto"/>
              </w:rPr>
              <w:t>中</w:t>
            </w:r>
            <w:r>
              <w:rPr>
                <w:rFonts w:hint="eastAsia"/>
                <w:color w:val="auto"/>
                <w:lang w:val="en-US" w:eastAsia="zh-CN"/>
              </w:rPr>
              <w:t>表1旱地作物</w:t>
            </w:r>
            <w:r>
              <w:rPr>
                <w:color w:val="auto"/>
              </w:rPr>
              <w:t>COD</w:t>
            </w:r>
            <w:r>
              <w:rPr>
                <w:rFonts w:hint="eastAsia"/>
                <w:color w:val="auto"/>
              </w:rPr>
              <w:t>2</w:t>
            </w:r>
            <w:r>
              <w:rPr>
                <w:color w:val="auto"/>
              </w:rPr>
              <w:t>00mg/L、</w:t>
            </w:r>
            <w:r>
              <w:rPr>
                <w:rFonts w:hint="eastAsia"/>
                <w:color w:val="auto"/>
              </w:rPr>
              <w:t>SS1</w:t>
            </w:r>
            <w:r>
              <w:rPr>
                <w:color w:val="auto"/>
              </w:rPr>
              <w:t>00mg/L、</w:t>
            </w:r>
            <w:r>
              <w:rPr>
                <w:rFonts w:hint="eastAsia"/>
                <w:color w:val="auto"/>
              </w:rPr>
              <w:t>BOD</w:t>
            </w:r>
            <w:r>
              <w:rPr>
                <w:rFonts w:hint="eastAsia"/>
                <w:color w:val="auto"/>
                <w:vertAlign w:val="subscript"/>
              </w:rPr>
              <w:t>5</w:t>
            </w:r>
            <w:r>
              <w:rPr>
                <w:color w:val="auto"/>
              </w:rPr>
              <w:t>100mg/L</w:t>
            </w:r>
            <w:r>
              <w:rPr>
                <w:rFonts w:hint="eastAsia"/>
                <w:color w:val="auto"/>
                <w:lang w:eastAsia="zh-CN"/>
              </w:rPr>
              <w:t>、</w:t>
            </w:r>
            <w:r>
              <w:rPr>
                <w:rFonts w:hint="eastAsia"/>
                <w:color w:val="auto"/>
                <w:lang w:val="en-US" w:eastAsia="zh-CN"/>
              </w:rPr>
              <w:t>水温35℃</w:t>
            </w:r>
            <w:r>
              <w:rPr>
                <w:color w:val="auto"/>
              </w:rPr>
              <w:t>的限值要求。</w:t>
            </w:r>
          </w:p>
          <w:p w14:paraId="4DDDFE6C">
            <w:pPr>
              <w:pStyle w:val="11"/>
              <w:numPr>
                <w:ilvl w:val="0"/>
                <w:numId w:val="10"/>
              </w:numPr>
              <w:spacing w:line="520" w:lineRule="exact"/>
              <w:ind w:left="0" w:right="0" w:firstLine="482" w:firstLineChars="200"/>
              <w:rPr>
                <w:b/>
                <w:color w:val="000000" w:themeColor="text1"/>
                <w14:textFill>
                  <w14:solidFill>
                    <w14:schemeClr w14:val="tx1"/>
                  </w14:solidFill>
                </w14:textFill>
              </w:rPr>
            </w:pPr>
            <w:r>
              <w:rPr>
                <w:b/>
                <w:color w:val="000000" w:themeColor="text1"/>
                <w14:textFill>
                  <w14:solidFill>
                    <w14:schemeClr w14:val="tx1"/>
                  </w14:solidFill>
                </w14:textFill>
              </w:rPr>
              <w:t>废水处理技术可行性分析</w:t>
            </w:r>
          </w:p>
          <w:p w14:paraId="2FF42163">
            <w:pPr>
              <w:pStyle w:val="73"/>
            </w:pPr>
            <w:r>
              <w:t>本项目属于</w:t>
            </w:r>
            <w:r>
              <w:rPr>
                <w:color w:val="000000" w:themeColor="text1"/>
                <w14:textFill>
                  <w14:solidFill>
                    <w14:schemeClr w14:val="tx1"/>
                  </w14:solidFill>
                </w14:textFill>
              </w:rPr>
              <w:t>方便食品制造，经查阅《排污许可证申请与核发技术规范食品制造工业——方便食品、食品及饲料添加剂制造工业》（HJ 1030.3-2019），本项目废水污染防治设施为：“隔油池+水解酸化+气浮+厌氧+好氧+曝气+沉淀+清水池”属于方便食品工业废水污染防治可行技术。</w:t>
            </w:r>
          </w:p>
          <w:p w14:paraId="15E629A3">
            <w:pPr>
              <w:pStyle w:val="11"/>
              <w:numPr>
                <w:ilvl w:val="0"/>
                <w:numId w:val="10"/>
              </w:numPr>
              <w:spacing w:line="520" w:lineRule="exact"/>
              <w:ind w:left="0" w:right="0" w:firstLine="482" w:firstLineChars="200"/>
              <w:rPr>
                <w:b/>
                <w:color w:val="000000" w:themeColor="text1"/>
                <w14:textFill>
                  <w14:solidFill>
                    <w14:schemeClr w14:val="tx1"/>
                  </w14:solidFill>
                </w14:textFill>
              </w:rPr>
            </w:pPr>
            <w:r>
              <w:rPr>
                <w:b/>
                <w:color w:val="000000" w:themeColor="text1"/>
                <w14:textFill>
                  <w14:solidFill>
                    <w14:schemeClr w14:val="tx1"/>
                  </w14:solidFill>
                </w14:textFill>
              </w:rPr>
              <w:t>废水排放可行性分析</w:t>
            </w:r>
          </w:p>
          <w:p w14:paraId="4016BD40">
            <w:pPr>
              <w:pStyle w:val="73"/>
              <w:numPr>
                <w:ilvl w:val="0"/>
                <w:numId w:val="12"/>
              </w:numPr>
              <w:rPr>
                <w:rFonts w:hint="default"/>
                <w:highlight w:val="none"/>
                <w:lang w:val="en-US" w:eastAsia="zh-CN"/>
              </w:rPr>
            </w:pPr>
            <w:r>
              <w:rPr>
                <w:rFonts w:hint="eastAsia"/>
                <w:highlight w:val="none"/>
                <w:lang w:val="en-US" w:eastAsia="zh-CN"/>
              </w:rPr>
              <w:t>农罐可行性分析</w:t>
            </w:r>
          </w:p>
          <w:p w14:paraId="0ACE0B34">
            <w:pPr>
              <w:pStyle w:val="73"/>
              <w:numPr>
                <w:ilvl w:val="0"/>
                <w:numId w:val="0"/>
              </w:numPr>
              <w:ind w:firstLine="480" w:firstLineChars="200"/>
              <w:rPr>
                <w:rFonts w:hint="default"/>
                <w:highlight w:val="none"/>
                <w:lang w:val="en-US" w:eastAsia="zh-CN"/>
              </w:rPr>
            </w:pPr>
            <w:r>
              <w:rPr>
                <w:highlight w:val="none"/>
              </w:rPr>
              <w:t>由于</w:t>
            </w:r>
            <w:r>
              <w:rPr>
                <w:rFonts w:hint="eastAsia"/>
                <w:highlight w:val="none"/>
                <w:lang w:eastAsia="zh-CN"/>
              </w:rPr>
              <w:t>夹堤村西污水处理站</w:t>
            </w:r>
            <w:r>
              <w:rPr>
                <w:highlight w:val="none"/>
              </w:rPr>
              <w:t>暂未建成，本项目废水在</w:t>
            </w:r>
            <w:r>
              <w:rPr>
                <w:rFonts w:hint="eastAsia"/>
                <w:highlight w:val="none"/>
                <w:lang w:eastAsia="zh-CN"/>
              </w:rPr>
              <w:t>夹堤村西污水处理站</w:t>
            </w:r>
            <w:r>
              <w:rPr>
                <w:highlight w:val="none"/>
              </w:rPr>
              <w:t>正式运行前用于农灌。</w:t>
            </w:r>
            <w:r>
              <w:rPr>
                <w:rFonts w:hint="eastAsia"/>
                <w:highlight w:val="none"/>
                <w:lang w:val="en-US" w:eastAsia="zh-CN"/>
              </w:rPr>
              <w:t>本项目废水经厂区污水处理站处理后用于农田灌溉，从水质达标</w:t>
            </w:r>
            <w:r>
              <w:rPr>
                <w:rFonts w:hint="default"/>
                <w:highlight w:val="none"/>
                <w:lang w:val="en-US" w:eastAsia="zh-CN"/>
              </w:rPr>
              <w:t>、暂存调蓄、配套管网三个环节</w:t>
            </w:r>
            <w:r>
              <w:rPr>
                <w:rFonts w:hint="eastAsia"/>
                <w:highlight w:val="none"/>
                <w:lang w:val="en-US" w:eastAsia="zh-CN"/>
              </w:rPr>
              <w:t>进行可行性分析。</w:t>
            </w:r>
          </w:p>
          <w:p w14:paraId="7615664F">
            <w:pPr>
              <w:pStyle w:val="73"/>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color w:val="auto"/>
              </w:rPr>
            </w:pPr>
            <w:r>
              <w:rPr>
                <w:highlight w:val="none"/>
              </w:rPr>
              <w:fldChar w:fldCharType="begin"/>
            </w:r>
            <w:r>
              <w:rPr>
                <w:highlight w:val="none"/>
              </w:rPr>
              <w:instrText xml:space="preserve"> = 1 \* GB3 \* MERGEFORMAT </w:instrText>
            </w:r>
            <w:r>
              <w:rPr>
                <w:highlight w:val="none"/>
              </w:rPr>
              <w:fldChar w:fldCharType="separate"/>
            </w:r>
            <w:r>
              <w:rPr>
                <w:highlight w:val="none"/>
              </w:rPr>
              <w:t>①</w:t>
            </w:r>
            <w:r>
              <w:rPr>
                <w:highlight w:val="none"/>
              </w:rPr>
              <w:fldChar w:fldCharType="end"/>
            </w:r>
            <w:r>
              <w:rPr>
                <w:rFonts w:hint="eastAsia"/>
                <w:highlight w:val="none"/>
                <w:lang w:val="en-US" w:eastAsia="zh-CN"/>
              </w:rPr>
              <w:t>水质达标：</w:t>
            </w:r>
            <w:r>
              <w:t>根据工程分析，本项目废水经厂区污水处理站处理后各污染物出水浓度</w:t>
            </w:r>
            <w:r>
              <w:rPr>
                <w:color w:val="000000" w:themeColor="text1"/>
                <w14:textFill>
                  <w14:solidFill>
                    <w14:schemeClr w14:val="tx1"/>
                  </w14:solidFill>
                </w14:textFill>
              </w:rPr>
              <w:t>为pH7.1、悬浮物13mg/L、BOD</w:t>
            </w:r>
            <w:r>
              <w:rPr>
                <w:color w:val="000000" w:themeColor="text1"/>
                <w:vertAlign w:val="subscript"/>
                <w14:textFill>
                  <w14:solidFill>
                    <w14:schemeClr w14:val="tx1"/>
                  </w14:solidFill>
                </w14:textFill>
              </w:rPr>
              <w:t>5</w:t>
            </w:r>
            <w:r>
              <w:rPr>
                <w:color w:val="000000" w:themeColor="text1"/>
                <w14:textFill>
                  <w14:solidFill>
                    <w14:schemeClr w14:val="tx1"/>
                  </w14:solidFill>
                </w14:textFill>
              </w:rPr>
              <w:t>5.9mg/L、COD25mg/L，</w:t>
            </w:r>
            <w:r>
              <w:rPr>
                <w:sz w:val="24"/>
                <w:szCs w:val="24"/>
              </w:rPr>
              <w:t>满足</w:t>
            </w:r>
            <w:r>
              <w:rPr>
                <w:rFonts w:hint="eastAsia"/>
                <w:color w:val="000000" w:themeColor="text1"/>
                <w:sz w:val="24"/>
                <w:szCs w:val="24"/>
                <w14:textFill>
                  <w14:solidFill>
                    <w14:schemeClr w14:val="tx1"/>
                  </w14:solidFill>
                </w14:textFill>
              </w:rPr>
              <w:t>《农田灌溉水质标准》</w:t>
            </w:r>
            <w:r>
              <w:rPr>
                <w:rFonts w:hint="eastAsia"/>
                <w:color w:val="000000" w:themeColor="text1"/>
                <w14:textFill>
                  <w14:solidFill>
                    <w14:schemeClr w14:val="tx1"/>
                  </w14:solidFill>
                </w14:textFill>
              </w:rPr>
              <w:t>（GB5084</w:t>
            </w:r>
            <w:r>
              <w:rPr>
                <w:rFonts w:hint="eastAsia"/>
                <w:color w:val="auto"/>
              </w:rPr>
              <w:t>-20</w:t>
            </w:r>
            <w:r>
              <w:rPr>
                <w:rFonts w:hint="eastAsia"/>
                <w:color w:val="auto"/>
                <w:lang w:val="en-US" w:eastAsia="zh-CN"/>
              </w:rPr>
              <w:t>21</w:t>
            </w:r>
            <w:r>
              <w:rPr>
                <w:rFonts w:hint="eastAsia"/>
                <w:color w:val="auto"/>
              </w:rPr>
              <w:t>)</w:t>
            </w:r>
            <w:r>
              <w:rPr>
                <w:color w:val="auto"/>
              </w:rPr>
              <w:t>中</w:t>
            </w:r>
            <w:r>
              <w:rPr>
                <w:rFonts w:hint="eastAsia"/>
                <w:color w:val="auto"/>
                <w:lang w:val="en-US" w:eastAsia="zh-CN"/>
              </w:rPr>
              <w:t>表1旱地作物</w:t>
            </w:r>
            <w:r>
              <w:rPr>
                <w:color w:val="auto"/>
              </w:rPr>
              <w:t>COD</w:t>
            </w:r>
            <w:r>
              <w:rPr>
                <w:rFonts w:hint="eastAsia"/>
                <w:color w:val="auto"/>
              </w:rPr>
              <w:t>2</w:t>
            </w:r>
            <w:r>
              <w:rPr>
                <w:color w:val="auto"/>
              </w:rPr>
              <w:t>00mg/L、</w:t>
            </w:r>
            <w:r>
              <w:rPr>
                <w:rFonts w:hint="eastAsia"/>
                <w:color w:val="auto"/>
              </w:rPr>
              <w:t>SS1</w:t>
            </w:r>
            <w:r>
              <w:rPr>
                <w:color w:val="auto"/>
              </w:rPr>
              <w:t>00mg/L、</w:t>
            </w:r>
            <w:r>
              <w:rPr>
                <w:rFonts w:hint="eastAsia"/>
                <w:color w:val="auto"/>
              </w:rPr>
              <w:t>BOD</w:t>
            </w:r>
            <w:r>
              <w:rPr>
                <w:rFonts w:hint="eastAsia"/>
                <w:color w:val="auto"/>
                <w:vertAlign w:val="subscript"/>
              </w:rPr>
              <w:t>5</w:t>
            </w:r>
            <w:r>
              <w:rPr>
                <w:color w:val="auto"/>
              </w:rPr>
              <w:t>100mg/L</w:t>
            </w:r>
            <w:r>
              <w:rPr>
                <w:rFonts w:hint="eastAsia"/>
                <w:color w:val="auto"/>
                <w:lang w:eastAsia="zh-CN"/>
              </w:rPr>
              <w:t>、</w:t>
            </w:r>
            <w:r>
              <w:rPr>
                <w:rFonts w:hint="eastAsia"/>
                <w:color w:val="auto"/>
                <w:lang w:val="en-US" w:eastAsia="zh-CN"/>
              </w:rPr>
              <w:t>水温35℃</w:t>
            </w:r>
            <w:r>
              <w:rPr>
                <w:color w:val="auto"/>
              </w:rPr>
              <w:t>的限值要求。</w:t>
            </w:r>
          </w:p>
          <w:p w14:paraId="66B99067">
            <w:pPr>
              <w:pStyle w:val="73"/>
              <w:rPr>
                <w:color w:val="auto"/>
              </w:rPr>
            </w:pPr>
            <w:r>
              <w:rPr>
                <w:color w:val="auto"/>
              </w:rPr>
              <w:t>根据工程分析可知，全厂废水排放量</w:t>
            </w:r>
            <w:r>
              <w:rPr>
                <w:rFonts w:hint="eastAsia"/>
                <w:color w:val="auto"/>
                <w:lang w:val="en-US" w:eastAsia="zh-CN"/>
              </w:rPr>
              <w:t>7.2833</w:t>
            </w:r>
            <w:r>
              <w:rPr>
                <w:color w:val="auto"/>
              </w:rPr>
              <w:t>t/d，废水中主要污染物排放浓度分别为COD25mg/L、氨氮0.147mg/L。本项目位于华北平原旱作</w:t>
            </w:r>
            <w:r>
              <w:t>农业区，根据农业部办公厅文件农办农【2013】45 号——农业部办公厅关于印发《小麦、玉米、水稻三大粮食作物区域大配方与施肥建议（2013）》的通知，对于华北中北部玉米区，产量水平在650kg/亩，推荐氨肥施用量为19kg/亩；对于华北灌溉冬麦区，产量水平在600kg/亩，推荐氮肥施用量</w:t>
            </w:r>
            <w:r>
              <w:rPr>
                <w:color w:val="auto"/>
              </w:rPr>
              <w:t>为23kg/亩，因此每亩地氮肥施用总量为42kg。本项目建成后全厂废水排放</w:t>
            </w:r>
            <w:r>
              <w:rPr>
                <w:color w:val="auto"/>
                <w:highlight w:val="none"/>
              </w:rPr>
              <w:t>量</w:t>
            </w:r>
            <w:r>
              <w:rPr>
                <w:rFonts w:hint="eastAsia"/>
                <w:color w:val="auto"/>
                <w:highlight w:val="none"/>
                <w:lang w:val="en-US" w:eastAsia="zh-CN"/>
              </w:rPr>
              <w:t>2184.99</w:t>
            </w:r>
            <w:r>
              <w:rPr>
                <w:color w:val="auto"/>
                <w:highlight w:val="none"/>
              </w:rPr>
              <w:t>t/a，</w:t>
            </w:r>
            <w:r>
              <w:rPr>
                <w:color w:val="auto"/>
              </w:rPr>
              <w:t>含氮量</w:t>
            </w:r>
            <w:r>
              <w:rPr>
                <w:rFonts w:hint="eastAsia"/>
                <w:color w:val="auto"/>
                <w:lang w:val="en-US" w:eastAsia="zh-CN"/>
              </w:rPr>
              <w:t>约</w:t>
            </w:r>
            <w:r>
              <w:rPr>
                <w:color w:val="auto"/>
              </w:rPr>
              <w:t>0.</w:t>
            </w:r>
            <w:r>
              <w:rPr>
                <w:rFonts w:hint="eastAsia"/>
                <w:color w:val="auto"/>
                <w:lang w:val="en-US" w:eastAsia="zh-CN"/>
              </w:rPr>
              <w:t>3212</w:t>
            </w:r>
            <w:r>
              <w:rPr>
                <w:color w:val="auto"/>
              </w:rPr>
              <w:t>kg，项目周围数公里范围内分布有大量农田，可消纳全厂污水。</w:t>
            </w:r>
          </w:p>
          <w:p w14:paraId="4BC38A05">
            <w:pPr>
              <w:pStyle w:val="73"/>
              <w:rPr>
                <w:rFonts w:ascii="Segoe UI" w:hAnsi="Segoe UI" w:eastAsia="Segoe UI" w:cs="Segoe UI"/>
                <w:i w:val="0"/>
                <w:iCs w:val="0"/>
                <w:caps w:val="0"/>
                <w:color w:val="0F1115"/>
                <w:spacing w:val="0"/>
                <w:sz w:val="24"/>
                <w:szCs w:val="24"/>
                <w:highlight w:val="none"/>
                <w:shd w:val="clear" w:fill="FFFFFF"/>
              </w:rPr>
            </w:pPr>
            <w:r>
              <w:rPr>
                <w:color w:val="auto"/>
              </w:rPr>
              <w:t xml:space="preserve"> </w:t>
            </w:r>
            <w:r>
              <w:rPr>
                <w:color w:val="auto"/>
                <w:highlight w:val="none"/>
              </w:rPr>
              <w:fldChar w:fldCharType="begin"/>
            </w:r>
            <w:r>
              <w:rPr>
                <w:color w:val="auto"/>
                <w:highlight w:val="none"/>
              </w:rPr>
              <w:instrText xml:space="preserve"> = 2 \* GB3 \* MERGEFORMAT </w:instrText>
            </w:r>
            <w:r>
              <w:rPr>
                <w:color w:val="auto"/>
                <w:highlight w:val="none"/>
              </w:rPr>
              <w:fldChar w:fldCharType="separate"/>
            </w:r>
            <w:r>
              <w:rPr>
                <w:color w:val="auto"/>
                <w:highlight w:val="none"/>
              </w:rPr>
              <w:t>②</w:t>
            </w:r>
            <w:r>
              <w:rPr>
                <w:color w:val="auto"/>
                <w:highlight w:val="none"/>
              </w:rPr>
              <w:fldChar w:fldCharType="end"/>
            </w:r>
            <w:r>
              <w:rPr>
                <w:rFonts w:hint="default"/>
                <w:color w:val="auto"/>
                <w:highlight w:val="none"/>
                <w:lang w:val="en-US" w:eastAsia="zh-CN"/>
              </w:rPr>
              <w:t>暂</w:t>
            </w:r>
            <w:r>
              <w:rPr>
                <w:rFonts w:hint="default" w:ascii="Times New Roman" w:hAnsi="Times New Roman" w:eastAsia="宋体" w:cs="Times New Roman"/>
                <w:color w:val="auto"/>
                <w:kern w:val="2"/>
                <w:sz w:val="24"/>
                <w:szCs w:val="24"/>
                <w:highlight w:val="none"/>
                <w:lang w:val="en-US" w:eastAsia="zh-CN" w:bidi="ar-SA"/>
              </w:rPr>
              <w:t>存调蓄</w:t>
            </w:r>
            <w:r>
              <w:rPr>
                <w:rFonts w:hint="eastAsia" w:ascii="Times New Roman" w:hAnsi="Times New Roman" w:eastAsia="宋体" w:cs="Times New Roman"/>
                <w:color w:val="auto"/>
                <w:kern w:val="2"/>
                <w:sz w:val="24"/>
                <w:szCs w:val="24"/>
                <w:highlight w:val="none"/>
                <w:lang w:val="en-US" w:eastAsia="zh-CN" w:bidi="ar-SA"/>
              </w:rPr>
              <w:t>：为了</w:t>
            </w:r>
            <w:r>
              <w:rPr>
                <w:rFonts w:ascii="Times New Roman" w:hAnsi="Times New Roman" w:eastAsia="宋体" w:cs="Times New Roman"/>
                <w:color w:val="auto"/>
                <w:kern w:val="2"/>
                <w:sz w:val="24"/>
                <w:szCs w:val="24"/>
                <w:highlight w:val="none"/>
                <w:lang w:val="en-US" w:eastAsia="zh-CN" w:bidi="ar-SA"/>
              </w:rPr>
              <w:t>防止冬季无处可排导致外溢</w:t>
            </w:r>
            <w:r>
              <w:rPr>
                <w:rFonts w:hint="eastAsia" w:ascii="Times New Roman" w:hAnsi="Times New Roman" w:eastAsia="宋体" w:cs="Times New Roman"/>
                <w:color w:val="auto"/>
                <w:kern w:val="2"/>
                <w:sz w:val="24"/>
                <w:szCs w:val="24"/>
                <w:highlight w:val="none"/>
                <w:lang w:val="en-US" w:eastAsia="zh-CN" w:bidi="ar-SA"/>
              </w:rPr>
              <w:t>，厂区储水</w:t>
            </w:r>
            <w:r>
              <w:rPr>
                <w:rFonts w:ascii="Times New Roman" w:hAnsi="Times New Roman" w:eastAsia="宋体" w:cs="Times New Roman"/>
                <w:color w:val="auto"/>
                <w:kern w:val="2"/>
                <w:sz w:val="24"/>
                <w:szCs w:val="24"/>
                <w:highlight w:val="none"/>
                <w:lang w:val="en-US" w:eastAsia="zh-CN" w:bidi="ar-SA"/>
              </w:rPr>
              <w:t>需覆盖最长非灌溉期（如冬季）</w:t>
            </w:r>
            <w:r>
              <w:rPr>
                <w:rFonts w:hint="eastAsia" w:ascii="Times New Roman" w:hAnsi="Times New Roman" w:eastAsia="宋体"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不低于</w:t>
            </w:r>
            <w:r>
              <w:rPr>
                <w:rFonts w:hint="default" w:ascii="Times New Roman" w:hAnsi="Times New Roman" w:eastAsia="宋体" w:cs="Times New Roman"/>
                <w:color w:val="auto"/>
                <w:kern w:val="2"/>
                <w:sz w:val="24"/>
                <w:szCs w:val="24"/>
                <w:highlight w:val="none"/>
                <w:lang w:val="en-US" w:eastAsia="zh-CN" w:bidi="ar-SA"/>
              </w:rPr>
              <w:t>90天的最大储存需求</w:t>
            </w:r>
            <w:r>
              <w:rPr>
                <w:rFonts w:hint="eastAsia" w:ascii="Times New Roman" w:hAnsi="Times New Roman" w:eastAsia="宋体" w:cs="Times New Roman"/>
                <w:color w:val="auto"/>
                <w:kern w:val="2"/>
                <w:sz w:val="24"/>
                <w:szCs w:val="24"/>
                <w:highlight w:val="none"/>
                <w:lang w:val="en-US" w:eastAsia="zh-CN" w:bidi="ar-SA"/>
              </w:rPr>
              <w:t>，本项目废水排放量</w:t>
            </w:r>
            <w:r>
              <w:rPr>
                <w:rFonts w:hint="eastAsia"/>
                <w:color w:val="auto"/>
                <w:highlight w:val="none"/>
                <w:lang w:val="en-US" w:eastAsia="zh-CN"/>
              </w:rPr>
              <w:t>7.2833</w:t>
            </w:r>
            <w:r>
              <w:rPr>
                <w:rFonts w:hint="eastAsia" w:ascii="Times New Roman" w:hAnsi="Times New Roman" w:eastAsia="宋体" w:cs="Times New Roman"/>
                <w:color w:val="auto"/>
                <w:kern w:val="2"/>
                <w:sz w:val="24"/>
                <w:szCs w:val="24"/>
                <w:highlight w:val="none"/>
                <w:lang w:val="en-US" w:eastAsia="zh-CN" w:bidi="ar-SA"/>
              </w:rPr>
              <w:t>t/d，则90天水量为</w:t>
            </w:r>
            <w:r>
              <w:rPr>
                <w:rFonts w:hint="eastAsia" w:cs="Times New Roman"/>
                <w:color w:val="auto"/>
                <w:kern w:val="2"/>
                <w:sz w:val="24"/>
                <w:szCs w:val="24"/>
                <w:highlight w:val="none"/>
                <w:lang w:val="en-US" w:eastAsia="zh-CN" w:bidi="ar-SA"/>
              </w:rPr>
              <w:t>655.497</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，则</w:t>
            </w:r>
            <w:r>
              <w:rPr>
                <w:rFonts w:hint="eastAsia" w:cs="Times New Roman"/>
                <w:color w:val="auto"/>
                <w:kern w:val="2"/>
                <w:sz w:val="24"/>
                <w:szCs w:val="24"/>
                <w:highlight w:val="none"/>
                <w:lang w:val="en-US" w:eastAsia="zh-CN" w:bidi="ar-SA"/>
              </w:rPr>
              <w:t>暂存</w:t>
            </w:r>
            <w:r>
              <w:rPr>
                <w:rFonts w:hint="eastAsia" w:ascii="Times New Roman" w:hAnsi="Times New Roman" w:eastAsia="宋体" w:cs="Times New Roman"/>
                <w:color w:val="auto"/>
                <w:kern w:val="2"/>
                <w:sz w:val="24"/>
                <w:szCs w:val="24"/>
                <w:highlight w:val="none"/>
                <w:lang w:val="en-US" w:eastAsia="zh-CN" w:bidi="ar-SA"/>
              </w:rPr>
              <w:t>池容积为</w:t>
            </w:r>
            <w:r>
              <w:rPr>
                <w:rFonts w:hint="eastAsia" w:cs="Times New Roman"/>
                <w:color w:val="auto"/>
                <w:kern w:val="2"/>
                <w:sz w:val="24"/>
                <w:szCs w:val="24"/>
                <w:highlight w:val="none"/>
                <w:lang w:val="en-US" w:eastAsia="zh-CN" w:bidi="ar-SA"/>
              </w:rPr>
              <w:t>660</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。且</w:t>
            </w:r>
            <w:r>
              <w:rPr>
                <w:rFonts w:hint="eastAsia" w:cs="Times New Roman"/>
                <w:color w:val="auto"/>
                <w:kern w:val="2"/>
                <w:sz w:val="24"/>
                <w:szCs w:val="24"/>
                <w:highlight w:val="none"/>
                <w:lang w:val="en-US" w:eastAsia="zh-CN" w:bidi="ar-SA"/>
              </w:rPr>
              <w:t>暂存池</w:t>
            </w:r>
            <w:r>
              <w:rPr>
                <w:rFonts w:hint="eastAsia" w:ascii="Times New Roman" w:hAnsi="Times New Roman" w:eastAsia="宋体" w:cs="Times New Roman"/>
                <w:color w:val="auto"/>
                <w:kern w:val="2"/>
                <w:sz w:val="24"/>
                <w:szCs w:val="24"/>
                <w:highlight w:val="none"/>
                <w:lang w:val="en-US" w:eastAsia="zh-CN" w:bidi="ar-SA"/>
              </w:rPr>
              <w:t>整体应重点防渗，且设置浮动盖或遮阳棚，避免雨水混入。</w:t>
            </w:r>
            <w:r>
              <w:rPr>
                <w:rFonts w:ascii="Segoe UI" w:hAnsi="Segoe UI" w:eastAsia="Segoe UI" w:cs="Segoe UI"/>
                <w:i w:val="0"/>
                <w:iCs w:val="0"/>
                <w:caps w:val="0"/>
                <w:color w:val="auto"/>
                <w:spacing w:val="0"/>
                <w:sz w:val="24"/>
                <w:szCs w:val="24"/>
                <w:highlight w:val="none"/>
                <w:shd w:val="clear" w:fill="FFFFFF"/>
              </w:rPr>
              <w:t>暂存池长期储存后需复测水质（如粪大</w:t>
            </w:r>
            <w:r>
              <w:rPr>
                <w:rFonts w:ascii="Segoe UI" w:hAnsi="Segoe UI" w:eastAsia="Segoe UI" w:cs="Segoe UI"/>
                <w:i w:val="0"/>
                <w:iCs w:val="0"/>
                <w:caps w:val="0"/>
                <w:color w:val="0F1115"/>
                <w:spacing w:val="0"/>
                <w:sz w:val="24"/>
                <w:szCs w:val="24"/>
                <w:highlight w:val="none"/>
                <w:shd w:val="clear" w:fill="FFFFFF"/>
              </w:rPr>
              <w:t>肠菌群可能反弹），确保出水仍符合农灌标准。</w:t>
            </w:r>
            <w:r>
              <w:rPr>
                <w:rFonts w:hint="eastAsia" w:ascii="Segoe UI" w:hAnsi="Segoe UI" w:eastAsia="宋体" w:cs="Segoe UI"/>
                <w:i w:val="0"/>
                <w:iCs w:val="0"/>
                <w:caps w:val="0"/>
                <w:color w:val="0F1115"/>
                <w:spacing w:val="0"/>
                <w:sz w:val="24"/>
                <w:szCs w:val="24"/>
                <w:highlight w:val="none"/>
                <w:shd w:val="clear" w:fill="FFFFFF"/>
                <w:lang w:val="en-US" w:eastAsia="zh-CN"/>
              </w:rPr>
              <w:t>同时</w:t>
            </w:r>
            <w:r>
              <w:rPr>
                <w:rFonts w:ascii="Segoe UI" w:hAnsi="Segoe UI" w:eastAsia="Segoe UI" w:cs="Segoe UI"/>
                <w:i w:val="0"/>
                <w:iCs w:val="0"/>
                <w:caps w:val="0"/>
                <w:color w:val="0F1115"/>
                <w:spacing w:val="0"/>
                <w:sz w:val="24"/>
                <w:szCs w:val="24"/>
                <w:highlight w:val="none"/>
                <w:shd w:val="clear" w:fill="FFFFFF"/>
              </w:rPr>
              <w:t>配备回流泵，一旦检测水质超标，可将暂存池水回流至</w:t>
            </w:r>
            <w:r>
              <w:rPr>
                <w:rFonts w:hint="eastAsia" w:ascii="Segoe UI" w:hAnsi="Segoe UI" w:eastAsia="宋体" w:cs="Segoe UI"/>
                <w:i w:val="0"/>
                <w:iCs w:val="0"/>
                <w:caps w:val="0"/>
                <w:color w:val="0F1115"/>
                <w:spacing w:val="0"/>
                <w:sz w:val="24"/>
                <w:szCs w:val="24"/>
                <w:highlight w:val="none"/>
                <w:shd w:val="clear" w:fill="FFFFFF"/>
                <w:lang w:val="en-US" w:eastAsia="zh-CN"/>
              </w:rPr>
              <w:t>厂区污水处理站</w:t>
            </w:r>
            <w:r>
              <w:rPr>
                <w:rFonts w:ascii="Segoe UI" w:hAnsi="Segoe UI" w:eastAsia="Segoe UI" w:cs="Segoe UI"/>
                <w:i w:val="0"/>
                <w:iCs w:val="0"/>
                <w:caps w:val="0"/>
                <w:color w:val="0F1115"/>
                <w:spacing w:val="0"/>
                <w:sz w:val="24"/>
                <w:szCs w:val="24"/>
                <w:highlight w:val="none"/>
                <w:shd w:val="clear" w:fill="FFFFFF"/>
              </w:rPr>
              <w:t>重新处理。</w:t>
            </w:r>
          </w:p>
          <w:p w14:paraId="56E3482B">
            <w:pPr>
              <w:pStyle w:val="73"/>
              <w:rPr>
                <w:rFonts w:hint="default"/>
                <w:highlight w:val="none"/>
                <w:lang w:val="en-US" w:eastAsia="zh-CN"/>
              </w:rPr>
            </w:pPr>
            <w:r>
              <w:rPr>
                <w:rFonts w:hint="default" w:ascii="Segoe UI" w:hAnsi="Segoe UI" w:eastAsia="Segoe UI" w:cs="Segoe UI"/>
                <w:i w:val="0"/>
                <w:iCs w:val="0"/>
                <w:caps w:val="0"/>
                <w:color w:val="0F1115"/>
                <w:spacing w:val="0"/>
                <w:sz w:val="24"/>
                <w:szCs w:val="24"/>
                <w:highlight w:val="none"/>
                <w:shd w:val="clear" w:fill="FFFFFF"/>
                <w:lang w:val="en-US" w:eastAsia="zh-CN"/>
              </w:rPr>
              <w:fldChar w:fldCharType="begin"/>
            </w:r>
            <w:r>
              <w:rPr>
                <w:rFonts w:hint="default" w:ascii="Segoe UI" w:hAnsi="Segoe UI" w:eastAsia="Segoe UI" w:cs="Segoe UI"/>
                <w:i w:val="0"/>
                <w:iCs w:val="0"/>
                <w:caps w:val="0"/>
                <w:color w:val="0F1115"/>
                <w:spacing w:val="0"/>
                <w:sz w:val="24"/>
                <w:szCs w:val="24"/>
                <w:highlight w:val="none"/>
                <w:shd w:val="clear" w:fill="FFFFFF"/>
                <w:lang w:val="en-US" w:eastAsia="zh-CN"/>
              </w:rPr>
              <w:instrText xml:space="preserve"> = 3 \* GB3 \* MERGEFORMAT </w:instrText>
            </w:r>
            <w:r>
              <w:rPr>
                <w:rFonts w:hint="default" w:ascii="Segoe UI" w:hAnsi="Segoe UI" w:eastAsia="Segoe UI" w:cs="Segoe UI"/>
                <w:i w:val="0"/>
                <w:iCs w:val="0"/>
                <w:caps w:val="0"/>
                <w:color w:val="0F1115"/>
                <w:spacing w:val="0"/>
                <w:sz w:val="24"/>
                <w:szCs w:val="24"/>
                <w:highlight w:val="none"/>
                <w:shd w:val="clear" w:fill="FFFFFF"/>
                <w:lang w:val="en-US" w:eastAsia="zh-CN"/>
              </w:rPr>
              <w:fldChar w:fldCharType="separate"/>
            </w:r>
            <w:r>
              <w:rPr>
                <w:highlight w:val="none"/>
              </w:rPr>
              <w:t>③</w:t>
            </w:r>
            <w:r>
              <w:rPr>
                <w:rFonts w:hint="default" w:ascii="Segoe UI" w:hAnsi="Segoe UI" w:eastAsia="Segoe UI" w:cs="Segoe UI"/>
                <w:i w:val="0"/>
                <w:iCs w:val="0"/>
                <w:caps w:val="0"/>
                <w:color w:val="0F1115"/>
                <w:spacing w:val="0"/>
                <w:sz w:val="24"/>
                <w:szCs w:val="24"/>
                <w:highlight w:val="none"/>
                <w:shd w:val="clear" w:fill="FFFFFF"/>
                <w:lang w:val="en-US" w:eastAsia="zh-CN"/>
              </w:rPr>
              <w:fldChar w:fldCharType="end"/>
            </w:r>
            <w:r>
              <w:rPr>
                <w:rFonts w:hint="default"/>
                <w:highlight w:val="none"/>
                <w:lang w:val="en-US" w:eastAsia="zh-CN"/>
              </w:rPr>
              <w:t>配套管网</w:t>
            </w:r>
          </w:p>
          <w:p w14:paraId="0A60FCE6">
            <w:pPr>
              <w:pStyle w:val="73"/>
              <w:rPr>
                <w:rFonts w:hint="default" w:ascii="Segoe UI" w:hAnsi="Segoe UI" w:eastAsia="Segoe UI" w:cs="Segoe UI"/>
                <w:i w:val="0"/>
                <w:iCs w:val="0"/>
                <w:caps w:val="0"/>
                <w:color w:val="0F1115"/>
                <w:spacing w:val="0"/>
                <w:sz w:val="24"/>
                <w:szCs w:val="24"/>
                <w:highlight w:val="none"/>
                <w:shd w:val="clear" w:fill="FFFFFF"/>
                <w:lang w:val="en-US" w:eastAsia="zh-CN"/>
              </w:rPr>
            </w:pPr>
            <w:r>
              <w:rPr>
                <w:rFonts w:hint="eastAsia" w:ascii="Segoe UI" w:hAnsi="Segoe UI" w:eastAsia="Segoe UI" w:cs="Segoe UI"/>
                <w:i w:val="0"/>
                <w:iCs w:val="0"/>
                <w:caps w:val="0"/>
                <w:color w:val="0F1115"/>
                <w:spacing w:val="0"/>
                <w:sz w:val="24"/>
                <w:szCs w:val="24"/>
                <w:highlight w:val="none"/>
                <w:shd w:val="clear" w:fill="FFFFFF"/>
                <w:lang w:val="en-US" w:eastAsia="zh-CN"/>
              </w:rPr>
              <w:t>暂存池与灌溉农田之间应建设配套管网，主干管采用</w:t>
            </w:r>
            <w:r>
              <w:rPr>
                <w:rFonts w:hint="default" w:ascii="Segoe UI" w:hAnsi="Segoe UI" w:eastAsia="Segoe UI" w:cs="Segoe UI"/>
                <w:i w:val="0"/>
                <w:iCs w:val="0"/>
                <w:caps w:val="0"/>
                <w:color w:val="0F1115"/>
                <w:spacing w:val="0"/>
                <w:sz w:val="24"/>
                <w:szCs w:val="24"/>
                <w:highlight w:val="none"/>
                <w:shd w:val="clear" w:fill="FFFFFF"/>
                <w:lang w:val="en-US" w:eastAsia="zh-CN"/>
              </w:rPr>
              <w:t>压力管道</w:t>
            </w:r>
            <w:r>
              <w:rPr>
                <w:rFonts w:hint="default" w:ascii="Times New Roman" w:hAnsi="Times New Roman" w:eastAsia="Segoe UI" w:cs="Times New Roman"/>
                <w:i w:val="0"/>
                <w:iCs w:val="0"/>
                <w:caps w:val="0"/>
                <w:color w:val="0F1115"/>
                <w:spacing w:val="0"/>
                <w:sz w:val="24"/>
                <w:szCs w:val="24"/>
                <w:highlight w:val="none"/>
                <w:shd w:val="clear" w:fill="FFFFFF"/>
                <w:lang w:val="en-US" w:eastAsia="zh-CN"/>
              </w:rPr>
              <w:t>（PE管或PVC-U管</w:t>
            </w:r>
            <w:r>
              <w:rPr>
                <w:rFonts w:hint="default" w:ascii="Segoe UI" w:hAnsi="Segoe UI" w:eastAsia="Segoe UI" w:cs="Segoe UI"/>
                <w:i w:val="0"/>
                <w:iCs w:val="0"/>
                <w:caps w:val="0"/>
                <w:color w:val="0F1115"/>
                <w:spacing w:val="0"/>
                <w:sz w:val="24"/>
                <w:szCs w:val="24"/>
                <w:highlight w:val="none"/>
                <w:shd w:val="clear" w:fill="FFFFFF"/>
                <w:lang w:val="en-US" w:eastAsia="zh-CN"/>
              </w:rPr>
              <w:t>）确保流速和输送距离；田间支渠可采用明渠或低压管道，但必须硬化防渗</w:t>
            </w:r>
            <w:r>
              <w:rPr>
                <w:rFonts w:hint="eastAsia" w:ascii="Segoe UI" w:hAnsi="Segoe UI" w:eastAsia="Segoe UI" w:cs="Segoe UI"/>
                <w:i w:val="0"/>
                <w:iCs w:val="0"/>
                <w:caps w:val="0"/>
                <w:color w:val="0F1115"/>
                <w:spacing w:val="0"/>
                <w:sz w:val="24"/>
                <w:szCs w:val="24"/>
                <w:highlight w:val="none"/>
                <w:shd w:val="clear" w:fill="FFFFFF"/>
                <w:lang w:val="en-US" w:eastAsia="zh-CN"/>
              </w:rPr>
              <w:t>。应设独立专管，</w:t>
            </w:r>
            <w:r>
              <w:rPr>
                <w:rFonts w:hint="default" w:ascii="Segoe UI" w:hAnsi="Segoe UI" w:eastAsia="Segoe UI" w:cs="Segoe UI"/>
                <w:i w:val="0"/>
                <w:iCs w:val="0"/>
                <w:caps w:val="0"/>
                <w:color w:val="0F1115"/>
                <w:spacing w:val="0"/>
                <w:sz w:val="24"/>
                <w:szCs w:val="24"/>
                <w:highlight w:val="none"/>
                <w:shd w:val="clear" w:fill="FFFFFF"/>
                <w:lang w:val="en-US" w:eastAsia="zh-CN"/>
              </w:rPr>
              <w:t>严禁与雨水管网或自然沟渠连接。</w:t>
            </w:r>
            <w:r>
              <w:rPr>
                <w:rFonts w:hint="eastAsia" w:ascii="Segoe UI" w:hAnsi="Segoe UI" w:eastAsia="Segoe UI" w:cs="Segoe UI"/>
                <w:i w:val="0"/>
                <w:iCs w:val="0"/>
                <w:caps w:val="0"/>
                <w:color w:val="0F1115"/>
                <w:spacing w:val="0"/>
                <w:sz w:val="24"/>
                <w:szCs w:val="24"/>
                <w:highlight w:val="none"/>
                <w:shd w:val="clear" w:fill="FFFFFF"/>
                <w:lang w:val="en-US" w:eastAsia="zh-CN"/>
              </w:rPr>
              <w:t>在进入农田前设置</w:t>
            </w:r>
            <w:r>
              <w:rPr>
                <w:rFonts w:hint="default" w:ascii="Segoe UI" w:hAnsi="Segoe UI" w:eastAsia="Segoe UI" w:cs="Segoe UI"/>
                <w:i w:val="0"/>
                <w:iCs w:val="0"/>
                <w:caps w:val="0"/>
                <w:color w:val="0F1115"/>
                <w:spacing w:val="0"/>
                <w:sz w:val="24"/>
                <w:szCs w:val="24"/>
                <w:highlight w:val="none"/>
                <w:shd w:val="clear" w:fill="FFFFFF"/>
                <w:lang w:val="en-US" w:eastAsia="zh-CN"/>
              </w:rPr>
              <w:t>计量水表和总控阀门。</w:t>
            </w:r>
            <w:r>
              <w:rPr>
                <w:rFonts w:hint="eastAsia" w:ascii="Segoe UI" w:hAnsi="Segoe UI" w:eastAsia="Segoe UI" w:cs="Segoe UI"/>
                <w:i w:val="0"/>
                <w:iCs w:val="0"/>
                <w:caps w:val="0"/>
                <w:color w:val="0F1115"/>
                <w:spacing w:val="0"/>
                <w:sz w:val="24"/>
                <w:szCs w:val="24"/>
                <w:highlight w:val="none"/>
                <w:shd w:val="clear" w:fill="FFFFFF"/>
                <w:lang w:val="en-US" w:eastAsia="zh-CN"/>
              </w:rPr>
              <w:t>本项目厂区北侧、南侧、西侧紧邻农田，配套管网建设较方便可行。</w:t>
            </w:r>
          </w:p>
          <w:p w14:paraId="61A2A0C1">
            <w:pPr>
              <w:pStyle w:val="73"/>
              <w:rPr>
                <w:rFonts w:hint="eastAsia" w:ascii="Segoe UI" w:hAnsi="Segoe UI" w:eastAsia="Segoe UI" w:cs="Segoe UI"/>
                <w:i w:val="0"/>
                <w:iCs w:val="0"/>
                <w:caps w:val="0"/>
                <w:color w:val="0F1115"/>
                <w:spacing w:val="0"/>
                <w:sz w:val="24"/>
                <w:szCs w:val="24"/>
                <w:highlight w:val="none"/>
                <w:shd w:val="clear" w:fill="FFFFFF"/>
                <w:lang w:val="en-US" w:eastAsia="zh-CN"/>
              </w:rPr>
            </w:pPr>
            <w:r>
              <w:rPr>
                <w:rFonts w:ascii="Segoe UI" w:hAnsi="Segoe UI" w:eastAsia="Segoe UI" w:cs="Segoe UI"/>
                <w:i w:val="0"/>
                <w:iCs w:val="0"/>
                <w:caps w:val="0"/>
                <w:color w:val="0F1115"/>
                <w:spacing w:val="0"/>
                <w:sz w:val="24"/>
                <w:szCs w:val="24"/>
                <w:highlight w:val="none"/>
                <w:shd w:val="clear" w:fill="FFFFFF"/>
              </w:rPr>
              <w:t>企业</w:t>
            </w:r>
            <w:r>
              <w:rPr>
                <w:rFonts w:hint="eastAsia" w:ascii="Segoe UI" w:hAnsi="Segoe UI" w:eastAsia="宋体" w:cs="Segoe UI"/>
                <w:i w:val="0"/>
                <w:iCs w:val="0"/>
                <w:caps w:val="0"/>
                <w:color w:val="0F1115"/>
                <w:spacing w:val="0"/>
                <w:sz w:val="24"/>
                <w:szCs w:val="24"/>
                <w:highlight w:val="none"/>
                <w:shd w:val="clear" w:fill="FFFFFF"/>
                <w:lang w:val="en-US" w:eastAsia="zh-CN"/>
              </w:rPr>
              <w:t>应</w:t>
            </w:r>
            <w:r>
              <w:rPr>
                <w:rFonts w:hint="default" w:ascii="Segoe UI" w:hAnsi="Segoe UI" w:eastAsia="Segoe UI" w:cs="Segoe UI"/>
                <w:i w:val="0"/>
                <w:iCs w:val="0"/>
                <w:caps w:val="0"/>
                <w:color w:val="0F1115"/>
                <w:spacing w:val="0"/>
                <w:sz w:val="24"/>
                <w:szCs w:val="24"/>
                <w:highlight w:val="none"/>
                <w:shd w:val="clear" w:fill="FFFFFF"/>
              </w:rPr>
              <w:t>确保处理能力足够且运营稳定，建立完善的运维和</w:t>
            </w:r>
            <w:r>
              <w:rPr>
                <w:rFonts w:hint="eastAsia" w:ascii="Segoe UI" w:hAnsi="Segoe UI" w:eastAsia="宋体" w:cs="Segoe UI"/>
                <w:i w:val="0"/>
                <w:iCs w:val="0"/>
                <w:caps w:val="0"/>
                <w:color w:val="0F1115"/>
                <w:spacing w:val="0"/>
                <w:sz w:val="24"/>
                <w:szCs w:val="24"/>
                <w:highlight w:val="none"/>
                <w:shd w:val="clear" w:fill="FFFFFF"/>
                <w:lang w:val="en-US" w:eastAsia="zh-CN"/>
              </w:rPr>
              <w:t>农罐</w:t>
            </w:r>
            <w:r>
              <w:rPr>
                <w:rFonts w:hint="default" w:ascii="Segoe UI" w:hAnsi="Segoe UI" w:eastAsia="Segoe UI" w:cs="Segoe UI"/>
                <w:i w:val="0"/>
                <w:iCs w:val="0"/>
                <w:caps w:val="0"/>
                <w:color w:val="0F1115"/>
                <w:spacing w:val="0"/>
                <w:sz w:val="24"/>
                <w:szCs w:val="24"/>
                <w:highlight w:val="none"/>
                <w:shd w:val="clear" w:fill="FFFFFF"/>
              </w:rPr>
              <w:t>台账，明确</w:t>
            </w:r>
            <w:r>
              <w:rPr>
                <w:rFonts w:hint="eastAsia" w:ascii="Segoe UI" w:hAnsi="Segoe UI" w:eastAsia="宋体" w:cs="Segoe UI"/>
                <w:i w:val="0"/>
                <w:iCs w:val="0"/>
                <w:caps w:val="0"/>
                <w:color w:val="0F1115"/>
                <w:spacing w:val="0"/>
                <w:sz w:val="24"/>
                <w:szCs w:val="24"/>
                <w:highlight w:val="none"/>
                <w:shd w:val="clear" w:fill="FFFFFF"/>
                <w:lang w:val="en-US" w:eastAsia="zh-CN"/>
              </w:rPr>
              <w:t>农罐</w:t>
            </w:r>
            <w:r>
              <w:rPr>
                <w:rFonts w:hint="default" w:ascii="Segoe UI" w:hAnsi="Segoe UI" w:eastAsia="Segoe UI" w:cs="Segoe UI"/>
                <w:i w:val="0"/>
                <w:iCs w:val="0"/>
                <w:caps w:val="0"/>
                <w:color w:val="0F1115"/>
                <w:spacing w:val="0"/>
                <w:sz w:val="24"/>
                <w:szCs w:val="24"/>
                <w:highlight w:val="none"/>
                <w:shd w:val="clear" w:fill="FFFFFF"/>
              </w:rPr>
              <w:t>土地权属及消纳协议。</w:t>
            </w:r>
            <w:r>
              <w:rPr>
                <w:rFonts w:hint="eastAsia" w:ascii="Segoe UI" w:hAnsi="Segoe UI" w:eastAsia="宋体" w:cs="Segoe UI"/>
                <w:i w:val="0"/>
                <w:iCs w:val="0"/>
                <w:caps w:val="0"/>
                <w:color w:val="0F1115"/>
                <w:spacing w:val="0"/>
                <w:sz w:val="24"/>
                <w:szCs w:val="24"/>
                <w:highlight w:val="none"/>
                <w:shd w:val="clear" w:fill="FFFFFF"/>
                <w:lang w:val="en-US" w:eastAsia="zh-CN"/>
              </w:rPr>
              <w:t>此</w:t>
            </w:r>
            <w:r>
              <w:rPr>
                <w:rFonts w:hint="eastAsia" w:ascii="Segoe UI" w:hAnsi="Segoe UI" w:eastAsia="Segoe UI" w:cs="Segoe UI"/>
                <w:i w:val="0"/>
                <w:iCs w:val="0"/>
                <w:caps w:val="0"/>
                <w:color w:val="0F1115"/>
                <w:spacing w:val="0"/>
                <w:sz w:val="24"/>
                <w:szCs w:val="24"/>
                <w:highlight w:val="none"/>
                <w:shd w:val="clear" w:fill="FFFFFF"/>
                <w:lang w:val="en-US" w:eastAsia="zh-CN"/>
              </w:rPr>
              <w:t>外，确保暂存池和管网的防渗措施落实到位。</w:t>
            </w:r>
          </w:p>
          <w:p w14:paraId="4D770CD9">
            <w:pPr>
              <w:pStyle w:val="11"/>
              <w:numPr>
                <w:ilvl w:val="0"/>
                <w:numId w:val="12"/>
              </w:numPr>
              <w:spacing w:line="520" w:lineRule="exact"/>
              <w:ind w:left="0" w:leftChars="0" w:right="0" w:firstLine="480" w:firstLineChars="200"/>
              <w:rPr>
                <w:rFonts w:hint="eastAsia"/>
                <w:highlight w:val="none"/>
                <w:lang w:val="en-US" w:eastAsia="zh-CN"/>
              </w:rPr>
            </w:pPr>
            <w:r>
              <w:rPr>
                <w:rFonts w:hint="eastAsia"/>
                <w:highlight w:val="none"/>
                <w:lang w:val="en-US" w:eastAsia="zh-CN"/>
              </w:rPr>
              <w:t>排入</w:t>
            </w:r>
            <w:r>
              <w:rPr>
                <w:rFonts w:hint="eastAsia"/>
                <w:highlight w:val="none"/>
                <w:lang w:eastAsia="zh-CN"/>
              </w:rPr>
              <w:t>夹堤村西污水处理站</w:t>
            </w:r>
            <w:r>
              <w:rPr>
                <w:rFonts w:hint="eastAsia"/>
                <w:highlight w:val="none"/>
                <w:lang w:val="en-US" w:eastAsia="zh-CN"/>
              </w:rPr>
              <w:t>排放可行性分析</w:t>
            </w:r>
          </w:p>
          <w:p w14:paraId="18833DFB">
            <w:pPr>
              <w:pStyle w:val="11"/>
              <w:numPr>
                <w:ilvl w:val="0"/>
                <w:numId w:val="0"/>
              </w:numPr>
              <w:spacing w:line="520" w:lineRule="exact"/>
              <w:ind w:right="0" w:rightChars="0" w:firstLine="480" w:firstLineChars="200"/>
              <w:rPr>
                <w:rFonts w:hint="default"/>
                <w:color w:val="auto"/>
                <w:highlight w:val="none"/>
                <w:lang w:val="en-US" w:eastAsia="zh-CN"/>
              </w:rPr>
            </w:pPr>
            <w:r>
              <w:rPr>
                <w:highlight w:val="none"/>
              </w:rPr>
              <w:t>本项目厂区总排口各污染物排放浓度为</w:t>
            </w:r>
            <w:r>
              <w:rPr>
                <w:color w:val="000000" w:themeColor="text1"/>
                <w:highlight w:val="none"/>
                <w14:textFill>
                  <w14:solidFill>
                    <w14:schemeClr w14:val="tx1"/>
                  </w14:solidFill>
                </w14:textFill>
              </w:rPr>
              <w:t>pH7.1、悬浮物13mg/L、BOD</w:t>
            </w:r>
            <w:r>
              <w:rPr>
                <w:color w:val="000000" w:themeColor="text1"/>
                <w:highlight w:val="none"/>
                <w:vertAlign w:val="subscript"/>
                <w14:textFill>
                  <w14:solidFill>
                    <w14:schemeClr w14:val="tx1"/>
                  </w14:solidFill>
                </w14:textFill>
              </w:rPr>
              <w:t>5</w:t>
            </w:r>
            <w:r>
              <w:rPr>
                <w:color w:val="000000" w:themeColor="text1"/>
                <w:highlight w:val="none"/>
                <w14:textFill>
                  <w14:solidFill>
                    <w14:schemeClr w14:val="tx1"/>
                  </w14:solidFill>
                </w14:textFill>
              </w:rPr>
              <w:t>5.9mg/L、COD25mg/L、氨氮0.147mg/L、T</w:t>
            </w:r>
            <w:r>
              <w:rPr>
                <w:color w:val="auto"/>
                <w:highlight w:val="none"/>
              </w:rPr>
              <w:t>P0.14mg/L、动植物油0.94mg/L</w:t>
            </w:r>
            <w:r>
              <w:rPr>
                <w:rFonts w:hint="eastAsia"/>
                <w:color w:val="auto"/>
                <w:highlight w:val="none"/>
              </w:rPr>
              <w:t>，</w:t>
            </w:r>
            <w:r>
              <w:rPr>
                <w:color w:val="auto"/>
                <w:highlight w:val="none"/>
              </w:rPr>
              <w:t>满足</w:t>
            </w:r>
            <w:r>
              <w:rPr>
                <w:rFonts w:hint="eastAsia"/>
                <w:color w:val="auto"/>
                <w:highlight w:val="none"/>
              </w:rPr>
              <w:t>《食品加工制造</w:t>
            </w:r>
            <w:r>
              <w:rPr>
                <w:rFonts w:hint="eastAsia"/>
                <w:highlight w:val="none"/>
                <w:lang w:val="en-US" w:eastAsia="zh-CN"/>
              </w:rPr>
              <w:t>业水污染物排放标准 》（GB 46817—2025）表1间接排放标准。根据《延津县县域乡村生活污水治理专项规划</w:t>
            </w:r>
            <w:r>
              <w:rPr>
                <w:rFonts w:hint="default"/>
                <w:highlight w:val="none"/>
                <w:lang w:val="en-US" w:eastAsia="zh-CN"/>
              </w:rPr>
              <w:t>》（2018—2035）</w:t>
            </w:r>
            <w:r>
              <w:rPr>
                <w:rFonts w:hint="eastAsia"/>
                <w:highlight w:val="none"/>
                <w:lang w:val="en-US" w:eastAsia="zh-CN"/>
              </w:rPr>
              <w:t>，榆林乡夹堤村西规划建设一座污水处理站，2035年设计处理规模400t/d，目前正在建设中，本项目厂区的污水管网已铺设至该夹堤村西污水处理站建设位置。待该污水处理站建成投运后，本项目厂区废水排入该污水处理站。夹堤村西污水处理站处理工艺为“格栅+调节池</w:t>
            </w:r>
            <w:r>
              <w:rPr>
                <w:rFonts w:hint="default"/>
                <w:highlight w:val="none"/>
                <w:lang w:val="en-US" w:eastAsia="zh-CN"/>
              </w:rPr>
              <w:t>+厌氧处理</w:t>
            </w:r>
            <w:r>
              <w:rPr>
                <w:rFonts w:hint="eastAsia"/>
                <w:highlight w:val="none"/>
                <w:lang w:val="en-US" w:eastAsia="zh-CN"/>
              </w:rPr>
              <w:t>”尾水排至榆林排，尾水执行</w:t>
            </w:r>
            <w:r>
              <w:rPr>
                <w:highlight w:val="none"/>
                <w:lang w:val="en-US" w:eastAsia="zh-CN"/>
              </w:rPr>
              <w:t>河南省</w:t>
            </w:r>
            <w:r>
              <w:rPr>
                <w:rFonts w:hint="eastAsia"/>
                <w:highlight w:val="none"/>
                <w:lang w:val="en-US" w:eastAsia="zh-CN"/>
              </w:rPr>
              <w:t>地标</w:t>
            </w:r>
            <w:r>
              <w:rPr>
                <w:highlight w:val="none"/>
                <w:lang w:val="en-US" w:eastAsia="zh-CN"/>
              </w:rPr>
              <w:t>《农村生活</w:t>
            </w:r>
            <w:r>
              <w:rPr>
                <w:rFonts w:hint="default"/>
                <w:highlight w:val="none"/>
                <w:lang w:val="en-US" w:eastAsia="zh-CN"/>
              </w:rPr>
              <w:t xml:space="preserve">污水处理设施水污染物排放标准》 </w:t>
            </w:r>
            <w:r>
              <w:rPr>
                <w:rFonts w:hint="eastAsia"/>
                <w:highlight w:val="none"/>
                <w:lang w:val="en-US" w:eastAsia="zh-CN"/>
              </w:rPr>
              <w:t>（DB41/1820-2019）</w:t>
            </w:r>
            <w:r>
              <w:rPr>
                <w:rFonts w:hint="default"/>
                <w:highlight w:val="none"/>
                <w:lang w:val="en-US" w:eastAsia="zh-CN"/>
              </w:rPr>
              <w:t>三级排放标准</w:t>
            </w:r>
            <w:r>
              <w:rPr>
                <w:rFonts w:hint="eastAsia"/>
                <w:highlight w:val="none"/>
                <w:lang w:val="en-US" w:eastAsia="zh-CN"/>
              </w:rPr>
              <w:t>pH6-9、悬浮物50mg/L、CODcr100mg/L、氨氮20（25）、动植物油5mg/L。</w:t>
            </w:r>
          </w:p>
          <w:p w14:paraId="4D9098FE">
            <w:pPr>
              <w:pStyle w:val="73"/>
              <w:rPr>
                <w:color w:val="000000" w:themeColor="text1"/>
                <w14:textFill>
                  <w14:solidFill>
                    <w14:schemeClr w14:val="tx1"/>
                  </w14:solidFill>
                </w14:textFill>
              </w:rPr>
            </w:pPr>
            <w:r>
              <w:t>综上分析，</w:t>
            </w:r>
            <w:r>
              <w:rPr>
                <w:rFonts w:hint="eastAsia"/>
                <w:lang w:val="en-US" w:eastAsia="zh-CN"/>
              </w:rPr>
              <w:t>本</w:t>
            </w:r>
            <w:r>
              <w:t>改建项目建成后全厂营运期间废水</w:t>
            </w:r>
            <w:r>
              <w:rPr>
                <w:rFonts w:hint="eastAsia"/>
                <w:lang w:val="en-US" w:eastAsia="zh-CN"/>
              </w:rPr>
              <w:t>排放</w:t>
            </w:r>
            <w:r>
              <w:t>对</w:t>
            </w:r>
            <w:r>
              <w:rPr>
                <w:rFonts w:hint="eastAsia"/>
                <w:highlight w:val="none"/>
                <w:lang w:val="en-US" w:eastAsia="zh-CN"/>
              </w:rPr>
              <w:t>夹堤村西污水处理站</w:t>
            </w:r>
            <w:r>
              <w:t>影响</w:t>
            </w:r>
            <w:r>
              <w:rPr>
                <w:rFonts w:hint="eastAsia"/>
                <w:lang w:val="en-US" w:eastAsia="zh-CN"/>
              </w:rPr>
              <w:t>较小</w:t>
            </w:r>
            <w:r>
              <w:t>。</w:t>
            </w:r>
          </w:p>
          <w:p w14:paraId="77114225">
            <w:pPr>
              <w:pStyle w:val="73"/>
              <w:ind w:firstLine="482"/>
              <w:rPr>
                <w:b/>
                <w:bCs/>
                <w:color w:val="000000" w:themeColor="text1"/>
                <w14:textFill>
                  <w14:solidFill>
                    <w14:schemeClr w14:val="tx1"/>
                  </w14:solidFill>
                </w14:textFill>
              </w:rPr>
            </w:pPr>
            <w:r>
              <w:rPr>
                <w:b/>
                <w:bCs/>
                <w:color w:val="000000" w:themeColor="text1"/>
                <w14:textFill>
                  <w14:solidFill>
                    <w14:schemeClr w14:val="tx1"/>
                  </w14:solidFill>
                </w14:textFill>
              </w:rPr>
              <w:t>4、污染物排放信息</w:t>
            </w:r>
          </w:p>
          <w:p w14:paraId="377200EB">
            <w:pPr>
              <w:pStyle w:val="33"/>
              <w:spacing w:line="520" w:lineRule="exact"/>
              <w:ind w:firstLine="48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①废水类别、污染物及污染治理设施信息表</w:t>
            </w:r>
          </w:p>
          <w:p w14:paraId="1832B6F7">
            <w:pPr>
              <w:pStyle w:val="33"/>
              <w:ind w:firstLine="480"/>
              <w:rPr>
                <w:rFonts w:ascii="黑体" w:hAnsi="黑体" w:eastAsia="黑体" w:cs="Times New Roman"/>
                <w:color w:val="000000" w:themeColor="text1"/>
                <w14:textFill>
                  <w14:solidFill>
                    <w14:schemeClr w14:val="tx1"/>
                  </w14:solidFill>
                </w14:textFill>
              </w:rPr>
            </w:pPr>
            <w:r>
              <w:rPr>
                <w:rFonts w:hint="eastAsia" w:ascii="黑体" w:hAnsi="黑体" w:eastAsia="黑体" w:cs="Times New Roman"/>
                <w:color w:val="000000" w:themeColor="text1"/>
                <w14:textFill>
                  <w14:solidFill>
                    <w14:schemeClr w14:val="tx1"/>
                  </w14:solidFill>
                </w14:textFill>
              </w:rPr>
              <w:t>表</w:t>
            </w:r>
            <w:r>
              <w:rPr>
                <w:rFonts w:hint="eastAsia" w:eastAsia="黑体" w:cs="Times New Roman"/>
                <w:color w:val="000000" w:themeColor="text1"/>
                <w14:textFill>
                  <w14:solidFill>
                    <w14:schemeClr w14:val="tx1"/>
                  </w14:solidFill>
                </w14:textFill>
              </w:rPr>
              <w:t>4-2</w:t>
            </w:r>
            <w:r>
              <w:rPr>
                <w:rFonts w:hint="eastAsia" w:ascii="黑体" w:hAnsi="黑体" w:eastAsia="黑体" w:cs="Times New Roman"/>
                <w:color w:val="000000" w:themeColor="text1"/>
                <w14:textFill>
                  <w14:solidFill>
                    <w14:schemeClr w14:val="tx1"/>
                  </w14:solidFill>
                </w14:textFill>
              </w:rPr>
              <w:t xml:space="preserve">          废水类别、污染物及污染治理设施信息表</w:t>
            </w:r>
          </w:p>
          <w:tbl>
            <w:tblPr>
              <w:tblStyle w:val="18"/>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638"/>
              <w:gridCol w:w="1347"/>
              <w:gridCol w:w="764"/>
              <w:gridCol w:w="709"/>
              <w:gridCol w:w="791"/>
              <w:gridCol w:w="668"/>
              <w:gridCol w:w="931"/>
              <w:gridCol w:w="637"/>
              <w:gridCol w:w="922"/>
              <w:gridCol w:w="959"/>
            </w:tblGrid>
            <w:tr w14:paraId="5295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7" w:type="dxa"/>
                  <w:vMerge w:val="restart"/>
                  <w:vAlign w:val="center"/>
                </w:tcPr>
                <w:p w14:paraId="4A7046D0">
                  <w:pPr>
                    <w:pStyle w:val="33"/>
                    <w:spacing w:line="240" w:lineRule="exact"/>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序号</w:t>
                  </w:r>
                </w:p>
              </w:tc>
              <w:tc>
                <w:tcPr>
                  <w:tcW w:w="638" w:type="dxa"/>
                  <w:vMerge w:val="restart"/>
                  <w:vAlign w:val="center"/>
                </w:tcPr>
                <w:p w14:paraId="3BFF3D2F">
                  <w:pPr>
                    <w:pStyle w:val="33"/>
                    <w:spacing w:line="240" w:lineRule="exact"/>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废水类别</w:t>
                  </w:r>
                </w:p>
              </w:tc>
              <w:tc>
                <w:tcPr>
                  <w:tcW w:w="1347" w:type="dxa"/>
                  <w:vMerge w:val="restart"/>
                  <w:vAlign w:val="center"/>
                </w:tcPr>
                <w:p w14:paraId="6C7753EE">
                  <w:pPr>
                    <w:pStyle w:val="33"/>
                    <w:spacing w:line="240" w:lineRule="exact"/>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污染物种类</w:t>
                  </w:r>
                </w:p>
              </w:tc>
              <w:tc>
                <w:tcPr>
                  <w:tcW w:w="764" w:type="dxa"/>
                  <w:vMerge w:val="restart"/>
                  <w:vAlign w:val="center"/>
                </w:tcPr>
                <w:p w14:paraId="52AF28BB">
                  <w:pPr>
                    <w:pStyle w:val="33"/>
                    <w:spacing w:line="240" w:lineRule="exact"/>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排放去向</w:t>
                  </w:r>
                </w:p>
              </w:tc>
              <w:tc>
                <w:tcPr>
                  <w:tcW w:w="709" w:type="dxa"/>
                  <w:vMerge w:val="restart"/>
                  <w:vAlign w:val="center"/>
                </w:tcPr>
                <w:p w14:paraId="475274C8">
                  <w:pPr>
                    <w:pStyle w:val="33"/>
                    <w:spacing w:line="240" w:lineRule="exact"/>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排放规律</w:t>
                  </w:r>
                </w:p>
              </w:tc>
              <w:tc>
                <w:tcPr>
                  <w:tcW w:w="2390" w:type="dxa"/>
                  <w:gridSpan w:val="3"/>
                  <w:vAlign w:val="center"/>
                </w:tcPr>
                <w:p w14:paraId="029AD5AB">
                  <w:pPr>
                    <w:pStyle w:val="33"/>
                    <w:spacing w:line="240" w:lineRule="exact"/>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污染治理措施</w:t>
                  </w:r>
                </w:p>
              </w:tc>
              <w:tc>
                <w:tcPr>
                  <w:tcW w:w="637" w:type="dxa"/>
                  <w:vMerge w:val="restart"/>
                  <w:vAlign w:val="center"/>
                </w:tcPr>
                <w:p w14:paraId="38070EEA">
                  <w:pPr>
                    <w:pStyle w:val="33"/>
                    <w:spacing w:line="240" w:lineRule="exact"/>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排放口编号</w:t>
                  </w:r>
                </w:p>
              </w:tc>
              <w:tc>
                <w:tcPr>
                  <w:tcW w:w="922" w:type="dxa"/>
                  <w:vMerge w:val="restart"/>
                  <w:vAlign w:val="center"/>
                </w:tcPr>
                <w:p w14:paraId="3A144753">
                  <w:pPr>
                    <w:pStyle w:val="33"/>
                    <w:spacing w:line="240" w:lineRule="exact"/>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排放口设置是否符合要求</w:t>
                  </w:r>
                </w:p>
              </w:tc>
              <w:tc>
                <w:tcPr>
                  <w:tcW w:w="959" w:type="dxa"/>
                  <w:vMerge w:val="restart"/>
                  <w:vAlign w:val="center"/>
                </w:tcPr>
                <w:p w14:paraId="3D18F2C7">
                  <w:pPr>
                    <w:pStyle w:val="33"/>
                    <w:spacing w:line="240" w:lineRule="exact"/>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排放口类型</w:t>
                  </w:r>
                </w:p>
              </w:tc>
            </w:tr>
            <w:tr w14:paraId="2AAA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7" w:type="dxa"/>
                  <w:vMerge w:val="continue"/>
                  <w:vAlign w:val="center"/>
                </w:tcPr>
                <w:p w14:paraId="1C2CC802">
                  <w:pPr>
                    <w:pStyle w:val="33"/>
                    <w:spacing w:line="240" w:lineRule="exact"/>
                    <w:ind w:firstLine="0" w:firstLineChars="0"/>
                    <w:jc w:val="center"/>
                    <w:rPr>
                      <w:rFonts w:cs="Times New Roman"/>
                      <w:color w:val="000000" w:themeColor="text1"/>
                      <w:sz w:val="21"/>
                      <w:szCs w:val="21"/>
                      <w14:textFill>
                        <w14:solidFill>
                          <w14:schemeClr w14:val="tx1"/>
                        </w14:solidFill>
                      </w14:textFill>
                    </w:rPr>
                  </w:pPr>
                </w:p>
              </w:tc>
              <w:tc>
                <w:tcPr>
                  <w:tcW w:w="638" w:type="dxa"/>
                  <w:vMerge w:val="continue"/>
                  <w:vAlign w:val="center"/>
                </w:tcPr>
                <w:p w14:paraId="06127267">
                  <w:pPr>
                    <w:pStyle w:val="33"/>
                    <w:spacing w:line="240" w:lineRule="exact"/>
                    <w:ind w:firstLine="0" w:firstLineChars="0"/>
                    <w:jc w:val="center"/>
                    <w:rPr>
                      <w:rFonts w:cs="Times New Roman"/>
                      <w:color w:val="000000" w:themeColor="text1"/>
                      <w:sz w:val="21"/>
                      <w:szCs w:val="21"/>
                      <w14:textFill>
                        <w14:solidFill>
                          <w14:schemeClr w14:val="tx1"/>
                        </w14:solidFill>
                      </w14:textFill>
                    </w:rPr>
                  </w:pPr>
                </w:p>
              </w:tc>
              <w:tc>
                <w:tcPr>
                  <w:tcW w:w="1347" w:type="dxa"/>
                  <w:vMerge w:val="continue"/>
                  <w:vAlign w:val="center"/>
                </w:tcPr>
                <w:p w14:paraId="481A1448">
                  <w:pPr>
                    <w:pStyle w:val="33"/>
                    <w:spacing w:line="240" w:lineRule="exact"/>
                    <w:ind w:firstLine="0" w:firstLineChars="0"/>
                    <w:jc w:val="center"/>
                    <w:rPr>
                      <w:rFonts w:cs="Times New Roman"/>
                      <w:color w:val="000000" w:themeColor="text1"/>
                      <w:sz w:val="21"/>
                      <w:szCs w:val="21"/>
                      <w14:textFill>
                        <w14:solidFill>
                          <w14:schemeClr w14:val="tx1"/>
                        </w14:solidFill>
                      </w14:textFill>
                    </w:rPr>
                  </w:pPr>
                </w:p>
              </w:tc>
              <w:tc>
                <w:tcPr>
                  <w:tcW w:w="764" w:type="dxa"/>
                  <w:vMerge w:val="continue"/>
                  <w:vAlign w:val="center"/>
                </w:tcPr>
                <w:p w14:paraId="265C7C57">
                  <w:pPr>
                    <w:pStyle w:val="33"/>
                    <w:spacing w:line="240" w:lineRule="exact"/>
                    <w:ind w:firstLine="0" w:firstLineChars="0"/>
                    <w:jc w:val="center"/>
                    <w:rPr>
                      <w:rFonts w:cs="Times New Roman"/>
                      <w:color w:val="000000" w:themeColor="text1"/>
                      <w:sz w:val="21"/>
                      <w:szCs w:val="21"/>
                      <w14:textFill>
                        <w14:solidFill>
                          <w14:schemeClr w14:val="tx1"/>
                        </w14:solidFill>
                      </w14:textFill>
                    </w:rPr>
                  </w:pPr>
                </w:p>
              </w:tc>
              <w:tc>
                <w:tcPr>
                  <w:tcW w:w="709" w:type="dxa"/>
                  <w:vMerge w:val="continue"/>
                  <w:vAlign w:val="center"/>
                </w:tcPr>
                <w:p w14:paraId="551E44D2">
                  <w:pPr>
                    <w:pStyle w:val="33"/>
                    <w:spacing w:line="240" w:lineRule="exact"/>
                    <w:ind w:firstLine="0" w:firstLineChars="0"/>
                    <w:jc w:val="center"/>
                    <w:rPr>
                      <w:rFonts w:cs="Times New Roman"/>
                      <w:color w:val="000000" w:themeColor="text1"/>
                      <w:sz w:val="21"/>
                      <w:szCs w:val="21"/>
                      <w14:textFill>
                        <w14:solidFill>
                          <w14:schemeClr w14:val="tx1"/>
                        </w14:solidFill>
                      </w14:textFill>
                    </w:rPr>
                  </w:pPr>
                </w:p>
              </w:tc>
              <w:tc>
                <w:tcPr>
                  <w:tcW w:w="791" w:type="dxa"/>
                  <w:vAlign w:val="center"/>
                </w:tcPr>
                <w:p w14:paraId="0E248A89">
                  <w:pPr>
                    <w:pStyle w:val="33"/>
                    <w:spacing w:line="240" w:lineRule="exact"/>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污染治理措施编号</w:t>
                  </w:r>
                </w:p>
              </w:tc>
              <w:tc>
                <w:tcPr>
                  <w:tcW w:w="668" w:type="dxa"/>
                  <w:vAlign w:val="center"/>
                </w:tcPr>
                <w:p w14:paraId="03D8A8FA">
                  <w:pPr>
                    <w:pStyle w:val="33"/>
                    <w:spacing w:line="240" w:lineRule="exact"/>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污染治理措施名称</w:t>
                  </w:r>
                </w:p>
              </w:tc>
              <w:tc>
                <w:tcPr>
                  <w:tcW w:w="931" w:type="dxa"/>
                  <w:vAlign w:val="center"/>
                </w:tcPr>
                <w:p w14:paraId="614AED8F">
                  <w:pPr>
                    <w:pStyle w:val="33"/>
                    <w:spacing w:line="240" w:lineRule="exact"/>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污染治理措施工艺</w:t>
                  </w:r>
                </w:p>
              </w:tc>
              <w:tc>
                <w:tcPr>
                  <w:tcW w:w="637" w:type="dxa"/>
                  <w:vMerge w:val="continue"/>
                  <w:vAlign w:val="center"/>
                </w:tcPr>
                <w:p w14:paraId="7C3F7000">
                  <w:pPr>
                    <w:pStyle w:val="33"/>
                    <w:spacing w:line="240" w:lineRule="exact"/>
                    <w:ind w:firstLine="0" w:firstLineChars="0"/>
                    <w:jc w:val="center"/>
                    <w:rPr>
                      <w:rFonts w:cs="Times New Roman"/>
                      <w:b/>
                      <w:color w:val="000000" w:themeColor="text1"/>
                      <w:sz w:val="21"/>
                      <w:szCs w:val="21"/>
                      <w14:textFill>
                        <w14:solidFill>
                          <w14:schemeClr w14:val="tx1"/>
                        </w14:solidFill>
                      </w14:textFill>
                    </w:rPr>
                  </w:pPr>
                </w:p>
              </w:tc>
              <w:tc>
                <w:tcPr>
                  <w:tcW w:w="922" w:type="dxa"/>
                  <w:vMerge w:val="continue"/>
                  <w:vAlign w:val="center"/>
                </w:tcPr>
                <w:p w14:paraId="732165F8">
                  <w:pPr>
                    <w:pStyle w:val="33"/>
                    <w:spacing w:line="240" w:lineRule="exact"/>
                    <w:ind w:firstLine="0" w:firstLineChars="0"/>
                    <w:jc w:val="center"/>
                    <w:rPr>
                      <w:rFonts w:cs="Times New Roman"/>
                      <w:b/>
                      <w:color w:val="000000" w:themeColor="text1"/>
                      <w:sz w:val="21"/>
                      <w:szCs w:val="21"/>
                      <w14:textFill>
                        <w14:solidFill>
                          <w14:schemeClr w14:val="tx1"/>
                        </w14:solidFill>
                      </w14:textFill>
                    </w:rPr>
                  </w:pPr>
                </w:p>
              </w:tc>
              <w:tc>
                <w:tcPr>
                  <w:tcW w:w="959" w:type="dxa"/>
                  <w:vMerge w:val="continue"/>
                  <w:vAlign w:val="center"/>
                </w:tcPr>
                <w:p w14:paraId="11A93AB5">
                  <w:pPr>
                    <w:pStyle w:val="33"/>
                    <w:spacing w:line="240" w:lineRule="exact"/>
                    <w:ind w:firstLine="0" w:firstLineChars="0"/>
                    <w:jc w:val="center"/>
                    <w:rPr>
                      <w:rFonts w:cs="Times New Roman"/>
                      <w:b/>
                      <w:color w:val="000000" w:themeColor="text1"/>
                      <w:sz w:val="21"/>
                      <w:szCs w:val="21"/>
                      <w14:textFill>
                        <w14:solidFill>
                          <w14:schemeClr w14:val="tx1"/>
                        </w14:solidFill>
                      </w14:textFill>
                    </w:rPr>
                  </w:pPr>
                </w:p>
              </w:tc>
            </w:tr>
            <w:tr w14:paraId="3C70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7" w:type="dxa"/>
                  <w:vAlign w:val="center"/>
                </w:tcPr>
                <w:p w14:paraId="1D58084E">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w:t>
                  </w:r>
                </w:p>
              </w:tc>
              <w:tc>
                <w:tcPr>
                  <w:tcW w:w="638" w:type="dxa"/>
                  <w:vAlign w:val="center"/>
                </w:tcPr>
                <w:p w14:paraId="447EE555">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综合废水</w:t>
                  </w:r>
                </w:p>
              </w:tc>
              <w:tc>
                <w:tcPr>
                  <w:tcW w:w="1347" w:type="dxa"/>
                  <w:vAlign w:val="center"/>
                </w:tcPr>
                <w:p w14:paraId="13DE4690">
                  <w:pPr>
                    <w:spacing w:line="240" w:lineRule="exact"/>
                    <w:jc w:val="center"/>
                    <w:rPr>
                      <w:color w:val="000000" w:themeColor="text1"/>
                      <w:sz w:val="21"/>
                      <w:szCs w:val="21"/>
                      <w14:textFill>
                        <w14:solidFill>
                          <w14:schemeClr w14:val="tx1"/>
                        </w14:solidFill>
                      </w14:textFill>
                    </w:rPr>
                  </w:pPr>
                  <w:r>
                    <w:rPr>
                      <w:rFonts w:hint="eastAsia"/>
                      <w:bCs/>
                      <w:color w:val="000000" w:themeColor="text1"/>
                      <w:spacing w:val="-4"/>
                      <w:sz w:val="21"/>
                      <w:szCs w:val="21"/>
                      <w14:textFill>
                        <w14:solidFill>
                          <w14:schemeClr w14:val="tx1"/>
                        </w14:solidFill>
                      </w14:textFill>
                    </w:rPr>
                    <w:t>pH、</w:t>
                  </w:r>
                  <w:r>
                    <w:rPr>
                      <w:bCs/>
                      <w:color w:val="000000" w:themeColor="text1"/>
                      <w:spacing w:val="-4"/>
                      <w:sz w:val="21"/>
                      <w:szCs w:val="21"/>
                      <w14:textFill>
                        <w14:solidFill>
                          <w14:schemeClr w14:val="tx1"/>
                        </w14:solidFill>
                      </w14:textFill>
                    </w:rPr>
                    <w:t>COD、SS</w:t>
                  </w:r>
                  <w:r>
                    <w:rPr>
                      <w:rFonts w:hint="eastAsia"/>
                      <w:bCs/>
                      <w:color w:val="000000" w:themeColor="text1"/>
                      <w:spacing w:val="-4"/>
                      <w:sz w:val="21"/>
                      <w:szCs w:val="21"/>
                      <w14:textFill>
                        <w14:solidFill>
                          <w14:schemeClr w14:val="tx1"/>
                        </w14:solidFill>
                      </w14:textFill>
                    </w:rPr>
                    <w:t>、</w:t>
                  </w:r>
                  <w:r>
                    <w:rPr>
                      <w:bCs/>
                      <w:color w:val="000000" w:themeColor="text1"/>
                      <w:spacing w:val="-4"/>
                      <w:sz w:val="21"/>
                      <w:szCs w:val="21"/>
                      <w14:textFill>
                        <w14:solidFill>
                          <w14:schemeClr w14:val="tx1"/>
                        </w14:solidFill>
                      </w14:textFill>
                    </w:rPr>
                    <w:t>NH</w:t>
                  </w:r>
                  <w:r>
                    <w:rPr>
                      <w:bCs/>
                      <w:color w:val="000000" w:themeColor="text1"/>
                      <w:spacing w:val="-4"/>
                      <w:sz w:val="21"/>
                      <w:szCs w:val="21"/>
                      <w:vertAlign w:val="subscript"/>
                      <w14:textFill>
                        <w14:solidFill>
                          <w14:schemeClr w14:val="tx1"/>
                        </w14:solidFill>
                      </w14:textFill>
                    </w:rPr>
                    <w:t>3</w:t>
                  </w:r>
                  <w:r>
                    <w:rPr>
                      <w:bCs/>
                      <w:color w:val="000000" w:themeColor="text1"/>
                      <w:spacing w:val="-4"/>
                      <w:sz w:val="21"/>
                      <w:szCs w:val="21"/>
                      <w14:textFill>
                        <w14:solidFill>
                          <w14:schemeClr w14:val="tx1"/>
                        </w14:solidFill>
                      </w14:textFill>
                    </w:rPr>
                    <w:t>-N、TP、BOD</w:t>
                  </w:r>
                  <w:r>
                    <w:rPr>
                      <w:bCs/>
                      <w:color w:val="000000" w:themeColor="text1"/>
                      <w:spacing w:val="-4"/>
                      <w:sz w:val="21"/>
                      <w:szCs w:val="21"/>
                      <w:vertAlign w:val="subscript"/>
                      <w14:textFill>
                        <w14:solidFill>
                          <w14:schemeClr w14:val="tx1"/>
                        </w14:solidFill>
                      </w14:textFill>
                    </w:rPr>
                    <w:t>5</w:t>
                  </w:r>
                  <w:r>
                    <w:rPr>
                      <w:rFonts w:hint="eastAsia"/>
                      <w:bCs/>
                      <w:color w:val="000000" w:themeColor="text1"/>
                      <w:spacing w:val="-4"/>
                      <w:sz w:val="21"/>
                      <w:szCs w:val="21"/>
                      <w14:textFill>
                        <w14:solidFill>
                          <w14:schemeClr w14:val="tx1"/>
                        </w14:solidFill>
                      </w14:textFill>
                    </w:rPr>
                    <w:t>、动植物油</w:t>
                  </w:r>
                </w:p>
              </w:tc>
              <w:tc>
                <w:tcPr>
                  <w:tcW w:w="764" w:type="dxa"/>
                  <w:vAlign w:val="center"/>
                </w:tcPr>
                <w:p w14:paraId="7F4E1F7F">
                  <w:pPr>
                    <w:pStyle w:val="33"/>
                    <w:spacing w:line="240" w:lineRule="exact"/>
                    <w:ind w:firstLine="0" w:firstLineChars="0"/>
                    <w:jc w:val="center"/>
                    <w:rPr>
                      <w:rFonts w:hint="eastAsia"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14:textFill>
                        <w14:solidFill>
                          <w14:schemeClr w14:val="tx1"/>
                        </w14:solidFill>
                      </w14:textFill>
                    </w:rPr>
                    <w:t>近期农灌，远期排入</w:t>
                  </w:r>
                  <w:r>
                    <w:rPr>
                      <w:rFonts w:hint="eastAsia" w:cs="Times New Roman"/>
                      <w:color w:val="000000" w:themeColor="text1"/>
                      <w:sz w:val="21"/>
                      <w:szCs w:val="21"/>
                      <w:lang w:eastAsia="zh-CN"/>
                      <w14:textFill>
                        <w14:solidFill>
                          <w14:schemeClr w14:val="tx1"/>
                        </w14:solidFill>
                      </w14:textFill>
                    </w:rPr>
                    <w:t>夹堤村西污水处理站</w:t>
                  </w:r>
                </w:p>
              </w:tc>
              <w:tc>
                <w:tcPr>
                  <w:tcW w:w="709" w:type="dxa"/>
                  <w:vAlign w:val="center"/>
                </w:tcPr>
                <w:p w14:paraId="7DA8301F">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间断排放，排放期间流量不稳定且无规律，但不属于冲击型排放</w:t>
                  </w:r>
                </w:p>
              </w:tc>
              <w:tc>
                <w:tcPr>
                  <w:tcW w:w="791" w:type="dxa"/>
                  <w:vAlign w:val="center"/>
                </w:tcPr>
                <w:p w14:paraId="504F0804">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TW001</w:t>
                  </w:r>
                </w:p>
              </w:tc>
              <w:tc>
                <w:tcPr>
                  <w:tcW w:w="668" w:type="dxa"/>
                  <w:vAlign w:val="center"/>
                </w:tcPr>
                <w:p w14:paraId="5D3F3BF3">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厂区污水处理设施</w:t>
                  </w:r>
                </w:p>
              </w:tc>
              <w:tc>
                <w:tcPr>
                  <w:tcW w:w="931" w:type="dxa"/>
                  <w:vAlign w:val="center"/>
                </w:tcPr>
                <w:p w14:paraId="71A4B287">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隔油池+水解酸化+气浮+厌氧+好氧+曝气+沉淀+清水池</w:t>
                  </w:r>
                </w:p>
              </w:tc>
              <w:tc>
                <w:tcPr>
                  <w:tcW w:w="637" w:type="dxa"/>
                  <w:vAlign w:val="center"/>
                </w:tcPr>
                <w:p w14:paraId="42EAC936">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DW001</w:t>
                  </w:r>
                </w:p>
              </w:tc>
              <w:tc>
                <w:tcPr>
                  <w:tcW w:w="922" w:type="dxa"/>
                  <w:vAlign w:val="center"/>
                </w:tcPr>
                <w:p w14:paraId="282E9DF7">
                  <w:pPr>
                    <w:spacing w:line="240" w:lineRule="exact"/>
                    <w:jc w:val="center"/>
                    <w:rPr>
                      <w:color w:val="000000" w:themeColor="text1"/>
                      <w:sz w:val="21"/>
                      <w:szCs w:val="21"/>
                      <w14:textFill>
                        <w14:solidFill>
                          <w14:schemeClr w14:val="tx1"/>
                        </w14:solidFill>
                      </w14:textFill>
                    </w:rPr>
                  </w:pPr>
                  <w:r>
                    <w:rPr>
                      <w:rFonts w:eastAsia="MS Mincho"/>
                      <w:color w:val="000000" w:themeColor="text1"/>
                      <w:sz w:val="21"/>
                      <w:szCs w:val="21"/>
                      <w14:textFill>
                        <w14:solidFill>
                          <w14:schemeClr w14:val="tx1"/>
                        </w14:solidFill>
                      </w14:textFill>
                    </w:rPr>
                    <w:sym w:font="Wingdings" w:char="F0FE"/>
                  </w:r>
                  <w:r>
                    <w:rPr>
                      <w:color w:val="000000" w:themeColor="text1"/>
                      <w:sz w:val="21"/>
                      <w:szCs w:val="21"/>
                      <w14:textFill>
                        <w14:solidFill>
                          <w14:schemeClr w14:val="tx1"/>
                        </w14:solidFill>
                      </w14:textFill>
                    </w:rPr>
                    <w:t>是</w:t>
                  </w:r>
                </w:p>
                <w:p w14:paraId="031212C3">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cs="Times New Roman"/>
                      <w:color w:val="000000" w:themeColor="text1"/>
                      <w:spacing w:val="-1"/>
                      <w:sz w:val="21"/>
                      <w:szCs w:val="21"/>
                      <w14:textFill>
                        <w14:solidFill>
                          <w14:schemeClr w14:val="tx1"/>
                        </w14:solidFill>
                      </w14:textFill>
                    </w:rPr>
                    <w:t>□</w:t>
                  </w:r>
                  <w:r>
                    <w:rPr>
                      <w:rFonts w:cs="Times New Roman"/>
                      <w:color w:val="000000" w:themeColor="text1"/>
                      <w:sz w:val="21"/>
                      <w:szCs w:val="21"/>
                      <w14:textFill>
                        <w14:solidFill>
                          <w14:schemeClr w14:val="tx1"/>
                        </w14:solidFill>
                      </w14:textFill>
                    </w:rPr>
                    <w:t>否</w:t>
                  </w:r>
                </w:p>
              </w:tc>
              <w:tc>
                <w:tcPr>
                  <w:tcW w:w="959" w:type="dxa"/>
                  <w:vAlign w:val="center"/>
                </w:tcPr>
                <w:p w14:paraId="4605AC65">
                  <w:pPr>
                    <w:spacing w:line="240" w:lineRule="exact"/>
                    <w:jc w:val="center"/>
                    <w:rPr>
                      <w:color w:val="000000" w:themeColor="text1"/>
                      <w:sz w:val="21"/>
                      <w:szCs w:val="21"/>
                      <w14:textFill>
                        <w14:solidFill>
                          <w14:schemeClr w14:val="tx1"/>
                        </w14:solidFill>
                      </w14:textFill>
                    </w:rPr>
                  </w:pPr>
                  <w:r>
                    <w:rPr>
                      <w:rFonts w:eastAsia="MS Mincho"/>
                      <w:color w:val="000000" w:themeColor="text1"/>
                      <w:sz w:val="21"/>
                      <w:szCs w:val="21"/>
                      <w14:textFill>
                        <w14:solidFill>
                          <w14:schemeClr w14:val="tx1"/>
                        </w14:solidFill>
                      </w14:textFill>
                    </w:rPr>
                    <w:sym w:font="Wingdings" w:char="F0FE"/>
                  </w:r>
                  <w:r>
                    <w:rPr>
                      <w:color w:val="000000" w:themeColor="text1"/>
                      <w:sz w:val="21"/>
                      <w:szCs w:val="21"/>
                      <w14:textFill>
                        <w14:solidFill>
                          <w14:schemeClr w14:val="tx1"/>
                        </w14:solidFill>
                      </w14:textFill>
                    </w:rPr>
                    <w:t>企业总排口</w:t>
                  </w:r>
                </w:p>
                <w:p w14:paraId="7EB216FD">
                  <w:pPr>
                    <w:spacing w:line="240" w:lineRule="exact"/>
                    <w:jc w:val="center"/>
                    <w:rPr>
                      <w:color w:val="000000" w:themeColor="text1"/>
                      <w:sz w:val="21"/>
                      <w:szCs w:val="21"/>
                      <w14:textFill>
                        <w14:solidFill>
                          <w14:schemeClr w14:val="tx1"/>
                        </w14:solidFill>
                      </w14:textFill>
                    </w:rPr>
                  </w:pPr>
                  <w:r>
                    <w:rPr>
                      <w:color w:val="000000" w:themeColor="text1"/>
                      <w:spacing w:val="-1"/>
                      <w:sz w:val="21"/>
                      <w:szCs w:val="21"/>
                      <w14:textFill>
                        <w14:solidFill>
                          <w14:schemeClr w14:val="tx1"/>
                        </w14:solidFill>
                      </w14:textFill>
                    </w:rPr>
                    <w:t>□</w:t>
                  </w:r>
                  <w:r>
                    <w:rPr>
                      <w:color w:val="000000" w:themeColor="text1"/>
                      <w:sz w:val="21"/>
                      <w:szCs w:val="21"/>
                      <w14:textFill>
                        <w14:solidFill>
                          <w14:schemeClr w14:val="tx1"/>
                        </w14:solidFill>
                      </w14:textFill>
                    </w:rPr>
                    <w:t>雨水排放</w:t>
                  </w:r>
                </w:p>
                <w:p w14:paraId="1A5F8CDA">
                  <w:pPr>
                    <w:spacing w:line="240" w:lineRule="exact"/>
                    <w:jc w:val="center"/>
                    <w:rPr>
                      <w:color w:val="000000" w:themeColor="text1"/>
                      <w:sz w:val="21"/>
                      <w:szCs w:val="21"/>
                      <w14:textFill>
                        <w14:solidFill>
                          <w14:schemeClr w14:val="tx1"/>
                        </w14:solidFill>
                      </w14:textFill>
                    </w:rPr>
                  </w:pPr>
                  <w:r>
                    <w:rPr>
                      <w:color w:val="000000" w:themeColor="text1"/>
                      <w:spacing w:val="-1"/>
                      <w:sz w:val="21"/>
                      <w:szCs w:val="21"/>
                      <w14:textFill>
                        <w14:solidFill>
                          <w14:schemeClr w14:val="tx1"/>
                        </w14:solidFill>
                      </w14:textFill>
                    </w:rPr>
                    <w:t>□</w:t>
                  </w:r>
                  <w:r>
                    <w:rPr>
                      <w:color w:val="000000" w:themeColor="text1"/>
                      <w:sz w:val="21"/>
                      <w:szCs w:val="21"/>
                      <w14:textFill>
                        <w14:solidFill>
                          <w14:schemeClr w14:val="tx1"/>
                        </w14:solidFill>
                      </w14:textFill>
                    </w:rPr>
                    <w:t>清净下水排放</w:t>
                  </w:r>
                </w:p>
                <w:p w14:paraId="29801D41">
                  <w:pPr>
                    <w:spacing w:line="240" w:lineRule="exact"/>
                    <w:jc w:val="center"/>
                    <w:rPr>
                      <w:color w:val="000000" w:themeColor="text1"/>
                      <w:sz w:val="21"/>
                      <w:szCs w:val="21"/>
                      <w14:textFill>
                        <w14:solidFill>
                          <w14:schemeClr w14:val="tx1"/>
                        </w14:solidFill>
                      </w14:textFill>
                    </w:rPr>
                  </w:pPr>
                  <w:r>
                    <w:rPr>
                      <w:color w:val="000000" w:themeColor="text1"/>
                      <w:spacing w:val="-1"/>
                      <w:sz w:val="21"/>
                      <w:szCs w:val="21"/>
                      <w14:textFill>
                        <w14:solidFill>
                          <w14:schemeClr w14:val="tx1"/>
                        </w14:solidFill>
                      </w14:textFill>
                    </w:rPr>
                    <w:t>□</w:t>
                  </w:r>
                  <w:r>
                    <w:rPr>
                      <w:color w:val="000000" w:themeColor="text1"/>
                      <w:sz w:val="21"/>
                      <w:szCs w:val="21"/>
                      <w14:textFill>
                        <w14:solidFill>
                          <w14:schemeClr w14:val="tx1"/>
                        </w14:solidFill>
                      </w14:textFill>
                    </w:rPr>
                    <w:t>温排水排放</w:t>
                  </w:r>
                </w:p>
                <w:p w14:paraId="2F541449">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cs="Times New Roman"/>
                      <w:color w:val="000000" w:themeColor="text1"/>
                      <w:spacing w:val="-1"/>
                      <w:sz w:val="21"/>
                      <w:szCs w:val="21"/>
                      <w14:textFill>
                        <w14:solidFill>
                          <w14:schemeClr w14:val="tx1"/>
                        </w14:solidFill>
                      </w14:textFill>
                    </w:rPr>
                    <w:t>□</w:t>
                  </w:r>
                  <w:r>
                    <w:rPr>
                      <w:rFonts w:cs="Times New Roman"/>
                      <w:color w:val="000000" w:themeColor="text1"/>
                      <w:sz w:val="21"/>
                      <w:szCs w:val="21"/>
                      <w14:textFill>
                        <w14:solidFill>
                          <w14:schemeClr w14:val="tx1"/>
                        </w14:solidFill>
                      </w14:textFill>
                    </w:rPr>
                    <w:t>车间或车间处理设施排放口排放</w:t>
                  </w:r>
                </w:p>
              </w:tc>
            </w:tr>
          </w:tbl>
          <w:p w14:paraId="7F955C04">
            <w:pPr>
              <w:pStyle w:val="33"/>
              <w:spacing w:line="520" w:lineRule="exact"/>
              <w:ind w:firstLine="480"/>
              <w:rPr>
                <w:rFonts w:ascii="宋体" w:hAnsi="宋体"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②</w:t>
            </w:r>
            <w:r>
              <w:rPr>
                <w:rFonts w:hint="eastAsia" w:cs="Times New Roman"/>
                <w:color w:val="000000" w:themeColor="text1"/>
                <w14:textFill>
                  <w14:solidFill>
                    <w14:schemeClr w14:val="tx1"/>
                  </w14:solidFill>
                </w14:textFill>
              </w:rPr>
              <w:t>废水</w:t>
            </w:r>
            <w:r>
              <w:rPr>
                <w:rFonts w:hint="eastAsia" w:ascii="宋体" w:hAnsi="宋体" w:cs="Times New Roman"/>
                <w:color w:val="000000" w:themeColor="text1"/>
                <w14:textFill>
                  <w14:solidFill>
                    <w14:schemeClr w14:val="tx1"/>
                  </w14:solidFill>
                </w14:textFill>
              </w:rPr>
              <w:t>污染物排放信息表</w:t>
            </w:r>
          </w:p>
          <w:p w14:paraId="64AE7D73">
            <w:pPr>
              <w:pStyle w:val="33"/>
              <w:ind w:firstLine="480"/>
              <w:rPr>
                <w:rFonts w:ascii="黑体" w:hAnsi="黑体" w:eastAsia="黑体" w:cs="Times New Roman"/>
                <w:color w:val="000000" w:themeColor="text1"/>
                <w14:textFill>
                  <w14:solidFill>
                    <w14:schemeClr w14:val="tx1"/>
                  </w14:solidFill>
                </w14:textFill>
              </w:rPr>
            </w:pPr>
            <w:r>
              <w:rPr>
                <w:rFonts w:hint="eastAsia" w:ascii="黑体" w:hAnsi="黑体" w:eastAsia="黑体" w:cs="Times New Roman"/>
                <w:color w:val="000000" w:themeColor="text1"/>
                <w14:textFill>
                  <w14:solidFill>
                    <w14:schemeClr w14:val="tx1"/>
                  </w14:solidFill>
                </w14:textFill>
              </w:rPr>
              <w:t>表</w:t>
            </w:r>
            <w:r>
              <w:rPr>
                <w:rFonts w:hint="eastAsia" w:eastAsia="黑体" w:cs="Times New Roman"/>
                <w:color w:val="000000" w:themeColor="text1"/>
                <w14:textFill>
                  <w14:solidFill>
                    <w14:schemeClr w14:val="tx1"/>
                  </w14:solidFill>
                </w14:textFill>
              </w:rPr>
              <w:t>4-3</w:t>
            </w:r>
            <w:r>
              <w:rPr>
                <w:rFonts w:hint="eastAsia" w:ascii="黑体" w:hAnsi="黑体" w:eastAsia="黑体" w:cs="Times New Roman"/>
                <w:color w:val="000000" w:themeColor="text1"/>
                <w14:textFill>
                  <w14:solidFill>
                    <w14:schemeClr w14:val="tx1"/>
                  </w14:solidFill>
                </w14:textFill>
              </w:rPr>
              <w:t xml:space="preserve">                  全厂废水污染物排放信息表</w:t>
            </w:r>
          </w:p>
          <w:tbl>
            <w:tblPr>
              <w:tblStyle w:val="19"/>
              <w:tblW w:w="88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280"/>
              <w:gridCol w:w="1720"/>
              <w:gridCol w:w="1730"/>
              <w:gridCol w:w="1480"/>
              <w:gridCol w:w="1703"/>
            </w:tblGrid>
            <w:tr w14:paraId="3018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vAlign w:val="center"/>
                </w:tcPr>
                <w:p w14:paraId="2A492162">
                  <w:pPr>
                    <w:pStyle w:val="33"/>
                    <w:spacing w:line="240" w:lineRule="auto"/>
                    <w:ind w:firstLine="0" w:firstLineChars="0"/>
                    <w:jc w:val="center"/>
                    <w:rPr>
                      <w:rFonts w:ascii="黑体" w:hAnsi="黑体" w:eastAsia="黑体" w:cs="Times New Roman"/>
                      <w:color w:val="000000" w:themeColor="text1"/>
                      <w14:textFill>
                        <w14:solidFill>
                          <w14:schemeClr w14:val="tx1"/>
                        </w14:solidFill>
                      </w14:textFill>
                    </w:rPr>
                  </w:pPr>
                  <w:r>
                    <w:rPr>
                      <w:rFonts w:cs="Times New Roman"/>
                      <w:b/>
                      <w:color w:val="000000" w:themeColor="text1"/>
                      <w:sz w:val="21"/>
                      <w:szCs w:val="21"/>
                      <w14:textFill>
                        <w14:solidFill>
                          <w14:schemeClr w14:val="tx1"/>
                        </w14:solidFill>
                      </w14:textFill>
                    </w:rPr>
                    <w:t>序号</w:t>
                  </w:r>
                </w:p>
              </w:tc>
              <w:tc>
                <w:tcPr>
                  <w:tcW w:w="1280" w:type="dxa"/>
                  <w:vAlign w:val="center"/>
                </w:tcPr>
                <w:p w14:paraId="646FBF55">
                  <w:pPr>
                    <w:pStyle w:val="33"/>
                    <w:spacing w:line="240" w:lineRule="auto"/>
                    <w:ind w:firstLine="0" w:firstLineChars="0"/>
                    <w:jc w:val="center"/>
                    <w:rPr>
                      <w:rFonts w:ascii="黑体" w:hAnsi="黑体" w:eastAsia="黑体" w:cs="Times New Roman"/>
                      <w:color w:val="000000" w:themeColor="text1"/>
                      <w14:textFill>
                        <w14:solidFill>
                          <w14:schemeClr w14:val="tx1"/>
                        </w14:solidFill>
                      </w14:textFill>
                    </w:rPr>
                  </w:pPr>
                  <w:r>
                    <w:rPr>
                      <w:rFonts w:cs="Times New Roman"/>
                      <w:b/>
                      <w:color w:val="000000" w:themeColor="text1"/>
                      <w:sz w:val="21"/>
                      <w:szCs w:val="21"/>
                      <w14:textFill>
                        <w14:solidFill>
                          <w14:schemeClr w14:val="tx1"/>
                        </w14:solidFill>
                      </w14:textFill>
                    </w:rPr>
                    <w:t>排放口编号</w:t>
                  </w:r>
                </w:p>
              </w:tc>
              <w:tc>
                <w:tcPr>
                  <w:tcW w:w="1720" w:type="dxa"/>
                  <w:vAlign w:val="center"/>
                </w:tcPr>
                <w:p w14:paraId="16361842">
                  <w:pPr>
                    <w:pStyle w:val="33"/>
                    <w:spacing w:line="240" w:lineRule="auto"/>
                    <w:ind w:firstLine="0" w:firstLineChars="0"/>
                    <w:jc w:val="center"/>
                    <w:rPr>
                      <w:rFonts w:ascii="黑体" w:hAnsi="黑体" w:eastAsia="黑体" w:cs="Times New Roman"/>
                      <w:color w:val="000000" w:themeColor="text1"/>
                      <w14:textFill>
                        <w14:solidFill>
                          <w14:schemeClr w14:val="tx1"/>
                        </w14:solidFill>
                      </w14:textFill>
                    </w:rPr>
                  </w:pPr>
                  <w:r>
                    <w:rPr>
                      <w:rFonts w:cs="Times New Roman"/>
                      <w:b/>
                      <w:color w:val="000000" w:themeColor="text1"/>
                      <w:sz w:val="21"/>
                      <w:szCs w:val="21"/>
                      <w14:textFill>
                        <w14:solidFill>
                          <w14:schemeClr w14:val="tx1"/>
                        </w14:solidFill>
                      </w14:textFill>
                    </w:rPr>
                    <w:t>污染物种类</w:t>
                  </w:r>
                </w:p>
              </w:tc>
              <w:tc>
                <w:tcPr>
                  <w:tcW w:w="1730" w:type="dxa"/>
                  <w:vAlign w:val="center"/>
                </w:tcPr>
                <w:p w14:paraId="27EBE9F4">
                  <w:pPr>
                    <w:pStyle w:val="33"/>
                    <w:spacing w:line="240" w:lineRule="auto"/>
                    <w:ind w:firstLine="0" w:firstLineChars="0"/>
                    <w:jc w:val="center"/>
                    <w:rPr>
                      <w:rFonts w:ascii="黑体" w:hAnsi="黑体" w:eastAsia="黑体" w:cs="Times New Roman"/>
                      <w:color w:val="000000" w:themeColor="text1"/>
                      <w14:textFill>
                        <w14:solidFill>
                          <w14:schemeClr w14:val="tx1"/>
                        </w14:solidFill>
                      </w14:textFill>
                    </w:rPr>
                  </w:pPr>
                  <w:r>
                    <w:rPr>
                      <w:rFonts w:hint="eastAsia" w:cs="Times New Roman"/>
                      <w:b/>
                      <w:color w:val="000000" w:themeColor="text1"/>
                      <w:sz w:val="21"/>
                      <w:szCs w:val="21"/>
                      <w14:textFill>
                        <w14:solidFill>
                          <w14:schemeClr w14:val="tx1"/>
                        </w14:solidFill>
                      </w14:textFill>
                    </w:rPr>
                    <w:t>排放量（t/a）</w:t>
                  </w:r>
                </w:p>
              </w:tc>
              <w:tc>
                <w:tcPr>
                  <w:tcW w:w="1480" w:type="dxa"/>
                  <w:vAlign w:val="center"/>
                </w:tcPr>
                <w:p w14:paraId="5AE08D52">
                  <w:pPr>
                    <w:pStyle w:val="33"/>
                    <w:spacing w:line="240" w:lineRule="auto"/>
                    <w:ind w:firstLine="0" w:firstLineChars="0"/>
                    <w:jc w:val="center"/>
                    <w:rPr>
                      <w:rFonts w:ascii="黑体" w:hAnsi="黑体" w:eastAsia="黑体" w:cs="Times New Roman"/>
                      <w:color w:val="000000" w:themeColor="text1"/>
                      <w14:textFill>
                        <w14:solidFill>
                          <w14:schemeClr w14:val="tx1"/>
                        </w14:solidFill>
                      </w14:textFill>
                    </w:rPr>
                  </w:pPr>
                  <w:r>
                    <w:rPr>
                      <w:rFonts w:cs="Times New Roman"/>
                      <w:b/>
                      <w:color w:val="000000" w:themeColor="text1"/>
                      <w:sz w:val="21"/>
                      <w:szCs w:val="21"/>
                      <w14:textFill>
                        <w14:solidFill>
                          <w14:schemeClr w14:val="tx1"/>
                        </w14:solidFill>
                      </w14:textFill>
                    </w:rPr>
                    <w:t>排放浓度/（mg/L</w:t>
                  </w:r>
                  <w:r>
                    <w:rPr>
                      <w:rFonts w:hint="eastAsia" w:cs="Times New Roman"/>
                      <w:b/>
                      <w:color w:val="000000" w:themeColor="text1"/>
                      <w:sz w:val="21"/>
                      <w:szCs w:val="21"/>
                      <w14:textFill>
                        <w14:solidFill>
                          <w14:schemeClr w14:val="tx1"/>
                        </w14:solidFill>
                      </w14:textFill>
                    </w:rPr>
                    <w:t>）</w:t>
                  </w:r>
                </w:p>
              </w:tc>
              <w:tc>
                <w:tcPr>
                  <w:tcW w:w="1703" w:type="dxa"/>
                  <w:vAlign w:val="center"/>
                </w:tcPr>
                <w:p w14:paraId="4EABD65E">
                  <w:pPr>
                    <w:pStyle w:val="33"/>
                    <w:spacing w:line="240" w:lineRule="auto"/>
                    <w:ind w:firstLine="0" w:firstLineChars="0"/>
                    <w:jc w:val="center"/>
                    <w:rPr>
                      <w:rFonts w:ascii="黑体" w:hAnsi="黑体" w:eastAsia="黑体" w:cs="Times New Roman"/>
                      <w:color w:val="000000" w:themeColor="text1"/>
                      <w14:textFill>
                        <w14:solidFill>
                          <w14:schemeClr w14:val="tx1"/>
                        </w14:solidFill>
                      </w14:textFill>
                    </w:rPr>
                  </w:pPr>
                  <w:r>
                    <w:rPr>
                      <w:rFonts w:cs="Times New Roman"/>
                      <w:b/>
                      <w:color w:val="000000" w:themeColor="text1"/>
                      <w:sz w:val="21"/>
                      <w:szCs w:val="21"/>
                      <w14:textFill>
                        <w14:solidFill>
                          <w14:schemeClr w14:val="tx1"/>
                        </w14:solidFill>
                      </w14:textFill>
                    </w:rPr>
                    <w:t>年排放量/（t/a）</w:t>
                  </w:r>
                </w:p>
              </w:tc>
            </w:tr>
            <w:tr w14:paraId="3373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vAlign w:val="center"/>
                </w:tcPr>
                <w:p w14:paraId="577A87D4">
                  <w:pPr>
                    <w:pStyle w:val="33"/>
                    <w:spacing w:line="240" w:lineRule="auto"/>
                    <w:ind w:firstLine="0" w:firstLineChars="0"/>
                    <w:jc w:val="center"/>
                    <w:rPr>
                      <w:rFonts w:ascii="黑体" w:hAnsi="黑体" w:eastAsia="黑体" w:cs="Times New Roman"/>
                      <w:color w:val="auto"/>
                    </w:rPr>
                  </w:pPr>
                  <w:r>
                    <w:rPr>
                      <w:rFonts w:cs="Times New Roman"/>
                      <w:color w:val="auto"/>
                      <w:sz w:val="21"/>
                      <w:szCs w:val="21"/>
                    </w:rPr>
                    <w:t>1</w:t>
                  </w:r>
                </w:p>
              </w:tc>
              <w:tc>
                <w:tcPr>
                  <w:tcW w:w="1280" w:type="dxa"/>
                  <w:vMerge w:val="restart"/>
                  <w:vAlign w:val="center"/>
                </w:tcPr>
                <w:p w14:paraId="4E1FC7B6">
                  <w:pPr>
                    <w:pStyle w:val="33"/>
                    <w:spacing w:line="240" w:lineRule="auto"/>
                    <w:ind w:firstLine="0" w:firstLineChars="0"/>
                    <w:jc w:val="center"/>
                    <w:rPr>
                      <w:rFonts w:ascii="黑体" w:hAnsi="黑体" w:eastAsia="黑体" w:cs="Times New Roman"/>
                      <w:color w:val="auto"/>
                    </w:rPr>
                  </w:pPr>
                  <w:r>
                    <w:rPr>
                      <w:rFonts w:cs="Times New Roman"/>
                      <w:color w:val="auto"/>
                      <w:sz w:val="21"/>
                      <w:szCs w:val="21"/>
                    </w:rPr>
                    <w:t>DW001</w:t>
                  </w:r>
                </w:p>
              </w:tc>
              <w:tc>
                <w:tcPr>
                  <w:tcW w:w="1720" w:type="dxa"/>
                  <w:vAlign w:val="center"/>
                </w:tcPr>
                <w:p w14:paraId="10ECA72F">
                  <w:pPr>
                    <w:pStyle w:val="33"/>
                    <w:spacing w:line="240" w:lineRule="auto"/>
                    <w:ind w:firstLine="0" w:firstLineChars="0"/>
                    <w:jc w:val="center"/>
                    <w:rPr>
                      <w:rFonts w:ascii="黑体" w:hAnsi="黑体" w:eastAsia="黑体" w:cs="Times New Roman"/>
                      <w:color w:val="auto"/>
                    </w:rPr>
                  </w:pPr>
                  <w:r>
                    <w:rPr>
                      <w:rFonts w:cs="Times New Roman"/>
                      <w:color w:val="auto"/>
                      <w:sz w:val="21"/>
                      <w:szCs w:val="21"/>
                    </w:rPr>
                    <w:t>COD</w:t>
                  </w:r>
                </w:p>
              </w:tc>
              <w:tc>
                <w:tcPr>
                  <w:tcW w:w="1730" w:type="dxa"/>
                  <w:vMerge w:val="restart"/>
                  <w:vAlign w:val="center"/>
                </w:tcPr>
                <w:p w14:paraId="240BADA7">
                  <w:pPr>
                    <w:pStyle w:val="33"/>
                    <w:spacing w:line="240" w:lineRule="auto"/>
                    <w:ind w:firstLine="0" w:firstLineChars="0"/>
                    <w:jc w:val="center"/>
                    <w:rPr>
                      <w:rFonts w:hint="default" w:ascii="黑体" w:hAnsi="黑体" w:eastAsia="黑体" w:cs="Times New Roman"/>
                      <w:color w:val="auto"/>
                      <w:highlight w:val="none"/>
                      <w:lang w:val="en-US"/>
                    </w:rPr>
                  </w:pPr>
                  <w:r>
                    <w:rPr>
                      <w:rFonts w:hint="eastAsia" w:cs="Times New Roman"/>
                      <w:color w:val="auto"/>
                      <w:sz w:val="21"/>
                      <w:szCs w:val="21"/>
                      <w:highlight w:val="none"/>
                      <w:lang w:val="en-US" w:eastAsia="zh-CN"/>
                    </w:rPr>
                    <w:t>2184.99</w:t>
                  </w:r>
                </w:p>
              </w:tc>
              <w:tc>
                <w:tcPr>
                  <w:tcW w:w="1480" w:type="dxa"/>
                  <w:vAlign w:val="center"/>
                </w:tcPr>
                <w:p w14:paraId="0C88D094">
                  <w:pPr>
                    <w:pStyle w:val="33"/>
                    <w:spacing w:line="240" w:lineRule="auto"/>
                    <w:ind w:firstLine="0" w:firstLineChars="0"/>
                    <w:jc w:val="center"/>
                    <w:rPr>
                      <w:rFonts w:ascii="黑体" w:hAnsi="黑体" w:eastAsia="黑体" w:cs="Times New Roman"/>
                      <w:color w:val="auto"/>
                      <w:highlight w:val="none"/>
                    </w:rPr>
                  </w:pPr>
                  <w:r>
                    <w:rPr>
                      <w:rFonts w:hint="eastAsia" w:cs="Times New Roman"/>
                      <w:color w:val="auto"/>
                      <w:sz w:val="21"/>
                      <w:szCs w:val="21"/>
                      <w:highlight w:val="none"/>
                    </w:rPr>
                    <w:t>25</w:t>
                  </w:r>
                </w:p>
              </w:tc>
              <w:tc>
                <w:tcPr>
                  <w:tcW w:w="1703" w:type="dxa"/>
                  <w:vAlign w:val="center"/>
                </w:tcPr>
                <w:p w14:paraId="184F3C2B">
                  <w:pPr>
                    <w:pStyle w:val="33"/>
                    <w:spacing w:line="240" w:lineRule="auto"/>
                    <w:ind w:firstLine="0" w:firstLine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0.0546</w:t>
                  </w:r>
                </w:p>
              </w:tc>
            </w:tr>
            <w:tr w14:paraId="3FDC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vAlign w:val="center"/>
                </w:tcPr>
                <w:p w14:paraId="3CF67466">
                  <w:pPr>
                    <w:pStyle w:val="33"/>
                    <w:spacing w:line="240" w:lineRule="auto"/>
                    <w:ind w:firstLine="0" w:firstLineChars="0"/>
                    <w:jc w:val="center"/>
                    <w:rPr>
                      <w:rFonts w:ascii="黑体" w:hAnsi="黑体" w:eastAsia="黑体" w:cs="Times New Roman"/>
                      <w:color w:val="auto"/>
                    </w:rPr>
                  </w:pPr>
                  <w:r>
                    <w:rPr>
                      <w:rFonts w:cs="Times New Roman"/>
                      <w:color w:val="auto"/>
                      <w:sz w:val="21"/>
                      <w:szCs w:val="21"/>
                    </w:rPr>
                    <w:t>2</w:t>
                  </w:r>
                </w:p>
              </w:tc>
              <w:tc>
                <w:tcPr>
                  <w:tcW w:w="1280" w:type="dxa"/>
                  <w:vMerge w:val="continue"/>
                  <w:vAlign w:val="center"/>
                </w:tcPr>
                <w:p w14:paraId="6425A714">
                  <w:pPr>
                    <w:pStyle w:val="33"/>
                    <w:spacing w:line="240" w:lineRule="auto"/>
                    <w:ind w:firstLine="0" w:firstLineChars="0"/>
                    <w:jc w:val="center"/>
                    <w:rPr>
                      <w:rFonts w:ascii="黑体" w:hAnsi="黑体" w:eastAsia="黑体" w:cs="Times New Roman"/>
                      <w:color w:val="auto"/>
                    </w:rPr>
                  </w:pPr>
                </w:p>
              </w:tc>
              <w:tc>
                <w:tcPr>
                  <w:tcW w:w="1720" w:type="dxa"/>
                  <w:vAlign w:val="center"/>
                </w:tcPr>
                <w:p w14:paraId="1DF0DDFD">
                  <w:pPr>
                    <w:pStyle w:val="33"/>
                    <w:spacing w:line="240" w:lineRule="auto"/>
                    <w:ind w:firstLine="0" w:firstLineChars="0"/>
                    <w:jc w:val="center"/>
                    <w:rPr>
                      <w:rFonts w:ascii="黑体" w:hAnsi="黑体" w:eastAsia="黑体" w:cs="Times New Roman"/>
                      <w:color w:val="auto"/>
                    </w:rPr>
                  </w:pPr>
                  <w:r>
                    <w:rPr>
                      <w:rFonts w:cs="Times New Roman"/>
                      <w:color w:val="auto"/>
                      <w:sz w:val="21"/>
                      <w:szCs w:val="21"/>
                    </w:rPr>
                    <w:t>NH</w:t>
                  </w:r>
                  <w:r>
                    <w:rPr>
                      <w:rFonts w:cs="Times New Roman"/>
                      <w:color w:val="auto"/>
                      <w:sz w:val="21"/>
                      <w:szCs w:val="21"/>
                      <w:vertAlign w:val="subscript"/>
                    </w:rPr>
                    <w:t>3</w:t>
                  </w:r>
                  <w:r>
                    <w:rPr>
                      <w:rFonts w:cs="Times New Roman"/>
                      <w:color w:val="auto"/>
                      <w:sz w:val="21"/>
                      <w:szCs w:val="21"/>
                    </w:rPr>
                    <w:t>-N</w:t>
                  </w:r>
                </w:p>
              </w:tc>
              <w:tc>
                <w:tcPr>
                  <w:tcW w:w="1730" w:type="dxa"/>
                  <w:vMerge w:val="continue"/>
                  <w:vAlign w:val="center"/>
                </w:tcPr>
                <w:p w14:paraId="4CEC9B01">
                  <w:pPr>
                    <w:pStyle w:val="33"/>
                    <w:spacing w:line="240" w:lineRule="auto"/>
                    <w:ind w:firstLine="0" w:firstLineChars="0"/>
                    <w:jc w:val="center"/>
                    <w:rPr>
                      <w:rFonts w:ascii="黑体" w:hAnsi="黑体" w:eastAsia="黑体" w:cs="Times New Roman"/>
                      <w:color w:val="auto"/>
                    </w:rPr>
                  </w:pPr>
                </w:p>
              </w:tc>
              <w:tc>
                <w:tcPr>
                  <w:tcW w:w="1480" w:type="dxa"/>
                  <w:vAlign w:val="center"/>
                </w:tcPr>
                <w:p w14:paraId="7CEF8DF2">
                  <w:pPr>
                    <w:pStyle w:val="33"/>
                    <w:spacing w:line="240" w:lineRule="auto"/>
                    <w:ind w:firstLine="0" w:firstLineChars="0"/>
                    <w:jc w:val="center"/>
                    <w:rPr>
                      <w:rFonts w:ascii="黑体" w:hAnsi="黑体" w:eastAsia="黑体" w:cs="Times New Roman"/>
                      <w:color w:val="auto"/>
                    </w:rPr>
                  </w:pPr>
                  <w:r>
                    <w:rPr>
                      <w:rFonts w:cs="Times New Roman"/>
                      <w:color w:val="auto"/>
                      <w:sz w:val="21"/>
                      <w:szCs w:val="21"/>
                    </w:rPr>
                    <w:t>0</w:t>
                  </w:r>
                  <w:r>
                    <w:rPr>
                      <w:rFonts w:hint="eastAsia" w:cs="Times New Roman"/>
                      <w:color w:val="auto"/>
                      <w:sz w:val="21"/>
                      <w:szCs w:val="21"/>
                    </w:rPr>
                    <w:t>.</w:t>
                  </w:r>
                  <w:r>
                    <w:rPr>
                      <w:rFonts w:cs="Times New Roman"/>
                      <w:color w:val="auto"/>
                      <w:sz w:val="21"/>
                      <w:szCs w:val="21"/>
                    </w:rPr>
                    <w:t>1</w:t>
                  </w:r>
                  <w:r>
                    <w:rPr>
                      <w:rFonts w:hint="eastAsia" w:cs="Times New Roman"/>
                      <w:color w:val="auto"/>
                      <w:sz w:val="21"/>
                      <w:szCs w:val="21"/>
                    </w:rPr>
                    <w:t>4</w:t>
                  </w:r>
                  <w:r>
                    <w:rPr>
                      <w:rFonts w:cs="Times New Roman"/>
                      <w:color w:val="auto"/>
                      <w:sz w:val="21"/>
                      <w:szCs w:val="21"/>
                    </w:rPr>
                    <w:t>7</w:t>
                  </w:r>
                </w:p>
              </w:tc>
              <w:tc>
                <w:tcPr>
                  <w:tcW w:w="1703" w:type="dxa"/>
                  <w:vAlign w:val="center"/>
                </w:tcPr>
                <w:p w14:paraId="149CD614">
                  <w:pPr>
                    <w:pStyle w:val="33"/>
                    <w:spacing w:line="240" w:lineRule="auto"/>
                    <w:ind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 xml:space="preserve">0.0003 </w:t>
                  </w:r>
                </w:p>
              </w:tc>
            </w:tr>
            <w:tr w14:paraId="6786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vAlign w:val="center"/>
                </w:tcPr>
                <w:p w14:paraId="52455409">
                  <w:pPr>
                    <w:pStyle w:val="33"/>
                    <w:spacing w:line="240" w:lineRule="auto"/>
                    <w:ind w:firstLine="0" w:firstLineChars="0"/>
                    <w:jc w:val="center"/>
                    <w:rPr>
                      <w:rFonts w:ascii="黑体" w:hAnsi="黑体" w:eastAsia="黑体" w:cs="Times New Roman"/>
                      <w:color w:val="auto"/>
                    </w:rPr>
                  </w:pPr>
                  <w:r>
                    <w:rPr>
                      <w:rFonts w:cs="Times New Roman"/>
                      <w:color w:val="auto"/>
                      <w:sz w:val="21"/>
                      <w:szCs w:val="21"/>
                    </w:rPr>
                    <w:t>3</w:t>
                  </w:r>
                </w:p>
              </w:tc>
              <w:tc>
                <w:tcPr>
                  <w:tcW w:w="1280" w:type="dxa"/>
                  <w:vMerge w:val="continue"/>
                  <w:vAlign w:val="center"/>
                </w:tcPr>
                <w:p w14:paraId="07B61C8A">
                  <w:pPr>
                    <w:pStyle w:val="33"/>
                    <w:spacing w:line="240" w:lineRule="auto"/>
                    <w:ind w:firstLine="0" w:firstLineChars="0"/>
                    <w:jc w:val="center"/>
                    <w:rPr>
                      <w:rFonts w:ascii="黑体" w:hAnsi="黑体" w:eastAsia="黑体" w:cs="Times New Roman"/>
                      <w:color w:val="auto"/>
                    </w:rPr>
                  </w:pPr>
                </w:p>
              </w:tc>
              <w:tc>
                <w:tcPr>
                  <w:tcW w:w="1720" w:type="dxa"/>
                  <w:vAlign w:val="center"/>
                </w:tcPr>
                <w:p w14:paraId="7E0D027C">
                  <w:pPr>
                    <w:pStyle w:val="33"/>
                    <w:spacing w:line="240" w:lineRule="auto"/>
                    <w:ind w:firstLine="0" w:firstLineChars="0"/>
                    <w:jc w:val="center"/>
                    <w:rPr>
                      <w:rFonts w:ascii="黑体" w:hAnsi="黑体" w:eastAsia="黑体" w:cs="Times New Roman"/>
                      <w:color w:val="auto"/>
                    </w:rPr>
                  </w:pPr>
                  <w:r>
                    <w:rPr>
                      <w:rFonts w:cs="Times New Roman"/>
                      <w:color w:val="auto"/>
                      <w:sz w:val="21"/>
                      <w:szCs w:val="21"/>
                    </w:rPr>
                    <w:t>TP</w:t>
                  </w:r>
                </w:p>
              </w:tc>
              <w:tc>
                <w:tcPr>
                  <w:tcW w:w="1730" w:type="dxa"/>
                  <w:vMerge w:val="continue"/>
                  <w:vAlign w:val="center"/>
                </w:tcPr>
                <w:p w14:paraId="66D00C44">
                  <w:pPr>
                    <w:pStyle w:val="33"/>
                    <w:spacing w:line="240" w:lineRule="auto"/>
                    <w:ind w:firstLine="0" w:firstLineChars="0"/>
                    <w:jc w:val="center"/>
                    <w:rPr>
                      <w:rFonts w:ascii="黑体" w:hAnsi="黑体" w:eastAsia="黑体" w:cs="Times New Roman"/>
                      <w:color w:val="auto"/>
                    </w:rPr>
                  </w:pPr>
                </w:p>
              </w:tc>
              <w:tc>
                <w:tcPr>
                  <w:tcW w:w="1480" w:type="dxa"/>
                  <w:vAlign w:val="center"/>
                </w:tcPr>
                <w:p w14:paraId="3C3C4E96">
                  <w:pPr>
                    <w:pStyle w:val="33"/>
                    <w:spacing w:line="240" w:lineRule="auto"/>
                    <w:ind w:firstLine="0" w:firstLineChars="0"/>
                    <w:jc w:val="center"/>
                    <w:rPr>
                      <w:rFonts w:ascii="黑体" w:hAnsi="黑体" w:eastAsia="黑体" w:cs="Times New Roman"/>
                      <w:color w:val="auto"/>
                    </w:rPr>
                  </w:pPr>
                  <w:r>
                    <w:rPr>
                      <w:rFonts w:cs="Times New Roman"/>
                      <w:color w:val="auto"/>
                      <w:sz w:val="21"/>
                      <w:szCs w:val="21"/>
                    </w:rPr>
                    <w:t>0</w:t>
                  </w:r>
                  <w:r>
                    <w:rPr>
                      <w:rFonts w:hint="eastAsia" w:cs="Times New Roman"/>
                      <w:color w:val="auto"/>
                      <w:sz w:val="21"/>
                      <w:szCs w:val="21"/>
                    </w:rPr>
                    <w:t>.</w:t>
                  </w:r>
                  <w:r>
                    <w:rPr>
                      <w:rFonts w:cs="Times New Roman"/>
                      <w:color w:val="auto"/>
                      <w:sz w:val="21"/>
                      <w:szCs w:val="21"/>
                    </w:rPr>
                    <w:t>1</w:t>
                  </w:r>
                  <w:r>
                    <w:rPr>
                      <w:rFonts w:hint="eastAsia" w:cs="Times New Roman"/>
                      <w:color w:val="auto"/>
                      <w:sz w:val="21"/>
                      <w:szCs w:val="21"/>
                    </w:rPr>
                    <w:t>4</w:t>
                  </w:r>
                </w:p>
              </w:tc>
              <w:tc>
                <w:tcPr>
                  <w:tcW w:w="1703" w:type="dxa"/>
                  <w:vAlign w:val="center"/>
                </w:tcPr>
                <w:p w14:paraId="4A1DC788">
                  <w:pPr>
                    <w:pStyle w:val="33"/>
                    <w:spacing w:line="240" w:lineRule="auto"/>
                    <w:ind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 xml:space="preserve">0.0003 </w:t>
                  </w:r>
                </w:p>
              </w:tc>
            </w:tr>
          </w:tbl>
          <w:p w14:paraId="14250476">
            <w:pPr>
              <w:pStyle w:val="33"/>
              <w:spacing w:line="520" w:lineRule="exact"/>
              <w:ind w:firstLine="480"/>
              <w:rPr>
                <w:rFonts w:cs="Times New Roman"/>
                <w:color w:val="0000FF"/>
                <w:sz w:val="24"/>
                <w:szCs w:val="24"/>
              </w:rPr>
            </w:pPr>
            <w:r>
              <w:rPr>
                <w:rFonts w:cs="Times New Roman"/>
                <w:color w:val="auto"/>
              </w:rPr>
              <w:t>由上表可知，本项目废水污染物出厂排放总量</w:t>
            </w:r>
            <w:r>
              <w:rPr>
                <w:rFonts w:cs="Times New Roman"/>
                <w:color w:val="auto"/>
                <w:sz w:val="24"/>
                <w:szCs w:val="24"/>
              </w:rPr>
              <w:t>：</w:t>
            </w:r>
            <w:r>
              <w:rPr>
                <w:rFonts w:cs="Times New Roman"/>
                <w:color w:val="auto"/>
                <w:sz w:val="24"/>
                <w:szCs w:val="24"/>
                <w:highlight w:val="none"/>
              </w:rPr>
              <w:t xml:space="preserve">COD </w:t>
            </w:r>
            <w:r>
              <w:rPr>
                <w:rFonts w:hint="eastAsia" w:cs="Times New Roman"/>
                <w:color w:val="auto"/>
                <w:sz w:val="24"/>
                <w:szCs w:val="24"/>
                <w:highlight w:val="none"/>
                <w:lang w:val="en-US" w:eastAsia="zh-CN"/>
              </w:rPr>
              <w:t>0.0546</w:t>
            </w:r>
            <w:r>
              <w:rPr>
                <w:rFonts w:cs="Times New Roman"/>
                <w:color w:val="auto"/>
                <w:sz w:val="24"/>
                <w:szCs w:val="24"/>
                <w:highlight w:val="none"/>
              </w:rPr>
              <w:t>t/a、</w:t>
            </w:r>
            <w:r>
              <w:rPr>
                <w:rFonts w:cs="Times New Roman"/>
                <w:color w:val="auto"/>
                <w:sz w:val="24"/>
                <w:szCs w:val="24"/>
              </w:rPr>
              <w:t>NH</w:t>
            </w:r>
            <w:r>
              <w:rPr>
                <w:rFonts w:cs="Times New Roman"/>
                <w:color w:val="auto"/>
                <w:sz w:val="24"/>
                <w:szCs w:val="24"/>
                <w:vertAlign w:val="subscript"/>
              </w:rPr>
              <w:t>3</w:t>
            </w:r>
            <w:r>
              <w:rPr>
                <w:rFonts w:cs="Times New Roman"/>
                <w:color w:val="auto"/>
                <w:sz w:val="24"/>
                <w:szCs w:val="24"/>
              </w:rPr>
              <w:t>-N</w:t>
            </w:r>
            <w:r>
              <w:rPr>
                <w:rFonts w:hint="eastAsia" w:cs="Times New Roman"/>
                <w:color w:val="auto"/>
                <w:sz w:val="24"/>
                <w:szCs w:val="24"/>
                <w:lang w:val="en-US" w:eastAsia="zh-CN"/>
              </w:rPr>
              <w:t>0.0003</w:t>
            </w:r>
            <w:r>
              <w:rPr>
                <w:rFonts w:cs="Times New Roman"/>
                <w:color w:val="auto"/>
                <w:sz w:val="24"/>
                <w:szCs w:val="24"/>
              </w:rPr>
              <w:t xml:space="preserve">t/a、TP </w:t>
            </w:r>
            <w:r>
              <w:rPr>
                <w:rFonts w:hint="eastAsia" w:cs="Times New Roman"/>
                <w:color w:val="auto"/>
                <w:sz w:val="24"/>
                <w:szCs w:val="24"/>
                <w:lang w:val="en-US" w:eastAsia="zh-CN"/>
              </w:rPr>
              <w:t>0.0003</w:t>
            </w:r>
            <w:r>
              <w:rPr>
                <w:rFonts w:cs="Times New Roman"/>
                <w:color w:val="auto"/>
                <w:sz w:val="24"/>
                <w:szCs w:val="24"/>
              </w:rPr>
              <w:t>t/a。</w:t>
            </w:r>
          </w:p>
          <w:p w14:paraId="1A082DF3">
            <w:pPr>
              <w:pStyle w:val="33"/>
              <w:spacing w:line="520" w:lineRule="exact"/>
              <w:ind w:firstLine="480"/>
              <w:rPr>
                <w:rFonts w:hint="eastAsia" w:cs="Times New Roman"/>
                <w:color w:val="auto"/>
              </w:rPr>
            </w:pPr>
            <w:r>
              <w:rPr>
                <w:rFonts w:hint="eastAsia" w:cs="Times New Roman"/>
                <w:color w:val="auto"/>
              </w:rPr>
              <w:fldChar w:fldCharType="begin"/>
            </w:r>
            <w:r>
              <w:rPr>
                <w:rFonts w:hint="eastAsia" w:cs="Times New Roman"/>
                <w:color w:val="auto"/>
              </w:rPr>
              <w:instrText xml:space="preserve"> = 3 \* GB3 \* MERGEFORMAT </w:instrText>
            </w:r>
            <w:r>
              <w:rPr>
                <w:rFonts w:hint="eastAsia" w:cs="Times New Roman"/>
                <w:color w:val="auto"/>
              </w:rPr>
              <w:fldChar w:fldCharType="separate"/>
            </w:r>
            <w:r>
              <w:t>③</w:t>
            </w:r>
            <w:r>
              <w:rPr>
                <w:rFonts w:hint="eastAsia" w:cs="Times New Roman"/>
                <w:color w:val="auto"/>
              </w:rPr>
              <w:fldChar w:fldCharType="end"/>
            </w:r>
            <w:r>
              <w:rPr>
                <w:rFonts w:hint="eastAsia" w:cs="Times New Roman"/>
                <w:color w:val="auto"/>
              </w:rPr>
              <w:t>排放口情况</w:t>
            </w:r>
          </w:p>
          <w:p w14:paraId="6C9441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eastAsia="黑体"/>
                <w:color w:val="auto"/>
                <w:kern w:val="0"/>
                <w:sz w:val="24"/>
                <w:highlight w:val="none"/>
              </w:rPr>
            </w:pPr>
            <w:r>
              <w:rPr>
                <w:sz w:val="24"/>
                <w:highlight w:val="none"/>
              </w:rPr>
              <w:t>废水间接排放口基本情况见下表。</w:t>
            </w:r>
          </w:p>
          <w:p w14:paraId="5D1586C6">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eastAsia="黑体"/>
                <w:color w:val="auto"/>
                <w:kern w:val="0"/>
                <w:sz w:val="24"/>
                <w:highlight w:val="none"/>
              </w:rPr>
            </w:pPr>
            <w:r>
              <w:rPr>
                <w:rFonts w:eastAsia="黑体"/>
                <w:color w:val="auto"/>
                <w:kern w:val="0"/>
                <w:sz w:val="24"/>
                <w:highlight w:val="none"/>
              </w:rPr>
              <w:t>表</w:t>
            </w:r>
            <w:r>
              <w:rPr>
                <w:rFonts w:hint="eastAsia" w:eastAsia="黑体"/>
                <w:color w:val="auto"/>
                <w:kern w:val="0"/>
                <w:sz w:val="24"/>
                <w:highlight w:val="none"/>
              </w:rPr>
              <w:t>4-</w:t>
            </w:r>
            <w:r>
              <w:rPr>
                <w:rFonts w:hint="eastAsia" w:eastAsia="黑体"/>
                <w:color w:val="auto"/>
                <w:kern w:val="0"/>
                <w:sz w:val="24"/>
                <w:highlight w:val="none"/>
                <w:lang w:val="en-US" w:eastAsia="zh-CN"/>
              </w:rPr>
              <w:t xml:space="preserve">4    </w:t>
            </w:r>
            <w:r>
              <w:rPr>
                <w:rFonts w:eastAsia="黑体"/>
                <w:color w:val="auto"/>
                <w:kern w:val="0"/>
                <w:sz w:val="24"/>
                <w:highlight w:val="none"/>
              </w:rPr>
              <w:t>废水间接排放口基本情况表</w:t>
            </w:r>
          </w:p>
          <w:tbl>
            <w:tblPr>
              <w:tblStyle w:val="19"/>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881"/>
              <w:gridCol w:w="474"/>
              <w:gridCol w:w="1183"/>
              <w:gridCol w:w="1178"/>
              <w:gridCol w:w="883"/>
              <w:gridCol w:w="450"/>
              <w:gridCol w:w="450"/>
              <w:gridCol w:w="450"/>
              <w:gridCol w:w="478"/>
              <w:gridCol w:w="824"/>
              <w:gridCol w:w="1246"/>
            </w:tblGrid>
            <w:tr w14:paraId="15092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dxa"/>
                  <w:vMerge w:val="restart"/>
                  <w:vAlign w:val="center"/>
                </w:tcPr>
                <w:p w14:paraId="0A43C5F2">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bookmarkStart w:id="10" w:name="_Toc16024"/>
                  <w:r>
                    <w:rPr>
                      <w:rFonts w:hint="eastAsia" w:cs="Times New Roman"/>
                      <w:b/>
                      <w:color w:val="000000" w:themeColor="text1"/>
                      <w:sz w:val="21"/>
                      <w:szCs w:val="21"/>
                      <w14:textFill>
                        <w14:solidFill>
                          <w14:schemeClr w14:val="tx1"/>
                        </w14:solidFill>
                      </w14:textFill>
                    </w:rPr>
                    <w:t>序号</w:t>
                  </w:r>
                  <w:bookmarkEnd w:id="10"/>
                </w:p>
              </w:tc>
              <w:tc>
                <w:tcPr>
                  <w:tcW w:w="881" w:type="dxa"/>
                  <w:vMerge w:val="restart"/>
                  <w:vAlign w:val="center"/>
                </w:tcPr>
                <w:p w14:paraId="5B06BE6F">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bookmarkStart w:id="11" w:name="_Toc12012"/>
                  <w:r>
                    <w:rPr>
                      <w:rFonts w:hint="eastAsia" w:cs="Times New Roman"/>
                      <w:b/>
                      <w:color w:val="000000" w:themeColor="text1"/>
                      <w:sz w:val="21"/>
                      <w:szCs w:val="21"/>
                      <w14:textFill>
                        <w14:solidFill>
                          <w14:schemeClr w14:val="tx1"/>
                        </w14:solidFill>
                      </w14:textFill>
                    </w:rPr>
                    <w:t>排放口编号</w:t>
                  </w:r>
                  <w:bookmarkEnd w:id="11"/>
                </w:p>
              </w:tc>
              <w:tc>
                <w:tcPr>
                  <w:tcW w:w="474" w:type="dxa"/>
                  <w:vMerge w:val="restart"/>
                  <w:vAlign w:val="center"/>
                </w:tcPr>
                <w:p w14:paraId="45672267">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bookmarkStart w:id="12" w:name="_Toc11307"/>
                  <w:r>
                    <w:rPr>
                      <w:rFonts w:hint="eastAsia" w:cs="Times New Roman"/>
                      <w:b/>
                      <w:color w:val="000000" w:themeColor="text1"/>
                      <w:sz w:val="21"/>
                      <w:szCs w:val="21"/>
                      <w14:textFill>
                        <w14:solidFill>
                          <w14:schemeClr w14:val="tx1"/>
                        </w14:solidFill>
                      </w14:textFill>
                    </w:rPr>
                    <w:t>排放口类型</w:t>
                  </w:r>
                  <w:bookmarkEnd w:id="12"/>
                </w:p>
              </w:tc>
              <w:tc>
                <w:tcPr>
                  <w:tcW w:w="2361" w:type="dxa"/>
                  <w:gridSpan w:val="2"/>
                  <w:vAlign w:val="center"/>
                </w:tcPr>
                <w:p w14:paraId="189A9D4A">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bookmarkStart w:id="13" w:name="_Toc19437"/>
                  <w:r>
                    <w:rPr>
                      <w:rFonts w:cs="Times New Roman"/>
                      <w:b/>
                      <w:color w:val="000000" w:themeColor="text1"/>
                      <w:sz w:val="21"/>
                      <w:szCs w:val="21"/>
                      <w14:textFill>
                        <w14:solidFill>
                          <w14:schemeClr w14:val="tx1"/>
                        </w14:solidFill>
                      </w14:textFill>
                    </w:rPr>
                    <w:t>排放口地理坐标</w:t>
                  </w:r>
                  <w:bookmarkEnd w:id="13"/>
                </w:p>
              </w:tc>
              <w:tc>
                <w:tcPr>
                  <w:tcW w:w="883" w:type="dxa"/>
                  <w:vMerge w:val="restart"/>
                  <w:vAlign w:val="center"/>
                </w:tcPr>
                <w:p w14:paraId="436B53C1">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bookmarkStart w:id="14" w:name="_Toc24472"/>
                  <w:r>
                    <w:rPr>
                      <w:rFonts w:hint="eastAsia" w:cs="Times New Roman"/>
                      <w:b/>
                      <w:color w:val="000000" w:themeColor="text1"/>
                      <w:sz w:val="21"/>
                      <w:szCs w:val="21"/>
                      <w14:textFill>
                        <w14:solidFill>
                          <w14:schemeClr w14:val="tx1"/>
                        </w14:solidFill>
                      </w14:textFill>
                    </w:rPr>
                    <w:t>废水排放量（t/</w:t>
                  </w:r>
                  <w:r>
                    <w:rPr>
                      <w:rFonts w:hint="eastAsia" w:cs="Times New Roman"/>
                      <w:b/>
                      <w:color w:val="000000" w:themeColor="text1"/>
                      <w:sz w:val="21"/>
                      <w:szCs w:val="21"/>
                      <w:lang w:val="en-US" w:eastAsia="zh-CN"/>
                      <w14:textFill>
                        <w14:solidFill>
                          <w14:schemeClr w14:val="tx1"/>
                        </w14:solidFill>
                      </w14:textFill>
                    </w:rPr>
                    <w:t>d</w:t>
                  </w:r>
                  <w:r>
                    <w:rPr>
                      <w:rFonts w:hint="eastAsia" w:cs="Times New Roman"/>
                      <w:b/>
                      <w:color w:val="000000" w:themeColor="text1"/>
                      <w:sz w:val="21"/>
                      <w:szCs w:val="21"/>
                      <w14:textFill>
                        <w14:solidFill>
                          <w14:schemeClr w14:val="tx1"/>
                        </w14:solidFill>
                      </w14:textFill>
                    </w:rPr>
                    <w:t>）</w:t>
                  </w:r>
                  <w:bookmarkEnd w:id="14"/>
                </w:p>
              </w:tc>
              <w:tc>
                <w:tcPr>
                  <w:tcW w:w="450" w:type="dxa"/>
                  <w:vMerge w:val="restart"/>
                  <w:vAlign w:val="center"/>
                </w:tcPr>
                <w:p w14:paraId="27F080F6">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p>
                <w:p w14:paraId="26B33753">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bookmarkStart w:id="15" w:name="_Toc24434"/>
                  <w:r>
                    <w:rPr>
                      <w:rFonts w:cs="Times New Roman"/>
                      <w:b/>
                      <w:color w:val="000000" w:themeColor="text1"/>
                      <w:sz w:val="21"/>
                      <w:szCs w:val="21"/>
                      <w14:textFill>
                        <w14:solidFill>
                          <w14:schemeClr w14:val="tx1"/>
                        </w14:solidFill>
                      </w14:textFill>
                    </w:rPr>
                    <w:t>排放去向</w:t>
                  </w:r>
                  <w:bookmarkEnd w:id="15"/>
                </w:p>
              </w:tc>
              <w:tc>
                <w:tcPr>
                  <w:tcW w:w="450" w:type="dxa"/>
                  <w:vMerge w:val="restart"/>
                  <w:vAlign w:val="center"/>
                </w:tcPr>
                <w:p w14:paraId="622626CD">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bookmarkStart w:id="16" w:name="_Toc13376"/>
                  <w:r>
                    <w:rPr>
                      <w:rFonts w:hint="eastAsia" w:cs="Times New Roman"/>
                      <w:b/>
                      <w:color w:val="000000" w:themeColor="text1"/>
                      <w:sz w:val="21"/>
                      <w:szCs w:val="21"/>
                      <w14:textFill>
                        <w14:solidFill>
                          <w14:schemeClr w14:val="tx1"/>
                        </w14:solidFill>
                      </w14:textFill>
                    </w:rPr>
                    <w:t>排放规律</w:t>
                  </w:r>
                  <w:bookmarkEnd w:id="16"/>
                </w:p>
              </w:tc>
              <w:tc>
                <w:tcPr>
                  <w:tcW w:w="450" w:type="dxa"/>
                  <w:vMerge w:val="restart"/>
                  <w:vAlign w:val="center"/>
                </w:tcPr>
                <w:p w14:paraId="1C3B3806">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bookmarkStart w:id="17" w:name="_Toc27125"/>
                  <w:r>
                    <w:rPr>
                      <w:rFonts w:hint="eastAsia" w:cs="Times New Roman"/>
                      <w:b/>
                      <w:color w:val="000000" w:themeColor="text1"/>
                      <w:sz w:val="21"/>
                      <w:szCs w:val="21"/>
                      <w14:textFill>
                        <w14:solidFill>
                          <w14:schemeClr w14:val="tx1"/>
                        </w14:solidFill>
                      </w14:textFill>
                    </w:rPr>
                    <w:t>间歇排放时段</w:t>
                  </w:r>
                  <w:bookmarkEnd w:id="17"/>
                </w:p>
              </w:tc>
              <w:tc>
                <w:tcPr>
                  <w:tcW w:w="2548" w:type="dxa"/>
                  <w:gridSpan w:val="3"/>
                  <w:vAlign w:val="center"/>
                </w:tcPr>
                <w:p w14:paraId="0FF37170">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bookmarkStart w:id="18" w:name="_Toc22757"/>
                  <w:r>
                    <w:rPr>
                      <w:rFonts w:hint="eastAsia" w:ascii="宋体" w:hAnsi="宋体"/>
                      <w:b/>
                      <w:bCs/>
                      <w:color w:val="auto"/>
                      <w:kern w:val="44"/>
                      <w:sz w:val="21"/>
                      <w:szCs w:val="21"/>
                      <w:highlight w:val="none"/>
                    </w:rPr>
                    <w:t>收纳污水处理厂信息</w:t>
                  </w:r>
                  <w:bookmarkEnd w:id="18"/>
                </w:p>
              </w:tc>
            </w:tr>
            <w:tr w14:paraId="22BA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dxa"/>
                  <w:vMerge w:val="continue"/>
                  <w:vAlign w:val="center"/>
                </w:tcPr>
                <w:p w14:paraId="7801A6E4">
                  <w:pPr>
                    <w:pStyle w:val="73"/>
                    <w:jc w:val="center"/>
                    <w:rPr>
                      <w:b/>
                      <w:bCs/>
                      <w:color w:val="000000" w:themeColor="text1"/>
                      <w:sz w:val="21"/>
                      <w:szCs w:val="21"/>
                      <w:vertAlign w:val="baseline"/>
                      <w14:textFill>
                        <w14:solidFill>
                          <w14:schemeClr w14:val="tx1"/>
                        </w14:solidFill>
                      </w14:textFill>
                    </w:rPr>
                  </w:pPr>
                </w:p>
              </w:tc>
              <w:tc>
                <w:tcPr>
                  <w:tcW w:w="881" w:type="dxa"/>
                  <w:vMerge w:val="continue"/>
                  <w:vAlign w:val="center"/>
                </w:tcPr>
                <w:p w14:paraId="771C471E">
                  <w:pPr>
                    <w:pStyle w:val="73"/>
                    <w:jc w:val="center"/>
                    <w:rPr>
                      <w:b/>
                      <w:bCs/>
                      <w:color w:val="000000" w:themeColor="text1"/>
                      <w:sz w:val="21"/>
                      <w:szCs w:val="21"/>
                      <w:vertAlign w:val="baseline"/>
                      <w14:textFill>
                        <w14:solidFill>
                          <w14:schemeClr w14:val="tx1"/>
                        </w14:solidFill>
                      </w14:textFill>
                    </w:rPr>
                  </w:pPr>
                </w:p>
              </w:tc>
              <w:tc>
                <w:tcPr>
                  <w:tcW w:w="474" w:type="dxa"/>
                  <w:vMerge w:val="continue"/>
                  <w:vAlign w:val="center"/>
                </w:tcPr>
                <w:p w14:paraId="03479A50">
                  <w:pPr>
                    <w:pStyle w:val="73"/>
                    <w:jc w:val="center"/>
                    <w:rPr>
                      <w:b/>
                      <w:bCs/>
                      <w:color w:val="000000" w:themeColor="text1"/>
                      <w:sz w:val="21"/>
                      <w:szCs w:val="21"/>
                      <w:vertAlign w:val="baseline"/>
                      <w14:textFill>
                        <w14:solidFill>
                          <w14:schemeClr w14:val="tx1"/>
                        </w14:solidFill>
                      </w14:textFill>
                    </w:rPr>
                  </w:pPr>
                </w:p>
              </w:tc>
              <w:tc>
                <w:tcPr>
                  <w:tcW w:w="1183" w:type="dxa"/>
                  <w:vAlign w:val="center"/>
                </w:tcPr>
                <w:p w14:paraId="2B2DD110">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bookmarkStart w:id="19" w:name="_Toc5785"/>
                  <w:r>
                    <w:rPr>
                      <w:rFonts w:hint="eastAsia" w:cs="Times New Roman"/>
                      <w:b/>
                      <w:color w:val="000000" w:themeColor="text1"/>
                      <w:sz w:val="21"/>
                      <w:szCs w:val="21"/>
                      <w14:textFill>
                        <w14:solidFill>
                          <w14:schemeClr w14:val="tx1"/>
                        </w14:solidFill>
                      </w14:textFill>
                    </w:rPr>
                    <w:t>经度</w:t>
                  </w:r>
                  <w:bookmarkEnd w:id="19"/>
                </w:p>
              </w:tc>
              <w:tc>
                <w:tcPr>
                  <w:tcW w:w="1178" w:type="dxa"/>
                  <w:vAlign w:val="center"/>
                </w:tcPr>
                <w:p w14:paraId="5215FD6B">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bookmarkStart w:id="20" w:name="_Toc19941"/>
                  <w:r>
                    <w:rPr>
                      <w:rFonts w:hint="eastAsia" w:cs="Times New Roman"/>
                      <w:b/>
                      <w:color w:val="000000" w:themeColor="text1"/>
                      <w:sz w:val="21"/>
                      <w:szCs w:val="21"/>
                      <w14:textFill>
                        <w14:solidFill>
                          <w14:schemeClr w14:val="tx1"/>
                        </w14:solidFill>
                      </w14:textFill>
                    </w:rPr>
                    <w:t>纬度</w:t>
                  </w:r>
                  <w:bookmarkEnd w:id="20"/>
                </w:p>
              </w:tc>
              <w:tc>
                <w:tcPr>
                  <w:tcW w:w="883" w:type="dxa"/>
                  <w:vMerge w:val="continue"/>
                  <w:vAlign w:val="center"/>
                </w:tcPr>
                <w:p w14:paraId="71EF7E2F">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p>
              </w:tc>
              <w:tc>
                <w:tcPr>
                  <w:tcW w:w="450" w:type="dxa"/>
                  <w:vMerge w:val="continue"/>
                  <w:vAlign w:val="center"/>
                </w:tcPr>
                <w:p w14:paraId="2E2E3424">
                  <w:pPr>
                    <w:pStyle w:val="73"/>
                    <w:jc w:val="center"/>
                    <w:rPr>
                      <w:b/>
                      <w:bCs/>
                      <w:color w:val="000000" w:themeColor="text1"/>
                      <w:sz w:val="21"/>
                      <w:szCs w:val="21"/>
                      <w:vertAlign w:val="baseline"/>
                      <w14:textFill>
                        <w14:solidFill>
                          <w14:schemeClr w14:val="tx1"/>
                        </w14:solidFill>
                      </w14:textFill>
                    </w:rPr>
                  </w:pPr>
                </w:p>
              </w:tc>
              <w:tc>
                <w:tcPr>
                  <w:tcW w:w="450" w:type="dxa"/>
                  <w:vMerge w:val="continue"/>
                  <w:vAlign w:val="center"/>
                </w:tcPr>
                <w:p w14:paraId="5330CD8E">
                  <w:pPr>
                    <w:pStyle w:val="73"/>
                    <w:jc w:val="center"/>
                    <w:rPr>
                      <w:b/>
                      <w:bCs/>
                      <w:color w:val="000000" w:themeColor="text1"/>
                      <w:sz w:val="21"/>
                      <w:szCs w:val="21"/>
                      <w:vertAlign w:val="baseline"/>
                      <w14:textFill>
                        <w14:solidFill>
                          <w14:schemeClr w14:val="tx1"/>
                        </w14:solidFill>
                      </w14:textFill>
                    </w:rPr>
                  </w:pPr>
                </w:p>
              </w:tc>
              <w:tc>
                <w:tcPr>
                  <w:tcW w:w="450" w:type="dxa"/>
                  <w:vMerge w:val="continue"/>
                  <w:vAlign w:val="center"/>
                </w:tcPr>
                <w:p w14:paraId="03782F78">
                  <w:pPr>
                    <w:pStyle w:val="73"/>
                    <w:jc w:val="center"/>
                    <w:rPr>
                      <w:b/>
                      <w:bCs/>
                      <w:color w:val="000000" w:themeColor="text1"/>
                      <w:sz w:val="21"/>
                      <w:szCs w:val="21"/>
                      <w:vertAlign w:val="baseline"/>
                      <w14:textFill>
                        <w14:solidFill>
                          <w14:schemeClr w14:val="tx1"/>
                        </w14:solidFill>
                      </w14:textFill>
                    </w:rPr>
                  </w:pPr>
                </w:p>
              </w:tc>
              <w:tc>
                <w:tcPr>
                  <w:tcW w:w="478" w:type="dxa"/>
                  <w:vAlign w:val="center"/>
                </w:tcPr>
                <w:p w14:paraId="4712DF85">
                  <w:pPr>
                    <w:pStyle w:val="33"/>
                    <w:spacing w:line="240" w:lineRule="auto"/>
                    <w:ind w:firstLine="0" w:firstLineChars="0"/>
                    <w:jc w:val="center"/>
                    <w:rPr>
                      <w:b/>
                      <w:bCs/>
                      <w:color w:val="000000" w:themeColor="text1"/>
                      <w:sz w:val="21"/>
                      <w:szCs w:val="21"/>
                      <w:vertAlign w:val="baseline"/>
                      <w14:textFill>
                        <w14:solidFill>
                          <w14:schemeClr w14:val="tx1"/>
                        </w14:solidFill>
                      </w14:textFill>
                    </w:rPr>
                  </w:pPr>
                  <w:r>
                    <w:rPr>
                      <w:b/>
                      <w:bCs/>
                      <w:color w:val="auto"/>
                      <w:kern w:val="44"/>
                      <w:sz w:val="21"/>
                      <w:szCs w:val="21"/>
                      <w:highlight w:val="none"/>
                    </w:rPr>
                    <w:t>名称</w:t>
                  </w:r>
                </w:p>
              </w:tc>
              <w:tc>
                <w:tcPr>
                  <w:tcW w:w="824" w:type="dxa"/>
                  <w:vAlign w:val="center"/>
                </w:tcPr>
                <w:p w14:paraId="6952553D">
                  <w:pPr>
                    <w:pStyle w:val="33"/>
                    <w:spacing w:line="240" w:lineRule="auto"/>
                    <w:ind w:firstLine="0" w:firstLineChars="0"/>
                    <w:jc w:val="center"/>
                    <w:rPr>
                      <w:b/>
                      <w:bCs/>
                      <w:color w:val="000000" w:themeColor="text1"/>
                      <w:sz w:val="21"/>
                      <w:szCs w:val="21"/>
                      <w:vertAlign w:val="baseline"/>
                      <w14:textFill>
                        <w14:solidFill>
                          <w14:schemeClr w14:val="tx1"/>
                        </w14:solidFill>
                      </w14:textFill>
                    </w:rPr>
                  </w:pPr>
                  <w:r>
                    <w:rPr>
                      <w:b/>
                      <w:bCs/>
                      <w:color w:val="auto"/>
                      <w:kern w:val="44"/>
                      <w:sz w:val="21"/>
                      <w:szCs w:val="21"/>
                      <w:highlight w:val="none"/>
                    </w:rPr>
                    <w:t>污染物种类</w:t>
                  </w:r>
                </w:p>
              </w:tc>
              <w:tc>
                <w:tcPr>
                  <w:tcW w:w="1246" w:type="dxa"/>
                  <w:vAlign w:val="center"/>
                </w:tcPr>
                <w:p w14:paraId="7E835D19">
                  <w:pPr>
                    <w:pStyle w:val="33"/>
                    <w:spacing w:line="240" w:lineRule="auto"/>
                    <w:ind w:firstLine="0" w:firstLineChars="0"/>
                    <w:jc w:val="center"/>
                    <w:rPr>
                      <w:b/>
                      <w:bCs/>
                      <w:color w:val="000000" w:themeColor="text1"/>
                      <w:sz w:val="21"/>
                      <w:szCs w:val="21"/>
                      <w:vertAlign w:val="baseline"/>
                      <w14:textFill>
                        <w14:solidFill>
                          <w14:schemeClr w14:val="tx1"/>
                        </w14:solidFill>
                      </w14:textFill>
                    </w:rPr>
                  </w:pPr>
                  <w:r>
                    <w:rPr>
                      <w:b/>
                      <w:bCs/>
                      <w:color w:val="auto"/>
                      <w:kern w:val="44"/>
                      <w:sz w:val="21"/>
                      <w:szCs w:val="21"/>
                      <w:highlight w:val="none"/>
                    </w:rPr>
                    <w:t>国家或地方污染物排放标准限值（mg/L）</w:t>
                  </w:r>
                </w:p>
              </w:tc>
            </w:tr>
            <w:tr w14:paraId="2D27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dxa"/>
                  <w:vMerge w:val="restart"/>
                  <w:vAlign w:val="center"/>
                </w:tcPr>
                <w:p w14:paraId="31CBE089">
                  <w:pPr>
                    <w:pStyle w:val="33"/>
                    <w:spacing w:line="240" w:lineRule="auto"/>
                    <w:ind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1</w:t>
                  </w:r>
                </w:p>
              </w:tc>
              <w:tc>
                <w:tcPr>
                  <w:tcW w:w="881" w:type="dxa"/>
                  <w:vMerge w:val="restart"/>
                  <w:vAlign w:val="center"/>
                </w:tcPr>
                <w:p w14:paraId="42846E91">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DW001</w:t>
                  </w:r>
                </w:p>
              </w:tc>
              <w:tc>
                <w:tcPr>
                  <w:tcW w:w="474" w:type="dxa"/>
                  <w:vMerge w:val="restart"/>
                  <w:vAlign w:val="center"/>
                </w:tcPr>
                <w:p w14:paraId="7EED5694">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一般排放口</w:t>
                  </w:r>
                </w:p>
              </w:tc>
              <w:tc>
                <w:tcPr>
                  <w:tcW w:w="1183" w:type="dxa"/>
                  <w:vMerge w:val="restart"/>
                  <w:vAlign w:val="center"/>
                </w:tcPr>
                <w:p w14:paraId="2109CD85">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r>
                    <w:rPr>
                      <w:rFonts w:hint="eastAsia" w:cs="Times New Roman"/>
                      <w:color w:val="auto"/>
                      <w:sz w:val="21"/>
                      <w:szCs w:val="21"/>
                    </w:rPr>
                    <w:t>114° 4'56.59"</w:t>
                  </w:r>
                </w:p>
              </w:tc>
              <w:tc>
                <w:tcPr>
                  <w:tcW w:w="1178" w:type="dxa"/>
                  <w:vMerge w:val="restart"/>
                  <w:vAlign w:val="center"/>
                </w:tcPr>
                <w:p w14:paraId="2E706A03">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r>
                    <w:rPr>
                      <w:rFonts w:hint="eastAsia" w:cs="Times New Roman"/>
                      <w:color w:val="auto"/>
                      <w:sz w:val="21"/>
                      <w:szCs w:val="21"/>
                    </w:rPr>
                    <w:t>35°13'12.18"</w:t>
                  </w:r>
                </w:p>
              </w:tc>
              <w:tc>
                <w:tcPr>
                  <w:tcW w:w="883" w:type="dxa"/>
                  <w:vMerge w:val="restart"/>
                  <w:vAlign w:val="center"/>
                </w:tcPr>
                <w:p w14:paraId="6BCBFA23">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7.2833</w:t>
                  </w:r>
                </w:p>
              </w:tc>
              <w:tc>
                <w:tcPr>
                  <w:tcW w:w="450" w:type="dxa"/>
                  <w:vMerge w:val="restart"/>
                  <w:vAlign w:val="center"/>
                </w:tcPr>
                <w:p w14:paraId="682DBBB7">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r>
                    <w:rPr>
                      <w:rFonts w:hint="eastAsia" w:cs="Times New Roman"/>
                      <w:color w:val="auto"/>
                      <w:sz w:val="21"/>
                      <w:szCs w:val="21"/>
                      <w:lang w:val="en-US" w:eastAsia="zh-CN"/>
                    </w:rPr>
                    <w:t>夹堤村西污水处理站</w:t>
                  </w:r>
                </w:p>
              </w:tc>
              <w:tc>
                <w:tcPr>
                  <w:tcW w:w="450" w:type="dxa"/>
                  <w:vMerge w:val="restart"/>
                  <w:vAlign w:val="center"/>
                </w:tcPr>
                <w:p w14:paraId="1F7E219F">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bookmarkStart w:id="21" w:name="_Toc32420"/>
                  <w:r>
                    <w:rPr>
                      <w:rFonts w:cs="Times New Roman"/>
                      <w:color w:val="auto"/>
                      <w:sz w:val="21"/>
                      <w:szCs w:val="21"/>
                    </w:rPr>
                    <w:t>间歇排放流量稳定</w:t>
                  </w:r>
                  <w:bookmarkEnd w:id="21"/>
                </w:p>
              </w:tc>
              <w:tc>
                <w:tcPr>
                  <w:tcW w:w="450" w:type="dxa"/>
                  <w:vMerge w:val="restart"/>
                  <w:vAlign w:val="center"/>
                </w:tcPr>
                <w:p w14:paraId="5FED49A0">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478" w:type="dxa"/>
                  <w:vMerge w:val="restart"/>
                  <w:vAlign w:val="center"/>
                </w:tcPr>
                <w:p w14:paraId="3B9FF858">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r>
                    <w:rPr>
                      <w:rFonts w:hint="eastAsia" w:cs="Times New Roman"/>
                      <w:color w:val="auto"/>
                      <w:sz w:val="21"/>
                      <w:szCs w:val="21"/>
                      <w:lang w:val="en-US" w:eastAsia="zh-CN"/>
                    </w:rPr>
                    <w:t>夹堤村西污水处理站</w:t>
                  </w:r>
                </w:p>
              </w:tc>
              <w:tc>
                <w:tcPr>
                  <w:tcW w:w="824" w:type="dxa"/>
                  <w:vAlign w:val="center"/>
                </w:tcPr>
                <w:p w14:paraId="0A7846C7">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r>
                    <w:rPr>
                      <w:rFonts w:hint="eastAsia" w:cs="Times New Roman"/>
                      <w:color w:val="auto"/>
                      <w:sz w:val="21"/>
                      <w:szCs w:val="21"/>
                      <w:lang w:val="en-US" w:eastAsia="zh-CN"/>
                    </w:rPr>
                    <w:t>悬浮物</w:t>
                  </w:r>
                </w:p>
              </w:tc>
              <w:tc>
                <w:tcPr>
                  <w:tcW w:w="1246" w:type="dxa"/>
                  <w:vAlign w:val="center"/>
                </w:tcPr>
                <w:p w14:paraId="5226ED45">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50</w:t>
                  </w:r>
                </w:p>
              </w:tc>
            </w:tr>
            <w:tr w14:paraId="1514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43" w:type="dxa"/>
                  <w:vMerge w:val="continue"/>
                  <w:vAlign w:val="center"/>
                </w:tcPr>
                <w:p w14:paraId="586AB2FE">
                  <w:pPr>
                    <w:pStyle w:val="33"/>
                    <w:spacing w:line="240" w:lineRule="auto"/>
                    <w:ind w:firstLine="0" w:firstLineChars="0"/>
                    <w:jc w:val="center"/>
                    <w:rPr>
                      <w:rFonts w:cs="Times New Roman"/>
                      <w:color w:val="auto"/>
                      <w:sz w:val="21"/>
                      <w:szCs w:val="21"/>
                    </w:rPr>
                  </w:pPr>
                </w:p>
              </w:tc>
              <w:tc>
                <w:tcPr>
                  <w:tcW w:w="881" w:type="dxa"/>
                  <w:vMerge w:val="continue"/>
                  <w:vAlign w:val="center"/>
                </w:tcPr>
                <w:p w14:paraId="209BE067">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474" w:type="dxa"/>
                  <w:vMerge w:val="continue"/>
                  <w:vAlign w:val="center"/>
                </w:tcPr>
                <w:p w14:paraId="319129D6">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1183" w:type="dxa"/>
                  <w:vMerge w:val="continue"/>
                  <w:vAlign w:val="center"/>
                </w:tcPr>
                <w:p w14:paraId="61EBE7E3">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1178" w:type="dxa"/>
                  <w:vMerge w:val="continue"/>
                  <w:vAlign w:val="center"/>
                </w:tcPr>
                <w:p w14:paraId="1B77168D">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883" w:type="dxa"/>
                  <w:vMerge w:val="continue"/>
                  <w:vAlign w:val="center"/>
                </w:tcPr>
                <w:p w14:paraId="2F176BC0">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450" w:type="dxa"/>
                  <w:vMerge w:val="continue"/>
                  <w:vAlign w:val="center"/>
                </w:tcPr>
                <w:p w14:paraId="09841C8E">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450" w:type="dxa"/>
                  <w:vMerge w:val="continue"/>
                  <w:vAlign w:val="center"/>
                </w:tcPr>
                <w:p w14:paraId="6C6FFF67">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450" w:type="dxa"/>
                  <w:vMerge w:val="continue"/>
                  <w:vAlign w:val="center"/>
                </w:tcPr>
                <w:p w14:paraId="2696CC99">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478" w:type="dxa"/>
                  <w:vMerge w:val="continue"/>
                  <w:vAlign w:val="center"/>
                </w:tcPr>
                <w:p w14:paraId="6078B8AD">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824" w:type="dxa"/>
                  <w:vAlign w:val="center"/>
                </w:tcPr>
                <w:p w14:paraId="15386F8B">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r>
                    <w:rPr>
                      <w:rFonts w:hint="eastAsia" w:cs="Times New Roman"/>
                      <w:color w:val="auto"/>
                      <w:sz w:val="21"/>
                      <w:szCs w:val="21"/>
                      <w:lang w:val="en-US" w:eastAsia="zh-CN"/>
                    </w:rPr>
                    <w:t>CODcr</w:t>
                  </w:r>
                </w:p>
              </w:tc>
              <w:tc>
                <w:tcPr>
                  <w:tcW w:w="1246" w:type="dxa"/>
                  <w:vAlign w:val="center"/>
                </w:tcPr>
                <w:p w14:paraId="770E6E14">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100</w:t>
                  </w:r>
                </w:p>
              </w:tc>
            </w:tr>
            <w:tr w14:paraId="4143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443" w:type="dxa"/>
                  <w:vMerge w:val="continue"/>
                  <w:vAlign w:val="center"/>
                </w:tcPr>
                <w:p w14:paraId="79EA4FFB">
                  <w:pPr>
                    <w:pStyle w:val="33"/>
                    <w:spacing w:line="240" w:lineRule="auto"/>
                    <w:ind w:firstLine="0" w:firstLineChars="0"/>
                    <w:jc w:val="center"/>
                    <w:rPr>
                      <w:rFonts w:cs="Times New Roman"/>
                      <w:color w:val="auto"/>
                      <w:sz w:val="21"/>
                      <w:szCs w:val="21"/>
                    </w:rPr>
                  </w:pPr>
                </w:p>
              </w:tc>
              <w:tc>
                <w:tcPr>
                  <w:tcW w:w="881" w:type="dxa"/>
                  <w:vMerge w:val="continue"/>
                  <w:vAlign w:val="center"/>
                </w:tcPr>
                <w:p w14:paraId="5B4B693D">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474" w:type="dxa"/>
                  <w:vMerge w:val="continue"/>
                  <w:vAlign w:val="center"/>
                </w:tcPr>
                <w:p w14:paraId="5A14BDBF">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1183" w:type="dxa"/>
                  <w:vMerge w:val="continue"/>
                  <w:vAlign w:val="center"/>
                </w:tcPr>
                <w:p w14:paraId="2886B169">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1178" w:type="dxa"/>
                  <w:vMerge w:val="continue"/>
                  <w:vAlign w:val="center"/>
                </w:tcPr>
                <w:p w14:paraId="175D238B">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883" w:type="dxa"/>
                  <w:vMerge w:val="continue"/>
                  <w:vAlign w:val="center"/>
                </w:tcPr>
                <w:p w14:paraId="0FC79C8E">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450" w:type="dxa"/>
                  <w:vMerge w:val="continue"/>
                  <w:vAlign w:val="center"/>
                </w:tcPr>
                <w:p w14:paraId="35D40250">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450" w:type="dxa"/>
                  <w:vMerge w:val="continue"/>
                  <w:vAlign w:val="center"/>
                </w:tcPr>
                <w:p w14:paraId="7897E169">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450" w:type="dxa"/>
                  <w:vMerge w:val="continue"/>
                  <w:vAlign w:val="center"/>
                </w:tcPr>
                <w:p w14:paraId="648F2E42">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478" w:type="dxa"/>
                  <w:vMerge w:val="continue"/>
                  <w:vAlign w:val="center"/>
                </w:tcPr>
                <w:p w14:paraId="2564A25F">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824" w:type="dxa"/>
                  <w:vAlign w:val="center"/>
                </w:tcPr>
                <w:p w14:paraId="1F9591F9">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r>
                    <w:rPr>
                      <w:rFonts w:hint="eastAsia" w:cs="Times New Roman"/>
                      <w:color w:val="auto"/>
                      <w:sz w:val="21"/>
                      <w:szCs w:val="21"/>
                      <w:lang w:val="en-US" w:eastAsia="zh-CN"/>
                    </w:rPr>
                    <w:t>氨氮</w:t>
                  </w:r>
                </w:p>
              </w:tc>
              <w:tc>
                <w:tcPr>
                  <w:tcW w:w="1246" w:type="dxa"/>
                  <w:vAlign w:val="center"/>
                </w:tcPr>
                <w:p w14:paraId="7DC7D2E5">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r>
                    <w:rPr>
                      <w:rFonts w:hint="eastAsia" w:cs="Times New Roman"/>
                      <w:color w:val="auto"/>
                      <w:sz w:val="21"/>
                      <w:szCs w:val="21"/>
                      <w:lang w:val="en-US" w:eastAsia="zh-CN"/>
                    </w:rPr>
                    <w:t>20（25）</w:t>
                  </w:r>
                </w:p>
              </w:tc>
            </w:tr>
            <w:tr w14:paraId="3FA2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dxa"/>
                  <w:vMerge w:val="continue"/>
                  <w:vAlign w:val="center"/>
                </w:tcPr>
                <w:p w14:paraId="1D3C4F83">
                  <w:pPr>
                    <w:pStyle w:val="33"/>
                    <w:spacing w:line="240" w:lineRule="auto"/>
                    <w:ind w:firstLine="0" w:firstLineChars="0"/>
                    <w:jc w:val="center"/>
                    <w:rPr>
                      <w:rFonts w:cs="Times New Roman"/>
                      <w:color w:val="auto"/>
                      <w:sz w:val="21"/>
                      <w:szCs w:val="21"/>
                    </w:rPr>
                  </w:pPr>
                </w:p>
              </w:tc>
              <w:tc>
                <w:tcPr>
                  <w:tcW w:w="881" w:type="dxa"/>
                  <w:vMerge w:val="continue"/>
                  <w:vAlign w:val="center"/>
                </w:tcPr>
                <w:p w14:paraId="3C0C5E79">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474" w:type="dxa"/>
                  <w:vMerge w:val="continue"/>
                  <w:vAlign w:val="center"/>
                </w:tcPr>
                <w:p w14:paraId="07955D96">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1183" w:type="dxa"/>
                  <w:vMerge w:val="continue"/>
                  <w:vAlign w:val="center"/>
                </w:tcPr>
                <w:p w14:paraId="11455A15">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1178" w:type="dxa"/>
                  <w:vMerge w:val="continue"/>
                  <w:vAlign w:val="center"/>
                </w:tcPr>
                <w:p w14:paraId="4C63C1D2">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883" w:type="dxa"/>
                  <w:vMerge w:val="continue"/>
                  <w:vAlign w:val="center"/>
                </w:tcPr>
                <w:p w14:paraId="649F0C92">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450" w:type="dxa"/>
                  <w:vMerge w:val="continue"/>
                  <w:vAlign w:val="center"/>
                </w:tcPr>
                <w:p w14:paraId="456162A9">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450" w:type="dxa"/>
                  <w:vMerge w:val="continue"/>
                  <w:vAlign w:val="center"/>
                </w:tcPr>
                <w:p w14:paraId="0FBE5370">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450" w:type="dxa"/>
                  <w:vMerge w:val="continue"/>
                  <w:vAlign w:val="center"/>
                </w:tcPr>
                <w:p w14:paraId="00534BAA">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478" w:type="dxa"/>
                  <w:vMerge w:val="continue"/>
                  <w:vAlign w:val="center"/>
                </w:tcPr>
                <w:p w14:paraId="230FD519">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p>
              </w:tc>
              <w:tc>
                <w:tcPr>
                  <w:tcW w:w="824" w:type="dxa"/>
                  <w:vAlign w:val="center"/>
                </w:tcPr>
                <w:p w14:paraId="33679B10">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cs="Times New Roman"/>
                      <w:color w:val="auto"/>
                      <w:sz w:val="21"/>
                      <w:szCs w:val="21"/>
                    </w:rPr>
                  </w:pPr>
                  <w:r>
                    <w:rPr>
                      <w:rFonts w:hint="eastAsia" w:cs="Times New Roman"/>
                      <w:color w:val="auto"/>
                      <w:sz w:val="21"/>
                      <w:szCs w:val="21"/>
                      <w:lang w:val="en-US" w:eastAsia="zh-CN"/>
                    </w:rPr>
                    <w:t>动植物油</w:t>
                  </w:r>
                </w:p>
              </w:tc>
              <w:tc>
                <w:tcPr>
                  <w:tcW w:w="1246" w:type="dxa"/>
                  <w:vAlign w:val="center"/>
                </w:tcPr>
                <w:p w14:paraId="6F9FD6B8">
                  <w:pPr>
                    <w:pStyle w:val="3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5</w:t>
                  </w:r>
                </w:p>
              </w:tc>
            </w:tr>
            <w:tr w14:paraId="1F4A3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0" w:type="dxa"/>
                  <w:gridSpan w:val="12"/>
                  <w:vAlign w:val="center"/>
                </w:tcPr>
                <w:p w14:paraId="7E34517F">
                  <w:pPr>
                    <w:pStyle w:val="33"/>
                    <w:spacing w:line="240" w:lineRule="auto"/>
                    <w:ind w:firstLine="0" w:firstLineChars="0"/>
                    <w:jc w:val="center"/>
                    <w:rPr>
                      <w:rFonts w:hint="default" w:cs="Times New Roman"/>
                      <w:color w:val="auto"/>
                      <w:sz w:val="21"/>
                      <w:szCs w:val="21"/>
                      <w:lang w:val="en-US" w:eastAsia="zh-CN"/>
                    </w:rPr>
                  </w:pPr>
                  <w:r>
                    <w:rPr>
                      <w:rFonts w:hint="default" w:ascii="Times New Roman" w:hAnsi="Times New Roman" w:cs="Times New Roman"/>
                      <w:color w:val="auto"/>
                      <w:sz w:val="21"/>
                      <w:szCs w:val="21"/>
                      <w:lang w:val="en-US" w:eastAsia="zh-CN"/>
                    </w:rPr>
                    <w:t>注:氨氮最高允许排放浓度括号外的数值为水温&gt;12℃的控制要求，括号内的数值为水温≤12℃的控制要求。</w:t>
                  </w:r>
                </w:p>
              </w:tc>
            </w:tr>
          </w:tbl>
          <w:p w14:paraId="0BD6F68D">
            <w:pPr>
              <w:pStyle w:val="73"/>
              <w:ind w:firstLine="482"/>
              <w:rPr>
                <w:b/>
                <w:bCs/>
                <w:color w:val="000000" w:themeColor="text1"/>
                <w14:textFill>
                  <w14:solidFill>
                    <w14:schemeClr w14:val="tx1"/>
                  </w14:solidFill>
                </w14:textFill>
              </w:rPr>
            </w:pPr>
            <w:r>
              <w:rPr>
                <w:b/>
                <w:bCs/>
                <w:color w:val="000000" w:themeColor="text1"/>
                <w14:textFill>
                  <w14:solidFill>
                    <w14:schemeClr w14:val="tx1"/>
                  </w14:solidFill>
                </w14:textFill>
              </w:rPr>
              <w:t>5、监测要求</w:t>
            </w:r>
          </w:p>
          <w:p w14:paraId="5BB1FFF1">
            <w:pPr>
              <w:pStyle w:val="11"/>
              <w:spacing w:line="520" w:lineRule="exact"/>
              <w:ind w:left="0" w:right="0" w:firstLine="480" w:firstLineChars="200"/>
              <w:rPr>
                <w:rFonts w:eastAsia="黑体" w:cs="Times New Roman"/>
                <w:color w:val="000000" w:themeColor="text1"/>
                <w14:textFill>
                  <w14:solidFill>
                    <w14:schemeClr w14:val="tx1"/>
                  </w14:solidFill>
                </w14:textFill>
              </w:rPr>
            </w:pPr>
            <w:r>
              <w:rPr>
                <w:color w:val="000000" w:themeColor="text1"/>
                <w14:textFill>
                  <w14:solidFill>
                    <w14:schemeClr w14:val="tx1"/>
                  </w14:solidFill>
                </w14:textFill>
              </w:rPr>
              <w:t>本项目属于其他方便食品制造业，根据《排污单位自行监测技术指南 食品制造》（HJ 1084-2020）的规定，评价提出本项目在生产运行阶段的污染源监测计划，具体监测计划见下表。</w:t>
            </w:r>
          </w:p>
          <w:p w14:paraId="1E6C1298">
            <w:pPr>
              <w:pStyle w:val="33"/>
              <w:ind w:firstLine="480"/>
              <w:rPr>
                <w:rFonts w:eastAsia="黑体" w:cs="Times New Roman"/>
                <w:color w:val="000000" w:themeColor="text1"/>
                <w14:textFill>
                  <w14:solidFill>
                    <w14:schemeClr w14:val="tx1"/>
                  </w14:solidFill>
                </w14:textFill>
              </w:rPr>
            </w:pPr>
            <w:r>
              <w:rPr>
                <w:rFonts w:eastAsia="黑体" w:cs="Times New Roman"/>
                <w:color w:val="000000" w:themeColor="text1"/>
                <w14:textFill>
                  <w14:solidFill>
                    <w14:schemeClr w14:val="tx1"/>
                  </w14:solidFill>
                </w14:textFill>
              </w:rPr>
              <w:t>表</w:t>
            </w:r>
            <w:r>
              <w:rPr>
                <w:rFonts w:hint="eastAsia" w:eastAsia="黑体" w:cs="Times New Roman"/>
                <w:color w:val="000000" w:themeColor="text1"/>
                <w14:textFill>
                  <w14:solidFill>
                    <w14:schemeClr w14:val="tx1"/>
                  </w14:solidFill>
                </w14:textFill>
              </w:rPr>
              <w:t>4-</w:t>
            </w:r>
            <w:r>
              <w:rPr>
                <w:rFonts w:hint="eastAsia" w:eastAsia="黑体" w:cs="Times New Roman"/>
                <w:color w:val="000000" w:themeColor="text1"/>
                <w:lang w:val="en-US" w:eastAsia="zh-CN"/>
                <w14:textFill>
                  <w14:solidFill>
                    <w14:schemeClr w14:val="tx1"/>
                  </w14:solidFill>
                </w14:textFill>
              </w:rPr>
              <w:t>5</w:t>
            </w:r>
            <w:r>
              <w:rPr>
                <w:rFonts w:eastAsia="黑体" w:cs="Times New Roman"/>
                <w:color w:val="000000" w:themeColor="text1"/>
                <w14:textFill>
                  <w14:solidFill>
                    <w14:schemeClr w14:val="tx1"/>
                  </w14:solidFill>
                </w14:textFill>
              </w:rPr>
              <w:t xml:space="preserve">               污染源自行监测计划表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331"/>
              <w:gridCol w:w="2913"/>
              <w:gridCol w:w="718"/>
              <w:gridCol w:w="3045"/>
            </w:tblGrid>
            <w:tr w14:paraId="1647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4" w:type="dxa"/>
                  <w:vAlign w:val="center"/>
                </w:tcPr>
                <w:p w14:paraId="6A14894A">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监测类别</w:t>
                  </w:r>
                </w:p>
              </w:tc>
              <w:tc>
                <w:tcPr>
                  <w:tcW w:w="1339" w:type="dxa"/>
                  <w:vAlign w:val="center"/>
                </w:tcPr>
                <w:p w14:paraId="0842452D">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监测点位</w:t>
                  </w:r>
                </w:p>
              </w:tc>
              <w:tc>
                <w:tcPr>
                  <w:tcW w:w="2932" w:type="dxa"/>
                  <w:vAlign w:val="center"/>
                </w:tcPr>
                <w:p w14:paraId="6DB2A739">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监测指标</w:t>
                  </w:r>
                </w:p>
              </w:tc>
              <w:tc>
                <w:tcPr>
                  <w:tcW w:w="722" w:type="dxa"/>
                  <w:vAlign w:val="center"/>
                </w:tcPr>
                <w:p w14:paraId="25403CEE">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监测频次</w:t>
                  </w:r>
                </w:p>
              </w:tc>
              <w:tc>
                <w:tcPr>
                  <w:tcW w:w="3065" w:type="dxa"/>
                  <w:vAlign w:val="center"/>
                </w:tcPr>
                <w:p w14:paraId="71AF904F">
                  <w:pPr>
                    <w:pStyle w:val="33"/>
                    <w:spacing w:line="240" w:lineRule="auto"/>
                    <w:ind w:firstLine="0" w:firstLineChars="0"/>
                    <w:jc w:val="center"/>
                    <w:rPr>
                      <w:rFonts w:cs="Times New Roman"/>
                      <w:b/>
                      <w:color w:val="000000" w:themeColor="text1"/>
                      <w:sz w:val="21"/>
                      <w:szCs w:val="21"/>
                      <w14:textFill>
                        <w14:solidFill>
                          <w14:schemeClr w14:val="tx1"/>
                        </w14:solidFill>
                      </w14:textFill>
                    </w:rPr>
                  </w:pPr>
                  <w:r>
                    <w:rPr>
                      <w:rFonts w:cs="Times New Roman"/>
                      <w:b/>
                      <w:color w:val="000000" w:themeColor="text1"/>
                      <w:sz w:val="21"/>
                      <w:szCs w:val="21"/>
                      <w14:textFill>
                        <w14:solidFill>
                          <w14:schemeClr w14:val="tx1"/>
                        </w14:solidFill>
                      </w14:textFill>
                    </w:rPr>
                    <w:t>执行排放标准</w:t>
                  </w:r>
                </w:p>
              </w:tc>
            </w:tr>
            <w:tr w14:paraId="7E53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4" w:type="dxa"/>
                  <w:vAlign w:val="center"/>
                </w:tcPr>
                <w:p w14:paraId="2A2E1944">
                  <w:pPr>
                    <w:pStyle w:val="33"/>
                    <w:spacing w:line="240" w:lineRule="auto"/>
                    <w:ind w:firstLine="0" w:firstLineChars="0"/>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废水</w:t>
                  </w:r>
                </w:p>
              </w:tc>
              <w:tc>
                <w:tcPr>
                  <w:tcW w:w="1339" w:type="dxa"/>
                  <w:vAlign w:val="center"/>
                </w:tcPr>
                <w:p w14:paraId="3705DA62">
                  <w:pPr>
                    <w:pStyle w:val="33"/>
                    <w:spacing w:line="240" w:lineRule="auto"/>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厂区总排口</w:t>
                  </w:r>
                </w:p>
              </w:tc>
              <w:tc>
                <w:tcPr>
                  <w:tcW w:w="2932" w:type="dxa"/>
                  <w:vAlign w:val="center"/>
                </w:tcPr>
                <w:p w14:paraId="7B0EAE9E">
                  <w:pPr>
                    <w:pStyle w:val="33"/>
                    <w:spacing w:line="240" w:lineRule="auto"/>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流量、pH、SS、</w:t>
                  </w:r>
                  <w:r>
                    <w:rPr>
                      <w:rFonts w:cs="Times New Roman"/>
                      <w:color w:val="000000" w:themeColor="text1"/>
                      <w:sz w:val="21"/>
                      <w:szCs w:val="21"/>
                      <w14:textFill>
                        <w14:solidFill>
                          <w14:schemeClr w14:val="tx1"/>
                        </w14:solidFill>
                      </w14:textFill>
                    </w:rPr>
                    <w:t>COD</w:t>
                  </w:r>
                  <w:r>
                    <w:rPr>
                      <w:rFonts w:hint="eastAsia" w:cs="Times New Roman"/>
                      <w:color w:val="000000" w:themeColor="text1"/>
                      <w:sz w:val="21"/>
                      <w:szCs w:val="21"/>
                      <w14:textFill>
                        <w14:solidFill>
                          <w14:schemeClr w14:val="tx1"/>
                        </w14:solidFill>
                      </w14:textFill>
                    </w:rPr>
                    <w:t>、</w:t>
                  </w:r>
                  <w:r>
                    <w:rPr>
                      <w:rFonts w:cs="Times New Roman"/>
                      <w:color w:val="000000" w:themeColor="text1"/>
                      <w:sz w:val="21"/>
                      <w:szCs w:val="21"/>
                      <w14:textFill>
                        <w14:solidFill>
                          <w14:schemeClr w14:val="tx1"/>
                        </w14:solidFill>
                      </w14:textFill>
                    </w:rPr>
                    <w:t>BOD</w:t>
                  </w:r>
                  <w:r>
                    <w:rPr>
                      <w:rFonts w:cs="Times New Roman"/>
                      <w:color w:val="000000" w:themeColor="text1"/>
                      <w:sz w:val="21"/>
                      <w:szCs w:val="21"/>
                      <w:vertAlign w:val="subscript"/>
                      <w14:textFill>
                        <w14:solidFill>
                          <w14:schemeClr w14:val="tx1"/>
                        </w14:solidFill>
                      </w14:textFill>
                    </w:rPr>
                    <w:t>5</w:t>
                  </w:r>
                  <w:r>
                    <w:rPr>
                      <w:rFonts w:hint="eastAsia" w:cs="Times New Roman"/>
                      <w:color w:val="000000" w:themeColor="text1"/>
                      <w:sz w:val="21"/>
                      <w:szCs w:val="21"/>
                      <w14:textFill>
                        <w14:solidFill>
                          <w14:schemeClr w14:val="tx1"/>
                        </w14:solidFill>
                      </w14:textFill>
                    </w:rPr>
                    <w:t>、</w:t>
                  </w:r>
                  <w:r>
                    <w:rPr>
                      <w:rFonts w:cs="Times New Roman"/>
                      <w:color w:val="000000" w:themeColor="text1"/>
                      <w:sz w:val="21"/>
                      <w:szCs w:val="21"/>
                      <w14:textFill>
                        <w14:solidFill>
                          <w14:schemeClr w14:val="tx1"/>
                        </w14:solidFill>
                      </w14:textFill>
                    </w:rPr>
                    <w:t>NH</w:t>
                  </w:r>
                  <w:r>
                    <w:rPr>
                      <w:rFonts w:cs="Times New Roman"/>
                      <w:color w:val="000000" w:themeColor="text1"/>
                      <w:sz w:val="21"/>
                      <w:szCs w:val="21"/>
                      <w:vertAlign w:val="subscript"/>
                      <w14:textFill>
                        <w14:solidFill>
                          <w14:schemeClr w14:val="tx1"/>
                        </w14:solidFill>
                      </w14:textFill>
                    </w:rPr>
                    <w:t>3</w:t>
                  </w:r>
                  <w:r>
                    <w:rPr>
                      <w:rFonts w:cs="Times New Roman"/>
                      <w:color w:val="000000" w:themeColor="text1"/>
                      <w:sz w:val="21"/>
                      <w:szCs w:val="21"/>
                      <w14:textFill>
                        <w14:solidFill>
                          <w14:schemeClr w14:val="tx1"/>
                        </w14:solidFill>
                      </w14:textFill>
                    </w:rPr>
                    <w:t>-N</w:t>
                  </w:r>
                  <w:r>
                    <w:rPr>
                      <w:rFonts w:hint="eastAsia" w:cs="Times New Roman"/>
                      <w:color w:val="000000" w:themeColor="text1"/>
                      <w:sz w:val="21"/>
                      <w:szCs w:val="21"/>
                      <w14:textFill>
                        <w14:solidFill>
                          <w14:schemeClr w14:val="tx1"/>
                        </w14:solidFill>
                      </w14:textFill>
                    </w:rPr>
                    <w:t>、总氮、</w:t>
                  </w:r>
                  <w:r>
                    <w:rPr>
                      <w:rFonts w:cs="Times New Roman"/>
                      <w:color w:val="000000" w:themeColor="text1"/>
                      <w:sz w:val="21"/>
                      <w:szCs w:val="21"/>
                      <w14:textFill>
                        <w14:solidFill>
                          <w14:schemeClr w14:val="tx1"/>
                        </w14:solidFill>
                      </w14:textFill>
                    </w:rPr>
                    <w:t>TP</w:t>
                  </w:r>
                  <w:r>
                    <w:rPr>
                      <w:rFonts w:hint="eastAsia" w:cs="Times New Roman"/>
                      <w:color w:val="000000" w:themeColor="text1"/>
                      <w:sz w:val="21"/>
                      <w:szCs w:val="21"/>
                      <w14:textFill>
                        <w14:solidFill>
                          <w14:schemeClr w14:val="tx1"/>
                        </w14:solidFill>
                      </w14:textFill>
                    </w:rPr>
                    <w:t>、动植物油</w:t>
                  </w:r>
                </w:p>
              </w:tc>
              <w:tc>
                <w:tcPr>
                  <w:tcW w:w="722" w:type="dxa"/>
                  <w:vAlign w:val="center"/>
                </w:tcPr>
                <w:p w14:paraId="3E2EF098">
                  <w:pPr>
                    <w:pStyle w:val="33"/>
                    <w:spacing w:line="240" w:lineRule="auto"/>
                    <w:ind w:firstLine="0" w:firstLineChars="0"/>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w:t>
                  </w:r>
                  <w:r>
                    <w:rPr>
                      <w:rFonts w:hint="eastAsia" w:cs="Times New Roman"/>
                      <w:color w:val="000000" w:themeColor="text1"/>
                      <w:sz w:val="21"/>
                      <w:szCs w:val="21"/>
                      <w14:textFill>
                        <w14:solidFill>
                          <w14:schemeClr w14:val="tx1"/>
                        </w14:solidFill>
                      </w14:textFill>
                    </w:rPr>
                    <w:t>次/半年</w:t>
                  </w:r>
                </w:p>
              </w:tc>
              <w:tc>
                <w:tcPr>
                  <w:tcW w:w="3065" w:type="dxa"/>
                  <w:vAlign w:val="center"/>
                </w:tcPr>
                <w:p w14:paraId="52B433C3">
                  <w:pPr>
                    <w:pStyle w:val="33"/>
                    <w:spacing w:line="240" w:lineRule="auto"/>
                    <w:ind w:firstLine="0" w:firstLineChars="0"/>
                    <w:jc w:val="center"/>
                    <w:rPr>
                      <w:rFonts w:cs="Times New Roman"/>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前期执行《农田灌溉水质标准》（GB5084-20</w:t>
                  </w:r>
                  <w:r>
                    <w:rPr>
                      <w:rFonts w:hint="eastAsia"/>
                      <w:color w:val="000000" w:themeColor="text1"/>
                      <w:sz w:val="21"/>
                      <w:szCs w:val="21"/>
                      <w:lang w:val="en-US" w:eastAsia="zh-CN"/>
                      <w14:textFill>
                        <w14:solidFill>
                          <w14:schemeClr w14:val="tx1"/>
                        </w14:solidFill>
                      </w14:textFill>
                    </w:rPr>
                    <w:t>21</w:t>
                  </w:r>
                  <w:r>
                    <w:rPr>
                      <w:rFonts w:hint="eastAsia"/>
                      <w:color w:val="000000" w:themeColor="text1"/>
                      <w:sz w:val="21"/>
                      <w:szCs w:val="21"/>
                      <w14:textFill>
                        <w14:solidFill>
                          <w14:schemeClr w14:val="tx1"/>
                        </w14:solidFill>
                      </w14:textFill>
                    </w:rPr>
                    <w:t>)；待</w:t>
                  </w:r>
                  <w:r>
                    <w:rPr>
                      <w:rFonts w:hint="eastAsia"/>
                      <w:color w:val="000000" w:themeColor="text1"/>
                      <w:sz w:val="21"/>
                      <w:szCs w:val="21"/>
                      <w:lang w:eastAsia="zh-CN"/>
                      <w14:textFill>
                        <w14:solidFill>
                          <w14:schemeClr w14:val="tx1"/>
                        </w14:solidFill>
                      </w14:textFill>
                    </w:rPr>
                    <w:t>夹堤村西污水处理站</w:t>
                  </w:r>
                  <w:r>
                    <w:rPr>
                      <w:rFonts w:hint="eastAsia"/>
                      <w:color w:val="000000" w:themeColor="text1"/>
                      <w:sz w:val="21"/>
                      <w:szCs w:val="21"/>
                      <w14:textFill>
                        <w14:solidFill>
                          <w14:schemeClr w14:val="tx1"/>
                        </w14:solidFill>
                      </w14:textFill>
                    </w:rPr>
                    <w:t>建好后执行</w:t>
                  </w:r>
                  <w:r>
                    <w:rPr>
                      <w:rFonts w:hint="eastAsia" w:ascii="Times New Roman" w:hAnsi="Times New Roman" w:eastAsia="宋体" w:cs="Times New Roman"/>
                      <w:color w:val="000000" w:themeColor="text1"/>
                      <w:sz w:val="21"/>
                      <w:szCs w:val="21"/>
                      <w14:textFill>
                        <w14:solidFill>
                          <w14:schemeClr w14:val="tx1"/>
                        </w14:solidFill>
                      </w14:textFill>
                    </w:rPr>
                    <w:t>《食品加工制造业水污染物排放标准 》（GB 46817—2025）表</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1间接排放</w:t>
                  </w:r>
                  <w:r>
                    <w:rPr>
                      <w:rFonts w:hint="eastAsia" w:ascii="Times New Roman" w:hAnsi="Times New Roman" w:eastAsia="宋体" w:cs="Times New Roman"/>
                      <w:color w:val="000000" w:themeColor="text1"/>
                      <w:sz w:val="21"/>
                      <w:szCs w:val="21"/>
                      <w14:textFill>
                        <w14:solidFill>
                          <w14:schemeClr w14:val="tx1"/>
                        </w14:solidFill>
                      </w14:textFill>
                    </w:rPr>
                    <w:t>标准</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bl>
          <w:p w14:paraId="00C38081">
            <w:pPr>
              <w:pStyle w:val="33"/>
              <w:spacing w:line="520" w:lineRule="exact"/>
              <w:ind w:firstLine="482"/>
              <w:rPr>
                <w:rFonts w:cs="Times New Roman"/>
                <w:b/>
                <w:bCs/>
                <w:color w:val="000000" w:themeColor="text1"/>
                <w14:textFill>
                  <w14:solidFill>
                    <w14:schemeClr w14:val="tx1"/>
                  </w14:solidFill>
                </w14:textFill>
              </w:rPr>
            </w:pPr>
            <w:r>
              <w:rPr>
                <w:rFonts w:cs="Times New Roman"/>
                <w:b/>
                <w:bCs/>
                <w:color w:val="000000" w:themeColor="text1"/>
                <w14:textFill>
                  <w14:solidFill>
                    <w14:schemeClr w14:val="tx1"/>
                  </w14:solidFill>
                </w14:textFill>
              </w:rPr>
              <w:t>二、废气</w:t>
            </w:r>
          </w:p>
          <w:p w14:paraId="4BAB2E2E">
            <w:pPr>
              <w:adjustRightInd w:val="0"/>
              <w:snapToGrid w:val="0"/>
              <w:spacing w:line="520" w:lineRule="exact"/>
              <w:ind w:firstLine="480" w:firstLineChars="200"/>
            </w:pPr>
            <w:r>
              <w:t>本项目运营期间主要产生的废气为油炸废气、锅炉天然气燃烧废气。</w:t>
            </w:r>
          </w:p>
          <w:p w14:paraId="76393052">
            <w:pPr>
              <w:adjustRightInd w:val="0"/>
              <w:snapToGrid w:val="0"/>
              <w:spacing w:line="520" w:lineRule="exact"/>
              <w:ind w:firstLine="482" w:firstLineChars="200"/>
              <w:rPr>
                <w:b/>
                <w:bCs/>
              </w:rPr>
            </w:pPr>
            <w:r>
              <w:rPr>
                <w:rFonts w:hint="eastAsia"/>
                <w:b/>
                <w:bCs/>
              </w:rPr>
              <w:t>1、</w:t>
            </w:r>
            <w:r>
              <w:rPr>
                <w:b/>
                <w:bCs/>
              </w:rPr>
              <w:t>废气源强分析</w:t>
            </w:r>
          </w:p>
          <w:p w14:paraId="0DF580E1">
            <w:pPr>
              <w:adjustRightInd w:val="0"/>
              <w:snapToGrid w:val="0"/>
              <w:spacing w:line="520" w:lineRule="exact"/>
              <w:ind w:firstLine="480" w:firstLineChars="200"/>
            </w:pPr>
            <w:r>
              <w:rPr>
                <w:rFonts w:hint="eastAsia"/>
              </w:rPr>
              <w:t>1）油炸废气源强分析</w:t>
            </w:r>
          </w:p>
          <w:p w14:paraId="53B7A99F">
            <w:pPr>
              <w:spacing w:line="520" w:lineRule="exact"/>
              <w:ind w:firstLine="480" w:firstLineChars="200"/>
              <w:rPr>
                <w:highlight w:val="none"/>
              </w:rPr>
            </w:pPr>
            <w:r>
              <w:t>本项目手撕素肉产品涉及油炸工序，油炸过程会产生油烟。类比河南九豫全食品工业园有限公司2024 年上半年排污许可证例行监测项目（报告编号：GRD-WT-048-2024）中监测数据核算得油炸废气产污系数为19.5kg/t-食用油，本项目油烟产生系数取20kg/t-食用油，油炸工序食用油使用量35t/a，则油烟产生量为0.7t/a。油炸锅上方安装集气罩，集气罩灶面投影面积合计为7.04m</w:t>
            </w:r>
            <w:r>
              <w:rPr>
                <w:vertAlign w:val="superscript"/>
              </w:rPr>
              <w:t>2</w:t>
            </w:r>
            <w:r>
              <w:t>， 根据《饮食业油烟排放标准（试行）》（GB18483-2001）表1，属于大型规模。废气经集气罩收集后引至静电式油烟净化器处理，尾气经车间顶部排气筒排放。集气罩油烟收集效率为95%，油炸工序年工作时间为2400h，则油烟废气有组织收集量为0.665t/a（0.2271kg/h），无组织逸散量为0.035t/a（0.0146kg/h</w:t>
            </w:r>
            <w:r>
              <w:rPr>
                <w:highlight w:val="none"/>
              </w:rPr>
              <w:t>）。静电式油烟净化效率为 9</w:t>
            </w:r>
            <w:r>
              <w:rPr>
                <w:rFonts w:hint="eastAsia"/>
                <w:highlight w:val="none"/>
                <w:lang w:val="en-US" w:eastAsia="zh-CN"/>
              </w:rPr>
              <w:t>8</w:t>
            </w:r>
            <w:r>
              <w:rPr>
                <w:highlight w:val="none"/>
              </w:rPr>
              <w:t>%，有组织排放量为</w:t>
            </w:r>
            <w:r>
              <w:rPr>
                <w:rFonts w:hint="eastAsia"/>
                <w:highlight w:val="none"/>
                <w:lang w:eastAsia="zh-CN"/>
              </w:rPr>
              <w:t>0.0133</w:t>
            </w:r>
            <w:r>
              <w:rPr>
                <w:highlight w:val="none"/>
              </w:rPr>
              <w:t>t/a（</w:t>
            </w:r>
            <w:r>
              <w:rPr>
                <w:rFonts w:hint="eastAsia"/>
                <w:highlight w:val="none"/>
                <w:lang w:eastAsia="zh-CN"/>
              </w:rPr>
              <w:t>0.0055</w:t>
            </w:r>
            <w:r>
              <w:rPr>
                <w:highlight w:val="none"/>
              </w:rPr>
              <w:t>kg/h）。</w:t>
            </w:r>
          </w:p>
          <w:p w14:paraId="0C5039B8">
            <w:pPr>
              <w:spacing w:line="520" w:lineRule="exact"/>
              <w:ind w:firstLine="480" w:firstLineChars="200"/>
            </w:pPr>
            <w:r>
              <w:rPr>
                <w:rFonts w:hint="eastAsia"/>
              </w:rPr>
              <w:t>2）</w:t>
            </w:r>
            <w:r>
              <w:t>蒸汽发生器废气源强分析</w:t>
            </w:r>
          </w:p>
          <w:p w14:paraId="162D3D57">
            <w:pPr>
              <w:pStyle w:val="11"/>
              <w:spacing w:line="520" w:lineRule="exact"/>
              <w:ind w:left="0" w:right="0" w:firstLine="480" w:firstLineChars="200"/>
            </w:pPr>
            <w:r>
              <w:rPr>
                <w:rFonts w:hint="eastAsia"/>
                <w:color w:val="000000" w:themeColor="text1"/>
                <w14:textFill>
                  <w14:solidFill>
                    <w14:schemeClr w14:val="tx1"/>
                  </w14:solidFill>
                </w14:textFill>
              </w:rPr>
              <w:t>现有1台2t/h甲醇锅炉已于2021年改为2台0.5t/h的蒸汽发生器（一用一备），根据河南朝东食品有限公司自行监测报告（报告日期：2025.06.30，报告编号：PY2506131）检测数据，</w:t>
            </w:r>
            <w:r>
              <w:rPr>
                <w:rFonts w:hint="eastAsia"/>
                <w:color w:val="000000" w:themeColor="text1"/>
                <w:lang w:val="en-US" w:eastAsia="zh-CN"/>
                <w14:textFill>
                  <w14:solidFill>
                    <w14:schemeClr w14:val="tx1"/>
                  </w14:solidFill>
                </w14:textFill>
              </w:rPr>
              <w:t>SO</w:t>
            </w:r>
            <w:r>
              <w:rPr>
                <w:rFonts w:hint="eastAsia"/>
                <w:color w:val="000000" w:themeColor="text1"/>
                <w:vertAlign w:val="subscript"/>
                <w:lang w:val="en-US" w:eastAsia="zh-CN"/>
                <w14:textFill>
                  <w14:solidFill>
                    <w14:schemeClr w14:val="tx1"/>
                  </w14:solidFill>
                </w14:textFill>
              </w:rPr>
              <w:t>2</w:t>
            </w:r>
            <w:r>
              <w:rPr>
                <w:rFonts w:hint="eastAsia"/>
                <w:color w:val="000000" w:themeColor="text1"/>
                <w:lang w:val="en-US" w:eastAsia="zh-CN"/>
                <w14:textFill>
                  <w14:solidFill>
                    <w14:schemeClr w14:val="tx1"/>
                  </w14:solidFill>
                </w14:textFill>
              </w:rPr>
              <w:t>未检出，</w:t>
            </w:r>
            <w:r>
              <w:rPr>
                <w:rFonts w:hint="eastAsia"/>
                <w:color w:val="000000" w:themeColor="text1"/>
                <w14:textFill>
                  <w14:solidFill>
                    <w14:schemeClr w14:val="tx1"/>
                  </w14:solidFill>
                </w14:textFill>
              </w:rPr>
              <w:t>颗粒物排放浓度1.4mg/m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-1.8mg/m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、氮氧化物排放浓度23/m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-27mg/m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，满足</w:t>
            </w:r>
            <w:r>
              <w:t>《锅炉大气污染物排放标准》（DB41/2089-2021）</w:t>
            </w:r>
            <w:r>
              <w:rPr>
                <w:rFonts w:hint="eastAsia"/>
              </w:rPr>
              <w:t>中</w:t>
            </w:r>
            <w:r>
              <w:t>颗粒物：5mg/m</w:t>
            </w:r>
            <w:r>
              <w:rPr>
                <w:vertAlign w:val="superscript"/>
              </w:rPr>
              <w:t>3</w:t>
            </w:r>
            <w:r>
              <w:rPr>
                <w:rFonts w:hint="eastAsia"/>
              </w:rPr>
              <w:t>、</w:t>
            </w:r>
            <w:r>
              <w:t>氮氧化物：30mg/m</w:t>
            </w:r>
            <w:r>
              <w:rPr>
                <w:vertAlign w:val="superscript"/>
              </w:rPr>
              <w:t>3</w:t>
            </w:r>
            <w:r>
              <w:rPr>
                <w:rFonts w:hint="eastAsia"/>
              </w:rPr>
              <w:t>限值要求</w:t>
            </w:r>
            <w:r>
              <w:t>。由于二氧化硫未</w:t>
            </w:r>
            <w:r>
              <w:rPr>
                <w:rFonts w:hint="eastAsia"/>
                <w:lang w:val="en-US" w:eastAsia="zh-CN"/>
              </w:rPr>
              <w:t>检出</w:t>
            </w:r>
            <w:r>
              <w:t>，</w:t>
            </w:r>
            <w:r>
              <w:rPr>
                <w:rFonts w:hint="eastAsia"/>
              </w:rPr>
              <w:t>根据</w:t>
            </w:r>
            <w:r>
              <w:rPr>
                <w:rFonts w:hint="eastAsia"/>
                <w:lang w:val="en-US" w:eastAsia="zh-CN"/>
              </w:rPr>
              <w:t>同类型企业</w:t>
            </w:r>
            <w:r>
              <w:rPr>
                <w:rFonts w:hint="eastAsia"/>
              </w:rPr>
              <w:t>实际生产过程中天然气锅炉在线监测及企业自行监测数据，SO</w:t>
            </w:r>
            <w:r>
              <w:rPr>
                <w:rFonts w:hint="eastAsia"/>
                <w:vertAlign w:val="subscript"/>
              </w:rPr>
              <w:t>2</w:t>
            </w:r>
            <w:r>
              <w:rPr>
                <w:rFonts w:hint="eastAsia"/>
              </w:rPr>
              <w:t>均达标排放。</w:t>
            </w:r>
            <w:r>
              <w:rPr>
                <w:rFonts w:hint="eastAsia"/>
                <w:lang w:val="en-US" w:eastAsia="zh-CN"/>
              </w:rPr>
              <w:t>类比现有工程同时参考固定污染源SO</w:t>
            </w:r>
            <w:r>
              <w:rPr>
                <w:rFonts w:hint="eastAsia"/>
                <w:vertAlign w:val="subscript"/>
                <w:lang w:val="en-US" w:eastAsia="zh-CN"/>
              </w:rPr>
              <w:t>2</w:t>
            </w:r>
            <w:r>
              <w:rPr>
                <w:rFonts w:hint="eastAsia"/>
                <w:lang w:val="en-US" w:eastAsia="zh-CN"/>
              </w:rPr>
              <w:t>检出限值，确定</w:t>
            </w:r>
            <w:r>
              <w:t>SO</w:t>
            </w:r>
            <w:r>
              <w:rPr>
                <w:vertAlign w:val="subscript"/>
              </w:rPr>
              <w:t>2</w:t>
            </w:r>
            <w:r>
              <w:rPr>
                <w:rFonts w:hint="eastAsia"/>
              </w:rPr>
              <w:t>排放浓度为</w:t>
            </w:r>
            <w:r>
              <w:rPr>
                <w:rFonts w:hint="eastAsia"/>
                <w:lang w:val="en-US" w:eastAsia="zh-CN"/>
              </w:rPr>
              <w:t>3</w:t>
            </w:r>
            <w:r>
              <w:rPr>
                <w:rFonts w:hint="eastAsia"/>
              </w:rPr>
              <w:t>mg/m</w:t>
            </w:r>
            <w:r>
              <w:rPr>
                <w:rFonts w:hint="eastAsia"/>
                <w:vertAlign w:val="superscript"/>
              </w:rPr>
              <w:t>3</w:t>
            </w:r>
            <w:r>
              <w:t>。</w:t>
            </w:r>
          </w:p>
          <w:p w14:paraId="720489AE">
            <w:pPr>
              <w:adjustRightInd w:val="0"/>
              <w:snapToGrid w:val="0"/>
              <w:spacing w:line="520" w:lineRule="exact"/>
              <w:ind w:firstLine="480" w:firstLineChars="200"/>
              <w:rPr>
                <w:rStyle w:val="21"/>
                <w:b w:val="0"/>
                <w:color w:val="0F1115"/>
                <w:shd w:val="clear" w:color="auto" w:fill="FFFFFF"/>
              </w:rPr>
            </w:pPr>
            <w:r>
              <w:rPr>
                <w:rStyle w:val="21"/>
                <w:rFonts w:hint="eastAsia"/>
                <w:b w:val="0"/>
                <w:color w:val="0F1115"/>
                <w:shd w:val="clear" w:color="auto" w:fill="FFFFFF"/>
              </w:rPr>
              <w:t>根据以上分析，考虑最不利情况，排放浓度取自行监测报告中最大值来核算，</w:t>
            </w:r>
            <w:r>
              <w:rPr>
                <w:rStyle w:val="21"/>
                <w:b w:val="0"/>
                <w:color w:val="0F1115"/>
                <w:shd w:val="clear" w:color="auto" w:fill="FFFFFF"/>
              </w:rPr>
              <w:t>本项目蒸汽发生器燃烧废气产排污情况如下表所示。</w:t>
            </w:r>
          </w:p>
          <w:p w14:paraId="5E6B5D64">
            <w:pPr>
              <w:pStyle w:val="11"/>
              <w:spacing w:line="520" w:lineRule="exact"/>
              <w:rPr>
                <w:rFonts w:ascii="宋体" w:hAnsi="宋体" w:cs="宋体"/>
              </w:rPr>
            </w:pPr>
            <w:r>
              <w:rPr>
                <w:rFonts w:hint="eastAsia" w:ascii="黑体" w:hAnsi="黑体" w:eastAsia="黑体" w:cs="黑体"/>
              </w:rPr>
              <w:t>表4-</w:t>
            </w:r>
            <w:r>
              <w:rPr>
                <w:rFonts w:hint="eastAsia" w:ascii="黑体" w:hAnsi="黑体" w:eastAsia="黑体" w:cs="黑体"/>
                <w:lang w:val="en-US" w:eastAsia="zh-CN"/>
              </w:rPr>
              <w:t>6</w:t>
            </w:r>
            <w:r>
              <w:rPr>
                <w:rFonts w:hint="eastAsia" w:ascii="黑体" w:hAnsi="黑体" w:eastAsia="黑体" w:cs="黑体"/>
              </w:rPr>
              <w:t xml:space="preserve">         本项目蒸汽发生器废气污染物排放情况一览表</w:t>
            </w:r>
          </w:p>
          <w:tbl>
            <w:tblPr>
              <w:tblStyle w:val="19"/>
              <w:tblW w:w="48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1151"/>
              <w:gridCol w:w="1372"/>
              <w:gridCol w:w="1660"/>
              <w:gridCol w:w="1569"/>
              <w:gridCol w:w="1570"/>
            </w:tblGrid>
            <w:tr w14:paraId="31E0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52" w:type="pct"/>
                  <w:vAlign w:val="center"/>
                </w:tcPr>
                <w:p w14:paraId="70FAC84E">
                  <w:pPr>
                    <w:pStyle w:val="33"/>
                    <w:spacing w:line="240" w:lineRule="exact"/>
                    <w:ind w:firstLine="0" w:firstLineChars="0"/>
                    <w:jc w:val="center"/>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污染源</w:t>
                  </w:r>
                </w:p>
              </w:tc>
              <w:tc>
                <w:tcPr>
                  <w:tcW w:w="683" w:type="pct"/>
                  <w:shd w:val="clear" w:color="auto" w:fill="auto"/>
                  <w:vAlign w:val="center"/>
                </w:tcPr>
                <w:p w14:paraId="6FF3E713">
                  <w:pPr>
                    <w:pStyle w:val="33"/>
                    <w:spacing w:line="240" w:lineRule="exact"/>
                    <w:ind w:firstLine="0" w:firstLineChars="0"/>
                    <w:jc w:val="center"/>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工作时间</w:t>
                  </w:r>
                </w:p>
              </w:tc>
              <w:tc>
                <w:tcPr>
                  <w:tcW w:w="814" w:type="pct"/>
                  <w:shd w:val="clear" w:color="auto" w:fill="auto"/>
                  <w:vAlign w:val="center"/>
                </w:tcPr>
                <w:p w14:paraId="7ECBBE27">
                  <w:pPr>
                    <w:pStyle w:val="33"/>
                    <w:spacing w:line="240" w:lineRule="exact"/>
                    <w:ind w:firstLine="0" w:firstLineChars="0"/>
                    <w:jc w:val="center"/>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污染因子</w:t>
                  </w:r>
                </w:p>
              </w:tc>
              <w:tc>
                <w:tcPr>
                  <w:tcW w:w="985" w:type="pct"/>
                  <w:shd w:val="clear" w:color="auto" w:fill="auto"/>
                  <w:vAlign w:val="center"/>
                </w:tcPr>
                <w:p w14:paraId="49632ED2">
                  <w:pPr>
                    <w:pStyle w:val="33"/>
                    <w:spacing w:line="240" w:lineRule="exact"/>
                    <w:ind w:firstLine="0" w:firstLineChars="0"/>
                    <w:jc w:val="center"/>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排放浓度</w:t>
                  </w:r>
                </w:p>
                <w:p w14:paraId="3CE194AC">
                  <w:pPr>
                    <w:pStyle w:val="33"/>
                    <w:spacing w:line="240" w:lineRule="exact"/>
                    <w:ind w:firstLine="0" w:firstLineChars="0"/>
                    <w:jc w:val="center"/>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（mg/m</w:t>
                  </w:r>
                  <w:r>
                    <w:rPr>
                      <w:rFonts w:hint="eastAsia" w:cs="Times New Roman"/>
                      <w:b/>
                      <w:bCs/>
                      <w:color w:val="000000" w:themeColor="text1"/>
                      <w:sz w:val="21"/>
                      <w:szCs w:val="21"/>
                      <w:vertAlign w:val="superscript"/>
                      <w14:textFill>
                        <w14:solidFill>
                          <w14:schemeClr w14:val="tx1"/>
                        </w14:solidFill>
                      </w14:textFill>
                    </w:rPr>
                    <w:t>3</w:t>
                  </w:r>
                  <w:r>
                    <w:rPr>
                      <w:rFonts w:hint="eastAsia" w:cs="Times New Roman"/>
                      <w:b/>
                      <w:bCs/>
                      <w:color w:val="000000" w:themeColor="text1"/>
                      <w:sz w:val="21"/>
                      <w:szCs w:val="21"/>
                      <w14:textFill>
                        <w14:solidFill>
                          <w14:schemeClr w14:val="tx1"/>
                        </w14:solidFill>
                      </w14:textFill>
                    </w:rPr>
                    <w:t>）</w:t>
                  </w:r>
                </w:p>
              </w:tc>
              <w:tc>
                <w:tcPr>
                  <w:tcW w:w="931" w:type="pct"/>
                  <w:shd w:val="clear" w:color="auto" w:fill="auto"/>
                  <w:vAlign w:val="center"/>
                </w:tcPr>
                <w:p w14:paraId="32E5AB3F">
                  <w:pPr>
                    <w:pStyle w:val="33"/>
                    <w:spacing w:line="240" w:lineRule="exact"/>
                    <w:ind w:firstLine="0" w:firstLineChars="0"/>
                    <w:jc w:val="center"/>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排放速率（</w:t>
                  </w:r>
                  <w:r>
                    <w:rPr>
                      <w:rFonts w:cs="Times New Roman"/>
                      <w:szCs w:val="24"/>
                    </w:rPr>
                    <w:t>kg/h</w:t>
                  </w:r>
                  <w:r>
                    <w:rPr>
                      <w:rFonts w:hint="eastAsia" w:cs="Times New Roman"/>
                      <w:szCs w:val="24"/>
                    </w:rPr>
                    <w:t>）</w:t>
                  </w:r>
                </w:p>
              </w:tc>
              <w:tc>
                <w:tcPr>
                  <w:tcW w:w="931" w:type="pct"/>
                  <w:shd w:val="clear" w:color="auto" w:fill="auto"/>
                  <w:vAlign w:val="center"/>
                </w:tcPr>
                <w:p w14:paraId="11D469CE">
                  <w:pPr>
                    <w:pStyle w:val="33"/>
                    <w:spacing w:line="240" w:lineRule="exact"/>
                    <w:ind w:firstLine="0" w:firstLineChars="0"/>
                    <w:jc w:val="center"/>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排放量（t/a）</w:t>
                  </w:r>
                </w:p>
              </w:tc>
            </w:tr>
            <w:tr w14:paraId="1C50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52" w:type="pct"/>
                  <w:vMerge w:val="restart"/>
                  <w:vAlign w:val="center"/>
                </w:tcPr>
                <w:p w14:paraId="031FC59B">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蒸汽发生器</w:t>
                  </w:r>
                </w:p>
              </w:tc>
              <w:tc>
                <w:tcPr>
                  <w:tcW w:w="683" w:type="pct"/>
                  <w:vMerge w:val="restart"/>
                  <w:shd w:val="clear" w:color="auto" w:fill="auto"/>
                  <w:vAlign w:val="center"/>
                </w:tcPr>
                <w:p w14:paraId="4EEA0106">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2400h/a</w:t>
                  </w:r>
                </w:p>
              </w:tc>
              <w:tc>
                <w:tcPr>
                  <w:tcW w:w="814" w:type="pct"/>
                  <w:shd w:val="clear" w:color="auto" w:fill="auto"/>
                  <w:vAlign w:val="center"/>
                </w:tcPr>
                <w:p w14:paraId="37FA252E">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颗粒物</w:t>
                  </w:r>
                </w:p>
              </w:tc>
              <w:tc>
                <w:tcPr>
                  <w:tcW w:w="985" w:type="pct"/>
                  <w:shd w:val="clear" w:color="auto" w:fill="auto"/>
                  <w:vAlign w:val="center"/>
                </w:tcPr>
                <w:p w14:paraId="0ED2C4B2">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1.8</w:t>
                  </w:r>
                </w:p>
              </w:tc>
              <w:tc>
                <w:tcPr>
                  <w:tcW w:w="931" w:type="pct"/>
                  <w:shd w:val="clear" w:color="auto" w:fill="auto"/>
                  <w:vAlign w:val="center"/>
                </w:tcPr>
                <w:p w14:paraId="16050CC7">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cs="Times New Roman"/>
                      <w:sz w:val="21"/>
                      <w:szCs w:val="21"/>
                    </w:rPr>
                    <w:t>1.95×10</w:t>
                  </w:r>
                  <w:r>
                    <w:rPr>
                      <w:rFonts w:cs="Times New Roman"/>
                      <w:sz w:val="21"/>
                      <w:szCs w:val="21"/>
                      <w:vertAlign w:val="superscript"/>
                    </w:rPr>
                    <w:t>-3</w:t>
                  </w:r>
                </w:p>
              </w:tc>
              <w:tc>
                <w:tcPr>
                  <w:tcW w:w="931" w:type="pct"/>
                  <w:shd w:val="clear" w:color="auto" w:fill="auto"/>
                  <w:vAlign w:val="center"/>
                </w:tcPr>
                <w:p w14:paraId="6133D86B">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0.0047</w:t>
                  </w:r>
                </w:p>
              </w:tc>
            </w:tr>
            <w:tr w14:paraId="4D0A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52" w:type="pct"/>
                  <w:vMerge w:val="continue"/>
                  <w:vAlign w:val="center"/>
                </w:tcPr>
                <w:p w14:paraId="3CF799B3">
                  <w:pPr>
                    <w:pStyle w:val="33"/>
                    <w:spacing w:line="240" w:lineRule="exact"/>
                    <w:ind w:firstLine="0" w:firstLineChars="0"/>
                    <w:jc w:val="center"/>
                    <w:rPr>
                      <w:rFonts w:cs="Times New Roman"/>
                      <w:color w:val="000000" w:themeColor="text1"/>
                      <w:sz w:val="21"/>
                      <w:szCs w:val="21"/>
                      <w14:textFill>
                        <w14:solidFill>
                          <w14:schemeClr w14:val="tx1"/>
                        </w14:solidFill>
                      </w14:textFill>
                    </w:rPr>
                  </w:pPr>
                </w:p>
              </w:tc>
              <w:tc>
                <w:tcPr>
                  <w:tcW w:w="683" w:type="pct"/>
                  <w:vMerge w:val="continue"/>
                  <w:shd w:val="clear" w:color="auto" w:fill="auto"/>
                  <w:vAlign w:val="center"/>
                </w:tcPr>
                <w:p w14:paraId="39781119">
                  <w:pPr>
                    <w:pStyle w:val="33"/>
                    <w:spacing w:line="240" w:lineRule="exact"/>
                    <w:ind w:firstLine="0" w:firstLineChars="0"/>
                    <w:jc w:val="center"/>
                    <w:rPr>
                      <w:rFonts w:cs="Times New Roman"/>
                      <w:color w:val="000000" w:themeColor="text1"/>
                      <w:sz w:val="21"/>
                      <w:szCs w:val="21"/>
                      <w14:textFill>
                        <w14:solidFill>
                          <w14:schemeClr w14:val="tx1"/>
                        </w14:solidFill>
                      </w14:textFill>
                    </w:rPr>
                  </w:pPr>
                </w:p>
              </w:tc>
              <w:tc>
                <w:tcPr>
                  <w:tcW w:w="814" w:type="pct"/>
                  <w:shd w:val="clear" w:color="auto" w:fill="auto"/>
                  <w:vAlign w:val="center"/>
                </w:tcPr>
                <w:p w14:paraId="6B6705BF">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SO</w:t>
                  </w:r>
                  <w:r>
                    <w:rPr>
                      <w:rFonts w:hint="eastAsia" w:cs="Times New Roman"/>
                      <w:color w:val="000000" w:themeColor="text1"/>
                      <w:sz w:val="21"/>
                      <w:szCs w:val="21"/>
                      <w:vertAlign w:val="subscript"/>
                      <w14:textFill>
                        <w14:solidFill>
                          <w14:schemeClr w14:val="tx1"/>
                        </w14:solidFill>
                      </w14:textFill>
                    </w:rPr>
                    <w:t>2</w:t>
                  </w:r>
                </w:p>
              </w:tc>
              <w:tc>
                <w:tcPr>
                  <w:tcW w:w="985" w:type="pct"/>
                  <w:shd w:val="clear" w:color="auto" w:fill="auto"/>
                  <w:vAlign w:val="center"/>
                </w:tcPr>
                <w:p w14:paraId="3F46E699">
                  <w:pPr>
                    <w:pStyle w:val="33"/>
                    <w:spacing w:line="240" w:lineRule="exact"/>
                    <w:ind w:firstLine="0" w:firstLineChars="0"/>
                    <w:jc w:val="center"/>
                    <w:rPr>
                      <w:rFonts w:hint="eastAsia"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w:t>
                  </w:r>
                </w:p>
              </w:tc>
              <w:tc>
                <w:tcPr>
                  <w:tcW w:w="931" w:type="pct"/>
                  <w:shd w:val="clear" w:color="auto" w:fill="auto"/>
                  <w:vAlign w:val="center"/>
                </w:tcPr>
                <w:p w14:paraId="74A292C2">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sz w:val="21"/>
                      <w:szCs w:val="21"/>
                      <w:lang w:val="en-US" w:eastAsia="zh-CN"/>
                    </w:rPr>
                    <w:t>0.33</w:t>
                  </w:r>
                  <w:r>
                    <w:rPr>
                      <w:rFonts w:cs="Times New Roman"/>
                      <w:sz w:val="21"/>
                      <w:szCs w:val="21"/>
                    </w:rPr>
                    <w:t>×10</w:t>
                  </w:r>
                  <w:r>
                    <w:rPr>
                      <w:rFonts w:cs="Times New Roman"/>
                      <w:sz w:val="21"/>
                      <w:szCs w:val="21"/>
                      <w:vertAlign w:val="superscript"/>
                    </w:rPr>
                    <w:t>-2</w:t>
                  </w:r>
                </w:p>
              </w:tc>
              <w:tc>
                <w:tcPr>
                  <w:tcW w:w="931" w:type="pct"/>
                  <w:shd w:val="clear" w:color="auto" w:fill="auto"/>
                  <w:vAlign w:val="center"/>
                </w:tcPr>
                <w:p w14:paraId="18608E81">
                  <w:pPr>
                    <w:pStyle w:val="33"/>
                    <w:spacing w:line="240" w:lineRule="exact"/>
                    <w:ind w:firstLine="0" w:firstLineChars="0"/>
                    <w:jc w:val="center"/>
                    <w:rPr>
                      <w:rFonts w:hint="eastAsia"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0.008</w:t>
                  </w:r>
                </w:p>
              </w:tc>
            </w:tr>
            <w:tr w14:paraId="0956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52" w:type="pct"/>
                  <w:vMerge w:val="continue"/>
                  <w:vAlign w:val="center"/>
                </w:tcPr>
                <w:p w14:paraId="401939CB">
                  <w:pPr>
                    <w:pStyle w:val="33"/>
                    <w:spacing w:line="240" w:lineRule="exact"/>
                    <w:ind w:firstLine="0" w:firstLineChars="0"/>
                    <w:jc w:val="center"/>
                    <w:rPr>
                      <w:rFonts w:cs="Times New Roman"/>
                      <w:color w:val="000000" w:themeColor="text1"/>
                      <w:sz w:val="21"/>
                      <w:szCs w:val="21"/>
                      <w14:textFill>
                        <w14:solidFill>
                          <w14:schemeClr w14:val="tx1"/>
                        </w14:solidFill>
                      </w14:textFill>
                    </w:rPr>
                  </w:pPr>
                </w:p>
              </w:tc>
              <w:tc>
                <w:tcPr>
                  <w:tcW w:w="683" w:type="pct"/>
                  <w:vMerge w:val="continue"/>
                  <w:shd w:val="clear" w:color="auto" w:fill="auto"/>
                  <w:vAlign w:val="center"/>
                </w:tcPr>
                <w:p w14:paraId="4A26817C">
                  <w:pPr>
                    <w:pStyle w:val="33"/>
                    <w:spacing w:line="240" w:lineRule="exact"/>
                    <w:ind w:firstLine="0" w:firstLineChars="0"/>
                    <w:jc w:val="center"/>
                    <w:rPr>
                      <w:rFonts w:cs="Times New Roman"/>
                      <w:color w:val="000000" w:themeColor="text1"/>
                      <w:sz w:val="21"/>
                      <w:szCs w:val="21"/>
                      <w14:textFill>
                        <w14:solidFill>
                          <w14:schemeClr w14:val="tx1"/>
                        </w14:solidFill>
                      </w14:textFill>
                    </w:rPr>
                  </w:pPr>
                </w:p>
              </w:tc>
              <w:tc>
                <w:tcPr>
                  <w:tcW w:w="814" w:type="pct"/>
                  <w:shd w:val="clear" w:color="auto" w:fill="auto"/>
                  <w:vAlign w:val="center"/>
                </w:tcPr>
                <w:p w14:paraId="4D848A82">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NOx</w:t>
                  </w:r>
                </w:p>
              </w:tc>
              <w:tc>
                <w:tcPr>
                  <w:tcW w:w="985" w:type="pct"/>
                  <w:shd w:val="clear" w:color="auto" w:fill="auto"/>
                  <w:vAlign w:val="center"/>
                </w:tcPr>
                <w:p w14:paraId="61FD7F10">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27</w:t>
                  </w:r>
                </w:p>
              </w:tc>
              <w:tc>
                <w:tcPr>
                  <w:tcW w:w="931" w:type="pct"/>
                  <w:shd w:val="clear" w:color="auto" w:fill="auto"/>
                  <w:vAlign w:val="center"/>
                </w:tcPr>
                <w:p w14:paraId="35A7E37C">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cs="Times New Roman"/>
                      <w:sz w:val="21"/>
                      <w:szCs w:val="21"/>
                    </w:rPr>
                    <w:t>3.00×10</w:t>
                  </w:r>
                  <w:r>
                    <w:rPr>
                      <w:rFonts w:cs="Times New Roman"/>
                      <w:sz w:val="21"/>
                      <w:szCs w:val="21"/>
                      <w:vertAlign w:val="superscript"/>
                    </w:rPr>
                    <w:t>-2</w:t>
                  </w:r>
                </w:p>
              </w:tc>
              <w:tc>
                <w:tcPr>
                  <w:tcW w:w="931" w:type="pct"/>
                  <w:shd w:val="clear" w:color="auto" w:fill="auto"/>
                  <w:vAlign w:val="center"/>
                </w:tcPr>
                <w:p w14:paraId="6A0624B2">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0.072</w:t>
                  </w:r>
                </w:p>
              </w:tc>
            </w:tr>
          </w:tbl>
          <w:p w14:paraId="20399F58">
            <w:pPr>
              <w:adjustRightInd w:val="0"/>
              <w:snapToGrid w:val="0"/>
              <w:spacing w:line="520" w:lineRule="exact"/>
              <w:ind w:firstLine="482" w:firstLineChars="200"/>
              <w:rPr>
                <w:b/>
                <w:bCs/>
              </w:rPr>
            </w:pPr>
            <w:r>
              <w:rPr>
                <w:rFonts w:hint="eastAsia"/>
                <w:b/>
                <w:bCs/>
              </w:rPr>
              <w:t>2、有组织废气达标分析</w:t>
            </w:r>
          </w:p>
          <w:p w14:paraId="5D9F8DC9">
            <w:pPr>
              <w:adjustRightInd w:val="0"/>
              <w:snapToGrid w:val="0"/>
              <w:spacing w:line="520" w:lineRule="exact"/>
              <w:ind w:firstLine="480" w:firstLineChars="200"/>
              <w:rPr>
                <w:bCs/>
              </w:rPr>
            </w:pPr>
            <w:r>
              <w:rPr>
                <w:rFonts w:hint="eastAsia"/>
                <w:bCs/>
              </w:rPr>
              <w:t>本项目有组织废气主要为油炸废气、蒸汽发生器燃烧废气。</w:t>
            </w:r>
          </w:p>
          <w:p w14:paraId="05E1E21E">
            <w:pPr>
              <w:adjustRightInd w:val="0"/>
              <w:snapToGrid w:val="0"/>
              <w:spacing w:line="520" w:lineRule="exact"/>
              <w:ind w:firstLine="480" w:firstLineChars="200"/>
              <w:rPr>
                <w:bCs/>
              </w:rPr>
            </w:pPr>
            <w:r>
              <w:rPr>
                <w:rFonts w:hint="eastAsia"/>
                <w:color w:val="000000" w:themeColor="text1"/>
                <w14:textFill>
                  <w14:solidFill>
                    <w14:schemeClr w14:val="tx1"/>
                  </w14:solidFill>
                </w14:textFill>
              </w:rPr>
              <w:t>蒸汽发生器燃烧废气经自带低氮燃烧设施治理后，经不低于8m的排气筒DA001有组织排放。</w:t>
            </w:r>
          </w:p>
          <w:p w14:paraId="0AB53EC2">
            <w:pPr>
              <w:adjustRightInd w:val="0"/>
              <w:snapToGrid w:val="0"/>
              <w:spacing w:line="520" w:lineRule="exact"/>
              <w:ind w:firstLine="480" w:firstLineChars="200"/>
              <w:rPr>
                <w:bCs/>
              </w:rPr>
            </w:pPr>
            <w:r>
              <w:rPr>
                <w:rFonts w:hint="eastAsia"/>
                <w:bCs/>
              </w:rPr>
              <w:t>油炸锅上方设置集气罩，集气罩长×宽：3.2m×2.2m、距离机械顶30cm（即h取0.</w:t>
            </w:r>
            <w:r>
              <w:rPr>
                <w:rFonts w:hint="eastAsia"/>
                <w:bCs/>
                <w:lang w:val="en-US" w:eastAsia="zh-CN"/>
              </w:rPr>
              <w:t>3</w:t>
            </w:r>
            <w:r>
              <w:rPr>
                <w:rFonts w:hint="eastAsia"/>
                <w:bCs/>
              </w:rPr>
              <w:t>m），风速取0.3m/s，根据风量F=集气罩周长×罩到机械顶距离×风速×3600×1.4，计算可得集气罩所需风量为4899m</w:t>
            </w:r>
            <w:r>
              <w:rPr>
                <w:rFonts w:hint="eastAsia"/>
                <w:bCs/>
                <w:vertAlign w:val="superscript"/>
              </w:rPr>
              <w:t>3</w:t>
            </w:r>
            <w:r>
              <w:rPr>
                <w:rFonts w:hint="eastAsia"/>
                <w:bCs/>
              </w:rPr>
              <w:t>/h，取5000m</w:t>
            </w:r>
            <w:r>
              <w:rPr>
                <w:rFonts w:hint="eastAsia"/>
                <w:bCs/>
                <w:vertAlign w:val="superscript"/>
              </w:rPr>
              <w:t>3</w:t>
            </w:r>
            <w:r>
              <w:rPr>
                <w:rFonts w:hint="eastAsia"/>
                <w:bCs/>
              </w:rPr>
              <w:t>/h进行计算。油烟经集气罩收集后，由一套</w:t>
            </w:r>
            <w:r>
              <w:t>油烟净化器</w:t>
            </w:r>
            <w:r>
              <w:rPr>
                <w:rFonts w:hint="eastAsia"/>
              </w:rPr>
              <w:t>治理</w:t>
            </w:r>
            <w:r>
              <w:rPr>
                <w:rFonts w:hint="eastAsia"/>
                <w:bCs/>
              </w:rPr>
              <w:t>，经排气筒DA002排放。</w:t>
            </w:r>
          </w:p>
          <w:p w14:paraId="0D536C06">
            <w:pPr>
              <w:adjustRightInd w:val="0"/>
              <w:snapToGrid w:val="0"/>
              <w:spacing w:line="520" w:lineRule="exact"/>
              <w:ind w:firstLine="480" w:firstLineChars="200"/>
              <w:rPr>
                <w:bCs/>
              </w:rPr>
            </w:pPr>
            <w:r>
              <w:rPr>
                <w:rFonts w:hint="eastAsia"/>
                <w:bCs/>
              </w:rPr>
              <w:t>本项目有组织废气产排情况如下表所示。</w:t>
            </w:r>
          </w:p>
          <w:p w14:paraId="1F8B4E7A">
            <w:pPr>
              <w:spacing w:line="520" w:lineRule="exact"/>
              <w:ind w:firstLine="480" w:firstLineChars="200"/>
              <w:jc w:val="left"/>
            </w:pPr>
            <w:r>
              <w:rPr>
                <w:rFonts w:eastAsia="黑体"/>
                <w:szCs w:val="21"/>
              </w:rPr>
              <w:t>表</w:t>
            </w:r>
            <w:r>
              <w:rPr>
                <w:rFonts w:hint="eastAsia" w:eastAsia="黑体"/>
                <w:szCs w:val="21"/>
              </w:rPr>
              <w:t>4-</w:t>
            </w:r>
            <w:r>
              <w:rPr>
                <w:rFonts w:hint="eastAsia" w:eastAsia="黑体"/>
                <w:szCs w:val="21"/>
                <w:lang w:val="en-US" w:eastAsia="zh-CN"/>
              </w:rPr>
              <w:t>7</w:t>
            </w:r>
            <w:r>
              <w:rPr>
                <w:rFonts w:eastAsia="黑体"/>
                <w:szCs w:val="21"/>
              </w:rPr>
              <w:t xml:space="preserve">          </w:t>
            </w:r>
            <w:r>
              <w:rPr>
                <w:rFonts w:hint="eastAsia" w:eastAsia="黑体"/>
                <w:szCs w:val="21"/>
              </w:rPr>
              <w:t xml:space="preserve">      </w:t>
            </w:r>
            <w:r>
              <w:rPr>
                <w:rFonts w:eastAsia="黑体"/>
                <w:szCs w:val="21"/>
              </w:rPr>
              <w:t>本项目有组织废气产排情况一览表</w:t>
            </w:r>
          </w:p>
          <w:tbl>
            <w:tblPr>
              <w:tblStyle w:val="1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
              <w:gridCol w:w="1492"/>
              <w:gridCol w:w="1147"/>
              <w:gridCol w:w="2676"/>
              <w:gridCol w:w="1194"/>
              <w:gridCol w:w="1294"/>
            </w:tblGrid>
            <w:tr w14:paraId="3AAC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542" w:type="pct"/>
                  <w:vAlign w:val="center"/>
                </w:tcPr>
                <w:p w14:paraId="15D59AD8">
                  <w:pPr>
                    <w:pStyle w:val="33"/>
                    <w:spacing w:line="280" w:lineRule="exact"/>
                    <w:ind w:firstLine="0" w:firstLineChars="0"/>
                    <w:jc w:val="center"/>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污染源</w:t>
                  </w:r>
                </w:p>
              </w:tc>
              <w:tc>
                <w:tcPr>
                  <w:tcW w:w="852" w:type="pct"/>
                  <w:vAlign w:val="center"/>
                </w:tcPr>
                <w:p w14:paraId="626DC782">
                  <w:pPr>
                    <w:pStyle w:val="33"/>
                    <w:spacing w:line="280" w:lineRule="exact"/>
                    <w:ind w:firstLine="0" w:firstLineChars="0"/>
                    <w:jc w:val="center"/>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污染因子</w:t>
                  </w:r>
                </w:p>
              </w:tc>
              <w:tc>
                <w:tcPr>
                  <w:tcW w:w="655" w:type="pct"/>
                  <w:vAlign w:val="center"/>
                </w:tcPr>
                <w:p w14:paraId="44558A98">
                  <w:pPr>
                    <w:pStyle w:val="33"/>
                    <w:spacing w:line="280" w:lineRule="exact"/>
                    <w:ind w:firstLine="0" w:firstLineChars="0"/>
                    <w:jc w:val="center"/>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产生浓度</w:t>
                  </w:r>
                </w:p>
                <w:p w14:paraId="6DE1419E">
                  <w:pPr>
                    <w:pStyle w:val="33"/>
                    <w:spacing w:line="280" w:lineRule="exact"/>
                    <w:ind w:firstLine="0" w:firstLineChars="0"/>
                    <w:jc w:val="center"/>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（mg/m</w:t>
                  </w:r>
                  <w:r>
                    <w:rPr>
                      <w:rFonts w:hint="eastAsia" w:cs="Times New Roman"/>
                      <w:b/>
                      <w:bCs/>
                      <w:color w:val="000000" w:themeColor="text1"/>
                      <w:sz w:val="21"/>
                      <w:szCs w:val="21"/>
                      <w:vertAlign w:val="superscript"/>
                      <w14:textFill>
                        <w14:solidFill>
                          <w14:schemeClr w14:val="tx1"/>
                        </w14:solidFill>
                      </w14:textFill>
                    </w:rPr>
                    <w:t>3</w:t>
                  </w:r>
                  <w:r>
                    <w:rPr>
                      <w:rFonts w:hint="eastAsia" w:cs="Times New Roman"/>
                      <w:b/>
                      <w:bCs/>
                      <w:color w:val="000000" w:themeColor="text1"/>
                      <w:sz w:val="21"/>
                      <w:szCs w:val="21"/>
                      <w14:textFill>
                        <w14:solidFill>
                          <w14:schemeClr w14:val="tx1"/>
                        </w14:solidFill>
                      </w14:textFill>
                    </w:rPr>
                    <w:t>）</w:t>
                  </w:r>
                </w:p>
              </w:tc>
              <w:tc>
                <w:tcPr>
                  <w:tcW w:w="1528" w:type="pct"/>
                  <w:vAlign w:val="center"/>
                </w:tcPr>
                <w:p w14:paraId="315EB906">
                  <w:pPr>
                    <w:pStyle w:val="33"/>
                    <w:spacing w:line="280" w:lineRule="exact"/>
                    <w:ind w:firstLine="0" w:firstLineChars="0"/>
                    <w:jc w:val="center"/>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治理措施</w:t>
                  </w:r>
                </w:p>
              </w:tc>
              <w:tc>
                <w:tcPr>
                  <w:tcW w:w="682" w:type="pct"/>
                  <w:vAlign w:val="center"/>
                </w:tcPr>
                <w:p w14:paraId="704F89E3">
                  <w:pPr>
                    <w:pStyle w:val="33"/>
                    <w:spacing w:line="280" w:lineRule="exact"/>
                    <w:ind w:firstLine="0" w:firstLineChars="0"/>
                    <w:jc w:val="center"/>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治理效率</w:t>
                  </w:r>
                </w:p>
              </w:tc>
              <w:tc>
                <w:tcPr>
                  <w:tcW w:w="738" w:type="pct"/>
                  <w:vAlign w:val="center"/>
                </w:tcPr>
                <w:p w14:paraId="08AB3AC5">
                  <w:pPr>
                    <w:pStyle w:val="33"/>
                    <w:spacing w:line="280" w:lineRule="exact"/>
                    <w:ind w:firstLine="0" w:firstLineChars="0"/>
                    <w:jc w:val="center"/>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排放浓度</w:t>
                  </w:r>
                </w:p>
                <w:p w14:paraId="289673C4">
                  <w:pPr>
                    <w:pStyle w:val="33"/>
                    <w:spacing w:line="280" w:lineRule="exact"/>
                    <w:ind w:firstLine="0" w:firstLineChars="0"/>
                    <w:jc w:val="center"/>
                    <w:rPr>
                      <w:rFonts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14:textFill>
                        <w14:solidFill>
                          <w14:schemeClr w14:val="tx1"/>
                        </w14:solidFill>
                      </w14:textFill>
                    </w:rPr>
                    <w:t>（mg/m</w:t>
                  </w:r>
                  <w:r>
                    <w:rPr>
                      <w:rFonts w:hint="eastAsia" w:cs="Times New Roman"/>
                      <w:b/>
                      <w:bCs/>
                      <w:color w:val="000000" w:themeColor="text1"/>
                      <w:sz w:val="21"/>
                      <w:szCs w:val="21"/>
                      <w:vertAlign w:val="superscript"/>
                      <w14:textFill>
                        <w14:solidFill>
                          <w14:schemeClr w14:val="tx1"/>
                        </w14:solidFill>
                      </w14:textFill>
                    </w:rPr>
                    <w:t>3</w:t>
                  </w:r>
                  <w:r>
                    <w:rPr>
                      <w:rFonts w:hint="eastAsia" w:cs="Times New Roman"/>
                      <w:b/>
                      <w:bCs/>
                      <w:color w:val="000000" w:themeColor="text1"/>
                      <w:sz w:val="21"/>
                      <w:szCs w:val="21"/>
                      <w14:textFill>
                        <w14:solidFill>
                          <w14:schemeClr w14:val="tx1"/>
                        </w14:solidFill>
                      </w14:textFill>
                    </w:rPr>
                    <w:t>）</w:t>
                  </w:r>
                </w:p>
              </w:tc>
            </w:tr>
            <w:tr w14:paraId="2136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42" w:type="pct"/>
                  <w:vMerge w:val="restart"/>
                  <w:vAlign w:val="center"/>
                </w:tcPr>
                <w:p w14:paraId="335E3529">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蒸汽发生器</w:t>
                  </w:r>
                </w:p>
              </w:tc>
              <w:tc>
                <w:tcPr>
                  <w:tcW w:w="852" w:type="pct"/>
                  <w:vAlign w:val="center"/>
                </w:tcPr>
                <w:p w14:paraId="75E07361">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颗粒物</w:t>
                  </w:r>
                </w:p>
              </w:tc>
              <w:tc>
                <w:tcPr>
                  <w:tcW w:w="655" w:type="pct"/>
                  <w:vAlign w:val="center"/>
                </w:tcPr>
                <w:p w14:paraId="2CFE1187">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1.8</w:t>
                  </w:r>
                </w:p>
              </w:tc>
              <w:tc>
                <w:tcPr>
                  <w:tcW w:w="1528" w:type="pct"/>
                  <w:vAlign w:val="center"/>
                </w:tcPr>
                <w:p w14:paraId="38B12894">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682" w:type="pct"/>
                  <w:vAlign w:val="center"/>
                </w:tcPr>
                <w:p w14:paraId="0CF0B947">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38" w:type="pct"/>
                  <w:vAlign w:val="center"/>
                </w:tcPr>
                <w:p w14:paraId="59AF5D5E">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1.8</w:t>
                  </w:r>
                </w:p>
              </w:tc>
            </w:tr>
            <w:tr w14:paraId="5D79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542" w:type="pct"/>
                  <w:vMerge w:val="continue"/>
                  <w:vAlign w:val="center"/>
                </w:tcPr>
                <w:p w14:paraId="2B35FC06">
                  <w:pPr>
                    <w:pStyle w:val="33"/>
                    <w:spacing w:line="280" w:lineRule="exact"/>
                    <w:ind w:firstLine="0" w:firstLineChars="0"/>
                    <w:jc w:val="center"/>
                    <w:rPr>
                      <w:rFonts w:cs="Times New Roman"/>
                      <w:color w:val="000000" w:themeColor="text1"/>
                      <w:sz w:val="21"/>
                      <w:szCs w:val="21"/>
                      <w14:textFill>
                        <w14:solidFill>
                          <w14:schemeClr w14:val="tx1"/>
                        </w14:solidFill>
                      </w14:textFill>
                    </w:rPr>
                  </w:pPr>
                </w:p>
              </w:tc>
              <w:tc>
                <w:tcPr>
                  <w:tcW w:w="852" w:type="pct"/>
                  <w:vAlign w:val="center"/>
                </w:tcPr>
                <w:p w14:paraId="00F69216">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SO</w:t>
                  </w:r>
                  <w:r>
                    <w:rPr>
                      <w:rFonts w:hint="eastAsia" w:cs="Times New Roman"/>
                      <w:color w:val="000000" w:themeColor="text1"/>
                      <w:sz w:val="21"/>
                      <w:szCs w:val="21"/>
                      <w:vertAlign w:val="subscript"/>
                      <w14:textFill>
                        <w14:solidFill>
                          <w14:schemeClr w14:val="tx1"/>
                        </w14:solidFill>
                      </w14:textFill>
                    </w:rPr>
                    <w:t>2</w:t>
                  </w:r>
                </w:p>
              </w:tc>
              <w:tc>
                <w:tcPr>
                  <w:tcW w:w="655" w:type="pct"/>
                  <w:vAlign w:val="center"/>
                </w:tcPr>
                <w:p w14:paraId="41D9937C">
                  <w:pPr>
                    <w:pStyle w:val="33"/>
                    <w:spacing w:line="280" w:lineRule="exact"/>
                    <w:ind w:firstLine="0" w:firstLineChars="0"/>
                    <w:jc w:val="center"/>
                    <w:rPr>
                      <w:rFonts w:hint="eastAsia"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w:t>
                  </w:r>
                </w:p>
              </w:tc>
              <w:tc>
                <w:tcPr>
                  <w:tcW w:w="1528" w:type="pct"/>
                  <w:vAlign w:val="center"/>
                </w:tcPr>
                <w:p w14:paraId="6F6102DA">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682" w:type="pct"/>
                  <w:vAlign w:val="center"/>
                </w:tcPr>
                <w:p w14:paraId="4E89E02C">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w:t>
                  </w:r>
                </w:p>
              </w:tc>
              <w:tc>
                <w:tcPr>
                  <w:tcW w:w="738" w:type="pct"/>
                  <w:vAlign w:val="center"/>
                </w:tcPr>
                <w:p w14:paraId="3DADB9F1">
                  <w:pPr>
                    <w:pStyle w:val="33"/>
                    <w:spacing w:line="280" w:lineRule="exact"/>
                    <w:ind w:firstLine="0" w:firstLineChars="0"/>
                    <w:jc w:val="center"/>
                    <w:rPr>
                      <w:rFonts w:hint="eastAsia"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w:t>
                  </w:r>
                </w:p>
              </w:tc>
            </w:tr>
            <w:tr w14:paraId="1B340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pct"/>
                  <w:vMerge w:val="continue"/>
                  <w:vAlign w:val="center"/>
                </w:tcPr>
                <w:p w14:paraId="3212F359">
                  <w:pPr>
                    <w:pStyle w:val="33"/>
                    <w:spacing w:line="280" w:lineRule="exact"/>
                    <w:ind w:firstLine="0" w:firstLineChars="0"/>
                    <w:jc w:val="center"/>
                    <w:rPr>
                      <w:rFonts w:cs="Times New Roman"/>
                      <w:color w:val="000000" w:themeColor="text1"/>
                      <w:sz w:val="21"/>
                      <w:szCs w:val="21"/>
                      <w14:textFill>
                        <w14:solidFill>
                          <w14:schemeClr w14:val="tx1"/>
                        </w14:solidFill>
                      </w14:textFill>
                    </w:rPr>
                  </w:pPr>
                </w:p>
              </w:tc>
              <w:tc>
                <w:tcPr>
                  <w:tcW w:w="852" w:type="pct"/>
                  <w:vAlign w:val="center"/>
                </w:tcPr>
                <w:p w14:paraId="013BFDDE">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NOx</w:t>
                  </w:r>
                </w:p>
              </w:tc>
              <w:tc>
                <w:tcPr>
                  <w:tcW w:w="655" w:type="pct"/>
                  <w:vAlign w:val="center"/>
                </w:tcPr>
                <w:p w14:paraId="7C579FCA">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90</w:t>
                  </w:r>
                </w:p>
              </w:tc>
              <w:tc>
                <w:tcPr>
                  <w:tcW w:w="1528" w:type="pct"/>
                  <w:vAlign w:val="center"/>
                </w:tcPr>
                <w:p w14:paraId="1BEA643C">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蒸汽发生器自带低氮燃烧</w:t>
                  </w:r>
                </w:p>
              </w:tc>
              <w:tc>
                <w:tcPr>
                  <w:tcW w:w="682" w:type="pct"/>
                  <w:vAlign w:val="center"/>
                </w:tcPr>
                <w:p w14:paraId="716D6972">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70%</w:t>
                  </w:r>
                </w:p>
              </w:tc>
              <w:tc>
                <w:tcPr>
                  <w:tcW w:w="738" w:type="pct"/>
                  <w:vAlign w:val="center"/>
                </w:tcPr>
                <w:p w14:paraId="4B67B10E">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27</w:t>
                  </w:r>
                </w:p>
              </w:tc>
            </w:tr>
            <w:tr w14:paraId="201F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542" w:type="pct"/>
                  <w:vAlign w:val="center"/>
                </w:tcPr>
                <w:p w14:paraId="1ABCDD40">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油炸工序</w:t>
                  </w:r>
                </w:p>
              </w:tc>
              <w:tc>
                <w:tcPr>
                  <w:tcW w:w="852" w:type="pct"/>
                  <w:vAlign w:val="center"/>
                </w:tcPr>
                <w:p w14:paraId="5DEFEC0C">
                  <w:pPr>
                    <w:pStyle w:val="33"/>
                    <w:spacing w:line="28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油烟</w:t>
                  </w:r>
                </w:p>
              </w:tc>
              <w:tc>
                <w:tcPr>
                  <w:tcW w:w="655" w:type="pct"/>
                  <w:vAlign w:val="center"/>
                </w:tcPr>
                <w:p w14:paraId="16032B25">
                  <w:pPr>
                    <w:pStyle w:val="33"/>
                    <w:spacing w:line="280" w:lineRule="exact"/>
                    <w:ind w:firstLine="0" w:firstLineChars="0"/>
                    <w:jc w:val="center"/>
                    <w:rPr>
                      <w:rFonts w:hint="default"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45.4</w:t>
                  </w:r>
                </w:p>
              </w:tc>
              <w:tc>
                <w:tcPr>
                  <w:tcW w:w="1528" w:type="pct"/>
                  <w:vAlign w:val="center"/>
                </w:tcPr>
                <w:p w14:paraId="7F2F0DC6">
                  <w:pPr>
                    <w:pStyle w:val="33"/>
                    <w:spacing w:line="280" w:lineRule="exact"/>
                    <w:ind w:firstLine="0" w:firstLineChars="0"/>
                    <w:jc w:val="center"/>
                    <w:rPr>
                      <w:rFonts w:cs="Times New Roman"/>
                      <w:color w:val="000000" w:themeColor="text1"/>
                      <w:sz w:val="21"/>
                      <w:szCs w:val="21"/>
                      <w:highlight w:val="none"/>
                      <w14:textFill>
                        <w14:solidFill>
                          <w14:schemeClr w14:val="tx1"/>
                        </w14:solidFill>
                      </w14:textFill>
                    </w:rPr>
                  </w:pPr>
                  <w:r>
                    <w:rPr>
                      <w:rFonts w:cs="Times New Roman"/>
                      <w:color w:val="000000" w:themeColor="text1"/>
                      <w:sz w:val="21"/>
                      <w:szCs w:val="21"/>
                      <w:highlight w:val="none"/>
                      <w14:textFill>
                        <w14:solidFill>
                          <w14:schemeClr w14:val="tx1"/>
                        </w14:solidFill>
                      </w14:textFill>
                    </w:rPr>
                    <w:t>油烟净化器</w:t>
                  </w:r>
                </w:p>
              </w:tc>
              <w:tc>
                <w:tcPr>
                  <w:tcW w:w="682" w:type="pct"/>
                  <w:vAlign w:val="center"/>
                </w:tcPr>
                <w:p w14:paraId="68AC8A87">
                  <w:pPr>
                    <w:pStyle w:val="33"/>
                    <w:spacing w:line="280" w:lineRule="exact"/>
                    <w:ind w:firstLine="0" w:firstLineChars="0"/>
                    <w:jc w:val="center"/>
                    <w:rPr>
                      <w:rFonts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98</w:t>
                  </w:r>
                  <w:r>
                    <w:rPr>
                      <w:rFonts w:hint="eastAsia" w:cs="Times New Roman"/>
                      <w:color w:val="000000" w:themeColor="text1"/>
                      <w:sz w:val="21"/>
                      <w:szCs w:val="21"/>
                      <w:highlight w:val="none"/>
                      <w14:textFill>
                        <w14:solidFill>
                          <w14:schemeClr w14:val="tx1"/>
                        </w14:solidFill>
                      </w14:textFill>
                    </w:rPr>
                    <w:t>%</w:t>
                  </w:r>
                </w:p>
              </w:tc>
              <w:tc>
                <w:tcPr>
                  <w:tcW w:w="738" w:type="pct"/>
                  <w:vAlign w:val="center"/>
                </w:tcPr>
                <w:p w14:paraId="76961FB1">
                  <w:pPr>
                    <w:pStyle w:val="33"/>
                    <w:spacing w:line="280" w:lineRule="exact"/>
                    <w:ind w:firstLine="0" w:firstLineChars="0"/>
                    <w:jc w:val="center"/>
                    <w:rPr>
                      <w:rFonts w:hint="default"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0.9</w:t>
                  </w:r>
                </w:p>
              </w:tc>
            </w:tr>
          </w:tbl>
          <w:p w14:paraId="1BAF15BA">
            <w:pPr>
              <w:adjustRightInd w:val="0"/>
              <w:snapToGrid w:val="0"/>
              <w:spacing w:line="520" w:lineRule="exact"/>
              <w:ind w:firstLine="480" w:firstLineChars="200"/>
            </w:pPr>
            <w:r>
              <w:rPr>
                <w:rFonts w:hint="eastAsia"/>
              </w:rPr>
              <w:t>由上表可知，本项目蒸汽发生器燃烧废气经自带低氮燃烧设施治理后，颗粒物排放浓度为1.8mg/m</w:t>
            </w:r>
            <w:r>
              <w:rPr>
                <w:rFonts w:hint="eastAsia"/>
                <w:vertAlign w:val="superscript"/>
              </w:rPr>
              <w:t>3</w:t>
            </w:r>
            <w:r>
              <w:rPr>
                <w:rFonts w:hint="eastAsia"/>
              </w:rPr>
              <w:t>、SO</w:t>
            </w:r>
            <w:r>
              <w:rPr>
                <w:rFonts w:hint="eastAsia"/>
                <w:vertAlign w:val="subscript"/>
              </w:rPr>
              <w:t>2</w:t>
            </w:r>
            <w:r>
              <w:rPr>
                <w:rFonts w:hint="eastAsia"/>
              </w:rPr>
              <w:t>排放浓度为</w:t>
            </w:r>
            <w:r>
              <w:rPr>
                <w:rFonts w:hint="eastAsia"/>
                <w:lang w:val="en-US" w:eastAsia="zh-CN"/>
              </w:rPr>
              <w:t>3</w:t>
            </w:r>
            <w:r>
              <w:rPr>
                <w:rFonts w:hint="eastAsia"/>
              </w:rPr>
              <w:t>mg/m</w:t>
            </w:r>
            <w:r>
              <w:rPr>
                <w:rFonts w:hint="eastAsia"/>
                <w:vertAlign w:val="superscript"/>
              </w:rPr>
              <w:t>3</w:t>
            </w:r>
            <w:r>
              <w:rPr>
                <w:rFonts w:hint="eastAsia"/>
              </w:rPr>
              <w:t>、NOx排放浓度为 27mg/m</w:t>
            </w:r>
            <w:r>
              <w:rPr>
                <w:rFonts w:hint="eastAsia"/>
                <w:vertAlign w:val="superscript"/>
              </w:rPr>
              <w:t>3</w:t>
            </w:r>
            <w:r>
              <w:rPr>
                <w:rFonts w:hint="eastAsia"/>
              </w:rPr>
              <w:t>，满足《锅炉大气污染物排放标准》 （DB41/2089—2021）颗粒物5mg/m</w:t>
            </w:r>
            <w:r>
              <w:rPr>
                <w:rFonts w:hint="eastAsia"/>
                <w:vertAlign w:val="superscript"/>
              </w:rPr>
              <w:t>3</w:t>
            </w:r>
            <w:r>
              <w:rPr>
                <w:rFonts w:hint="eastAsia"/>
              </w:rPr>
              <w:t>、二氧化硫10mg/m</w:t>
            </w:r>
            <w:r>
              <w:rPr>
                <w:rFonts w:hint="eastAsia"/>
                <w:vertAlign w:val="superscript"/>
              </w:rPr>
              <w:t>3</w:t>
            </w:r>
            <w:r>
              <w:rPr>
                <w:rFonts w:hint="eastAsia"/>
              </w:rPr>
              <w:t>、氮氧化物30mg/m</w:t>
            </w:r>
            <w:r>
              <w:rPr>
                <w:rFonts w:hint="eastAsia"/>
                <w:vertAlign w:val="superscript"/>
              </w:rPr>
              <w:t>3</w:t>
            </w:r>
            <w:r>
              <w:rPr>
                <w:rFonts w:hint="eastAsia"/>
              </w:rPr>
              <w:t>限值要求；同时满足《河南省重污染天气通用行业应急减排措施制定技术指南》中涉锅炉/炉窑排放差异化管控要求中A级绩效分级-锅炉限值排放要求。</w:t>
            </w:r>
          </w:p>
          <w:p w14:paraId="2BDFCA41">
            <w:pPr>
              <w:adjustRightInd w:val="0"/>
              <w:snapToGrid w:val="0"/>
              <w:spacing w:line="520" w:lineRule="exact"/>
              <w:ind w:firstLine="480" w:firstLineChars="200"/>
            </w:pPr>
            <w:r>
              <w:rPr>
                <w:rFonts w:hint="eastAsia"/>
              </w:rPr>
              <w:t>油烟经</w:t>
            </w:r>
            <w:r>
              <w:t>油烟净化器</w:t>
            </w:r>
            <w:r>
              <w:rPr>
                <w:rFonts w:hint="eastAsia"/>
              </w:rPr>
              <w:t>治理后排</w:t>
            </w:r>
            <w:r>
              <w:rPr>
                <w:rFonts w:hint="eastAsia"/>
                <w:highlight w:val="none"/>
              </w:rPr>
              <w:t>放浓度为</w:t>
            </w:r>
            <w:r>
              <w:rPr>
                <w:rFonts w:hint="eastAsia"/>
                <w:highlight w:val="none"/>
                <w:lang w:val="en-US" w:eastAsia="zh-CN"/>
              </w:rPr>
              <w:t>0.9</w:t>
            </w:r>
            <w:r>
              <w:rPr>
                <w:rFonts w:hint="eastAsia"/>
                <w:highlight w:val="none"/>
              </w:rPr>
              <w:t>mg/m</w:t>
            </w:r>
            <w:r>
              <w:rPr>
                <w:rFonts w:hint="eastAsia"/>
                <w:highlight w:val="none"/>
                <w:vertAlign w:val="superscript"/>
              </w:rPr>
              <w:t>3</w:t>
            </w:r>
            <w:r>
              <w:rPr>
                <w:rFonts w:hint="eastAsia"/>
                <w:highlight w:val="none"/>
              </w:rPr>
              <w:t>，去除效率为</w:t>
            </w:r>
            <w:r>
              <w:rPr>
                <w:rFonts w:hint="eastAsia"/>
                <w:highlight w:val="none"/>
                <w:lang w:val="en-US" w:eastAsia="zh-CN"/>
              </w:rPr>
              <w:t>98</w:t>
            </w:r>
            <w:r>
              <w:rPr>
                <w:rFonts w:hint="eastAsia"/>
                <w:highlight w:val="none"/>
              </w:rPr>
              <w:t>%，满</w:t>
            </w:r>
            <w:r>
              <w:rPr>
                <w:rFonts w:hint="eastAsia"/>
              </w:rPr>
              <w:t>足《饮食业油烟排放标准（试行）》（GB18483-2001）表2-大型，油烟最高允许排放浓度2.0mg/m</w:t>
            </w:r>
            <w:r>
              <w:rPr>
                <w:rFonts w:hint="eastAsia"/>
                <w:vertAlign w:val="superscript"/>
              </w:rPr>
              <w:t>3</w:t>
            </w:r>
            <w:r>
              <w:rPr>
                <w:rFonts w:hint="eastAsia"/>
              </w:rPr>
              <w:t>，油烟去除效率≥85%限值要求。</w:t>
            </w:r>
          </w:p>
          <w:p w14:paraId="264E3A0B">
            <w:pPr>
              <w:spacing w:line="520" w:lineRule="exact"/>
              <w:ind w:firstLine="482" w:firstLineChars="200"/>
              <w:rPr>
                <w:b/>
                <w:bCs/>
              </w:rPr>
            </w:pPr>
            <w:r>
              <w:rPr>
                <w:rFonts w:hint="eastAsia"/>
                <w:b/>
                <w:bCs/>
              </w:rPr>
              <w:t>3</w:t>
            </w:r>
            <w:r>
              <w:rPr>
                <w:b/>
                <w:bCs/>
              </w:rPr>
              <w:t>、大气污染防治措施可行性分析</w:t>
            </w:r>
          </w:p>
          <w:p w14:paraId="08BD63B1">
            <w:pPr>
              <w:spacing w:line="520" w:lineRule="exact"/>
              <w:ind w:firstLine="480" w:firstLineChars="200"/>
            </w:pPr>
            <w:r>
              <w:t>根据《排污许可证申请与核发技术规范 食品制造工业-方便食品、食品及饲料添加剂制造工业》（HJ1030.3-2019）中推荐技术，本项目油炸工序废气经油烟净化器治理为可行技术。</w:t>
            </w:r>
          </w:p>
          <w:p w14:paraId="71BA9E42">
            <w:pPr>
              <w:spacing w:line="520" w:lineRule="exact"/>
              <w:ind w:firstLine="480" w:firstLineChars="200"/>
            </w:pPr>
            <w:r>
              <w:t>根据《排污许可证申请与核发技术规范 锅炉》（HJ953-2018）中推荐技术，本项目蒸汽发生器废气中氮氧化物去除采用的低氮燃烧为可行技术。</w:t>
            </w:r>
          </w:p>
          <w:p w14:paraId="5B904340">
            <w:pPr>
              <w:adjustRightInd w:val="0"/>
              <w:snapToGrid w:val="0"/>
              <w:spacing w:line="520" w:lineRule="exact"/>
              <w:ind w:left="480" w:leftChars="200"/>
              <w:rPr>
                <w:b/>
                <w:bCs/>
              </w:rPr>
            </w:pPr>
            <w:r>
              <w:rPr>
                <w:rFonts w:hint="eastAsia"/>
                <w:b/>
                <w:bCs/>
              </w:rPr>
              <w:t>4</w:t>
            </w:r>
            <w:r>
              <w:rPr>
                <w:b/>
                <w:bCs/>
              </w:rPr>
              <w:t>、无组织废气分析</w:t>
            </w:r>
          </w:p>
          <w:p w14:paraId="7AFD7CA2">
            <w:pPr>
              <w:spacing w:line="520" w:lineRule="exact"/>
              <w:ind w:firstLine="480" w:firstLineChars="200"/>
              <w:rPr>
                <w:rFonts w:hint="default" w:eastAsia="宋体"/>
                <w:sz w:val="24"/>
                <w:szCs w:val="24"/>
                <w:lang w:val="en-US" w:eastAsia="zh-CN"/>
              </w:rPr>
            </w:pPr>
            <w:r>
              <w:t>本项目无组织废气主要为油炸废气、厂区污水处理站</w:t>
            </w:r>
            <w:r>
              <w:rPr>
                <w:rFonts w:hint="eastAsia"/>
                <w:lang w:val="en-US" w:eastAsia="zh-CN"/>
              </w:rPr>
              <w:t>厌氧好氧生化单元产生的恶臭气体，识别为臭气浓度、氨、硫化氢</w:t>
            </w:r>
            <w:r>
              <w:t>。油炸工序车间密闭，油炸锅上方设置集气罩油烟经油烟净化器治理。厂区污水处理站产生恶臭区域加盖，投放除臭剂，</w:t>
            </w:r>
            <w:r>
              <w:rPr>
                <w:rFonts w:hint="eastAsia"/>
                <w:lang w:val="en-US" w:eastAsia="zh-CN"/>
              </w:rPr>
              <w:t>臭气浓度</w:t>
            </w:r>
            <w:r>
              <w:t>类比河南朝东食品有限公司</w:t>
            </w:r>
            <w:r>
              <w:rPr>
                <w:rFonts w:hint="eastAsia"/>
              </w:rPr>
              <w:t>现有工程</w:t>
            </w:r>
            <w:r>
              <w:t>自行监测报告（报告日期：2025.09.04，报告编号:PY2508042）厂界臭气浓度（无量纲）＜10，低于《恶臭污染物排放标准》(GB14554-93)臭气浓度20（无量纲）限值要求。</w:t>
            </w:r>
            <w:r>
              <w:rPr>
                <w:rFonts w:hint="eastAsia"/>
                <w:lang w:val="en-US" w:eastAsia="zh-CN"/>
              </w:rPr>
              <w:t>氨、硫化氢厂界浓度类比河南三味真厨实业发展有限公司验收检测数据，河南三味真厨实业发展有限公司为方便食品制造，废水水质与处理工艺与本项目类似，具有可比性。根据河南三味真厨实业发展有限公司验收检测报告（报告编号：ZHGT202306286）氨</w:t>
            </w:r>
            <w:r>
              <w:rPr>
                <w:rFonts w:hint="default" w:ascii="Times New Roman" w:hAnsi="Times New Roman" w:cs="Times New Roman"/>
                <w:lang w:val="en-US" w:eastAsia="zh-CN"/>
              </w:rPr>
              <w:t>厂界浓度0.02mg/m</w:t>
            </w:r>
            <w:r>
              <w:rPr>
                <w:rFonts w:hint="default" w:ascii="Times New Roman" w:hAnsi="Times New Roman" w:cs="Times New Roman"/>
                <w:vertAlign w:val="superscript"/>
                <w:lang w:val="en-US" w:eastAsia="zh-CN"/>
              </w:rPr>
              <w:t>3</w:t>
            </w:r>
            <w:r>
              <w:rPr>
                <w:rFonts w:hint="default" w:ascii="Times New Roman" w:hAnsi="Times New Roman" w:cs="Times New Roman"/>
                <w:lang w:val="en-US" w:eastAsia="zh-CN"/>
              </w:rPr>
              <w:t>~0.10mg/m</w:t>
            </w:r>
            <w:r>
              <w:rPr>
                <w:rFonts w:hint="default" w:ascii="Times New Roman" w:hAnsi="Times New Roman" w:cs="Times New Roman"/>
                <w:vertAlign w:val="superscript"/>
                <w:lang w:val="en-US" w:eastAsia="zh-CN"/>
              </w:rPr>
              <w:t>3</w:t>
            </w:r>
            <w:r>
              <w:rPr>
                <w:rFonts w:hint="default" w:ascii="Times New Roman" w:hAnsi="Times New Roman" w:cs="Times New Roman"/>
                <w:lang w:val="en-US" w:eastAsia="zh-CN"/>
              </w:rPr>
              <w:t>，硫化氢厂界浓度0.002mg/m</w:t>
            </w:r>
            <w:r>
              <w:rPr>
                <w:rFonts w:hint="default" w:ascii="Times New Roman" w:hAnsi="Times New Roman" w:cs="Times New Roman"/>
                <w:vertAlign w:val="superscript"/>
                <w:lang w:val="en-US" w:eastAsia="zh-CN"/>
              </w:rPr>
              <w:t>3</w:t>
            </w:r>
            <w:r>
              <w:rPr>
                <w:rFonts w:hint="default" w:ascii="Times New Roman" w:hAnsi="Times New Roman" w:cs="Times New Roman"/>
                <w:lang w:val="en-US" w:eastAsia="zh-CN"/>
              </w:rPr>
              <w:t>~0.010mg/m</w:t>
            </w:r>
            <w:r>
              <w:rPr>
                <w:rFonts w:hint="default" w:ascii="Times New Roman" w:hAnsi="Times New Roman" w:cs="Times New Roman"/>
                <w:vertAlign w:val="superscript"/>
                <w:lang w:val="en-US" w:eastAsia="zh-CN"/>
              </w:rPr>
              <w:t>3</w:t>
            </w:r>
            <w:r>
              <w:rPr>
                <w:rFonts w:hint="default" w:ascii="Times New Roman" w:hAnsi="Times New Roman" w:cs="Times New Roman"/>
                <w:lang w:val="en-US" w:eastAsia="zh-CN"/>
              </w:rPr>
              <w:t>，满足</w:t>
            </w:r>
            <w:r>
              <w:rPr>
                <w:rFonts w:hint="default" w:ascii="Times New Roman" w:hAnsi="Times New Roman" w:cs="Times New Roman"/>
              </w:rPr>
              <w:t>《恶臭污染物</w:t>
            </w:r>
            <w:r>
              <w:t>排放标准》</w:t>
            </w:r>
            <w:r>
              <w:rPr>
                <w:rFonts w:hint="eastAsia"/>
                <w:lang w:eastAsia="zh-CN"/>
              </w:rPr>
              <w:t>（</w:t>
            </w:r>
            <w:r>
              <w:rPr>
                <w:sz w:val="24"/>
                <w:szCs w:val="24"/>
              </w:rPr>
              <w:t>GB14554-93</w:t>
            </w:r>
            <w:r>
              <w:rPr>
                <w:rFonts w:hint="eastAsia"/>
                <w:sz w:val="24"/>
                <w:szCs w:val="24"/>
                <w:lang w:eastAsia="zh-CN"/>
              </w:rPr>
              <w:t>）</w:t>
            </w:r>
            <w:r>
              <w:rPr>
                <w:rFonts w:hint="eastAsia"/>
                <w:color w:val="000000" w:themeColor="text1"/>
                <w:sz w:val="24"/>
                <w:szCs w:val="24"/>
                <w:lang w:val="en-US" w:eastAsia="zh-CN"/>
                <w14:textFill>
                  <w14:solidFill>
                    <w14:schemeClr w14:val="tx1"/>
                  </w14:solidFill>
                </w14:textFill>
              </w:rPr>
              <w:t>氨</w:t>
            </w:r>
            <w:r>
              <w:rPr>
                <w:rFonts w:hint="eastAsia"/>
                <w:sz w:val="24"/>
                <w:szCs w:val="24"/>
                <w:lang w:val="en-US" w:eastAsia="zh-CN"/>
              </w:rPr>
              <w:t>厂界浓度限值</w:t>
            </w:r>
            <w:r>
              <w:rPr>
                <w:rFonts w:hint="eastAsia"/>
                <w:color w:val="000000" w:themeColor="text1"/>
                <w:sz w:val="24"/>
                <w:szCs w:val="24"/>
                <w:lang w:val="en-US" w:eastAsia="zh-CN"/>
                <w14:textFill>
                  <w14:solidFill>
                    <w14:schemeClr w14:val="tx1"/>
                  </w14:solidFill>
                </w14:textFill>
              </w:rPr>
              <w:t>1.5</w:t>
            </w:r>
            <w:r>
              <w:rPr>
                <w:color w:val="000000" w:themeColor="text1"/>
                <w:sz w:val="24"/>
                <w:szCs w:val="24"/>
                <w14:textFill>
                  <w14:solidFill>
                    <w14:schemeClr w14:val="tx1"/>
                  </w14:solidFill>
                </w14:textFill>
              </w:rPr>
              <w:t>mg/m</w:t>
            </w:r>
            <w:r>
              <w:rPr>
                <w:color w:val="000000" w:themeColor="text1"/>
                <w:sz w:val="24"/>
                <w:szCs w:val="24"/>
                <w:vertAlign w:val="superscript"/>
                <w14:textFill>
                  <w14:solidFill>
                    <w14:schemeClr w14:val="tx1"/>
                  </w14:solidFill>
                </w14:textFill>
              </w:rPr>
              <w:t>3</w:t>
            </w:r>
            <w:r>
              <w:rPr>
                <w:rFonts w:hint="eastAsia"/>
                <w:color w:val="000000" w:themeColor="text1"/>
                <w:sz w:val="24"/>
                <w:szCs w:val="24"/>
                <w:vertAlign w:val="baseline"/>
                <w:lang w:eastAsia="zh-CN"/>
                <w14:textFill>
                  <w14:solidFill>
                    <w14:schemeClr w14:val="tx1"/>
                  </w14:solidFill>
                </w14:textFill>
              </w:rPr>
              <w:t>、</w:t>
            </w:r>
            <w:r>
              <w:rPr>
                <w:rFonts w:hint="eastAsia"/>
                <w:color w:val="000000" w:themeColor="text1"/>
                <w:sz w:val="24"/>
                <w:szCs w:val="24"/>
                <w:vertAlign w:val="baseline"/>
                <w:lang w:val="en-US" w:eastAsia="zh-CN"/>
                <w14:textFill>
                  <w14:solidFill>
                    <w14:schemeClr w14:val="tx1"/>
                  </w14:solidFill>
                </w14:textFill>
              </w:rPr>
              <w:t>硫化氢厂界浓度限值</w:t>
            </w:r>
            <w:r>
              <w:rPr>
                <w:rFonts w:hint="eastAsia"/>
                <w:color w:val="000000" w:themeColor="text1"/>
                <w:sz w:val="24"/>
                <w:szCs w:val="24"/>
                <w:lang w:val="en-US" w:eastAsia="zh-CN"/>
                <w14:textFill>
                  <w14:solidFill>
                    <w14:schemeClr w14:val="tx1"/>
                  </w14:solidFill>
                </w14:textFill>
              </w:rPr>
              <w:t>0.06</w:t>
            </w:r>
            <w:r>
              <w:rPr>
                <w:color w:val="000000" w:themeColor="text1"/>
                <w:sz w:val="24"/>
                <w:szCs w:val="24"/>
                <w14:textFill>
                  <w14:solidFill>
                    <w14:schemeClr w14:val="tx1"/>
                  </w14:solidFill>
                </w14:textFill>
              </w:rPr>
              <w:t>mg/m</w:t>
            </w:r>
            <w:r>
              <w:rPr>
                <w:color w:val="000000" w:themeColor="text1"/>
                <w:sz w:val="24"/>
                <w:szCs w:val="24"/>
                <w:vertAlign w:val="superscript"/>
                <w14:textFill>
                  <w14:solidFill>
                    <w14:schemeClr w14:val="tx1"/>
                  </w14:solidFill>
                </w14:textFill>
              </w:rPr>
              <w:t>3</w:t>
            </w:r>
            <w:r>
              <w:rPr>
                <w:rFonts w:hint="eastAsia"/>
                <w:color w:val="000000" w:themeColor="text1"/>
                <w:sz w:val="24"/>
                <w:szCs w:val="24"/>
                <w:vertAlign w:val="baseline"/>
                <w:lang w:val="en-US" w:eastAsia="zh-CN"/>
                <w14:textFill>
                  <w14:solidFill>
                    <w14:schemeClr w14:val="tx1"/>
                  </w14:solidFill>
                </w14:textFill>
              </w:rPr>
              <w:t>要求，本项目采用以上无组织控制措施后，污染物达标排放，对大气环境影响较小。</w:t>
            </w:r>
          </w:p>
          <w:p w14:paraId="0402C8B2">
            <w:pPr>
              <w:spacing w:line="520" w:lineRule="exact"/>
              <w:ind w:firstLine="482" w:firstLineChars="200"/>
              <w:jc w:val="left"/>
              <w:rPr>
                <w:b/>
                <w:bCs/>
              </w:rPr>
            </w:pPr>
            <w:r>
              <w:rPr>
                <w:rFonts w:hint="eastAsia"/>
                <w:b/>
                <w:bCs/>
              </w:rPr>
              <w:t>5</w:t>
            </w:r>
            <w:r>
              <w:rPr>
                <w:b/>
                <w:bCs/>
              </w:rPr>
              <w:t>、非正常排放分析</w:t>
            </w:r>
          </w:p>
          <w:p w14:paraId="2E59690C">
            <w:pPr>
              <w:spacing w:line="520" w:lineRule="exact"/>
              <w:ind w:firstLine="480" w:firstLineChars="200"/>
              <w:rPr>
                <w:rFonts w:eastAsia="黑体"/>
                <w:szCs w:val="21"/>
              </w:rPr>
            </w:pPr>
            <w:r>
              <w:rPr>
                <w:rFonts w:ascii="Times New Roman" w:hAnsi="Times New Roman" w:eastAsia="宋体" w:cs="Times New Roman"/>
              </w:rPr>
              <w:t>项目产生的非正常排放主要是污染物排放控制措施达不到应有效率时引起的污染物超标排放，评价以最不利原则按照污染物治理措施处理效率为0时的情况进行分析。本项目非正常工况为：油烟净化器故障、蒸汽发生器自带低氮燃烧设施故障，造成的油烟、氮氧化物超标排放。事故排放时间最大为15分钟。非正常排放具体参数见下表。</w:t>
            </w:r>
          </w:p>
          <w:p w14:paraId="48BDD5FE">
            <w:pPr>
              <w:adjustRightInd w:val="0"/>
              <w:snapToGrid w:val="0"/>
              <w:spacing w:line="520" w:lineRule="exact"/>
              <w:ind w:firstLine="480" w:firstLineChars="200"/>
              <w:rPr>
                <w:rFonts w:eastAsia="黑体"/>
                <w:szCs w:val="21"/>
              </w:rPr>
            </w:pPr>
            <w:r>
              <w:rPr>
                <w:rFonts w:eastAsia="黑体"/>
                <w:szCs w:val="21"/>
              </w:rPr>
              <w:t>表</w:t>
            </w:r>
            <w:r>
              <w:rPr>
                <w:rFonts w:hint="eastAsia" w:eastAsia="黑体"/>
                <w:szCs w:val="21"/>
              </w:rPr>
              <w:t>4-</w:t>
            </w:r>
            <w:r>
              <w:rPr>
                <w:rFonts w:hint="eastAsia" w:eastAsia="黑体"/>
                <w:szCs w:val="21"/>
                <w:lang w:val="en-US" w:eastAsia="zh-CN"/>
              </w:rPr>
              <w:t>8</w:t>
            </w:r>
            <w:r>
              <w:rPr>
                <w:rFonts w:eastAsia="黑体"/>
                <w:szCs w:val="21"/>
              </w:rPr>
              <w:t xml:space="preserve">                  </w:t>
            </w:r>
            <w:r>
              <w:rPr>
                <w:rFonts w:hint="eastAsia" w:eastAsia="黑体"/>
                <w:szCs w:val="21"/>
              </w:rPr>
              <w:t xml:space="preserve"> </w:t>
            </w:r>
            <w:r>
              <w:rPr>
                <w:rFonts w:eastAsia="黑体"/>
                <w:szCs w:val="21"/>
              </w:rPr>
              <w:t>非正常排放参数表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351"/>
              <w:gridCol w:w="772"/>
              <w:gridCol w:w="1154"/>
              <w:gridCol w:w="923"/>
              <w:gridCol w:w="924"/>
              <w:gridCol w:w="1127"/>
              <w:gridCol w:w="1255"/>
            </w:tblGrid>
            <w:tr w14:paraId="181B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6" w:type="dxa"/>
                  <w:vAlign w:val="center"/>
                </w:tcPr>
                <w:p w14:paraId="0C4CF57D">
                  <w:pPr>
                    <w:spacing w:line="280" w:lineRule="exact"/>
                    <w:jc w:val="center"/>
                    <w:rPr>
                      <w:b/>
                      <w:sz w:val="21"/>
                      <w:szCs w:val="21"/>
                    </w:rPr>
                  </w:pPr>
                  <w:r>
                    <w:rPr>
                      <w:b/>
                      <w:sz w:val="21"/>
                      <w:szCs w:val="21"/>
                    </w:rPr>
                    <w:t>非正常排放源</w:t>
                  </w:r>
                </w:p>
              </w:tc>
              <w:tc>
                <w:tcPr>
                  <w:tcW w:w="1357" w:type="dxa"/>
                  <w:vAlign w:val="center"/>
                </w:tcPr>
                <w:p w14:paraId="7CE11D15">
                  <w:pPr>
                    <w:spacing w:line="280" w:lineRule="exact"/>
                    <w:jc w:val="center"/>
                    <w:rPr>
                      <w:b/>
                      <w:sz w:val="21"/>
                      <w:szCs w:val="21"/>
                    </w:rPr>
                  </w:pPr>
                  <w:r>
                    <w:rPr>
                      <w:b/>
                      <w:sz w:val="21"/>
                      <w:szCs w:val="21"/>
                    </w:rPr>
                    <w:t>非正常排放原因</w:t>
                  </w:r>
                </w:p>
              </w:tc>
              <w:tc>
                <w:tcPr>
                  <w:tcW w:w="775" w:type="dxa"/>
                  <w:vAlign w:val="center"/>
                </w:tcPr>
                <w:p w14:paraId="5E13250E">
                  <w:pPr>
                    <w:spacing w:line="280" w:lineRule="exact"/>
                    <w:jc w:val="center"/>
                    <w:rPr>
                      <w:b/>
                      <w:sz w:val="21"/>
                      <w:szCs w:val="21"/>
                    </w:rPr>
                  </w:pPr>
                  <w:r>
                    <w:rPr>
                      <w:b/>
                      <w:sz w:val="21"/>
                      <w:szCs w:val="21"/>
                    </w:rPr>
                    <w:t>污染物</w:t>
                  </w:r>
                </w:p>
              </w:tc>
              <w:tc>
                <w:tcPr>
                  <w:tcW w:w="1159" w:type="dxa"/>
                  <w:vAlign w:val="center"/>
                </w:tcPr>
                <w:p w14:paraId="44726ABD">
                  <w:pPr>
                    <w:spacing w:line="280" w:lineRule="exact"/>
                    <w:jc w:val="center"/>
                    <w:rPr>
                      <w:b/>
                      <w:sz w:val="21"/>
                      <w:szCs w:val="21"/>
                    </w:rPr>
                  </w:pPr>
                  <w:r>
                    <w:rPr>
                      <w:b/>
                      <w:sz w:val="21"/>
                      <w:szCs w:val="21"/>
                    </w:rPr>
                    <w:t>非正常排放速率/（kg/h）</w:t>
                  </w:r>
                </w:p>
              </w:tc>
              <w:tc>
                <w:tcPr>
                  <w:tcW w:w="927" w:type="dxa"/>
                  <w:vAlign w:val="center"/>
                </w:tcPr>
                <w:p w14:paraId="449874D5">
                  <w:pPr>
                    <w:spacing w:line="280" w:lineRule="exact"/>
                    <w:jc w:val="center"/>
                    <w:rPr>
                      <w:b/>
                      <w:sz w:val="21"/>
                      <w:szCs w:val="21"/>
                    </w:rPr>
                  </w:pPr>
                  <w:r>
                    <w:rPr>
                      <w:b/>
                      <w:sz w:val="21"/>
                      <w:szCs w:val="21"/>
                    </w:rPr>
                    <w:t>单次持续时间/h</w:t>
                  </w:r>
                </w:p>
              </w:tc>
              <w:tc>
                <w:tcPr>
                  <w:tcW w:w="928" w:type="dxa"/>
                  <w:vAlign w:val="center"/>
                </w:tcPr>
                <w:p w14:paraId="1AA74A25">
                  <w:pPr>
                    <w:spacing w:line="280" w:lineRule="exact"/>
                    <w:jc w:val="center"/>
                    <w:rPr>
                      <w:b/>
                      <w:sz w:val="21"/>
                      <w:szCs w:val="21"/>
                    </w:rPr>
                  </w:pPr>
                  <w:r>
                    <w:rPr>
                      <w:b/>
                      <w:sz w:val="21"/>
                      <w:szCs w:val="21"/>
                    </w:rPr>
                    <w:t>年发生频次/次</w:t>
                  </w:r>
                </w:p>
              </w:tc>
              <w:tc>
                <w:tcPr>
                  <w:tcW w:w="1131" w:type="dxa"/>
                  <w:vAlign w:val="center"/>
                </w:tcPr>
                <w:p w14:paraId="26F7FBF5">
                  <w:pPr>
                    <w:spacing w:line="280" w:lineRule="exact"/>
                    <w:jc w:val="center"/>
                    <w:rPr>
                      <w:b/>
                      <w:sz w:val="21"/>
                      <w:szCs w:val="21"/>
                    </w:rPr>
                  </w:pPr>
                  <w:r>
                    <w:rPr>
                      <w:b/>
                      <w:sz w:val="21"/>
                      <w:szCs w:val="21"/>
                    </w:rPr>
                    <w:t>非正常排放量/（kg/a）</w:t>
                  </w:r>
                </w:p>
              </w:tc>
              <w:tc>
                <w:tcPr>
                  <w:tcW w:w="1259" w:type="dxa"/>
                  <w:vAlign w:val="center"/>
                </w:tcPr>
                <w:p w14:paraId="2A6AD935">
                  <w:pPr>
                    <w:spacing w:line="280" w:lineRule="exact"/>
                    <w:jc w:val="center"/>
                    <w:rPr>
                      <w:b/>
                      <w:sz w:val="21"/>
                      <w:szCs w:val="21"/>
                    </w:rPr>
                  </w:pPr>
                  <w:r>
                    <w:rPr>
                      <w:b/>
                      <w:sz w:val="21"/>
                      <w:szCs w:val="21"/>
                    </w:rPr>
                    <w:t>采取措施</w:t>
                  </w:r>
                </w:p>
              </w:tc>
            </w:tr>
            <w:tr w14:paraId="5507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6" w:type="dxa"/>
                  <w:vAlign w:val="center"/>
                </w:tcPr>
                <w:p w14:paraId="1786886D">
                  <w:pPr>
                    <w:autoSpaceDE w:val="0"/>
                    <w:autoSpaceDN w:val="0"/>
                    <w:adjustRightInd w:val="0"/>
                    <w:snapToGrid w:val="0"/>
                    <w:spacing w:line="280" w:lineRule="exact"/>
                    <w:jc w:val="center"/>
                    <w:rPr>
                      <w:sz w:val="21"/>
                      <w:szCs w:val="21"/>
                    </w:rPr>
                  </w:pPr>
                  <w:r>
                    <w:rPr>
                      <w:rFonts w:hint="eastAsia"/>
                      <w:sz w:val="21"/>
                      <w:szCs w:val="21"/>
                    </w:rPr>
                    <w:t>蒸汽发生器燃烧废气（</w:t>
                  </w:r>
                  <w:r>
                    <w:rPr>
                      <w:sz w:val="21"/>
                      <w:szCs w:val="21"/>
                    </w:rPr>
                    <w:t>DA</w:t>
                  </w:r>
                  <w:r>
                    <w:rPr>
                      <w:rFonts w:hint="eastAsia"/>
                      <w:sz w:val="21"/>
                      <w:szCs w:val="21"/>
                    </w:rPr>
                    <w:t>001）</w:t>
                  </w:r>
                </w:p>
              </w:tc>
              <w:tc>
                <w:tcPr>
                  <w:tcW w:w="1357" w:type="dxa"/>
                  <w:vAlign w:val="center"/>
                </w:tcPr>
                <w:p w14:paraId="5D6FD1F4">
                  <w:pPr>
                    <w:spacing w:line="280" w:lineRule="exact"/>
                    <w:jc w:val="center"/>
                    <w:rPr>
                      <w:sz w:val="21"/>
                      <w:szCs w:val="21"/>
                    </w:rPr>
                  </w:pPr>
                  <w:r>
                    <w:rPr>
                      <w:rFonts w:hint="eastAsia"/>
                      <w:sz w:val="21"/>
                      <w:szCs w:val="21"/>
                    </w:rPr>
                    <w:t>蒸汽发生器自带低氮燃烧设施故障</w:t>
                  </w:r>
                  <w:r>
                    <w:rPr>
                      <w:sz w:val="21"/>
                      <w:szCs w:val="21"/>
                    </w:rPr>
                    <w:t>，处理效率为0</w:t>
                  </w:r>
                </w:p>
              </w:tc>
              <w:tc>
                <w:tcPr>
                  <w:tcW w:w="775" w:type="dxa"/>
                  <w:vAlign w:val="center"/>
                </w:tcPr>
                <w:p w14:paraId="1186D204">
                  <w:pPr>
                    <w:spacing w:line="280" w:lineRule="exact"/>
                    <w:jc w:val="center"/>
                    <w:rPr>
                      <w:sz w:val="21"/>
                      <w:szCs w:val="21"/>
                    </w:rPr>
                  </w:pPr>
                  <w:r>
                    <w:rPr>
                      <w:rFonts w:hint="eastAsia"/>
                      <w:sz w:val="21"/>
                      <w:szCs w:val="21"/>
                    </w:rPr>
                    <w:t>氮氧化物</w:t>
                  </w:r>
                </w:p>
              </w:tc>
              <w:tc>
                <w:tcPr>
                  <w:tcW w:w="1159" w:type="dxa"/>
                  <w:vAlign w:val="center"/>
                </w:tcPr>
                <w:p w14:paraId="01808E2E">
                  <w:pPr>
                    <w:spacing w:line="280" w:lineRule="exact"/>
                    <w:jc w:val="center"/>
                    <w:rPr>
                      <w:sz w:val="21"/>
                      <w:szCs w:val="21"/>
                    </w:rPr>
                  </w:pPr>
                  <w:r>
                    <w:rPr>
                      <w:rFonts w:hint="eastAsia"/>
                      <w:bCs/>
                      <w:spacing w:val="-10"/>
                      <w:sz w:val="21"/>
                      <w:szCs w:val="21"/>
                    </w:rPr>
                    <w:t>0.1</w:t>
                  </w:r>
                </w:p>
              </w:tc>
              <w:tc>
                <w:tcPr>
                  <w:tcW w:w="927" w:type="dxa"/>
                  <w:vAlign w:val="center"/>
                </w:tcPr>
                <w:p w14:paraId="45CC71F6">
                  <w:pPr>
                    <w:spacing w:line="280" w:lineRule="exact"/>
                    <w:jc w:val="center"/>
                    <w:rPr>
                      <w:sz w:val="21"/>
                      <w:szCs w:val="21"/>
                    </w:rPr>
                  </w:pPr>
                  <w:r>
                    <w:rPr>
                      <w:sz w:val="21"/>
                      <w:szCs w:val="21"/>
                    </w:rPr>
                    <w:t>0.25</w:t>
                  </w:r>
                </w:p>
              </w:tc>
              <w:tc>
                <w:tcPr>
                  <w:tcW w:w="928" w:type="dxa"/>
                  <w:vAlign w:val="center"/>
                </w:tcPr>
                <w:p w14:paraId="1B12AEA1">
                  <w:pPr>
                    <w:spacing w:line="280" w:lineRule="exact"/>
                    <w:jc w:val="center"/>
                    <w:rPr>
                      <w:sz w:val="21"/>
                      <w:szCs w:val="21"/>
                    </w:rPr>
                  </w:pPr>
                  <w:r>
                    <w:rPr>
                      <w:sz w:val="21"/>
                      <w:szCs w:val="21"/>
                    </w:rPr>
                    <w:t>1</w:t>
                  </w:r>
                </w:p>
              </w:tc>
              <w:tc>
                <w:tcPr>
                  <w:tcW w:w="1131" w:type="dxa"/>
                  <w:vAlign w:val="center"/>
                </w:tcPr>
                <w:p w14:paraId="5C9B2DDA">
                  <w:pPr>
                    <w:spacing w:line="280" w:lineRule="exact"/>
                    <w:jc w:val="center"/>
                    <w:rPr>
                      <w:sz w:val="21"/>
                      <w:szCs w:val="21"/>
                    </w:rPr>
                  </w:pPr>
                  <w:r>
                    <w:rPr>
                      <w:rFonts w:hint="eastAsia"/>
                      <w:sz w:val="21"/>
                      <w:szCs w:val="21"/>
                    </w:rPr>
                    <w:t>0.025</w:t>
                  </w:r>
                </w:p>
              </w:tc>
              <w:tc>
                <w:tcPr>
                  <w:tcW w:w="1259" w:type="dxa"/>
                  <w:vMerge w:val="restart"/>
                  <w:vAlign w:val="center"/>
                </w:tcPr>
                <w:p w14:paraId="439A103D">
                  <w:pPr>
                    <w:spacing w:line="280" w:lineRule="exact"/>
                    <w:rPr>
                      <w:sz w:val="21"/>
                      <w:szCs w:val="21"/>
                    </w:rPr>
                  </w:pPr>
                  <w:r>
                    <w:rPr>
                      <w:rFonts w:hint="eastAsia"/>
                      <w:sz w:val="21"/>
                      <w:szCs w:val="21"/>
                    </w:rPr>
                    <w:t>平时做好废气治理设施的维护与保养，定期检修，发生故障时立即停止相关工序生产</w:t>
                  </w:r>
                </w:p>
              </w:tc>
            </w:tr>
            <w:tr w14:paraId="43A8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6" w:type="dxa"/>
                  <w:vAlign w:val="center"/>
                </w:tcPr>
                <w:p w14:paraId="6C2B69DF">
                  <w:pPr>
                    <w:autoSpaceDE w:val="0"/>
                    <w:autoSpaceDN w:val="0"/>
                    <w:adjustRightInd w:val="0"/>
                    <w:snapToGrid w:val="0"/>
                    <w:spacing w:line="280" w:lineRule="exact"/>
                    <w:jc w:val="center"/>
                    <w:rPr>
                      <w:sz w:val="21"/>
                      <w:szCs w:val="21"/>
                    </w:rPr>
                  </w:pPr>
                  <w:r>
                    <w:rPr>
                      <w:rFonts w:hint="eastAsia"/>
                      <w:sz w:val="21"/>
                      <w:szCs w:val="21"/>
                    </w:rPr>
                    <w:t>油炸锅（DA002)</w:t>
                  </w:r>
                </w:p>
              </w:tc>
              <w:tc>
                <w:tcPr>
                  <w:tcW w:w="1357" w:type="dxa"/>
                  <w:vAlign w:val="center"/>
                </w:tcPr>
                <w:p w14:paraId="7E52D6AA">
                  <w:pPr>
                    <w:spacing w:line="280" w:lineRule="exact"/>
                    <w:jc w:val="center"/>
                    <w:rPr>
                      <w:sz w:val="21"/>
                      <w:szCs w:val="21"/>
                    </w:rPr>
                  </w:pPr>
                  <w:r>
                    <w:rPr>
                      <w:color w:val="000000" w:themeColor="text1"/>
                      <w:sz w:val="21"/>
                      <w:szCs w:val="21"/>
                      <w14:textFill>
                        <w14:solidFill>
                          <w14:schemeClr w14:val="tx1"/>
                        </w14:solidFill>
                      </w14:textFill>
                    </w:rPr>
                    <w:t>油烟净化器</w:t>
                  </w:r>
                  <w:r>
                    <w:rPr>
                      <w:rFonts w:hint="eastAsia"/>
                      <w:color w:val="000000" w:themeColor="text1"/>
                      <w:sz w:val="21"/>
                      <w:szCs w:val="21"/>
                      <w14:textFill>
                        <w14:solidFill>
                          <w14:schemeClr w14:val="tx1"/>
                        </w14:solidFill>
                      </w14:textFill>
                    </w:rPr>
                    <w:t>故障，</w:t>
                  </w:r>
                  <w:r>
                    <w:rPr>
                      <w:sz w:val="21"/>
                      <w:szCs w:val="21"/>
                    </w:rPr>
                    <w:t>处理效率为0</w:t>
                  </w:r>
                </w:p>
              </w:tc>
              <w:tc>
                <w:tcPr>
                  <w:tcW w:w="775" w:type="dxa"/>
                  <w:vAlign w:val="center"/>
                </w:tcPr>
                <w:p w14:paraId="03F2399B">
                  <w:pPr>
                    <w:spacing w:line="280" w:lineRule="exact"/>
                    <w:jc w:val="center"/>
                    <w:rPr>
                      <w:bCs/>
                      <w:spacing w:val="-10"/>
                      <w:sz w:val="21"/>
                      <w:szCs w:val="21"/>
                    </w:rPr>
                  </w:pPr>
                  <w:r>
                    <w:rPr>
                      <w:rFonts w:hint="eastAsia"/>
                      <w:bCs/>
                      <w:spacing w:val="-10"/>
                      <w:sz w:val="21"/>
                      <w:szCs w:val="21"/>
                    </w:rPr>
                    <w:t>油烟</w:t>
                  </w:r>
                </w:p>
              </w:tc>
              <w:tc>
                <w:tcPr>
                  <w:tcW w:w="1159" w:type="dxa"/>
                  <w:vAlign w:val="center"/>
                </w:tcPr>
                <w:p w14:paraId="52009B2B">
                  <w:pPr>
                    <w:spacing w:line="280" w:lineRule="exact"/>
                    <w:jc w:val="center"/>
                    <w:rPr>
                      <w:bCs/>
                      <w:spacing w:val="-10"/>
                      <w:sz w:val="21"/>
                      <w:szCs w:val="21"/>
                    </w:rPr>
                  </w:pPr>
                  <w:r>
                    <w:rPr>
                      <w:rFonts w:hint="eastAsia"/>
                      <w:bCs/>
                      <w:spacing w:val="-10"/>
                      <w:sz w:val="21"/>
                      <w:szCs w:val="21"/>
                    </w:rPr>
                    <w:t>0.2271</w:t>
                  </w:r>
                </w:p>
              </w:tc>
              <w:tc>
                <w:tcPr>
                  <w:tcW w:w="927" w:type="dxa"/>
                  <w:vAlign w:val="center"/>
                </w:tcPr>
                <w:p w14:paraId="50C7A8AF">
                  <w:pPr>
                    <w:spacing w:line="280" w:lineRule="exact"/>
                    <w:jc w:val="center"/>
                    <w:rPr>
                      <w:bCs/>
                      <w:spacing w:val="-10"/>
                      <w:sz w:val="21"/>
                      <w:szCs w:val="21"/>
                    </w:rPr>
                  </w:pPr>
                  <w:r>
                    <w:rPr>
                      <w:rFonts w:hint="eastAsia"/>
                      <w:bCs/>
                      <w:spacing w:val="-10"/>
                      <w:sz w:val="21"/>
                      <w:szCs w:val="21"/>
                    </w:rPr>
                    <w:t>0.25</w:t>
                  </w:r>
                </w:p>
              </w:tc>
              <w:tc>
                <w:tcPr>
                  <w:tcW w:w="928" w:type="dxa"/>
                  <w:vAlign w:val="center"/>
                </w:tcPr>
                <w:p w14:paraId="2DD7703C">
                  <w:pPr>
                    <w:spacing w:line="280" w:lineRule="exact"/>
                    <w:jc w:val="center"/>
                    <w:rPr>
                      <w:bCs/>
                      <w:spacing w:val="-10"/>
                      <w:sz w:val="21"/>
                      <w:szCs w:val="21"/>
                    </w:rPr>
                  </w:pPr>
                  <w:r>
                    <w:rPr>
                      <w:rFonts w:hint="eastAsia"/>
                      <w:bCs/>
                      <w:spacing w:val="-10"/>
                      <w:sz w:val="21"/>
                      <w:szCs w:val="21"/>
                    </w:rPr>
                    <w:t>1</w:t>
                  </w:r>
                </w:p>
              </w:tc>
              <w:tc>
                <w:tcPr>
                  <w:tcW w:w="1131" w:type="dxa"/>
                  <w:vAlign w:val="center"/>
                </w:tcPr>
                <w:p w14:paraId="3282F794">
                  <w:pPr>
                    <w:spacing w:line="280" w:lineRule="exact"/>
                    <w:jc w:val="center"/>
                    <w:rPr>
                      <w:sz w:val="21"/>
                      <w:szCs w:val="21"/>
                    </w:rPr>
                  </w:pPr>
                  <w:r>
                    <w:rPr>
                      <w:rFonts w:hint="eastAsia"/>
                      <w:sz w:val="21"/>
                      <w:szCs w:val="21"/>
                    </w:rPr>
                    <w:t xml:space="preserve">0.0568 </w:t>
                  </w:r>
                </w:p>
              </w:tc>
              <w:tc>
                <w:tcPr>
                  <w:tcW w:w="1259" w:type="dxa"/>
                  <w:vMerge w:val="continue"/>
                  <w:vAlign w:val="center"/>
                </w:tcPr>
                <w:p w14:paraId="782F4C85">
                  <w:pPr>
                    <w:spacing w:line="280" w:lineRule="exact"/>
                    <w:jc w:val="center"/>
                    <w:rPr>
                      <w:sz w:val="21"/>
                      <w:szCs w:val="21"/>
                    </w:rPr>
                  </w:pPr>
                </w:p>
              </w:tc>
            </w:tr>
          </w:tbl>
          <w:p w14:paraId="3AA5D637">
            <w:pPr>
              <w:spacing w:line="520" w:lineRule="exact"/>
              <w:ind w:firstLine="482" w:firstLineChars="200"/>
              <w:jc w:val="left"/>
              <w:rPr>
                <w:b/>
              </w:rPr>
            </w:pPr>
            <w:r>
              <w:rPr>
                <w:rFonts w:hint="eastAsia"/>
                <w:b/>
              </w:rPr>
              <w:t>6、</w:t>
            </w:r>
            <w:r>
              <w:rPr>
                <w:b/>
              </w:rPr>
              <w:t>大气环境影响分析</w:t>
            </w:r>
          </w:p>
          <w:p w14:paraId="66B5B36F">
            <w:pPr>
              <w:adjustRightInd w:val="0"/>
              <w:snapToGrid w:val="0"/>
              <w:spacing w:line="520" w:lineRule="exact"/>
              <w:ind w:firstLine="440" w:firstLineChars="200"/>
              <w:rPr>
                <w:bCs/>
                <w:spacing w:val="-10"/>
              </w:rPr>
            </w:pPr>
            <w:r>
              <w:rPr>
                <w:rFonts w:hint="eastAsia"/>
                <w:bCs/>
                <w:spacing w:val="-10"/>
              </w:rPr>
              <w:t>本项目所在区域属于空气环境质量不达标区，项目产生的大气污染物通过削减区域现有污染源排放量进行替代。</w:t>
            </w:r>
            <w:r>
              <w:rPr>
                <w:rFonts w:hint="eastAsia"/>
              </w:rPr>
              <w:t>本项目蒸汽发生器燃烧废气经自带低氮燃烧设施治理后，污染物排放满足《锅炉大气污染物排放标准》 （DB41/2089—2021）。油烟经</w:t>
            </w:r>
            <w:r>
              <w:t>油烟净化器</w:t>
            </w:r>
            <w:r>
              <w:rPr>
                <w:rFonts w:hint="eastAsia"/>
              </w:rPr>
              <w:t>治理后排放浓度满足《饮食业油烟排放标准（试行）》（GB18483-2001）要求。</w:t>
            </w:r>
            <w:r>
              <w:rPr>
                <w:rFonts w:hint="eastAsia"/>
                <w:bCs/>
                <w:spacing w:val="-10"/>
              </w:rPr>
              <w:t>通过区域削减和污染物扩散，不会对周边环境造成明显影响。</w:t>
            </w:r>
          </w:p>
          <w:p w14:paraId="4A41ADC3">
            <w:pPr>
              <w:spacing w:line="520" w:lineRule="exact"/>
              <w:ind w:firstLine="482" w:firstLineChars="200"/>
              <w:rPr>
                <w:b/>
                <w:bCs/>
              </w:rPr>
            </w:pPr>
            <w:r>
              <w:rPr>
                <w:rFonts w:hint="eastAsia"/>
                <w:b/>
                <w:bCs/>
              </w:rPr>
              <w:t>7</w:t>
            </w:r>
            <w:r>
              <w:rPr>
                <w:b/>
                <w:bCs/>
              </w:rPr>
              <w:t>、废气污染物排放</w:t>
            </w:r>
            <w:r>
              <w:rPr>
                <w:rFonts w:hint="eastAsia"/>
                <w:b/>
                <w:bCs/>
              </w:rPr>
              <w:t>量</w:t>
            </w:r>
            <w:r>
              <w:rPr>
                <w:b/>
                <w:bCs/>
              </w:rPr>
              <w:t>核算</w:t>
            </w:r>
          </w:p>
          <w:p w14:paraId="56953B2F">
            <w:pPr>
              <w:spacing w:line="520" w:lineRule="exact"/>
              <w:ind w:firstLine="480" w:firstLineChars="200"/>
              <w:rPr>
                <w:rFonts w:eastAsia="黑体"/>
                <w:szCs w:val="21"/>
              </w:rPr>
            </w:pPr>
            <w:r>
              <w:t>大气污染物排放量核算如下表所示。</w:t>
            </w:r>
          </w:p>
          <w:p w14:paraId="65CF119D">
            <w:pPr>
              <w:adjustRightInd w:val="0"/>
              <w:snapToGrid w:val="0"/>
              <w:spacing w:line="520" w:lineRule="exact"/>
              <w:ind w:firstLine="480" w:firstLineChars="200"/>
              <w:rPr>
                <w:rFonts w:eastAsia="黑体"/>
                <w:szCs w:val="21"/>
              </w:rPr>
            </w:pPr>
            <w:r>
              <w:rPr>
                <w:rFonts w:eastAsia="黑体"/>
                <w:szCs w:val="21"/>
              </w:rPr>
              <w:t>表</w:t>
            </w:r>
            <w:r>
              <w:rPr>
                <w:rFonts w:hint="eastAsia" w:eastAsia="黑体"/>
                <w:szCs w:val="21"/>
              </w:rPr>
              <w:t>4-</w:t>
            </w:r>
            <w:r>
              <w:rPr>
                <w:rFonts w:hint="eastAsia" w:eastAsia="黑体"/>
                <w:szCs w:val="21"/>
                <w:lang w:val="en-US" w:eastAsia="zh-CN"/>
              </w:rPr>
              <w:t>9</w:t>
            </w:r>
            <w:r>
              <w:rPr>
                <w:rFonts w:eastAsia="黑体"/>
                <w:szCs w:val="21"/>
              </w:rPr>
              <w:t xml:space="preserve">           </w:t>
            </w:r>
            <w:r>
              <w:rPr>
                <w:rFonts w:hint="eastAsia" w:eastAsia="黑体"/>
                <w:szCs w:val="21"/>
              </w:rPr>
              <w:t xml:space="preserve"> </w:t>
            </w:r>
            <w:r>
              <w:rPr>
                <w:rFonts w:eastAsia="黑体"/>
                <w:szCs w:val="21"/>
              </w:rPr>
              <w:t>大气污染物有组织排放量核算表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414"/>
              <w:gridCol w:w="1100"/>
              <w:gridCol w:w="1889"/>
              <w:gridCol w:w="1892"/>
              <w:gridCol w:w="1833"/>
            </w:tblGrid>
            <w:tr w14:paraId="49BC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59" w:type="pct"/>
                  <w:vAlign w:val="center"/>
                </w:tcPr>
                <w:p w14:paraId="45C879AA">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项目</w:t>
                  </w:r>
                </w:p>
              </w:tc>
              <w:tc>
                <w:tcPr>
                  <w:tcW w:w="807" w:type="pct"/>
                  <w:vAlign w:val="center"/>
                </w:tcPr>
                <w:p w14:paraId="5D60A0FC">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排放口编号</w:t>
                  </w:r>
                </w:p>
              </w:tc>
              <w:tc>
                <w:tcPr>
                  <w:tcW w:w="628" w:type="pct"/>
                  <w:vAlign w:val="center"/>
                </w:tcPr>
                <w:p w14:paraId="53F4F5EF">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污染物</w:t>
                  </w:r>
                </w:p>
              </w:tc>
              <w:tc>
                <w:tcPr>
                  <w:tcW w:w="1078" w:type="pct"/>
                  <w:vAlign w:val="center"/>
                </w:tcPr>
                <w:p w14:paraId="396F1A37">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核算排放浓度/</w:t>
                  </w:r>
                </w:p>
                <w:p w14:paraId="151A13BA">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（mg/m</w:t>
                  </w:r>
                  <w:r>
                    <w:rPr>
                      <w:rFonts w:hint="eastAsia"/>
                      <w:b/>
                      <w:bCs/>
                      <w:color w:val="000000" w:themeColor="text1"/>
                      <w:sz w:val="21"/>
                      <w:szCs w:val="21"/>
                      <w:vertAlign w:val="superscript"/>
                      <w14:textFill>
                        <w14:solidFill>
                          <w14:schemeClr w14:val="tx1"/>
                        </w14:solidFill>
                      </w14:textFill>
                    </w:rPr>
                    <w:t>3</w:t>
                  </w:r>
                  <w:r>
                    <w:rPr>
                      <w:rFonts w:hint="eastAsia"/>
                      <w:b/>
                      <w:bCs/>
                      <w:color w:val="000000" w:themeColor="text1"/>
                      <w:sz w:val="21"/>
                      <w:szCs w:val="21"/>
                      <w14:textFill>
                        <w14:solidFill>
                          <w14:schemeClr w14:val="tx1"/>
                        </w14:solidFill>
                      </w14:textFill>
                    </w:rPr>
                    <w:t>）</w:t>
                  </w:r>
                </w:p>
              </w:tc>
              <w:tc>
                <w:tcPr>
                  <w:tcW w:w="1080" w:type="pct"/>
                  <w:vAlign w:val="center"/>
                </w:tcPr>
                <w:p w14:paraId="6A8C97F0">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核算排放速率/</w:t>
                  </w:r>
                </w:p>
                <w:p w14:paraId="13312A65">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（kg/h）</w:t>
                  </w:r>
                </w:p>
              </w:tc>
              <w:tc>
                <w:tcPr>
                  <w:tcW w:w="1046" w:type="pct"/>
                  <w:vAlign w:val="center"/>
                </w:tcPr>
                <w:p w14:paraId="34688686">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核算年排放量/</w:t>
                  </w:r>
                </w:p>
                <w:p w14:paraId="1E491C15">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（t/a）</w:t>
                  </w:r>
                </w:p>
              </w:tc>
            </w:tr>
            <w:tr w14:paraId="043F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9" w:type="pct"/>
                  <w:vMerge w:val="restart"/>
                  <w:vAlign w:val="center"/>
                </w:tcPr>
                <w:p w14:paraId="3B3C0204">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有组织</w:t>
                  </w:r>
                </w:p>
              </w:tc>
              <w:tc>
                <w:tcPr>
                  <w:tcW w:w="807" w:type="pct"/>
                  <w:vMerge w:val="restart"/>
                  <w:vAlign w:val="center"/>
                </w:tcPr>
                <w:p w14:paraId="78C9FE74">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DA001</w:t>
                  </w:r>
                </w:p>
              </w:tc>
              <w:tc>
                <w:tcPr>
                  <w:tcW w:w="628" w:type="pct"/>
                  <w:vAlign w:val="center"/>
                </w:tcPr>
                <w:p w14:paraId="73A28454">
                  <w:pPr>
                    <w:spacing w:line="240" w:lineRule="exact"/>
                    <w:jc w:val="center"/>
                    <w:rPr>
                      <w:color w:val="000000" w:themeColor="text1"/>
                      <w:sz w:val="21"/>
                      <w:szCs w:val="21"/>
                      <w14:textFill>
                        <w14:solidFill>
                          <w14:schemeClr w14:val="tx1"/>
                        </w14:solidFill>
                      </w14:textFill>
                    </w:rPr>
                  </w:pPr>
                  <w:bookmarkStart w:id="22" w:name="OLE_LINK64"/>
                  <w:bookmarkStart w:id="23" w:name="OLE_LINK63"/>
                  <w:r>
                    <w:rPr>
                      <w:rFonts w:hint="eastAsia"/>
                      <w:color w:val="000000" w:themeColor="text1"/>
                      <w:sz w:val="21"/>
                      <w:szCs w:val="21"/>
                      <w14:textFill>
                        <w14:solidFill>
                          <w14:schemeClr w14:val="tx1"/>
                        </w14:solidFill>
                      </w14:textFill>
                    </w:rPr>
                    <w:t>颗粒物</w:t>
                  </w:r>
                  <w:bookmarkEnd w:id="22"/>
                  <w:bookmarkEnd w:id="23"/>
                </w:p>
              </w:tc>
              <w:tc>
                <w:tcPr>
                  <w:tcW w:w="1899" w:type="dxa"/>
                  <w:vAlign w:val="center"/>
                </w:tcPr>
                <w:p w14:paraId="6C3DE57E">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1.8</w:t>
                  </w:r>
                </w:p>
              </w:tc>
              <w:tc>
                <w:tcPr>
                  <w:tcW w:w="1902" w:type="dxa"/>
                  <w:vAlign w:val="center"/>
                </w:tcPr>
                <w:p w14:paraId="70E7E711">
                  <w:pPr>
                    <w:pStyle w:val="33"/>
                    <w:spacing w:line="240" w:lineRule="exact"/>
                    <w:ind w:firstLine="0" w:firstLineChars="0"/>
                    <w:jc w:val="center"/>
                    <w:rPr>
                      <w:rFonts w:cs="Times New Roman"/>
                      <w:color w:val="000000" w:themeColor="text1"/>
                      <w:sz w:val="21"/>
                      <w:szCs w:val="21"/>
                      <w:lang w:val="pt-BR"/>
                      <w14:textFill>
                        <w14:solidFill>
                          <w14:schemeClr w14:val="tx1"/>
                        </w14:solidFill>
                      </w14:textFill>
                    </w:rPr>
                  </w:pPr>
                  <w:r>
                    <w:rPr>
                      <w:rFonts w:cs="Times New Roman"/>
                      <w:sz w:val="21"/>
                      <w:szCs w:val="21"/>
                    </w:rPr>
                    <w:t>1.95×10</w:t>
                  </w:r>
                  <w:r>
                    <w:rPr>
                      <w:rFonts w:cs="Times New Roman"/>
                      <w:sz w:val="21"/>
                      <w:szCs w:val="21"/>
                      <w:vertAlign w:val="superscript"/>
                    </w:rPr>
                    <w:t>-3</w:t>
                  </w:r>
                </w:p>
              </w:tc>
              <w:tc>
                <w:tcPr>
                  <w:tcW w:w="1840" w:type="dxa"/>
                  <w:vAlign w:val="center"/>
                </w:tcPr>
                <w:p w14:paraId="639E8CF1">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0.0047</w:t>
                  </w:r>
                </w:p>
              </w:tc>
            </w:tr>
            <w:tr w14:paraId="7C38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9" w:type="pct"/>
                  <w:vMerge w:val="continue"/>
                  <w:vAlign w:val="center"/>
                </w:tcPr>
                <w:p w14:paraId="5EA65DB3">
                  <w:pPr>
                    <w:spacing w:line="240" w:lineRule="exact"/>
                    <w:jc w:val="center"/>
                    <w:rPr>
                      <w:color w:val="000000" w:themeColor="text1"/>
                      <w:sz w:val="21"/>
                      <w:szCs w:val="21"/>
                      <w14:textFill>
                        <w14:solidFill>
                          <w14:schemeClr w14:val="tx1"/>
                        </w14:solidFill>
                      </w14:textFill>
                    </w:rPr>
                  </w:pPr>
                </w:p>
              </w:tc>
              <w:tc>
                <w:tcPr>
                  <w:tcW w:w="807" w:type="pct"/>
                  <w:vMerge w:val="continue"/>
                  <w:vAlign w:val="center"/>
                </w:tcPr>
                <w:p w14:paraId="13B7F93A">
                  <w:pPr>
                    <w:spacing w:line="240" w:lineRule="exact"/>
                    <w:jc w:val="center"/>
                    <w:rPr>
                      <w:color w:val="000000" w:themeColor="text1"/>
                      <w:sz w:val="21"/>
                      <w:szCs w:val="21"/>
                      <w14:textFill>
                        <w14:solidFill>
                          <w14:schemeClr w14:val="tx1"/>
                        </w14:solidFill>
                      </w14:textFill>
                    </w:rPr>
                  </w:pPr>
                </w:p>
              </w:tc>
              <w:tc>
                <w:tcPr>
                  <w:tcW w:w="1106" w:type="dxa"/>
                  <w:vAlign w:val="center"/>
                </w:tcPr>
                <w:p w14:paraId="242A8388">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SO</w:t>
                  </w:r>
                  <w:r>
                    <w:rPr>
                      <w:rFonts w:hint="eastAsia" w:cs="Times New Roman"/>
                      <w:color w:val="000000" w:themeColor="text1"/>
                      <w:sz w:val="21"/>
                      <w:szCs w:val="21"/>
                      <w:vertAlign w:val="subscript"/>
                      <w14:textFill>
                        <w14:solidFill>
                          <w14:schemeClr w14:val="tx1"/>
                        </w14:solidFill>
                      </w14:textFill>
                    </w:rPr>
                    <w:t>2</w:t>
                  </w:r>
                </w:p>
              </w:tc>
              <w:tc>
                <w:tcPr>
                  <w:tcW w:w="1899" w:type="dxa"/>
                  <w:vAlign w:val="center"/>
                </w:tcPr>
                <w:p w14:paraId="774CF7E2">
                  <w:pPr>
                    <w:pStyle w:val="33"/>
                    <w:spacing w:line="240" w:lineRule="exact"/>
                    <w:ind w:firstLine="0" w:firstLineChars="0"/>
                    <w:jc w:val="center"/>
                    <w:rPr>
                      <w:rFonts w:hint="eastAsia"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w:t>
                  </w:r>
                </w:p>
              </w:tc>
              <w:tc>
                <w:tcPr>
                  <w:tcW w:w="1902" w:type="dxa"/>
                  <w:vAlign w:val="center"/>
                </w:tcPr>
                <w:p w14:paraId="5092B483">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sz w:val="21"/>
                      <w:szCs w:val="21"/>
                      <w:lang w:val="en-US" w:eastAsia="zh-CN"/>
                    </w:rPr>
                    <w:t>0.33</w:t>
                  </w:r>
                  <w:r>
                    <w:rPr>
                      <w:rFonts w:cs="Times New Roman"/>
                      <w:sz w:val="21"/>
                      <w:szCs w:val="21"/>
                    </w:rPr>
                    <w:t>×10</w:t>
                  </w:r>
                  <w:r>
                    <w:rPr>
                      <w:rFonts w:cs="Times New Roman"/>
                      <w:sz w:val="21"/>
                      <w:szCs w:val="21"/>
                      <w:vertAlign w:val="superscript"/>
                    </w:rPr>
                    <w:t>-2</w:t>
                  </w:r>
                </w:p>
              </w:tc>
              <w:tc>
                <w:tcPr>
                  <w:tcW w:w="1840" w:type="dxa"/>
                  <w:vAlign w:val="center"/>
                </w:tcPr>
                <w:p w14:paraId="07A3A6B9">
                  <w:pPr>
                    <w:pStyle w:val="33"/>
                    <w:spacing w:line="240" w:lineRule="exact"/>
                    <w:ind w:firstLine="0" w:firstLineChars="0"/>
                    <w:jc w:val="center"/>
                    <w:rPr>
                      <w:rFonts w:hint="eastAsia"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0.008</w:t>
                  </w:r>
                </w:p>
              </w:tc>
            </w:tr>
            <w:tr w14:paraId="7DE6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9" w:type="pct"/>
                  <w:vMerge w:val="continue"/>
                  <w:vAlign w:val="center"/>
                </w:tcPr>
                <w:p w14:paraId="3D8B8233">
                  <w:pPr>
                    <w:spacing w:line="240" w:lineRule="exact"/>
                    <w:jc w:val="center"/>
                    <w:rPr>
                      <w:color w:val="000000" w:themeColor="text1"/>
                      <w:sz w:val="21"/>
                      <w:szCs w:val="21"/>
                      <w14:textFill>
                        <w14:solidFill>
                          <w14:schemeClr w14:val="tx1"/>
                        </w14:solidFill>
                      </w14:textFill>
                    </w:rPr>
                  </w:pPr>
                </w:p>
              </w:tc>
              <w:tc>
                <w:tcPr>
                  <w:tcW w:w="807" w:type="pct"/>
                  <w:vMerge w:val="continue"/>
                  <w:vAlign w:val="center"/>
                </w:tcPr>
                <w:p w14:paraId="5A4102DC">
                  <w:pPr>
                    <w:spacing w:line="240" w:lineRule="exact"/>
                    <w:jc w:val="center"/>
                    <w:rPr>
                      <w:color w:val="000000" w:themeColor="text1"/>
                      <w:sz w:val="21"/>
                      <w:szCs w:val="21"/>
                      <w14:textFill>
                        <w14:solidFill>
                          <w14:schemeClr w14:val="tx1"/>
                        </w14:solidFill>
                      </w14:textFill>
                    </w:rPr>
                  </w:pPr>
                </w:p>
              </w:tc>
              <w:tc>
                <w:tcPr>
                  <w:tcW w:w="1106" w:type="dxa"/>
                  <w:vAlign w:val="center"/>
                </w:tcPr>
                <w:p w14:paraId="5142E820">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NOx</w:t>
                  </w:r>
                </w:p>
              </w:tc>
              <w:tc>
                <w:tcPr>
                  <w:tcW w:w="1896" w:type="dxa"/>
                  <w:vAlign w:val="center"/>
                </w:tcPr>
                <w:p w14:paraId="714C150F">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27</w:t>
                  </w:r>
                </w:p>
              </w:tc>
              <w:tc>
                <w:tcPr>
                  <w:tcW w:w="1900" w:type="dxa"/>
                  <w:vAlign w:val="center"/>
                </w:tcPr>
                <w:p w14:paraId="42129F69">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cs="Times New Roman"/>
                      <w:sz w:val="21"/>
                      <w:szCs w:val="21"/>
                    </w:rPr>
                    <w:t>3.00×10</w:t>
                  </w:r>
                  <w:r>
                    <w:rPr>
                      <w:rFonts w:cs="Times New Roman"/>
                      <w:sz w:val="21"/>
                      <w:szCs w:val="21"/>
                      <w:vertAlign w:val="superscript"/>
                    </w:rPr>
                    <w:t>-2</w:t>
                  </w:r>
                </w:p>
              </w:tc>
              <w:tc>
                <w:tcPr>
                  <w:tcW w:w="1840" w:type="dxa"/>
                  <w:vAlign w:val="center"/>
                </w:tcPr>
                <w:p w14:paraId="0FA61C62">
                  <w:pPr>
                    <w:pStyle w:val="33"/>
                    <w:spacing w:line="240" w:lineRule="exact"/>
                    <w:ind w:firstLine="0" w:firstLineChars="0"/>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 xml:space="preserve">0.072 </w:t>
                  </w:r>
                </w:p>
              </w:tc>
            </w:tr>
            <w:tr w14:paraId="35CF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9" w:type="pct"/>
                  <w:vMerge w:val="continue"/>
                  <w:vAlign w:val="center"/>
                </w:tcPr>
                <w:p w14:paraId="73C0444E">
                  <w:pPr>
                    <w:spacing w:line="240" w:lineRule="exact"/>
                    <w:jc w:val="center"/>
                    <w:rPr>
                      <w:color w:val="000000" w:themeColor="text1"/>
                      <w:sz w:val="21"/>
                      <w:szCs w:val="21"/>
                      <w14:textFill>
                        <w14:solidFill>
                          <w14:schemeClr w14:val="tx1"/>
                        </w14:solidFill>
                      </w14:textFill>
                    </w:rPr>
                  </w:pPr>
                </w:p>
              </w:tc>
              <w:tc>
                <w:tcPr>
                  <w:tcW w:w="807" w:type="pct"/>
                  <w:vAlign w:val="center"/>
                </w:tcPr>
                <w:p w14:paraId="0F89C47B">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DA002</w:t>
                  </w:r>
                </w:p>
              </w:tc>
              <w:tc>
                <w:tcPr>
                  <w:tcW w:w="628" w:type="pct"/>
                  <w:vAlign w:val="center"/>
                </w:tcPr>
                <w:p w14:paraId="12BE818E">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油烟</w:t>
                  </w:r>
                </w:p>
              </w:tc>
              <w:tc>
                <w:tcPr>
                  <w:tcW w:w="1078" w:type="pct"/>
                  <w:vAlign w:val="center"/>
                </w:tcPr>
                <w:p w14:paraId="271BAF66">
                  <w:pPr>
                    <w:spacing w:line="240" w:lineRule="exact"/>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0.9</w:t>
                  </w:r>
                </w:p>
              </w:tc>
              <w:tc>
                <w:tcPr>
                  <w:tcW w:w="1080" w:type="pct"/>
                  <w:vAlign w:val="center"/>
                </w:tcPr>
                <w:p w14:paraId="352DD438">
                  <w:pPr>
                    <w:spacing w:line="240" w:lineRule="exact"/>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0.0055</w:t>
                  </w:r>
                </w:p>
              </w:tc>
              <w:tc>
                <w:tcPr>
                  <w:tcW w:w="1046" w:type="pct"/>
                  <w:vAlign w:val="center"/>
                </w:tcPr>
                <w:p w14:paraId="0ED3C22A">
                  <w:pPr>
                    <w:spacing w:line="240" w:lineRule="exact"/>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0.0133</w:t>
                  </w:r>
                </w:p>
              </w:tc>
            </w:tr>
          </w:tbl>
          <w:p w14:paraId="7D50A8C9">
            <w:pPr>
              <w:adjustRightInd w:val="0"/>
              <w:snapToGrid w:val="0"/>
              <w:spacing w:before="156" w:beforeLines="50" w:line="520" w:lineRule="exact"/>
              <w:ind w:firstLine="480" w:firstLineChars="200"/>
              <w:rPr>
                <w:rFonts w:eastAsia="黑体"/>
                <w:szCs w:val="21"/>
              </w:rPr>
            </w:pPr>
            <w:r>
              <w:rPr>
                <w:rFonts w:eastAsia="黑体"/>
                <w:szCs w:val="21"/>
              </w:rPr>
              <w:t>表</w:t>
            </w:r>
            <w:r>
              <w:rPr>
                <w:rFonts w:hint="eastAsia" w:eastAsia="黑体"/>
                <w:szCs w:val="21"/>
              </w:rPr>
              <w:t>4-</w:t>
            </w:r>
            <w:r>
              <w:rPr>
                <w:rFonts w:hint="eastAsia" w:eastAsia="黑体"/>
                <w:szCs w:val="21"/>
                <w:lang w:val="en-US" w:eastAsia="zh-CN"/>
              </w:rPr>
              <w:t>10</w:t>
            </w:r>
            <w:r>
              <w:rPr>
                <w:rFonts w:eastAsia="黑体"/>
                <w:szCs w:val="21"/>
              </w:rPr>
              <w:t xml:space="preserve">  </w:t>
            </w:r>
            <w:r>
              <w:rPr>
                <w:rFonts w:hint="eastAsia" w:eastAsia="黑体"/>
                <w:szCs w:val="21"/>
              </w:rPr>
              <w:t xml:space="preserve">             </w:t>
            </w:r>
            <w:r>
              <w:rPr>
                <w:rFonts w:eastAsia="黑体"/>
                <w:szCs w:val="21"/>
              </w:rPr>
              <w:t xml:space="preserve"> 本项目废气排放口基本情况</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759"/>
              <w:gridCol w:w="1022"/>
              <w:gridCol w:w="2083"/>
              <w:gridCol w:w="670"/>
              <w:gridCol w:w="787"/>
              <w:gridCol w:w="896"/>
              <w:gridCol w:w="862"/>
              <w:gridCol w:w="717"/>
            </w:tblGrid>
            <w:tr w14:paraId="4EC4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67" w:type="dxa"/>
                  <w:vAlign w:val="center"/>
                </w:tcPr>
                <w:p w14:paraId="57348FF6">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排放口</w:t>
                  </w:r>
                </w:p>
                <w:p w14:paraId="210987D0">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编号</w:t>
                  </w:r>
                </w:p>
              </w:tc>
              <w:tc>
                <w:tcPr>
                  <w:tcW w:w="763" w:type="dxa"/>
                  <w:vAlign w:val="center"/>
                </w:tcPr>
                <w:p w14:paraId="22397B92">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排放口</w:t>
                  </w:r>
                </w:p>
                <w:p w14:paraId="6F0C20DA">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名称</w:t>
                  </w:r>
                </w:p>
              </w:tc>
              <w:tc>
                <w:tcPr>
                  <w:tcW w:w="1027" w:type="dxa"/>
                  <w:vAlign w:val="center"/>
                </w:tcPr>
                <w:p w14:paraId="5087BC8B">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污染物种类</w:t>
                  </w:r>
                </w:p>
              </w:tc>
              <w:tc>
                <w:tcPr>
                  <w:tcW w:w="2095" w:type="dxa"/>
                  <w:vAlign w:val="center"/>
                </w:tcPr>
                <w:p w14:paraId="4FC64907">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排放口地理坐标</w:t>
                  </w:r>
                </w:p>
              </w:tc>
              <w:tc>
                <w:tcPr>
                  <w:tcW w:w="673" w:type="dxa"/>
                  <w:vAlign w:val="center"/>
                </w:tcPr>
                <w:p w14:paraId="78406865">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排气筒高度/m</w:t>
                  </w:r>
                </w:p>
              </w:tc>
              <w:tc>
                <w:tcPr>
                  <w:tcW w:w="791" w:type="dxa"/>
                  <w:vAlign w:val="center"/>
                </w:tcPr>
                <w:p w14:paraId="363106FC">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排气筒出口内径/m</w:t>
                  </w:r>
                </w:p>
              </w:tc>
              <w:tc>
                <w:tcPr>
                  <w:tcW w:w="900" w:type="dxa"/>
                  <w:vAlign w:val="center"/>
                </w:tcPr>
                <w:p w14:paraId="6E654267">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废气出口速度m/s</w:t>
                  </w:r>
                </w:p>
              </w:tc>
              <w:tc>
                <w:tcPr>
                  <w:tcW w:w="866" w:type="dxa"/>
                  <w:vAlign w:val="center"/>
                </w:tcPr>
                <w:p w14:paraId="315358F5">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排气温度/℃</w:t>
                  </w:r>
                </w:p>
              </w:tc>
              <w:tc>
                <w:tcPr>
                  <w:tcW w:w="720" w:type="dxa"/>
                  <w:vAlign w:val="center"/>
                </w:tcPr>
                <w:p w14:paraId="1A43E0D4">
                  <w:pPr>
                    <w:spacing w:line="24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排放口类型</w:t>
                  </w:r>
                </w:p>
              </w:tc>
            </w:tr>
            <w:tr w14:paraId="4EAE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967" w:type="dxa"/>
                  <w:vMerge w:val="restart"/>
                  <w:vAlign w:val="center"/>
                </w:tcPr>
                <w:p w14:paraId="25E79AB1">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DA001</w:t>
                  </w:r>
                </w:p>
              </w:tc>
              <w:tc>
                <w:tcPr>
                  <w:tcW w:w="763" w:type="dxa"/>
                  <w:vMerge w:val="restart"/>
                  <w:vAlign w:val="center"/>
                </w:tcPr>
                <w:p w14:paraId="1CE9C15B">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蒸汽发生器排气筒</w:t>
                  </w:r>
                </w:p>
              </w:tc>
              <w:tc>
                <w:tcPr>
                  <w:tcW w:w="1027" w:type="dxa"/>
                  <w:vAlign w:val="center"/>
                </w:tcPr>
                <w:p w14:paraId="17A37BBC">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颗粒物</w:t>
                  </w:r>
                </w:p>
              </w:tc>
              <w:tc>
                <w:tcPr>
                  <w:tcW w:w="2095" w:type="dxa"/>
                  <w:vMerge w:val="restart"/>
                  <w:vAlign w:val="center"/>
                </w:tcPr>
                <w:p w14:paraId="24A51C99">
                  <w:pPr>
                    <w:spacing w:line="24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经度：114.082739°</w:t>
                  </w:r>
                </w:p>
                <w:p w14:paraId="46575C4C">
                  <w:pPr>
                    <w:spacing w:line="24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纬度：35.221239°</w:t>
                  </w:r>
                </w:p>
              </w:tc>
              <w:tc>
                <w:tcPr>
                  <w:tcW w:w="673" w:type="dxa"/>
                  <w:vMerge w:val="restart"/>
                  <w:vAlign w:val="center"/>
                </w:tcPr>
                <w:p w14:paraId="77E0E1EB">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8m</w:t>
                  </w:r>
                </w:p>
              </w:tc>
              <w:tc>
                <w:tcPr>
                  <w:tcW w:w="791" w:type="dxa"/>
                  <w:vMerge w:val="restart"/>
                  <w:vAlign w:val="center"/>
                </w:tcPr>
                <w:p w14:paraId="751BE582">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0.2</w:t>
                  </w:r>
                </w:p>
              </w:tc>
              <w:tc>
                <w:tcPr>
                  <w:tcW w:w="900" w:type="dxa"/>
                  <w:vMerge w:val="restart"/>
                  <w:vAlign w:val="center"/>
                </w:tcPr>
                <w:p w14:paraId="13B7222D">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11.1</w:t>
                  </w:r>
                </w:p>
              </w:tc>
              <w:tc>
                <w:tcPr>
                  <w:tcW w:w="866" w:type="dxa"/>
                  <w:vMerge w:val="restart"/>
                  <w:vAlign w:val="center"/>
                </w:tcPr>
                <w:p w14:paraId="7CD92B2F">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45</w:t>
                  </w:r>
                </w:p>
              </w:tc>
              <w:tc>
                <w:tcPr>
                  <w:tcW w:w="720" w:type="dxa"/>
                  <w:vMerge w:val="restart"/>
                  <w:vAlign w:val="center"/>
                </w:tcPr>
                <w:p w14:paraId="1162AD62">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一般排放口</w:t>
                  </w:r>
                </w:p>
              </w:tc>
            </w:tr>
            <w:tr w14:paraId="1810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967" w:type="dxa"/>
                  <w:vMerge w:val="continue"/>
                  <w:vAlign w:val="center"/>
                </w:tcPr>
                <w:p w14:paraId="715EBABE">
                  <w:pPr>
                    <w:spacing w:line="240" w:lineRule="exact"/>
                    <w:jc w:val="center"/>
                    <w:rPr>
                      <w:color w:val="000000" w:themeColor="text1"/>
                      <w:sz w:val="21"/>
                      <w:szCs w:val="21"/>
                      <w14:textFill>
                        <w14:solidFill>
                          <w14:schemeClr w14:val="tx1"/>
                        </w14:solidFill>
                      </w14:textFill>
                    </w:rPr>
                  </w:pPr>
                </w:p>
              </w:tc>
              <w:tc>
                <w:tcPr>
                  <w:tcW w:w="763" w:type="dxa"/>
                  <w:vMerge w:val="continue"/>
                  <w:vAlign w:val="center"/>
                </w:tcPr>
                <w:p w14:paraId="741C2235">
                  <w:pPr>
                    <w:spacing w:line="240" w:lineRule="exact"/>
                    <w:jc w:val="center"/>
                    <w:rPr>
                      <w:color w:val="000000" w:themeColor="text1"/>
                      <w:sz w:val="21"/>
                      <w:szCs w:val="21"/>
                      <w14:textFill>
                        <w14:solidFill>
                          <w14:schemeClr w14:val="tx1"/>
                        </w14:solidFill>
                      </w14:textFill>
                    </w:rPr>
                  </w:pPr>
                </w:p>
              </w:tc>
              <w:tc>
                <w:tcPr>
                  <w:tcW w:w="1027" w:type="dxa"/>
                  <w:vAlign w:val="center"/>
                </w:tcPr>
                <w:p w14:paraId="1FD861AD">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SO</w:t>
                  </w:r>
                  <w:r>
                    <w:rPr>
                      <w:rFonts w:hint="eastAsia"/>
                      <w:color w:val="000000" w:themeColor="text1"/>
                      <w:sz w:val="21"/>
                      <w:szCs w:val="21"/>
                      <w:vertAlign w:val="subscript"/>
                      <w14:textFill>
                        <w14:solidFill>
                          <w14:schemeClr w14:val="tx1"/>
                        </w14:solidFill>
                      </w14:textFill>
                    </w:rPr>
                    <w:t>2</w:t>
                  </w:r>
                </w:p>
              </w:tc>
              <w:tc>
                <w:tcPr>
                  <w:tcW w:w="2095" w:type="dxa"/>
                  <w:vMerge w:val="continue"/>
                  <w:vAlign w:val="center"/>
                </w:tcPr>
                <w:p w14:paraId="7B01B7D6">
                  <w:pPr>
                    <w:spacing w:line="240" w:lineRule="exact"/>
                    <w:jc w:val="center"/>
                    <w:rPr>
                      <w:color w:val="000000" w:themeColor="text1"/>
                      <w:sz w:val="21"/>
                      <w:szCs w:val="21"/>
                      <w14:textFill>
                        <w14:solidFill>
                          <w14:schemeClr w14:val="tx1"/>
                        </w14:solidFill>
                      </w14:textFill>
                    </w:rPr>
                  </w:pPr>
                </w:p>
              </w:tc>
              <w:tc>
                <w:tcPr>
                  <w:tcW w:w="673" w:type="dxa"/>
                  <w:vMerge w:val="continue"/>
                  <w:vAlign w:val="center"/>
                </w:tcPr>
                <w:p w14:paraId="273100C7">
                  <w:pPr>
                    <w:spacing w:line="240" w:lineRule="exact"/>
                    <w:jc w:val="center"/>
                    <w:rPr>
                      <w:color w:val="000000" w:themeColor="text1"/>
                      <w:sz w:val="21"/>
                      <w:szCs w:val="21"/>
                      <w14:textFill>
                        <w14:solidFill>
                          <w14:schemeClr w14:val="tx1"/>
                        </w14:solidFill>
                      </w14:textFill>
                    </w:rPr>
                  </w:pPr>
                </w:p>
              </w:tc>
              <w:tc>
                <w:tcPr>
                  <w:tcW w:w="791" w:type="dxa"/>
                  <w:vMerge w:val="continue"/>
                  <w:vAlign w:val="center"/>
                </w:tcPr>
                <w:p w14:paraId="39B40D58">
                  <w:pPr>
                    <w:spacing w:line="240" w:lineRule="exact"/>
                    <w:jc w:val="center"/>
                    <w:rPr>
                      <w:color w:val="000000" w:themeColor="text1"/>
                      <w:sz w:val="21"/>
                      <w:szCs w:val="21"/>
                      <w14:textFill>
                        <w14:solidFill>
                          <w14:schemeClr w14:val="tx1"/>
                        </w14:solidFill>
                      </w14:textFill>
                    </w:rPr>
                  </w:pPr>
                </w:p>
              </w:tc>
              <w:tc>
                <w:tcPr>
                  <w:tcW w:w="900" w:type="dxa"/>
                  <w:vMerge w:val="continue"/>
                  <w:vAlign w:val="center"/>
                </w:tcPr>
                <w:p w14:paraId="4CD2AB25">
                  <w:pPr>
                    <w:spacing w:line="240" w:lineRule="exact"/>
                    <w:jc w:val="center"/>
                    <w:rPr>
                      <w:color w:val="000000" w:themeColor="text1"/>
                      <w:sz w:val="21"/>
                      <w:szCs w:val="21"/>
                      <w14:textFill>
                        <w14:solidFill>
                          <w14:schemeClr w14:val="tx1"/>
                        </w14:solidFill>
                      </w14:textFill>
                    </w:rPr>
                  </w:pPr>
                </w:p>
              </w:tc>
              <w:tc>
                <w:tcPr>
                  <w:tcW w:w="866" w:type="dxa"/>
                  <w:vMerge w:val="continue"/>
                  <w:vAlign w:val="center"/>
                </w:tcPr>
                <w:p w14:paraId="197B7BB4">
                  <w:pPr>
                    <w:spacing w:line="240" w:lineRule="exact"/>
                    <w:jc w:val="center"/>
                    <w:rPr>
                      <w:color w:val="000000" w:themeColor="text1"/>
                      <w:sz w:val="21"/>
                      <w:szCs w:val="21"/>
                      <w14:textFill>
                        <w14:solidFill>
                          <w14:schemeClr w14:val="tx1"/>
                        </w14:solidFill>
                      </w14:textFill>
                    </w:rPr>
                  </w:pPr>
                </w:p>
              </w:tc>
              <w:tc>
                <w:tcPr>
                  <w:tcW w:w="720" w:type="dxa"/>
                  <w:vMerge w:val="continue"/>
                  <w:vAlign w:val="center"/>
                </w:tcPr>
                <w:p w14:paraId="5B9A5B9C">
                  <w:pPr>
                    <w:spacing w:line="240" w:lineRule="exact"/>
                    <w:jc w:val="center"/>
                    <w:rPr>
                      <w:color w:val="000000" w:themeColor="text1"/>
                      <w:sz w:val="21"/>
                      <w:szCs w:val="21"/>
                      <w14:textFill>
                        <w14:solidFill>
                          <w14:schemeClr w14:val="tx1"/>
                        </w14:solidFill>
                      </w14:textFill>
                    </w:rPr>
                  </w:pPr>
                </w:p>
              </w:tc>
            </w:tr>
            <w:tr w14:paraId="0BF3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967" w:type="dxa"/>
                  <w:vMerge w:val="continue"/>
                  <w:vAlign w:val="center"/>
                </w:tcPr>
                <w:p w14:paraId="6ED3887B">
                  <w:pPr>
                    <w:spacing w:line="240" w:lineRule="exact"/>
                    <w:jc w:val="center"/>
                    <w:rPr>
                      <w:color w:val="000000" w:themeColor="text1"/>
                      <w:sz w:val="21"/>
                      <w:szCs w:val="21"/>
                      <w14:textFill>
                        <w14:solidFill>
                          <w14:schemeClr w14:val="tx1"/>
                        </w14:solidFill>
                      </w14:textFill>
                    </w:rPr>
                  </w:pPr>
                </w:p>
              </w:tc>
              <w:tc>
                <w:tcPr>
                  <w:tcW w:w="763" w:type="dxa"/>
                  <w:vMerge w:val="continue"/>
                  <w:vAlign w:val="center"/>
                </w:tcPr>
                <w:p w14:paraId="6BEBE648">
                  <w:pPr>
                    <w:spacing w:line="240" w:lineRule="exact"/>
                    <w:jc w:val="center"/>
                    <w:rPr>
                      <w:color w:val="000000" w:themeColor="text1"/>
                      <w:sz w:val="21"/>
                      <w:szCs w:val="21"/>
                      <w14:textFill>
                        <w14:solidFill>
                          <w14:schemeClr w14:val="tx1"/>
                        </w14:solidFill>
                      </w14:textFill>
                    </w:rPr>
                  </w:pPr>
                </w:p>
              </w:tc>
              <w:tc>
                <w:tcPr>
                  <w:tcW w:w="1027" w:type="dxa"/>
                  <w:vAlign w:val="center"/>
                </w:tcPr>
                <w:p w14:paraId="652F2995">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NOx</w:t>
                  </w:r>
                </w:p>
              </w:tc>
              <w:tc>
                <w:tcPr>
                  <w:tcW w:w="2095" w:type="dxa"/>
                  <w:vMerge w:val="continue"/>
                  <w:vAlign w:val="center"/>
                </w:tcPr>
                <w:p w14:paraId="161DEFF4">
                  <w:pPr>
                    <w:spacing w:line="240" w:lineRule="exact"/>
                    <w:jc w:val="center"/>
                    <w:rPr>
                      <w:color w:val="000000" w:themeColor="text1"/>
                      <w:sz w:val="21"/>
                      <w:szCs w:val="21"/>
                      <w14:textFill>
                        <w14:solidFill>
                          <w14:schemeClr w14:val="tx1"/>
                        </w14:solidFill>
                      </w14:textFill>
                    </w:rPr>
                  </w:pPr>
                </w:p>
              </w:tc>
              <w:tc>
                <w:tcPr>
                  <w:tcW w:w="673" w:type="dxa"/>
                  <w:vMerge w:val="continue"/>
                  <w:vAlign w:val="center"/>
                </w:tcPr>
                <w:p w14:paraId="1440E8C6">
                  <w:pPr>
                    <w:spacing w:line="240" w:lineRule="exact"/>
                    <w:jc w:val="center"/>
                    <w:rPr>
                      <w:color w:val="000000" w:themeColor="text1"/>
                      <w:sz w:val="21"/>
                      <w:szCs w:val="21"/>
                      <w14:textFill>
                        <w14:solidFill>
                          <w14:schemeClr w14:val="tx1"/>
                        </w14:solidFill>
                      </w14:textFill>
                    </w:rPr>
                  </w:pPr>
                </w:p>
              </w:tc>
              <w:tc>
                <w:tcPr>
                  <w:tcW w:w="791" w:type="dxa"/>
                  <w:vMerge w:val="continue"/>
                  <w:vAlign w:val="center"/>
                </w:tcPr>
                <w:p w14:paraId="5A74FB15">
                  <w:pPr>
                    <w:spacing w:line="240" w:lineRule="exact"/>
                    <w:jc w:val="center"/>
                    <w:rPr>
                      <w:color w:val="000000" w:themeColor="text1"/>
                      <w:sz w:val="21"/>
                      <w:szCs w:val="21"/>
                      <w14:textFill>
                        <w14:solidFill>
                          <w14:schemeClr w14:val="tx1"/>
                        </w14:solidFill>
                      </w14:textFill>
                    </w:rPr>
                  </w:pPr>
                </w:p>
              </w:tc>
              <w:tc>
                <w:tcPr>
                  <w:tcW w:w="900" w:type="dxa"/>
                  <w:vMerge w:val="continue"/>
                  <w:vAlign w:val="center"/>
                </w:tcPr>
                <w:p w14:paraId="09DBAFD8">
                  <w:pPr>
                    <w:spacing w:line="240" w:lineRule="exact"/>
                    <w:jc w:val="center"/>
                    <w:rPr>
                      <w:color w:val="000000" w:themeColor="text1"/>
                      <w:sz w:val="21"/>
                      <w:szCs w:val="21"/>
                      <w14:textFill>
                        <w14:solidFill>
                          <w14:schemeClr w14:val="tx1"/>
                        </w14:solidFill>
                      </w14:textFill>
                    </w:rPr>
                  </w:pPr>
                </w:p>
              </w:tc>
              <w:tc>
                <w:tcPr>
                  <w:tcW w:w="866" w:type="dxa"/>
                  <w:vMerge w:val="continue"/>
                  <w:vAlign w:val="center"/>
                </w:tcPr>
                <w:p w14:paraId="52DE7C4A">
                  <w:pPr>
                    <w:spacing w:line="240" w:lineRule="exact"/>
                    <w:jc w:val="center"/>
                    <w:rPr>
                      <w:color w:val="000000" w:themeColor="text1"/>
                      <w:sz w:val="21"/>
                      <w:szCs w:val="21"/>
                      <w14:textFill>
                        <w14:solidFill>
                          <w14:schemeClr w14:val="tx1"/>
                        </w14:solidFill>
                      </w14:textFill>
                    </w:rPr>
                  </w:pPr>
                </w:p>
              </w:tc>
              <w:tc>
                <w:tcPr>
                  <w:tcW w:w="720" w:type="dxa"/>
                  <w:vMerge w:val="continue"/>
                  <w:vAlign w:val="center"/>
                </w:tcPr>
                <w:p w14:paraId="63F1522B">
                  <w:pPr>
                    <w:spacing w:line="240" w:lineRule="exact"/>
                    <w:jc w:val="center"/>
                    <w:rPr>
                      <w:color w:val="000000" w:themeColor="text1"/>
                      <w:sz w:val="21"/>
                      <w:szCs w:val="21"/>
                      <w14:textFill>
                        <w14:solidFill>
                          <w14:schemeClr w14:val="tx1"/>
                        </w14:solidFill>
                      </w14:textFill>
                    </w:rPr>
                  </w:pPr>
                </w:p>
              </w:tc>
            </w:tr>
            <w:tr w14:paraId="2A82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967" w:type="dxa"/>
                  <w:vAlign w:val="center"/>
                </w:tcPr>
                <w:p w14:paraId="7887DCF1">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DA002</w:t>
                  </w:r>
                </w:p>
              </w:tc>
              <w:tc>
                <w:tcPr>
                  <w:tcW w:w="763" w:type="dxa"/>
                  <w:vAlign w:val="center"/>
                </w:tcPr>
                <w:p w14:paraId="2339FDB8">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油炸烟气排气筒</w:t>
                  </w:r>
                </w:p>
              </w:tc>
              <w:tc>
                <w:tcPr>
                  <w:tcW w:w="1027" w:type="dxa"/>
                  <w:vAlign w:val="center"/>
                </w:tcPr>
                <w:p w14:paraId="5DC0A0E1">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油烟</w:t>
                  </w:r>
                </w:p>
              </w:tc>
              <w:tc>
                <w:tcPr>
                  <w:tcW w:w="2095" w:type="dxa"/>
                  <w:vAlign w:val="center"/>
                </w:tcPr>
                <w:p w14:paraId="46AB6BAB">
                  <w:pPr>
                    <w:spacing w:line="24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经度：114.082627°</w:t>
                  </w:r>
                </w:p>
                <w:p w14:paraId="0B4C84B7">
                  <w:pPr>
                    <w:spacing w:line="24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纬度：35.221209°</w:t>
                  </w:r>
                </w:p>
              </w:tc>
              <w:tc>
                <w:tcPr>
                  <w:tcW w:w="673" w:type="dxa"/>
                  <w:vAlign w:val="center"/>
                </w:tcPr>
                <w:p w14:paraId="460D3C65">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排气筒高出厂房顶部排放</w:t>
                  </w:r>
                </w:p>
              </w:tc>
              <w:tc>
                <w:tcPr>
                  <w:tcW w:w="791" w:type="dxa"/>
                  <w:vAlign w:val="center"/>
                </w:tcPr>
                <w:p w14:paraId="3E7771C6">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0.35</w:t>
                  </w:r>
                </w:p>
              </w:tc>
              <w:tc>
                <w:tcPr>
                  <w:tcW w:w="900" w:type="dxa"/>
                  <w:vAlign w:val="center"/>
                </w:tcPr>
                <w:p w14:paraId="1272E877">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15.3</w:t>
                  </w:r>
                </w:p>
              </w:tc>
              <w:tc>
                <w:tcPr>
                  <w:tcW w:w="866" w:type="dxa"/>
                  <w:vAlign w:val="center"/>
                </w:tcPr>
                <w:p w14:paraId="3E7D4426">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25</w:t>
                  </w:r>
                </w:p>
              </w:tc>
              <w:tc>
                <w:tcPr>
                  <w:tcW w:w="720" w:type="dxa"/>
                  <w:vAlign w:val="center"/>
                </w:tcPr>
                <w:p w14:paraId="63236CAC">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一般排放口</w:t>
                  </w:r>
                </w:p>
              </w:tc>
            </w:tr>
          </w:tbl>
          <w:p w14:paraId="17AAD13B">
            <w:pPr>
              <w:spacing w:line="520" w:lineRule="exact"/>
              <w:ind w:firstLine="482" w:firstLineChars="200"/>
              <w:rPr>
                <w:b/>
                <w:bCs/>
              </w:rPr>
            </w:pPr>
            <w:r>
              <w:rPr>
                <w:rFonts w:hint="eastAsia"/>
                <w:b/>
                <w:bCs/>
              </w:rPr>
              <w:t>8</w:t>
            </w:r>
            <w:r>
              <w:rPr>
                <w:b/>
                <w:bCs/>
              </w:rPr>
              <w:t>、监测要求</w:t>
            </w:r>
          </w:p>
          <w:p w14:paraId="17F261C2">
            <w:pPr>
              <w:spacing w:line="520" w:lineRule="exact"/>
              <w:ind w:firstLine="480" w:firstLineChars="200"/>
            </w:pPr>
            <w:r>
              <w:t>根据</w:t>
            </w:r>
            <w:r>
              <w:rPr>
                <w:rFonts w:hint="eastAsia"/>
                <w:color w:val="000000" w:themeColor="text1"/>
                <w14:textFill>
                  <w14:solidFill>
                    <w14:schemeClr w14:val="tx1"/>
                  </w14:solidFill>
                </w14:textFill>
              </w:rPr>
              <w:t>《排污单位自行监测技术指南 食品制造》（</w:t>
            </w:r>
            <w:r>
              <w:rPr>
                <w:color w:val="000000" w:themeColor="text1"/>
                <w14:textFill>
                  <w14:solidFill>
                    <w14:schemeClr w14:val="tx1"/>
                  </w14:solidFill>
                </w14:textFill>
              </w:rPr>
              <w:t>HJ</w:t>
            </w:r>
            <w:r>
              <w:rPr>
                <w:rFonts w:hint="eastAsia"/>
                <w:color w:val="000000" w:themeColor="text1"/>
                <w14:textFill>
                  <w14:solidFill>
                    <w14:schemeClr w14:val="tx1"/>
                  </w14:solidFill>
                </w14:textFill>
              </w:rPr>
              <w:t xml:space="preserve"> 1084-</w:t>
            </w:r>
            <w:r>
              <w:rPr>
                <w:color w:val="000000" w:themeColor="text1"/>
                <w14:textFill>
                  <w14:solidFill>
                    <w14:schemeClr w14:val="tx1"/>
                  </w14:solidFill>
                </w14:textFill>
              </w:rPr>
              <w:t>20</w:t>
            </w:r>
            <w:r>
              <w:rPr>
                <w:rFonts w:hint="eastAsia"/>
                <w:color w:val="000000" w:themeColor="text1"/>
                <w14:textFill>
                  <w14:solidFill>
                    <w14:schemeClr w14:val="tx1"/>
                  </w14:solidFill>
                </w14:textFill>
              </w:rPr>
              <w:t>20）、《排污单位自行监测技术指南 火力发电及锅炉》（HJ 820-2017）</w:t>
            </w:r>
            <w:r>
              <w:t>，评价提出</w:t>
            </w:r>
            <w:r>
              <w:rPr>
                <w:rFonts w:hint="eastAsia"/>
              </w:rPr>
              <w:t>本</w:t>
            </w:r>
            <w:r>
              <w:t>项目在生产运行阶段的污染源监测计划，具体监测计划见下表。</w:t>
            </w:r>
          </w:p>
          <w:p w14:paraId="4413CDF6">
            <w:pPr>
              <w:adjustRightInd w:val="0"/>
              <w:snapToGrid w:val="0"/>
              <w:spacing w:line="460" w:lineRule="exact"/>
              <w:ind w:firstLine="720" w:firstLineChars="300"/>
              <w:rPr>
                <w:rFonts w:eastAsia="黑体"/>
                <w:szCs w:val="21"/>
              </w:rPr>
            </w:pPr>
            <w:r>
              <w:rPr>
                <w:rFonts w:eastAsia="黑体"/>
                <w:szCs w:val="21"/>
              </w:rPr>
              <w:t>表</w:t>
            </w:r>
            <w:r>
              <w:rPr>
                <w:rFonts w:hint="eastAsia" w:eastAsia="黑体"/>
                <w:szCs w:val="21"/>
              </w:rPr>
              <w:t>4-1</w:t>
            </w:r>
            <w:r>
              <w:rPr>
                <w:rFonts w:hint="eastAsia" w:eastAsia="黑体"/>
                <w:szCs w:val="21"/>
                <w:lang w:val="en-US" w:eastAsia="zh-CN"/>
              </w:rPr>
              <w:t>1</w:t>
            </w:r>
            <w:r>
              <w:rPr>
                <w:rFonts w:eastAsia="黑体"/>
                <w:szCs w:val="21"/>
              </w:rPr>
              <w:t xml:space="preserve">                污染源自行监测计划表</w:t>
            </w:r>
          </w:p>
          <w:tbl>
            <w:tblPr>
              <w:tblStyle w:val="1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8"/>
              <w:gridCol w:w="1301"/>
              <w:gridCol w:w="1348"/>
              <w:gridCol w:w="1138"/>
              <w:gridCol w:w="3067"/>
            </w:tblGrid>
            <w:tr w14:paraId="520F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28" w:type="pct"/>
                  <w:gridSpan w:val="2"/>
                  <w:vAlign w:val="center"/>
                </w:tcPr>
                <w:p w14:paraId="14B3DD41">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监测指标</w:t>
                  </w:r>
                </w:p>
              </w:tc>
              <w:tc>
                <w:tcPr>
                  <w:tcW w:w="770" w:type="pct"/>
                  <w:vAlign w:val="center"/>
                </w:tcPr>
                <w:p w14:paraId="3F49B372">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监测点位</w:t>
                  </w:r>
                </w:p>
              </w:tc>
              <w:tc>
                <w:tcPr>
                  <w:tcW w:w="650" w:type="pct"/>
                  <w:vAlign w:val="center"/>
                </w:tcPr>
                <w:p w14:paraId="2B7E170E">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监测频次</w:t>
                  </w:r>
                </w:p>
              </w:tc>
              <w:tc>
                <w:tcPr>
                  <w:tcW w:w="1751" w:type="pct"/>
                  <w:vAlign w:val="center"/>
                </w:tcPr>
                <w:p w14:paraId="2678F9AB">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执行排放标准</w:t>
                  </w:r>
                </w:p>
              </w:tc>
            </w:tr>
            <w:tr w14:paraId="5D5A9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5"/>
                  <w:vAlign w:val="center"/>
                </w:tcPr>
                <w:p w14:paraId="4B703869">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有组织废气</w:t>
                  </w:r>
                </w:p>
              </w:tc>
            </w:tr>
            <w:tr w14:paraId="32F3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5" w:type="pct"/>
                  <w:vAlign w:val="center"/>
                </w:tcPr>
                <w:p w14:paraId="49BB879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颗粒物、SO</w:t>
                  </w:r>
                  <w:r>
                    <w:rPr>
                      <w:rFonts w:hint="eastAsia"/>
                      <w:color w:val="000000" w:themeColor="text1"/>
                      <w:sz w:val="21"/>
                      <w:szCs w:val="21"/>
                      <w:vertAlign w:val="subscript"/>
                      <w14:textFill>
                        <w14:solidFill>
                          <w14:schemeClr w14:val="tx1"/>
                        </w14:solidFill>
                      </w14:textFill>
                    </w:rPr>
                    <w:t>2</w:t>
                  </w:r>
                  <w:r>
                    <w:rPr>
                      <w:rFonts w:hint="eastAsia"/>
                      <w:color w:val="000000" w:themeColor="text1"/>
                      <w:sz w:val="21"/>
                      <w:szCs w:val="21"/>
                      <w14:textFill>
                        <w14:solidFill>
                          <w14:schemeClr w14:val="tx1"/>
                        </w14:solidFill>
                      </w14:textFill>
                    </w:rPr>
                    <w:t>、NOx、林格曼黑度</w:t>
                  </w:r>
                </w:p>
              </w:tc>
              <w:tc>
                <w:tcPr>
                  <w:tcW w:w="742" w:type="pct"/>
                  <w:vAlign w:val="center"/>
                </w:tcPr>
                <w:p w14:paraId="76965C2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浓度、流速、废气量</w:t>
                  </w:r>
                </w:p>
              </w:tc>
              <w:tc>
                <w:tcPr>
                  <w:tcW w:w="770" w:type="pct"/>
                  <w:vAlign w:val="center"/>
                </w:tcPr>
                <w:p w14:paraId="607EB23B">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排气筒DA001</w:t>
                  </w:r>
                </w:p>
              </w:tc>
              <w:tc>
                <w:tcPr>
                  <w:tcW w:w="650" w:type="pct"/>
                  <w:vAlign w:val="center"/>
                </w:tcPr>
                <w:p w14:paraId="095475C7">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1次/月</w:t>
                  </w:r>
                </w:p>
              </w:tc>
              <w:tc>
                <w:tcPr>
                  <w:tcW w:w="1751" w:type="pct"/>
                  <w:vAlign w:val="center"/>
                </w:tcPr>
                <w:p w14:paraId="7492BBA0">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《锅炉大气污染物排放标准》 （DB41/2089—2021）</w:t>
                  </w:r>
                </w:p>
              </w:tc>
            </w:tr>
            <w:tr w14:paraId="6735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5" w:type="pct"/>
                  <w:vAlign w:val="center"/>
                </w:tcPr>
                <w:p w14:paraId="4ADAAE4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油烟</w:t>
                  </w:r>
                </w:p>
              </w:tc>
              <w:tc>
                <w:tcPr>
                  <w:tcW w:w="742" w:type="pct"/>
                  <w:vAlign w:val="center"/>
                </w:tcPr>
                <w:p w14:paraId="36CE0C74">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浓度、流速、废气量</w:t>
                  </w:r>
                </w:p>
              </w:tc>
              <w:tc>
                <w:tcPr>
                  <w:tcW w:w="770" w:type="pct"/>
                  <w:vAlign w:val="center"/>
                </w:tcPr>
                <w:p w14:paraId="1742132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排气筒DA002</w:t>
                  </w:r>
                </w:p>
              </w:tc>
              <w:tc>
                <w:tcPr>
                  <w:tcW w:w="650" w:type="pct"/>
                  <w:vAlign w:val="center"/>
                </w:tcPr>
                <w:p w14:paraId="6ADFEA1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1次/半年</w:t>
                  </w:r>
                </w:p>
              </w:tc>
              <w:tc>
                <w:tcPr>
                  <w:tcW w:w="1751" w:type="pct"/>
                  <w:vAlign w:val="center"/>
                </w:tcPr>
                <w:p w14:paraId="31C4E109">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《饮食业油烟排放标准（试行）》（GB18483-2001）表2-</w:t>
                  </w:r>
                  <w:r>
                    <w:rPr>
                      <w:rFonts w:hint="eastAsia"/>
                      <w:color w:val="000000" w:themeColor="text1"/>
                      <w:sz w:val="21"/>
                      <w:szCs w:val="21"/>
                      <w14:textFill>
                        <w14:solidFill>
                          <w14:schemeClr w14:val="tx1"/>
                        </w14:solidFill>
                      </w14:textFill>
                    </w:rPr>
                    <w:t>大</w:t>
                  </w:r>
                  <w:r>
                    <w:rPr>
                      <w:color w:val="000000" w:themeColor="text1"/>
                      <w:sz w:val="21"/>
                      <w:szCs w:val="21"/>
                      <w14:textFill>
                        <w14:solidFill>
                          <w14:schemeClr w14:val="tx1"/>
                        </w14:solidFill>
                      </w14:textFill>
                    </w:rPr>
                    <w:t>型</w:t>
                  </w:r>
                </w:p>
              </w:tc>
            </w:tr>
            <w:tr w14:paraId="1E9E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5"/>
                  <w:vAlign w:val="center"/>
                </w:tcPr>
                <w:p w14:paraId="4B7E923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无组织废气</w:t>
                  </w:r>
                </w:p>
              </w:tc>
            </w:tr>
            <w:tr w14:paraId="2F4E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5" w:type="pct"/>
                  <w:vAlign w:val="center"/>
                </w:tcPr>
                <w:p w14:paraId="47DD6275">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臭气浓度</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氨、硫化氢</w:t>
                  </w:r>
                </w:p>
              </w:tc>
              <w:tc>
                <w:tcPr>
                  <w:tcW w:w="742" w:type="pct"/>
                  <w:vAlign w:val="center"/>
                </w:tcPr>
                <w:p w14:paraId="2A27D4FC">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浓度</w:t>
                  </w:r>
                </w:p>
              </w:tc>
              <w:tc>
                <w:tcPr>
                  <w:tcW w:w="770" w:type="pct"/>
                  <w:vAlign w:val="center"/>
                </w:tcPr>
                <w:p w14:paraId="44E73417">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四周厂界</w:t>
                  </w:r>
                </w:p>
              </w:tc>
              <w:tc>
                <w:tcPr>
                  <w:tcW w:w="650" w:type="pct"/>
                  <w:vAlign w:val="center"/>
                </w:tcPr>
                <w:p w14:paraId="365170B7">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1次/半年</w:t>
                  </w:r>
                </w:p>
              </w:tc>
              <w:tc>
                <w:tcPr>
                  <w:tcW w:w="1751" w:type="pct"/>
                  <w:vAlign w:val="center"/>
                </w:tcPr>
                <w:p w14:paraId="2B328EFF">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恶臭污染物排放标准</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（GB 14554-93）</w:t>
                  </w:r>
                </w:p>
              </w:tc>
            </w:tr>
          </w:tbl>
          <w:p w14:paraId="129CE44E">
            <w:pPr>
              <w:adjustRightInd w:val="0"/>
              <w:spacing w:line="520" w:lineRule="exact"/>
              <w:ind w:firstLine="482" w:firstLineChars="200"/>
              <w:rPr>
                <w:b/>
              </w:rPr>
            </w:pPr>
            <w:r>
              <w:rPr>
                <w:b/>
              </w:rPr>
              <w:t>三、噪声</w:t>
            </w:r>
          </w:p>
          <w:p w14:paraId="667BFC36">
            <w:pPr>
              <w:pStyle w:val="35"/>
              <w:spacing w:line="520" w:lineRule="exact"/>
              <w:ind w:firstLine="482" w:firstLineChars="200"/>
              <w:rPr>
                <w:b/>
                <w:bCs/>
                <w:sz w:val="24"/>
              </w:rPr>
            </w:pPr>
            <w:r>
              <w:rPr>
                <w:b/>
                <w:bCs/>
                <w:sz w:val="24"/>
              </w:rPr>
              <w:t>1、噪声源情况</w:t>
            </w:r>
          </w:p>
          <w:p w14:paraId="6E174260">
            <w:pPr>
              <w:adjustRightInd w:val="0"/>
              <w:snapToGrid w:val="0"/>
              <w:spacing w:line="520" w:lineRule="exact"/>
              <w:ind w:firstLine="480" w:firstLineChars="200"/>
              <w:rPr>
                <w:rFonts w:hAnsi="宋体"/>
              </w:rPr>
            </w:pPr>
            <w:r>
              <w:t>该项目高噪声设备主要为</w:t>
            </w:r>
            <w:r>
              <w:rPr>
                <w:rFonts w:hint="eastAsia"/>
              </w:rPr>
              <w:t>风机、泵类、空压机、切菜机、</w:t>
            </w:r>
            <w:bookmarkStart w:id="24" w:name="OLE_LINK66"/>
            <w:r>
              <w:rPr>
                <w:rFonts w:hint="eastAsia"/>
              </w:rPr>
              <w:t>风干机</w:t>
            </w:r>
            <w:r>
              <w:t>等，声源强度在</w:t>
            </w:r>
            <w:r>
              <w:rPr>
                <w:rFonts w:hint="eastAsia"/>
              </w:rPr>
              <w:t>75-90</w:t>
            </w:r>
            <w:r>
              <w:t>dB(A)之间，</w:t>
            </w:r>
            <w:bookmarkEnd w:id="24"/>
            <w:r>
              <w:rPr>
                <w:rFonts w:hint="eastAsia"/>
              </w:rPr>
              <w:t>根据《环境影响评价技术导则—声环境》（HJ2.4-2021），工业声源应按照室内和室外两种声源计算。</w:t>
            </w:r>
          </w:p>
          <w:p w14:paraId="1F1215B1">
            <w:pPr>
              <w:adjustRightInd w:val="0"/>
              <w:snapToGrid w:val="0"/>
              <w:spacing w:line="520" w:lineRule="exact"/>
              <w:ind w:firstLine="480" w:firstLineChars="200"/>
            </w:pPr>
            <w:r>
              <w:rPr>
                <w:rFonts w:hint="eastAsia"/>
              </w:rPr>
              <w:t>（1）室内声压级</w:t>
            </w:r>
            <w:r>
              <w:t>计算</w:t>
            </w:r>
          </w:p>
          <w:p w14:paraId="43CF372F">
            <w:pPr>
              <w:adjustRightInd w:val="0"/>
              <w:snapToGrid w:val="0"/>
              <w:spacing w:line="520" w:lineRule="exact"/>
              <w:ind w:firstLine="480" w:firstLineChars="200"/>
            </w:pPr>
            <w:r>
              <w:t>声源位于室内，室内声源可采用等效室外声源声功率级法进行计算。设靠近开口处（或窗户）室内、室外某倍频带的声压级或A声级分别为Lp</w:t>
            </w:r>
            <w:r>
              <w:rPr>
                <w:vertAlign w:val="subscript"/>
              </w:rPr>
              <w:t>1</w:t>
            </w:r>
            <w:r>
              <w:t>和Lp</w:t>
            </w:r>
            <w:r>
              <w:rPr>
                <w:vertAlign w:val="subscript"/>
              </w:rPr>
              <w:t>2</w:t>
            </w:r>
            <w:r>
              <w:t>。</w:t>
            </w:r>
          </w:p>
          <w:p w14:paraId="60D650F6">
            <w:pPr>
              <w:adjustRightInd w:val="0"/>
              <w:snapToGrid w:val="0"/>
              <w:spacing w:line="520" w:lineRule="exact"/>
              <w:ind w:firstLine="480" w:firstLineChars="200"/>
            </w:pPr>
            <w:r>
              <w:t>计算某一室内声源靠近围护结构处产生的倍频带声压级或A声级公式如下：</w:t>
            </w:r>
          </w:p>
          <w:p w14:paraId="6468CEF2">
            <w:pPr>
              <w:adjustRightInd w:val="0"/>
              <w:snapToGrid w:val="0"/>
              <w:ind w:firstLine="480" w:firstLineChars="200"/>
              <w:jc w:val="center"/>
            </w:pPr>
            <w:r>
              <w:drawing>
                <wp:inline distT="0" distB="0" distL="114300" distR="114300">
                  <wp:extent cx="1961515" cy="526415"/>
                  <wp:effectExtent l="0" t="0" r="635" b="6985"/>
                  <wp:docPr id="30" name="图片 4" descr="1740795428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descr="1740795428161"/>
                          <pic:cNvPicPr>
                            <a:picLocks noChangeAspect="1"/>
                          </pic:cNvPicPr>
                        </pic:nvPicPr>
                        <pic:blipFill>
                          <a:blip r:embed="rId20"/>
                          <a:stretch>
                            <a:fillRect/>
                          </a:stretch>
                        </pic:blipFill>
                        <pic:spPr>
                          <a:xfrm>
                            <a:off x="0" y="0"/>
                            <a:ext cx="1961515" cy="526415"/>
                          </a:xfrm>
                          <a:prstGeom prst="rect">
                            <a:avLst/>
                          </a:prstGeom>
                          <a:noFill/>
                          <a:ln>
                            <a:noFill/>
                          </a:ln>
                        </pic:spPr>
                      </pic:pic>
                    </a:graphicData>
                  </a:graphic>
                </wp:inline>
              </w:drawing>
            </w:r>
          </w:p>
          <w:p w14:paraId="63DF71D3">
            <w:pPr>
              <w:adjustRightInd w:val="0"/>
              <w:snapToGrid w:val="0"/>
              <w:spacing w:line="520" w:lineRule="exact"/>
              <w:ind w:firstLine="480" w:firstLineChars="200"/>
            </w:pPr>
            <w:r>
              <w:t>式中：L</w:t>
            </w:r>
            <w:r>
              <w:rPr>
                <w:vertAlign w:val="subscript"/>
              </w:rPr>
              <w:t>p1</w:t>
            </w:r>
            <w:r>
              <w:t>——靠近开口处（或窗户）室内某倍频带的声压级或A声级，dB；</w:t>
            </w:r>
          </w:p>
          <w:p w14:paraId="5530C199">
            <w:pPr>
              <w:adjustRightInd w:val="0"/>
              <w:snapToGrid w:val="0"/>
              <w:spacing w:line="520" w:lineRule="exact"/>
              <w:ind w:firstLine="480" w:firstLineChars="200"/>
            </w:pPr>
            <w:r>
              <w:rPr>
                <w:rFonts w:hint="eastAsia"/>
              </w:rPr>
              <w:t xml:space="preserve"> </w:t>
            </w:r>
            <w:r>
              <w:t>L</w:t>
            </w:r>
            <w:r>
              <w:rPr>
                <w:vertAlign w:val="subscript"/>
              </w:rPr>
              <w:t>w1</w:t>
            </w:r>
            <w:r>
              <w:t>—点声源声功率级（A计权或倍频带），dB；</w:t>
            </w:r>
          </w:p>
          <w:p w14:paraId="7BF46552">
            <w:pPr>
              <w:adjustRightInd w:val="0"/>
              <w:snapToGrid w:val="0"/>
              <w:spacing w:line="520" w:lineRule="exact"/>
              <w:ind w:firstLine="480" w:firstLineChars="200"/>
            </w:pPr>
            <w:r>
              <w:t xml:space="preserve"> Q—指向性因数；通常对无指向性声源，当声源放在房间中心时，Q=1；当放在一面墙的中心时，Q=2；当放在两面墙夹角处时，Q=4；当放在三面墙夹角处时，Q=8；本项目</w:t>
            </w:r>
            <w:r>
              <w:rPr>
                <w:rFonts w:hint="eastAsia"/>
              </w:rPr>
              <w:t>Q值取2。</w:t>
            </w:r>
          </w:p>
          <w:p w14:paraId="6FA25A19">
            <w:pPr>
              <w:adjustRightInd w:val="0"/>
              <w:snapToGrid w:val="0"/>
              <w:spacing w:line="520" w:lineRule="exact"/>
              <w:ind w:firstLine="480" w:firstLineChars="200"/>
            </w:pPr>
            <w:r>
              <w:rPr>
                <w:rFonts w:hint="eastAsia"/>
              </w:rPr>
              <w:t xml:space="preserve"> </w:t>
            </w:r>
            <w:r>
              <w:t>R——房间常数；R=Sα/（1-α），S为房间内表面面积，m</w:t>
            </w:r>
            <w:r>
              <w:rPr>
                <w:vertAlign w:val="superscript"/>
              </w:rPr>
              <w:t>2</w:t>
            </w:r>
            <w:r>
              <w:t>；α为平均吸声系数，取平均吸声系数0.</w:t>
            </w:r>
            <w:r>
              <w:rPr>
                <w:rFonts w:hint="eastAsia"/>
              </w:rPr>
              <w:t>4</w:t>
            </w:r>
            <w:r>
              <w:t>；</w:t>
            </w:r>
            <w:r>
              <w:rPr>
                <w:rFonts w:hint="eastAsia"/>
              </w:rPr>
              <w:t>车间</w:t>
            </w:r>
            <w:r>
              <w:t>内表面积</w:t>
            </w:r>
            <w:r>
              <w:rPr>
                <w:rFonts w:hint="eastAsia"/>
              </w:rPr>
              <w:t>为4280</w:t>
            </w:r>
            <w:r>
              <w:t>m</w:t>
            </w:r>
            <w:r>
              <w:rPr>
                <w:vertAlign w:val="superscript"/>
              </w:rPr>
              <w:t>2</w:t>
            </w:r>
            <w:r>
              <w:t>，则R=</w:t>
            </w:r>
            <w:r>
              <w:rPr>
                <w:rFonts w:hint="eastAsia"/>
              </w:rPr>
              <w:t>2853；</w:t>
            </w:r>
          </w:p>
          <w:p w14:paraId="0A540B65">
            <w:pPr>
              <w:tabs>
                <w:tab w:val="left" w:pos="3620"/>
              </w:tabs>
              <w:adjustRightInd w:val="0"/>
              <w:snapToGrid w:val="0"/>
              <w:spacing w:line="440" w:lineRule="exact"/>
              <w:ind w:firstLine="480" w:firstLineChars="200"/>
              <w:rPr>
                <w:rFonts w:hAnsi="宋体"/>
              </w:rPr>
            </w:pPr>
            <w:r>
              <w:rPr>
                <w:rFonts w:hint="eastAsia" w:hAnsi="宋体"/>
              </w:rPr>
              <w:t xml:space="preserve">  </w:t>
            </w:r>
            <w:r>
              <w:rPr>
                <w:rFonts w:hAnsi="宋体"/>
              </w:rPr>
              <w:t>r——声源到靠近围护结构某点处的距离，m</w:t>
            </w:r>
            <w:r>
              <w:rPr>
                <w:rFonts w:hint="eastAsia" w:hAnsi="宋体"/>
              </w:rPr>
              <w:t>；</w:t>
            </w:r>
          </w:p>
          <w:p w14:paraId="305C09F2">
            <w:pPr>
              <w:adjustRightInd w:val="0"/>
              <w:snapToGrid w:val="0"/>
              <w:spacing w:line="520" w:lineRule="exact"/>
              <w:ind w:firstLine="480" w:firstLineChars="200"/>
            </w:pPr>
            <w:r>
              <w:rPr>
                <w:rFonts w:hint="eastAsia"/>
              </w:rPr>
              <w:t>（</w:t>
            </w:r>
            <w:r>
              <w:t>2</w:t>
            </w:r>
            <w:r>
              <w:rPr>
                <w:rFonts w:hint="eastAsia"/>
              </w:rPr>
              <w:t>）室外</w:t>
            </w:r>
            <w:r>
              <w:t>声压级计算</w:t>
            </w:r>
          </w:p>
          <w:p w14:paraId="7761D998">
            <w:pPr>
              <w:adjustRightInd w:val="0"/>
              <w:snapToGrid w:val="0"/>
              <w:spacing w:line="520" w:lineRule="exact"/>
              <w:ind w:firstLine="480" w:firstLineChars="200"/>
            </w:pPr>
            <w:r>
              <w:t>然后按下式计算出所有室内声源在围护结构处产生的i倍频带叠加声压级：</w:t>
            </w:r>
          </w:p>
          <w:p w14:paraId="7C2DE05A">
            <w:pPr>
              <w:adjustRightInd w:val="0"/>
              <w:snapToGrid w:val="0"/>
              <w:ind w:firstLine="480" w:firstLineChars="200"/>
              <w:jc w:val="center"/>
            </w:pPr>
            <w:r>
              <w:drawing>
                <wp:inline distT="0" distB="0" distL="114300" distR="114300">
                  <wp:extent cx="1952625" cy="624840"/>
                  <wp:effectExtent l="0" t="0" r="9525" b="3810"/>
                  <wp:docPr id="29" name="图片 5" descr="1740795397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descr="1740795397847"/>
                          <pic:cNvPicPr>
                            <a:picLocks noChangeAspect="1"/>
                          </pic:cNvPicPr>
                        </pic:nvPicPr>
                        <pic:blipFill>
                          <a:blip r:embed="rId21"/>
                          <a:stretch>
                            <a:fillRect/>
                          </a:stretch>
                        </pic:blipFill>
                        <pic:spPr>
                          <a:xfrm>
                            <a:off x="0" y="0"/>
                            <a:ext cx="1952625" cy="624840"/>
                          </a:xfrm>
                          <a:prstGeom prst="rect">
                            <a:avLst/>
                          </a:prstGeom>
                          <a:noFill/>
                          <a:ln>
                            <a:noFill/>
                          </a:ln>
                        </pic:spPr>
                      </pic:pic>
                    </a:graphicData>
                  </a:graphic>
                </wp:inline>
              </w:drawing>
            </w:r>
          </w:p>
          <w:p w14:paraId="0E71C154">
            <w:pPr>
              <w:adjustRightInd w:val="0"/>
              <w:snapToGrid w:val="0"/>
              <w:spacing w:line="520" w:lineRule="exact"/>
              <w:ind w:firstLine="480" w:firstLineChars="200"/>
            </w:pPr>
            <w:r>
              <w:t>式中：L</w:t>
            </w:r>
            <w:r>
              <w:rPr>
                <w:vertAlign w:val="subscript"/>
              </w:rPr>
              <w:t>p1i</w:t>
            </w:r>
            <w:r>
              <w:t>（T）——靠近围护结构处室内N个声源i倍频带的叠加声压级，dB；</w:t>
            </w:r>
          </w:p>
          <w:p w14:paraId="650F6E7E">
            <w:pPr>
              <w:adjustRightInd w:val="0"/>
              <w:snapToGrid w:val="0"/>
              <w:spacing w:line="520" w:lineRule="exact"/>
              <w:ind w:firstLine="480" w:firstLineChars="200"/>
            </w:pPr>
            <w:r>
              <w:t xml:space="preserve">  L</w:t>
            </w:r>
            <w:r>
              <w:rPr>
                <w:vertAlign w:val="subscript"/>
              </w:rPr>
              <w:t>p1ij</w:t>
            </w:r>
            <w:r>
              <w:t>——室内j声源i倍频带的声压级，dB；</w:t>
            </w:r>
          </w:p>
          <w:p w14:paraId="571B034A">
            <w:pPr>
              <w:adjustRightInd w:val="0"/>
              <w:snapToGrid w:val="0"/>
              <w:spacing w:line="520" w:lineRule="exact"/>
              <w:ind w:firstLine="480" w:firstLineChars="200"/>
            </w:pPr>
            <w:r>
              <w:t xml:space="preserve">  N——室内声源总数。</w:t>
            </w:r>
          </w:p>
          <w:p w14:paraId="058F2AC8">
            <w:pPr>
              <w:adjustRightInd w:val="0"/>
              <w:snapToGrid w:val="0"/>
              <w:spacing w:line="520" w:lineRule="exact"/>
              <w:ind w:firstLine="480" w:firstLineChars="200"/>
            </w:pPr>
            <w:r>
              <w:t>在室内近似为扩散声场时，按下式计算出靠近室外围护结构处的声压级：</w:t>
            </w:r>
          </w:p>
          <w:p w14:paraId="01F8FF28">
            <w:pPr>
              <w:adjustRightInd w:val="0"/>
              <w:snapToGrid w:val="0"/>
              <w:spacing w:line="520" w:lineRule="exact"/>
              <w:ind w:firstLine="480" w:firstLineChars="200"/>
            </w:pPr>
            <w:r>
              <w:t xml:space="preserve">                   L</w:t>
            </w:r>
            <w:r>
              <w:rPr>
                <w:vertAlign w:val="subscript"/>
              </w:rPr>
              <w:t>p2i</w:t>
            </w:r>
            <w:r>
              <w:t>（T）=L</w:t>
            </w:r>
            <w:r>
              <w:rPr>
                <w:vertAlign w:val="subscript"/>
              </w:rPr>
              <w:t>p1i</w:t>
            </w:r>
            <w:r>
              <w:t>（T）-（TL</w:t>
            </w:r>
            <w:r>
              <w:rPr>
                <w:vertAlign w:val="subscript"/>
              </w:rPr>
              <w:t>i</w:t>
            </w:r>
            <w:r>
              <w:t>+6）</w:t>
            </w:r>
          </w:p>
          <w:p w14:paraId="2AD520FA">
            <w:pPr>
              <w:adjustRightInd w:val="0"/>
              <w:snapToGrid w:val="0"/>
              <w:spacing w:line="520" w:lineRule="exact"/>
              <w:ind w:firstLine="480" w:firstLineChars="200"/>
            </w:pPr>
            <w:r>
              <w:t>式中：L</w:t>
            </w:r>
            <w:r>
              <w:rPr>
                <w:vertAlign w:val="subscript"/>
              </w:rPr>
              <w:t>p2i</w:t>
            </w:r>
            <w:r>
              <w:t>（T）——靠近围护结构处室外N个声源i倍频带的叠加声压级，dB；</w:t>
            </w:r>
          </w:p>
          <w:p w14:paraId="5BF7D9D2">
            <w:pPr>
              <w:adjustRightInd w:val="0"/>
              <w:snapToGrid w:val="0"/>
              <w:spacing w:line="520" w:lineRule="exact"/>
              <w:ind w:firstLine="480" w:firstLineChars="200"/>
            </w:pPr>
            <w:r>
              <w:t>L</w:t>
            </w:r>
            <w:r>
              <w:rPr>
                <w:vertAlign w:val="subscript"/>
              </w:rPr>
              <w:t>p1i</w:t>
            </w:r>
            <w:r>
              <w:t>（T）——靠近围护结构处室内N个声源i倍频带的叠加声压级，dB；</w:t>
            </w:r>
          </w:p>
          <w:p w14:paraId="780E66FC">
            <w:pPr>
              <w:adjustRightInd w:val="0"/>
              <w:snapToGrid w:val="0"/>
              <w:spacing w:line="520" w:lineRule="exact"/>
              <w:ind w:firstLine="480" w:firstLineChars="200"/>
            </w:pPr>
            <w:r>
              <w:t>TL</w:t>
            </w:r>
            <w:r>
              <w:rPr>
                <w:vertAlign w:val="subscript"/>
              </w:rPr>
              <w:t>i</w:t>
            </w:r>
            <w:r>
              <w:t>——围护结构i倍频带的隔声量，</w:t>
            </w:r>
            <w:bookmarkStart w:id="25" w:name="OLE_LINK44"/>
            <w:bookmarkStart w:id="26" w:name="OLE_LINK39"/>
            <w:r>
              <w:t>dB</w:t>
            </w:r>
            <w:bookmarkEnd w:id="25"/>
            <w:bookmarkEnd w:id="26"/>
            <w:r>
              <w:t>，本项目隔声量取</w:t>
            </w:r>
            <w:r>
              <w:rPr>
                <w:rFonts w:hint="eastAsia"/>
              </w:rPr>
              <w:t>20</w:t>
            </w:r>
            <w:r>
              <w:t xml:space="preserve"> dB；</w:t>
            </w:r>
          </w:p>
          <w:p w14:paraId="6CAD0FA3">
            <w:pPr>
              <w:adjustRightInd w:val="0"/>
              <w:snapToGrid w:val="0"/>
              <w:spacing w:line="520" w:lineRule="exact"/>
              <w:ind w:firstLine="480" w:firstLineChars="200"/>
            </w:pPr>
            <w:r>
              <w:rPr>
                <w:rFonts w:hint="eastAsia"/>
              </w:rPr>
              <w:t>（3）室外声功率级计算</w:t>
            </w:r>
          </w:p>
          <w:p w14:paraId="251E2FED">
            <w:pPr>
              <w:adjustRightInd w:val="0"/>
              <w:snapToGrid w:val="0"/>
              <w:spacing w:line="520" w:lineRule="exact"/>
              <w:ind w:firstLine="480" w:firstLineChars="200"/>
            </w:pPr>
            <w:r>
              <w:t>然后按下式将室外声源的声压级和透过面积换算成等效的室外声源</w:t>
            </w:r>
            <w:r>
              <w:rPr>
                <w:rFonts w:hint="eastAsia"/>
              </w:rPr>
              <w:t>声功率级</w:t>
            </w:r>
            <w:r>
              <w:t>，计算出中心位置位于透声面积（S）处的等效声源的倍频带声功率级：</w:t>
            </w:r>
          </w:p>
          <w:p w14:paraId="2A368FC5">
            <w:pPr>
              <w:adjustRightInd w:val="0"/>
              <w:snapToGrid w:val="0"/>
              <w:spacing w:line="520" w:lineRule="exact"/>
              <w:ind w:firstLine="480" w:firstLineChars="200"/>
              <w:jc w:val="center"/>
            </w:pPr>
            <w:r>
              <w:rPr>
                <w:rFonts w:hint="eastAsia"/>
              </w:rPr>
              <w:t>L</w:t>
            </w:r>
            <w:r>
              <w:rPr>
                <w:rFonts w:hint="eastAsia"/>
                <w:vertAlign w:val="subscript"/>
              </w:rPr>
              <w:t>w</w:t>
            </w:r>
            <w:r>
              <w:t>=L</w:t>
            </w:r>
            <w:r>
              <w:rPr>
                <w:vertAlign w:val="subscript"/>
              </w:rPr>
              <w:t>p2</w:t>
            </w:r>
            <w:r>
              <w:t>（T）+10lgS</w:t>
            </w:r>
          </w:p>
          <w:p w14:paraId="4410D54B">
            <w:pPr>
              <w:adjustRightInd w:val="0"/>
              <w:snapToGrid w:val="0"/>
              <w:spacing w:line="520" w:lineRule="exact"/>
              <w:ind w:firstLine="480" w:firstLineChars="200"/>
            </w:pPr>
            <w:r>
              <w:t>式中：Lw——中心位置位于透声面积（S）处的等效声源的倍频带声功率级，dB；</w:t>
            </w:r>
          </w:p>
          <w:p w14:paraId="6509B9B9">
            <w:pPr>
              <w:adjustRightInd w:val="0"/>
              <w:snapToGrid w:val="0"/>
              <w:spacing w:line="520" w:lineRule="exact"/>
              <w:ind w:firstLine="480" w:firstLineChars="200"/>
            </w:pPr>
            <w:r>
              <w:t>L</w:t>
            </w:r>
            <w:r>
              <w:rPr>
                <w:vertAlign w:val="subscript"/>
              </w:rPr>
              <w:t>p2</w:t>
            </w:r>
            <w:r>
              <w:t>（T）——靠近围护结构处室外声源的声压级，dB；</w:t>
            </w:r>
          </w:p>
          <w:p w14:paraId="75C40500">
            <w:pPr>
              <w:adjustRightInd w:val="0"/>
              <w:snapToGrid w:val="0"/>
              <w:spacing w:line="520" w:lineRule="exact"/>
              <w:ind w:firstLine="480" w:firstLineChars="200"/>
            </w:pPr>
            <w:r>
              <w:t>S——透声面积，m</w:t>
            </w:r>
            <w:r>
              <w:rPr>
                <w:vertAlign w:val="superscript"/>
              </w:rPr>
              <w:t>2</w:t>
            </w:r>
            <w:r>
              <w:t>。</w:t>
            </w:r>
            <w:r>
              <w:rPr>
                <w:rFonts w:hint="eastAsia"/>
              </w:rPr>
              <w:t>（主车间透声面积取10）</w:t>
            </w:r>
          </w:p>
          <w:p w14:paraId="4EC493CC">
            <w:pPr>
              <w:spacing w:line="520" w:lineRule="exact"/>
              <w:ind w:firstLine="480" w:firstLineChars="200"/>
            </w:pPr>
            <w:r>
              <w:rPr>
                <w:rFonts w:hint="eastAsia"/>
              </w:rPr>
              <w:t>（4）声源位于地面半自由声场声压级计算</w:t>
            </w:r>
          </w:p>
          <w:p w14:paraId="3AE16527">
            <w:pPr>
              <w:spacing w:line="520" w:lineRule="exact"/>
              <w:ind w:firstLine="480" w:firstLineChars="200"/>
            </w:pPr>
            <w:r>
              <w:t>根据本项目主要高噪声设备的分布状况和房间外源强，</w:t>
            </w:r>
            <w:r>
              <w:rPr>
                <w:rFonts w:hint="eastAsia"/>
              </w:rPr>
              <w:t>根据导则中</w:t>
            </w:r>
            <w:r>
              <w:t>噪声预测模型</w:t>
            </w:r>
            <w:r>
              <w:rPr>
                <w:rFonts w:hint="eastAsia"/>
              </w:rPr>
              <w:t>，</w:t>
            </w:r>
            <w:r>
              <w:t>计算出各声源对</w:t>
            </w:r>
            <w:r>
              <w:rPr>
                <w:rFonts w:hint="eastAsia"/>
              </w:rPr>
              <w:t>厂界的噪声</w:t>
            </w:r>
            <w:r>
              <w:t>贡献值</w:t>
            </w:r>
            <w:r>
              <w:rPr>
                <w:rFonts w:hint="eastAsia"/>
              </w:rPr>
              <w:t>。</w:t>
            </w:r>
          </w:p>
          <w:p w14:paraId="6C079621">
            <w:pPr>
              <w:spacing w:line="520" w:lineRule="exact"/>
              <w:ind w:firstLine="480" w:firstLineChars="200"/>
            </w:pPr>
            <w:r>
              <w:rPr>
                <w:rFonts w:hint="eastAsia"/>
              </w:rPr>
              <w:t>点声源</w:t>
            </w:r>
            <w:r>
              <w:t>的</w:t>
            </w:r>
            <w:r>
              <w:rPr>
                <w:rFonts w:hint="eastAsia"/>
              </w:rPr>
              <w:t>几何</w:t>
            </w:r>
            <w:r>
              <w:t>发散衰减的</w:t>
            </w:r>
            <w:r>
              <w:rPr>
                <w:rFonts w:hint="eastAsia"/>
              </w:rPr>
              <w:t>基本公式</w:t>
            </w:r>
            <w:r>
              <w:t>如下：</w:t>
            </w:r>
          </w:p>
          <w:p w14:paraId="00B9824E">
            <w:pPr>
              <w:spacing w:line="520" w:lineRule="exact"/>
              <w:jc w:val="center"/>
            </w:pPr>
            <w:r>
              <w:t>Lp（</w:t>
            </w:r>
            <w:r>
              <w:rPr>
                <w:rFonts w:hint="eastAsia"/>
              </w:rPr>
              <w:t>r</w:t>
            </w:r>
            <w:r>
              <w:t>）</w:t>
            </w:r>
            <w:r>
              <w:rPr>
                <w:rFonts w:hint="eastAsia"/>
              </w:rPr>
              <w:t>=</w:t>
            </w:r>
            <w:r>
              <w:t>L</w:t>
            </w:r>
            <w:r>
              <w:rPr>
                <w:rFonts w:hint="eastAsia"/>
              </w:rPr>
              <w:t>w-20</w:t>
            </w:r>
            <w:r>
              <w:t>lg</w:t>
            </w:r>
            <w:r>
              <w:rPr>
                <w:rFonts w:hint="eastAsia"/>
              </w:rPr>
              <w:t>r-8</w:t>
            </w:r>
          </w:p>
          <w:p w14:paraId="525F42A8">
            <w:pPr>
              <w:spacing w:line="520" w:lineRule="exact"/>
            </w:pPr>
            <w:r>
              <w:rPr>
                <w:rFonts w:hint="eastAsia"/>
              </w:rPr>
              <w:t>式中</w:t>
            </w:r>
            <w:r>
              <w:t>：L</w:t>
            </w:r>
            <w:r>
              <w:rPr>
                <w:vertAlign w:val="subscript"/>
              </w:rPr>
              <w:t>p</w:t>
            </w:r>
            <w:r>
              <w:t>（</w:t>
            </w:r>
            <w:r>
              <w:rPr>
                <w:rFonts w:hint="eastAsia"/>
              </w:rPr>
              <w:t>r</w:t>
            </w:r>
            <w:r>
              <w:t>）</w:t>
            </w:r>
            <w:r>
              <w:rPr>
                <w:rFonts w:hint="eastAsia"/>
              </w:rPr>
              <w:t>—预测点处声压级，dB；</w:t>
            </w:r>
          </w:p>
          <w:p w14:paraId="259837E6">
            <w:pPr>
              <w:spacing w:line="520" w:lineRule="exact"/>
              <w:ind w:firstLine="720" w:firstLineChars="300"/>
            </w:pPr>
            <w:r>
              <w:t>L</w:t>
            </w:r>
            <w:r>
              <w:rPr>
                <w:rFonts w:hint="eastAsia"/>
                <w:vertAlign w:val="subscript"/>
              </w:rPr>
              <w:t>w</w:t>
            </w:r>
            <w:r>
              <w:rPr>
                <w:rFonts w:hint="eastAsia"/>
              </w:rPr>
              <w:t>—由点声源产生的倍频带声功率级，dB；</w:t>
            </w:r>
          </w:p>
          <w:p w14:paraId="45AF47BD">
            <w:pPr>
              <w:spacing w:line="520" w:lineRule="exact"/>
              <w:ind w:firstLine="720" w:firstLineChars="300"/>
            </w:pPr>
            <w:r>
              <w:t>r—</w:t>
            </w:r>
            <w:r>
              <w:rPr>
                <w:rFonts w:hint="eastAsia"/>
              </w:rPr>
              <w:t>预测点距声源的距离，</w:t>
            </w:r>
            <w:r>
              <w:t>m；</w:t>
            </w:r>
          </w:p>
          <w:p w14:paraId="794473F1">
            <w:pPr>
              <w:spacing w:line="520" w:lineRule="exact"/>
              <w:ind w:firstLine="480" w:firstLineChars="200"/>
            </w:pPr>
            <w:r>
              <w:rPr>
                <w:rFonts w:hint="eastAsia"/>
              </w:rPr>
              <w:t>（5）本项目声源在预测点处的贡献值计算</w:t>
            </w:r>
          </w:p>
          <w:p w14:paraId="6230B9EF">
            <w:pPr>
              <w:spacing w:line="520" w:lineRule="exact"/>
              <w:ind w:firstLine="480" w:firstLineChars="200"/>
            </w:pPr>
            <w:r>
              <w:rPr>
                <w:rFonts w:hint="eastAsia"/>
              </w:rPr>
              <w:t>本项目</w:t>
            </w:r>
            <w:r>
              <w:t>声源在预测点产生的贡献值（Leqg）计算公式</w:t>
            </w:r>
            <w:r>
              <w:rPr>
                <w:rFonts w:hint="eastAsia"/>
              </w:rPr>
              <w:t>：</w:t>
            </w:r>
          </w:p>
          <w:p w14:paraId="23E96C50">
            <w:pPr>
              <w:spacing w:before="156" w:beforeLines="50" w:after="156" w:afterLines="50" w:line="520" w:lineRule="exact"/>
              <w:jc w:val="center"/>
              <w:rPr>
                <w:rFonts w:hAnsi="Cambria Math"/>
                <w:color w:val="0C0C0C"/>
              </w:rPr>
            </w:pPr>
            <w:r>
              <w:rPr>
                <w:color w:val="0C0C0C"/>
              </w:rPr>
              <w:t>L</w:t>
            </w:r>
            <w:r>
              <w:rPr>
                <w:rFonts w:hint="eastAsia"/>
                <w:color w:val="0C0C0C"/>
                <w:vertAlign w:val="subscript"/>
              </w:rPr>
              <w:t>eqg</w:t>
            </w:r>
            <w:r>
              <w:rPr>
                <w:color w:val="0C0C0C"/>
              </w:rPr>
              <w:t>=10lg</w:t>
            </w:r>
            <w:r>
              <w:rPr>
                <w:rFonts w:hAnsi="Cambria Math"/>
                <w:color w:val="0C0C0C"/>
              </w:rPr>
              <w:fldChar w:fldCharType="begin"/>
            </w:r>
            <w:r>
              <w:rPr>
                <w:rFonts w:hAnsi="Cambria Math"/>
                <w:color w:val="0C0C0C"/>
              </w:rPr>
              <w:instrText xml:space="preserve"> QUOTE </w:instrText>
            </w:r>
            <w:r>
              <w:rPr>
                <w:position w:val="-21"/>
              </w:rPr>
              <w:pict>
                <v:shape id="_x0000_i1028" o:spt="75" type="#_x0000_t75" style="height:27.55pt;width:146.3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bordersDontSurroundHeader/&gt;&lt;w:bordersDontSurroundFooter/&gt;&lt;w:stylePaneFormatFilter w:val=&quot;3F01&quot;/&gt;&lt;w:documentProtection w:edit=&quot;tracked-changes&quot; w:enforcement=&quot;off&quot;/&gt;&lt;w:defaultTabStop w:val=&quot;420&quot;/&gt;&lt;w:doNotHyphenateCaps/&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docVars&gt;&lt;w:docVar w:name=&quot;commondata&quot; w:val=&quot;eyJoZGlkIjoiM2E5ZmNiYjAyYjViNTZjMWRmZTZkMWFmYTEzNDQwMTEifQ==&quot;/&gt;&lt;/w:docVars&gt;&lt;wsp:rsids&gt;&lt;wsp:rsidRoot wsp:val=&quot;00A14947&quot;/&gt;&lt;wsp:rsid wsp:val=&quot;000060B3&quot;/&gt;&lt;wsp:rsid wsp:val=&quot;000115BC&quot;/&gt;&lt;wsp:rsid wsp:val=&quot;00025499&quot;/&gt;&lt;wsp:rsid wsp:val=&quot;00034578&quot;/&gt;&lt;wsp:rsid wsp:val=&quot;00036B35&quot;/&gt;&lt;wsp:rsid wsp:val=&quot;000370DB&quot;/&gt;&lt;wsp:rsid wsp:val=&quot;0003711F&quot;/&gt;&lt;wsp:rsid wsp:val=&quot;0004364B&quot;/&gt;&lt;wsp:rsid wsp:val=&quot;00051F7F&quot;/&gt;&lt;wsp:rsid wsp:val=&quot;00052E73&quot;/&gt;&lt;wsp:rsid wsp:val=&quot;00061AD1&quot;/&gt;&lt;wsp:rsid wsp:val=&quot;00061B1F&quot;/&gt;&lt;wsp:rsid wsp:val=&quot;00063350&quot;/&gt;&lt;wsp:rsid wsp:val=&quot;000654F7&quot;/&gt;&lt;wsp:rsid wsp:val=&quot;00072A85&quot;/&gt;&lt;wsp:rsid wsp:val=&quot;000733C4&quot;/&gt;&lt;wsp:rsid wsp:val=&quot;00074783&quot;/&gt;&lt;wsp:rsid wsp:val=&quot;0007608C&quot;/&gt;&lt;wsp:rsid wsp:val=&quot;0008070B&quot;/&gt;&lt;wsp:rsid wsp:val=&quot;000810AC&quot;/&gt;&lt;wsp:rsid wsp:val=&quot;00081A02&quot;/&gt;&lt;wsp:rsid wsp:val=&quot;00081FFB&quot;/&gt;&lt;wsp:rsid wsp:val=&quot;00082231&quot;/&gt;&lt;wsp:rsid wsp:val=&quot;00086479&quot;/&gt;&lt;wsp:rsid wsp:val=&quot;00091828&quot;/&gt;&lt;wsp:rsid wsp:val=&quot;00091E24&quot;/&gt;&lt;wsp:rsid wsp:val=&quot;00092A85&quot;/&gt;&lt;wsp:rsid wsp:val=&quot;00092D38&quot;/&gt;&lt;wsp:rsid wsp:val=&quot;0009377B&quot;/&gt;&lt;wsp:rsid wsp:val=&quot;000A20C9&quot;/&gt;&lt;wsp:rsid wsp:val=&quot;000A3F87&quot;/&gt;&lt;wsp:rsid wsp:val=&quot;000A648A&quot;/&gt;&lt;wsp:rsid wsp:val=&quot;000B058F&quot;/&gt;&lt;wsp:rsid wsp:val=&quot;000B3A3A&quot;/&gt;&lt;wsp:rsid wsp:val=&quot;000B4467&quot;/&gt;&lt;wsp:rsid wsp:val=&quot;000B4DB9&quot;/&gt;&lt;wsp:rsid wsp:val=&quot;000B6964&quot;/&gt;&lt;wsp:rsid wsp:val=&quot;000B6DD2&quot;/&gt;&lt;wsp:rsid wsp:val=&quot;000C04D8&quot;/&gt;&lt;wsp:rsid wsp:val=&quot;000C09AC&quot;/&gt;&lt;wsp:rsid wsp:val=&quot;000C44FD&quot;/&gt;&lt;wsp:rsid wsp:val=&quot;000C53A9&quot;/&gt;&lt;wsp:rsid wsp:val=&quot;000C767F&quot;/&gt;&lt;wsp:rsid wsp:val=&quot;000C768D&quot;/&gt;&lt;wsp:rsid wsp:val=&quot;000D0CB1&quot;/&gt;&lt;wsp:rsid wsp:val=&quot;000D1E57&quot;/&gt;&lt;wsp:rsid wsp:val=&quot;000D5A44&quot;/&gt;&lt;wsp:rsid wsp:val=&quot;000E3ED2&quot;/&gt;&lt;wsp:rsid wsp:val=&quot;000E53C2&quot;/&gt;&lt;wsp:rsid wsp:val=&quot;000F0346&quot;/&gt;&lt;wsp:rsid wsp:val=&quot;000F4AD8&quot;/&gt;&lt;wsp:rsid wsp:val=&quot;000F5C83&quot;/&gt;&lt;wsp:rsid wsp:val=&quot;000F7EA7&quot;/&gt;&lt;wsp:rsid wsp:val=&quot;001010E8&quot;/&gt;&lt;wsp:rsid wsp:val=&quot;00103BD7&quot;/&gt;&lt;wsp:rsid wsp:val=&quot;00105B70&quot;/&gt;&lt;wsp:rsid wsp:val=&quot;00111B2D&quot;/&gt;&lt;wsp:rsid wsp:val=&quot;00112A4D&quot;/&gt;&lt;wsp:rsid wsp:val=&quot;00115DCA&quot;/&gt;&lt;wsp:rsid wsp:val=&quot;00117105&quot;/&gt;&lt;wsp:rsid wsp:val=&quot;00131804&quot;/&gt;&lt;wsp:rsid wsp:val=&quot;00131F42&quot;/&gt;&lt;wsp:rsid wsp:val=&quot;00135530&quot;/&gt;&lt;wsp:rsid wsp:val=&quot;001357F1&quot;/&gt;&lt;wsp:rsid wsp:val=&quot;00137D04&quot;/&gt;&lt;wsp:rsid wsp:val=&quot;001400DD&quot;/&gt;&lt;wsp:rsid wsp:val=&quot;0014090A&quot;/&gt;&lt;wsp:rsid wsp:val=&quot;00140FA8&quot;/&gt;&lt;wsp:rsid wsp:val=&quot;00141F6D&quot;/&gt;&lt;wsp:rsid wsp:val=&quot;00142FEB&quot;/&gt;&lt;wsp:rsid wsp:val=&quot;00143A2D&quot;/&gt;&lt;wsp:rsid wsp:val=&quot;00145A41&quot;/&gt;&lt;wsp:rsid wsp:val=&quot;00146A90&quot;/&gt;&lt;wsp:rsid wsp:val=&quot;00151675&quot;/&gt;&lt;wsp:rsid wsp:val=&quot;0015246F&quot;/&gt;&lt;wsp:rsid wsp:val=&quot;00154977&quot;/&gt;&lt;wsp:rsid wsp:val=&quot;00156C74&quot;/&gt;&lt;wsp:rsid wsp:val=&quot;00156DAA&quot;/&gt;&lt;wsp:rsid wsp:val=&quot;00157435&quot;/&gt;&lt;wsp:rsid wsp:val=&quot;00161762&quot;/&gt;&lt;wsp:rsid wsp:val=&quot;0016521C&quot;/&gt;&lt;wsp:rsid wsp:val=&quot;00167B0C&quot;/&gt;&lt;wsp:rsid wsp:val=&quot;001710F5&quot;/&gt;&lt;wsp:rsid wsp:val=&quot;0017504D&quot;/&gt;&lt;wsp:rsid wsp:val=&quot;0017671A&quot;/&gt;&lt;wsp:rsid wsp:val=&quot;00177422&quot;/&gt;&lt;wsp:rsid wsp:val=&quot;001835AA&quot;/&gt;&lt;wsp:rsid wsp:val=&quot;00184590&quot;/&gt;&lt;wsp:rsid wsp:val=&quot;00185BBE&quot;/&gt;&lt;wsp:rsid wsp:val=&quot;001870D1&quot;/&gt;&lt;wsp:rsid wsp:val=&quot;0018781E&quot;/&gt;&lt;wsp:rsid wsp:val=&quot;0019262D&quot;/&gt;&lt;wsp:rsid wsp:val=&quot;001A1B35&quot;/&gt;&lt;wsp:rsid wsp:val=&quot;001A3464&quot;/&gt;&lt;wsp:rsid wsp:val=&quot;001A3965&quot;/&gt;&lt;wsp:rsid wsp:val=&quot;001A48A2&quot;/&gt;&lt;wsp:rsid wsp:val=&quot;001A57CC&quot;/&gt;&lt;wsp:rsid wsp:val=&quot;001A6F61&quot;/&gt;&lt;wsp:rsid wsp:val=&quot;001B46BE&quot;/&gt;&lt;wsp:rsid wsp:val=&quot;001B56E2&quot;/&gt;&lt;wsp:rsid wsp:val=&quot;001B72B8&quot;/&gt;&lt;wsp:rsid wsp:val=&quot;001C0E81&quot;/&gt;&lt;wsp:rsid wsp:val=&quot;001C4510&quot;/&gt;&lt;wsp:rsid wsp:val=&quot;001C69B3&quot;/&gt;&lt;wsp:rsid wsp:val=&quot;001C74B4&quot;/&gt;&lt;wsp:rsid wsp:val=&quot;001D4A99&quot;/&gt;&lt;wsp:rsid wsp:val=&quot;001D5595&quot;/&gt;&lt;wsp:rsid wsp:val=&quot;001D64D5&quot;/&gt;&lt;wsp:rsid wsp:val=&quot;001D7042&quot;/&gt;&lt;wsp:rsid wsp:val=&quot;001D7874&quot;/&gt;&lt;wsp:rsid wsp:val=&quot;001D7F22&quot;/&gt;&lt;wsp:rsid wsp:val=&quot;001E08FC&quot;/&gt;&lt;wsp:rsid wsp:val=&quot;001E35B8&quot;/&gt;&lt;wsp:rsid wsp:val=&quot;001E5C65&quot;/&gt;&lt;wsp:rsid wsp:val=&quot;001F0F17&quot;/&gt;&lt;wsp:rsid wsp:val=&quot;001F3347&quot;/&gt;&lt;wsp:rsid wsp:val=&quot;001F39F9&quot;/&gt;&lt;wsp:rsid wsp:val=&quot;001F512B&quot;/&gt;&lt;wsp:rsid wsp:val=&quot;001F69E4&quot;/&gt;&lt;wsp:rsid wsp:val=&quot;00201D7A&quot;/&gt;&lt;wsp:rsid wsp:val=&quot;00202EBA&quot;/&gt;&lt;wsp:rsid wsp:val=&quot;00203E02&quot;/&gt;&lt;wsp:rsid wsp:val=&quot;00206B6C&quot;/&gt;&lt;wsp:rsid wsp:val=&quot;00211323&quot;/&gt;&lt;wsp:rsid wsp:val=&quot;00211DB3&quot;/&gt;&lt;wsp:rsid wsp:val=&quot;002125B4&quot;/&gt;&lt;wsp:rsid wsp:val=&quot;00213C07&quot;/&gt;&lt;wsp:rsid wsp:val=&quot;002148E2&quot;/&gt;&lt;wsp:rsid wsp:val=&quot;00214F43&quot;/&gt;&lt;wsp:rsid wsp:val=&quot;002155B8&quot;/&gt;&lt;wsp:rsid wsp:val=&quot;00217C58&quot;/&gt;&lt;wsp:rsid wsp:val=&quot;002212AF&quot;/&gt;&lt;wsp:rsid wsp:val=&quot;00224839&quot;/&gt;&lt;wsp:rsid wsp:val=&quot;002249B2&quot;/&gt;&lt;wsp:rsid wsp:val=&quot;002258D6&quot;/&gt;&lt;wsp:rsid wsp:val=&quot;00226574&quot;/&gt;&lt;wsp:rsid wsp:val=&quot;00226C00&quot;/&gt;&lt;wsp:rsid wsp:val=&quot;0022700C&quot;/&gt;&lt;wsp:rsid wsp:val=&quot;002278EC&quot;/&gt;&lt;wsp:rsid wsp:val=&quot;0023280E&quot;/&gt;&lt;wsp:rsid wsp:val=&quot;00234198&quot;/&gt;&lt;wsp:rsid wsp:val=&quot;002377D1&quot;/&gt;&lt;wsp:rsid wsp:val=&quot;002400BE&quot;/&gt;&lt;wsp:rsid wsp:val=&quot;002405EC&quot;/&gt;&lt;wsp:rsid wsp:val=&quot;00241F6B&quot;/&gt;&lt;wsp:rsid wsp:val=&quot;0024533A&quot;/&gt;&lt;wsp:rsid wsp:val=&quot;002506BC&quot;/&gt;&lt;wsp:rsid wsp:val=&quot;00254345&quot;/&gt;&lt;wsp:rsid wsp:val=&quot;00256EA8&quot;/&gt;&lt;wsp:rsid wsp:val=&quot;00260CFD&quot;/&gt;&lt;wsp:rsid wsp:val=&quot;002643E6&quot;/&gt;&lt;wsp:rsid wsp:val=&quot;00264557&quot;/&gt;&lt;wsp:rsid wsp:val=&quot;0026767C&quot;/&gt;&lt;wsp:rsid wsp:val=&quot;00273698&quot;/&gt;&lt;wsp:rsid wsp:val=&quot;002805AB&quot;/&gt;&lt;wsp:rsid wsp:val=&quot;002812A2&quot;/&gt;&lt;wsp:rsid wsp:val=&quot;00284204&quot;/&gt;&lt;wsp:rsid wsp:val=&quot;00284423&quot;/&gt;&lt;wsp:rsid wsp:val=&quot;002851E5&quot;/&gt;&lt;wsp:rsid wsp:val=&quot;00290BB2&quot;/&gt;&lt;wsp:rsid wsp:val=&quot;002911F2&quot;/&gt;&lt;wsp:rsid wsp:val=&quot;00291773&quot;/&gt;&lt;wsp:rsid wsp:val=&quot;00293528&quot;/&gt;&lt;wsp:rsid wsp:val=&quot;0029396B&quot;/&gt;&lt;wsp:rsid wsp:val=&quot;002A168C&quot;/&gt;&lt;wsp:rsid wsp:val=&quot;002A3784&quot;/&gt;&lt;wsp:rsid wsp:val=&quot;002A39E8&quot;/&gt;&lt;wsp:rsid wsp:val=&quot;002A3DC7&quot;/&gt;&lt;wsp:rsid wsp:val=&quot;002A6800&quot;/&gt;&lt;wsp:rsid wsp:val=&quot;002B32A0&quot;/&gt;&lt;wsp:rsid wsp:val=&quot;002B49E2&quot;/&gt;&lt;wsp:rsid wsp:val=&quot;002B6236&quot;/&gt;&lt;wsp:rsid wsp:val=&quot;002B7B00&quot;/&gt;&lt;wsp:rsid wsp:val=&quot;002B7C44&quot;/&gt;&lt;wsp:rsid wsp:val=&quot;002C1118&quot;/&gt;&lt;wsp:rsid wsp:val=&quot;002C2B17&quot;/&gt;&lt;wsp:rsid wsp:val=&quot;002C2B96&quot;/&gt;&lt;wsp:rsid wsp:val=&quot;002D2E67&quot;/&gt;&lt;wsp:rsid wsp:val=&quot;002D3DD0&quot;/&gt;&lt;wsp:rsid wsp:val=&quot;002D40C8&quot;/&gt;&lt;wsp:rsid wsp:val=&quot;002E1F3A&quot;/&gt;&lt;wsp:rsid wsp:val=&quot;002E298A&quot;/&gt;&lt;wsp:rsid wsp:val=&quot;002E378A&quot;/&gt;&lt;wsp:rsid wsp:val=&quot;00301978&quot;/&gt;&lt;wsp:rsid wsp:val=&quot;0030332C&quot;/&gt;&lt;wsp:rsid wsp:val=&quot;00304174&quot;/&gt;&lt;wsp:rsid wsp:val=&quot;003051C2&quot;/&gt;&lt;wsp:rsid wsp:val=&quot;00305BEC&quot;/&gt;&lt;wsp:rsid wsp:val=&quot;00311755&quot;/&gt;&lt;wsp:rsid wsp:val=&quot;00312296&quot;/&gt;&lt;wsp:rsid wsp:val=&quot;003142B3&quot;/&gt;&lt;wsp:rsid wsp:val=&quot;00314F0E&quot;/&gt;&lt;wsp:rsid wsp:val=&quot;00321D8E&quot;/&gt;&lt;wsp:rsid wsp:val=&quot;003240C5&quot;/&gt;&lt;wsp:rsid wsp:val=&quot;00325928&quot;/&gt;&lt;wsp:rsid wsp:val=&quot;003264C2&quot;/&gt;&lt;wsp:rsid wsp:val=&quot;00327818&quot;/&gt;&lt;wsp:rsid wsp:val=&quot;00332863&quot;/&gt;&lt;wsp:rsid wsp:val=&quot;003331B5&quot;/&gt;&lt;wsp:rsid wsp:val=&quot;0033482A&quot;/&gt;&lt;wsp:rsid wsp:val=&quot;0033684D&quot;/&gt;&lt;wsp:rsid wsp:val=&quot;00337B42&quot;/&gt;&lt;wsp:rsid wsp:val=&quot;00341B42&quot;/&gt;&lt;wsp:rsid wsp:val=&quot;00343048&quot;/&gt;&lt;wsp:rsid wsp:val=&quot;0034348F&quot;/&gt;&lt;wsp:rsid wsp:val=&quot;00346EEC&quot;/&gt;&lt;wsp:rsid wsp:val=&quot;00346FC9&quot;/&gt;&lt;wsp:rsid wsp:val=&quot;0035088E&quot;/&gt;&lt;wsp:rsid wsp:val=&quot;00355A27&quot;/&gt;&lt;wsp:rsid wsp:val=&quot;003564B1&quot;/&gt;&lt;wsp:rsid wsp:val=&quot;00356653&quot;/&gt;&lt;wsp:rsid wsp:val=&quot;00356CE5&quot;/&gt;&lt;wsp:rsid wsp:val=&quot;00356D0F&quot;/&gt;&lt;wsp:rsid wsp:val=&quot;0035743F&quot;/&gt;&lt;wsp:rsid wsp:val=&quot;00357BE2&quot;/&gt;&lt;wsp:rsid wsp:val=&quot;0036110C&quot;/&gt;&lt;wsp:rsid wsp:val=&quot;0036170C&quot;/&gt;&lt;wsp:rsid wsp:val=&quot;003622D4&quot;/&gt;&lt;wsp:rsid wsp:val=&quot;00362718&quot;/&gt;&lt;wsp:rsid wsp:val=&quot;00366E0F&quot;/&gt;&lt;wsp:rsid wsp:val=&quot;00367FA6&quot;/&gt;&lt;wsp:rsid wsp:val=&quot;0037127B&quot;/&gt;&lt;wsp:rsid wsp:val=&quot;003758F4&quot;/&gt;&lt;wsp:rsid wsp:val=&quot;00377299&quot;/&gt;&lt;wsp:rsid wsp:val=&quot;00377AFA&quot;/&gt;&lt;wsp:rsid wsp:val=&quot;00377B33&quot;/&gt;&lt;wsp:rsid wsp:val=&quot;00381A72&quot;/&gt;&lt;wsp:rsid wsp:val=&quot;00382FFA&quot;/&gt;&lt;wsp:rsid wsp:val=&quot;003836AB&quot;/&gt;&lt;wsp:rsid wsp:val=&quot;00384676&quot;/&gt;&lt;wsp:rsid wsp:val=&quot;003848F4&quot;/&gt;&lt;wsp:rsid wsp:val=&quot;00385EB5&quot;/&gt;&lt;wsp:rsid wsp:val=&quot;00386B47&quot;/&gt;&lt;wsp:rsid wsp:val=&quot;00387597&quot;/&gt;&lt;wsp:rsid wsp:val=&quot;00390857&quot;/&gt;&lt;wsp:rsid wsp:val=&quot;003912EE&quot;/&gt;&lt;wsp:rsid wsp:val=&quot;003A0712&quot;/&gt;&lt;wsp:rsid wsp:val=&quot;003A10BC&quot;/&gt;&lt;wsp:rsid wsp:val=&quot;003A28A0&quot;/&gt;&lt;wsp:rsid wsp:val=&quot;003A3A11&quot;/&gt;&lt;wsp:rsid wsp:val=&quot;003A4BF3&quot;/&gt;&lt;wsp:rsid wsp:val=&quot;003B420D&quot;/&gt;&lt;wsp:rsid wsp:val=&quot;003B66DD&quot;/&gt;&lt;wsp:rsid wsp:val=&quot;003C331D&quot;/&gt;&lt;wsp:rsid wsp:val=&quot;003C47CD&quot;/&gt;&lt;wsp:rsid wsp:val=&quot;003C6C16&quot;/&gt;&lt;wsp:rsid wsp:val=&quot;003C7103&quot;/&gt;&lt;wsp:rsid wsp:val=&quot;003C777E&quot;/&gt;&lt;wsp:rsid wsp:val=&quot;003D0101&quot;/&gt;&lt;wsp:rsid wsp:val=&quot;003D03BE&quot;/&gt;&lt;wsp:rsid wsp:val=&quot;003D50B7&quot;/&gt;&lt;wsp:rsid wsp:val=&quot;003D794D&quot;/&gt;&lt;wsp:rsid wsp:val=&quot;003E1BAE&quot;/&gt;&lt;wsp:rsid wsp:val=&quot;003E3058&quot;/&gt;&lt;wsp:rsid wsp:val=&quot;003E4629&quot;/&gt;&lt;wsp:rsid wsp:val=&quot;003E76A9&quot;/&gt;&lt;wsp:rsid wsp:val=&quot;003F0809&quot;/&gt;&lt;wsp:rsid wsp:val=&quot;003F0E55&quot;/&gt;&lt;wsp:rsid wsp:val=&quot;003F144E&quot;/&gt;&lt;wsp:rsid wsp:val=&quot;003F1EBE&quot;/&gt;&lt;wsp:rsid wsp:val=&quot;003F6A8C&quot;/&gt;&lt;wsp:rsid wsp:val=&quot;003F755C&quot;/&gt;&lt;wsp:rsid wsp:val=&quot;00403011&quot;/&gt;&lt;wsp:rsid wsp:val=&quot;00406843&quot;/&gt;&lt;wsp:rsid wsp:val=&quot;00406F01&quot;/&gt;&lt;wsp:rsid wsp:val=&quot;0041181A&quot;/&gt;&lt;wsp:rsid wsp:val=&quot;004139DC&quot;/&gt;&lt;wsp:rsid wsp:val=&quot;004158C1&quot;/&gt;&lt;wsp:rsid wsp:val=&quot;00416D50&quot;/&gt;&lt;wsp:rsid wsp:val=&quot;00416FD5&quot;/&gt;&lt;wsp:rsid wsp:val=&quot;00417772&quot;/&gt;&lt;wsp:rsid wsp:val=&quot;00420522&quot;/&gt;&lt;wsp:rsid wsp:val=&quot;00420E6A&quot;/&gt;&lt;wsp:rsid wsp:val=&quot;00422E8C&quot;/&gt;&lt;wsp:rsid wsp:val=&quot;00422FCD&quot;/&gt;&lt;wsp:rsid wsp:val=&quot;00425A9E&quot;/&gt;&lt;wsp:rsid wsp:val=&quot;004269EF&quot;/&gt;&lt;wsp:rsid wsp:val=&quot;00426D6B&quot;/&gt;&lt;wsp:rsid wsp:val=&quot;00431CC2&quot;/&gt;&lt;wsp:rsid wsp:val=&quot;00431E6C&quot;/&gt;&lt;wsp:rsid wsp:val=&quot;00433CE7&quot;/&gt;&lt;wsp:rsid wsp:val=&quot;00435B4C&quot;/&gt;&lt;wsp:rsid wsp:val=&quot;00441B93&quot;/&gt;&lt;wsp:rsid wsp:val=&quot;00444734&quot;/&gt;&lt;wsp:rsid wsp:val=&quot;00445F49&quot;/&gt;&lt;wsp:rsid wsp:val=&quot;00447162&quot;/&gt;&lt;wsp:rsid wsp:val=&quot;00447AC0&quot;/&gt;&lt;wsp:rsid wsp:val=&quot;00447E64&quot;/&gt;&lt;wsp:rsid wsp:val=&quot;00452738&quot;/&gt;&lt;wsp:rsid wsp:val=&quot;00456091&quot;/&gt;&lt;wsp:rsid wsp:val=&quot;0045697A&quot;/&gt;&lt;wsp:rsid wsp:val=&quot;00456C7A&quot;/&gt;&lt;wsp:rsid wsp:val=&quot;0046483E&quot;/&gt;&lt;wsp:rsid wsp:val=&quot;00466321&quot;/&gt;&lt;wsp:rsid wsp:val=&quot;00477321&quot;/&gt;&lt;wsp:rsid wsp:val=&quot;004833F2&quot;/&gt;&lt;wsp:rsid wsp:val=&quot;00484B9B&quot;/&gt;&lt;wsp:rsid wsp:val=&quot;004855F6&quot;/&gt;&lt;wsp:rsid wsp:val=&quot;0048661E&quot;/&gt;&lt;wsp:rsid wsp:val=&quot;00492509&quot;/&gt;&lt;wsp:rsid wsp:val=&quot;00494670&quot;/&gt;&lt;wsp:rsid wsp:val=&quot;004A3823&quot;/&gt;&lt;wsp:rsid wsp:val=&quot;004B1D6B&quot;/&gt;&lt;wsp:rsid wsp:val=&quot;004B4CA0&quot;/&gt;&lt;wsp:rsid wsp:val=&quot;004B68A4&quot;/&gt;&lt;wsp:rsid wsp:val=&quot;004B76F0&quot;/&gt;&lt;wsp:rsid wsp:val=&quot;004C6632&quot;/&gt;&lt;wsp:rsid wsp:val=&quot;004D13C8&quot;/&gt;&lt;wsp:rsid wsp:val=&quot;004E1337&quot;/&gt;&lt;wsp:rsid wsp:val=&quot;004E3049&quot;/&gt;&lt;wsp:rsid wsp:val=&quot;004E3750&quot;/&gt;&lt;wsp:rsid wsp:val=&quot;004E53D4&quot;/&gt;&lt;wsp:rsid wsp:val=&quot;004E6946&quot;/&gt;&lt;wsp:rsid wsp:val=&quot;004F1AD8&quot;/&gt;&lt;wsp:rsid wsp:val=&quot;004F783A&quot;/&gt;&lt;wsp:rsid wsp:val=&quot;005039CB&quot;/&gt;&lt;wsp:rsid wsp:val=&quot;0050558F&quot;/&gt;&lt;wsp:rsid wsp:val=&quot;00505749&quot;/&gt;&lt;wsp:rsid wsp:val=&quot;00506286&quot;/&gt;&lt;wsp:rsid wsp:val=&quot;00510813&quot;/&gt;&lt;wsp:rsid wsp:val=&quot;00511990&quot;/&gt;&lt;wsp:rsid wsp:val=&quot;00511DE0&quot;/&gt;&lt;wsp:rsid wsp:val=&quot;00514870&quot;/&gt;&lt;wsp:rsid wsp:val=&quot;00514B9B&quot;/&gt;&lt;wsp:rsid wsp:val=&quot;005175B2&quot;/&gt;&lt;wsp:rsid wsp:val=&quot;00517CAE&quot;/&gt;&lt;wsp:rsid wsp:val=&quot;00517F02&quot;/&gt;&lt;wsp:rsid wsp:val=&quot;00520CC0&quot;/&gt;&lt;wsp:rsid wsp:val=&quot;00521C03&quot;/&gt;&lt;wsp:rsid wsp:val=&quot;00524303&quot;/&gt;&lt;wsp:rsid wsp:val=&quot;005258A2&quot;/&gt;&lt;wsp:rsid wsp:val=&quot;00535620&quot;/&gt;&lt;wsp:rsid wsp:val=&quot;0053676E&quot;/&gt;&lt;wsp:rsid wsp:val=&quot;00536885&quot;/&gt;&lt;wsp:rsid wsp:val=&quot;005401AE&quot;/&gt;&lt;wsp:rsid wsp:val=&quot;00540D79&quot;/&gt;&lt;wsp:rsid wsp:val=&quot;00542E07&quot;/&gt;&lt;wsp:rsid wsp:val=&quot;00545424&quot;/&gt;&lt;wsp:rsid wsp:val=&quot;00554A7B&quot;/&gt;&lt;wsp:rsid wsp:val=&quot;0055572C&quot;/&gt;&lt;wsp:rsid wsp:val=&quot;0056106A&quot;/&gt;&lt;wsp:rsid wsp:val=&quot;005619F2&quot;/&gt;&lt;wsp:rsid wsp:val=&quot;005672F2&quot;/&gt;&lt;wsp:rsid wsp:val=&quot;00567A91&quot;/&gt;&lt;wsp:rsid wsp:val=&quot;00570187&quot;/&gt;&lt;wsp:rsid wsp:val=&quot;00571CE7&quot;/&gt;&lt;wsp:rsid wsp:val=&quot;005720AE&quot;/&gt;&lt;wsp:rsid wsp:val=&quot;00580A88&quot;/&gt;&lt;wsp:rsid wsp:val=&quot;0058147D&quot;/&gt;&lt;wsp:rsid wsp:val=&quot;00583F60&quot;/&gt;&lt;wsp:rsid wsp:val=&quot;005866DA&quot;/&gt;&lt;wsp:rsid wsp:val=&quot;0059272E&quot;/&gt;&lt;wsp:rsid wsp:val=&quot;00594D77&quot;/&gt;&lt;wsp:rsid wsp:val=&quot;005969E4&quot;/&gt;&lt;wsp:rsid wsp:val=&quot;005A06B7&quot;/&gt;&lt;wsp:rsid wsp:val=&quot;005A07AD&quot;/&gt;&lt;wsp:rsid wsp:val=&quot;005A1759&quot;/&gt;&lt;wsp:rsid wsp:val=&quot;005A2DC2&quot;/&gt;&lt;wsp:rsid wsp:val=&quot;005A38CD&quot;/&gt;&lt;wsp:rsid wsp:val=&quot;005A68A7&quot;/&gt;&lt;wsp:rsid wsp:val=&quot;005A7F86&quot;/&gt;&lt;wsp:rsid wsp:val=&quot;005B235B&quot;/&gt;&lt;wsp:rsid wsp:val=&quot;005B3E23&quot;/&gt;&lt;wsp:rsid wsp:val=&quot;005B4D10&quot;/&gt;&lt;wsp:rsid wsp:val=&quot;005B5EF9&quot;/&gt;&lt;wsp:rsid wsp:val=&quot;005C0B92&quot;/&gt;&lt;wsp:rsid wsp:val=&quot;005C2080&quot;/&gt;&lt;wsp:rsid wsp:val=&quot;005C65C8&quot;/&gt;&lt;wsp:rsid wsp:val=&quot;005C7420&quot;/&gt;&lt;wsp:rsid wsp:val=&quot;005D2BCD&quot;/&gt;&lt;wsp:rsid wsp:val=&quot;005D36AB&quot;/&gt;&lt;wsp:rsid wsp:val=&quot;005D5D68&quot;/&gt;&lt;wsp:rsid wsp:val=&quot;005D69B4&quot;/&gt;&lt;wsp:rsid wsp:val=&quot;005E1B8F&quot;/&gt;&lt;wsp:rsid wsp:val=&quot;005E6C5C&quot;/&gt;&lt;wsp:rsid wsp:val=&quot;005F4FBC&quot;/&gt;&lt;wsp:rsid wsp:val=&quot;006014E9&quot;/&gt;&lt;wsp:rsid wsp:val=&quot;00603099&quot;/&gt;&lt;wsp:rsid wsp:val=&quot;00607528&quot;/&gt;&lt;wsp:rsid wsp:val=&quot;006079DA&quot;/&gt;&lt;wsp:rsid wsp:val=&quot;00610992&quot;/&gt;&lt;wsp:rsid wsp:val=&quot;00612343&quot;/&gt;&lt;wsp:rsid wsp:val=&quot;006156B5&quot;/&gt;&lt;wsp:rsid wsp:val=&quot;00617CC3&quot;/&gt;&lt;wsp:rsid wsp:val=&quot;0062214C&quot;/&gt;&lt;wsp:rsid wsp:val=&quot;0063154A&quot;/&gt;&lt;wsp:rsid wsp:val=&quot;00631B41&quot;/&gt;&lt;wsp:rsid wsp:val=&quot;00631CC4&quot;/&gt;&lt;wsp:rsid wsp:val=&quot;0063619D&quot;/&gt;&lt;wsp:rsid wsp:val=&quot;00636FF1&quot;/&gt;&lt;wsp:rsid wsp:val=&quot;0063749E&quot;/&gt;&lt;wsp:rsid wsp:val=&quot;006377A6&quot;/&gt;&lt;wsp:rsid wsp:val=&quot;00637A3D&quot;/&gt;&lt;wsp:rsid wsp:val=&quot;006411EF&quot;/&gt;&lt;wsp:rsid wsp:val=&quot;0064139B&quot;/&gt;&lt;wsp:rsid wsp:val=&quot;0064179B&quot;/&gt;&lt;wsp:rsid wsp:val=&quot;0064259A&quot;/&gt;&lt;wsp:rsid wsp:val=&quot;00644C6A&quot;/&gt;&lt;wsp:rsid wsp:val=&quot;006522B1&quot;/&gt;&lt;wsp:rsid wsp:val=&quot;00665A45&quot;/&gt;&lt;wsp:rsid wsp:val=&quot;006748B8&quot;/&gt;&lt;wsp:rsid wsp:val=&quot;00675128&quot;/&gt;&lt;wsp:rsid wsp:val=&quot;00675D9B&quot;/&gt;&lt;wsp:rsid wsp:val=&quot;006773CC&quot;/&gt;&lt;wsp:rsid wsp:val=&quot;006775C3&quot;/&gt;&lt;wsp:rsid wsp:val=&quot;00684880&quot;/&gt;&lt;wsp:rsid wsp:val=&quot;006855D4&quot;/&gt;&lt;wsp:rsid wsp:val=&quot;00687546&quot;/&gt;&lt;wsp:rsid wsp:val=&quot;0069290A&quot;/&gt;&lt;wsp:rsid wsp:val=&quot;0069327F&quot;/&gt;&lt;wsp:rsid wsp:val=&quot;00693B1C&quot;/&gt;&lt;wsp:rsid wsp:val=&quot;006969FA&quot;/&gt;&lt;wsp:rsid wsp:val=&quot;0069775A&quot;/&gt;&lt;wsp:rsid wsp:val=&quot;00697813&quot;/&gt;&lt;wsp:rsid wsp:val=&quot;006A237A&quot;/&gt;&lt;wsp:rsid wsp:val=&quot;006A2E55&quot;/&gt;&lt;wsp:rsid wsp:val=&quot;006A3EE8&quot;/&gt;&lt;wsp:rsid wsp:val=&quot;006A72BF&quot;/&gt;&lt;wsp:rsid wsp:val=&quot;006B002B&quot;/&gt;&lt;wsp:rsid wsp:val=&quot;006B03F2&quot;/&gt;&lt;wsp:rsid wsp:val=&quot;006B37DC&quot;/&gt;&lt;wsp:rsid wsp:val=&quot;006B4F68&quot;/&gt;&lt;wsp:rsid wsp:val=&quot;006C0592&quot;/&gt;&lt;wsp:rsid wsp:val=&quot;006C272E&quot;/&gt;&lt;wsp:rsid wsp:val=&quot;006C5479&quot;/&gt;&lt;wsp:rsid wsp:val=&quot;006C7DB4&quot;/&gt;&lt;wsp:rsid wsp:val=&quot;006D13B5&quot;/&gt;&lt;wsp:rsid wsp:val=&quot;006D7488&quot;/&gt;&lt;wsp:rsid wsp:val=&quot;006E12FF&quot;/&gt;&lt;wsp:rsid wsp:val=&quot;006E5586&quot;/&gt;&lt;wsp:rsid wsp:val=&quot;006E607E&quot;/&gt;&lt;wsp:rsid wsp:val=&quot;006F22E0&quot;/&gt;&lt;wsp:rsid wsp:val=&quot;006F2692&quot;/&gt;&lt;wsp:rsid wsp:val=&quot;006F2F3D&quot;/&gt;&lt;wsp:rsid wsp:val=&quot;006F2FD5&quot;/&gt;&lt;wsp:rsid wsp:val=&quot;007029E6&quot;/&gt;&lt;wsp:rsid wsp:val=&quot;00706C5D&quot;/&gt;&lt;wsp:rsid wsp:val=&quot;00706FEC&quot;/&gt;&lt;wsp:rsid wsp:val=&quot;00710221&quot;/&gt;&lt;wsp:rsid wsp:val=&quot;00716123&quot;/&gt;&lt;wsp:rsid wsp:val=&quot;007207E0&quot;/&gt;&lt;wsp:rsid wsp:val=&quot;0072489D&quot;/&gt;&lt;wsp:rsid wsp:val=&quot;007328F0&quot;/&gt;&lt;wsp:rsid wsp:val=&quot;00732922&quot;/&gt;&lt;wsp:rsid wsp:val=&quot;007453FF&quot;/&gt;&lt;wsp:rsid wsp:val=&quot;00746B6F&quot;/&gt;&lt;wsp:rsid wsp:val=&quot;00746CEE&quot;/&gt;&lt;wsp:rsid wsp:val=&quot;00747061&quot;/&gt;&lt;wsp:rsid wsp:val=&quot;0075162E&quot;/&gt;&lt;wsp:rsid wsp:val=&quot;00754034&quot;/&gt;&lt;wsp:rsid wsp:val=&quot;007543F2&quot;/&gt;&lt;wsp:rsid wsp:val=&quot;00755E3C&quot;/&gt;&lt;wsp:rsid wsp:val=&quot;00756522&quot;/&gt;&lt;wsp:rsid wsp:val=&quot;00756556&quot;/&gt;&lt;wsp:rsid wsp:val=&quot;00756D79&quot;/&gt;&lt;wsp:rsid wsp:val=&quot;007618C4&quot;/&gt;&lt;wsp:rsid wsp:val=&quot;00767980&quot;/&gt;&lt;wsp:rsid wsp:val=&quot;00770B19&quot;/&gt;&lt;wsp:rsid wsp:val=&quot;0077463F&quot;/&gt;&lt;wsp:rsid wsp:val=&quot;007836EA&quot;/&gt;&lt;wsp:rsid wsp:val=&quot;00783E52&quot;/&gt;&lt;wsp:rsid wsp:val=&quot;00784CDA&quot;/&gt;&lt;wsp:rsid wsp:val=&quot;00787AC2&quot;/&gt;&lt;wsp:rsid wsp:val=&quot;007906C4&quot;/&gt;&lt;wsp:rsid wsp:val=&quot;007918F1&quot;/&gt;&lt;wsp:rsid wsp:val=&quot;007928DC&quot;/&gt;&lt;wsp:rsid wsp:val=&quot;007940EA&quot;/&gt;&lt;wsp:rsid wsp:val=&quot;007967E8&quot;/&gt;&lt;wsp:rsid wsp:val=&quot;007A02FF&quot;/&gt;&lt;wsp:rsid wsp:val=&quot;007A2170&quot;/&gt;&lt;wsp:rsid wsp:val=&quot;007A22BF&quot;/&gt;&lt;wsp:rsid wsp:val=&quot;007A3323&quot;/&gt;&lt;wsp:rsid wsp:val=&quot;007B0D39&quot;/&gt;&lt;wsp:rsid wsp:val=&quot;007B6908&quot;/&gt;&lt;wsp:rsid wsp:val=&quot;007B6D17&quot;/&gt;&lt;wsp:rsid wsp:val=&quot;007B72B8&quot;/&gt;&lt;wsp:rsid wsp:val=&quot;007B7A58&quot;/&gt;&lt;wsp:rsid wsp:val=&quot;007C1021&quot;/&gt;&lt;wsp:rsid wsp:val=&quot;007C21B5&quot;/&gt;&lt;wsp:rsid wsp:val=&quot;007C2EAA&quot;/&gt;&lt;wsp:rsid wsp:val=&quot;007C6D61&quot;/&gt;&lt;wsp:rsid wsp:val=&quot;007D5766&quot;/&gt;&lt;wsp:rsid wsp:val=&quot;007D589C&quot;/&gt;&lt;wsp:rsid wsp:val=&quot;007E18B7&quot;/&gt;&lt;wsp:rsid wsp:val=&quot;007E4BD2&quot;/&gt;&lt;wsp:rsid wsp:val=&quot;007E50BC&quot;/&gt;&lt;wsp:rsid wsp:val=&quot;007F19EB&quot;/&gt;&lt;wsp:rsid wsp:val=&quot;007F3BC9&quot;/&gt;&lt;wsp:rsid wsp:val=&quot;00800D6D&quot;/&gt;&lt;wsp:rsid wsp:val=&quot;00801393&quot;/&gt;&lt;wsp:rsid wsp:val=&quot;00801450&quot;/&gt;&lt;wsp:rsid wsp:val=&quot;008016D3&quot;/&gt;&lt;wsp:rsid wsp:val=&quot;008025EA&quot;/&gt;&lt;wsp:rsid wsp:val=&quot;00802C50&quot;/&gt;&lt;wsp:rsid wsp:val=&quot;00802F88&quot;/&gt;&lt;wsp:rsid wsp:val=&quot;00803CBF&quot;/&gt;&lt;wsp:rsid wsp:val=&quot;00811C11&quot;/&gt;&lt;wsp:rsid wsp:val=&quot;0081258E&quot;/&gt;&lt;wsp:rsid wsp:val=&quot;0081293E&quot;/&gt;&lt;wsp:rsid wsp:val=&quot;00815465&quot;/&gt;&lt;wsp:rsid wsp:val=&quot;00817E9A&quot;/&gt;&lt;wsp:rsid wsp:val=&quot;008202F4&quot;/&gt;&lt;wsp:rsid wsp:val=&quot;00822C5F&quot;/&gt;&lt;wsp:rsid wsp:val=&quot;00823113&quot;/&gt;&lt;wsp:rsid wsp:val=&quot;008306BD&quot;/&gt;&lt;wsp:rsid wsp:val=&quot;008316CC&quot;/&gt;&lt;wsp:rsid wsp:val=&quot;00831A80&quot;/&gt;&lt;wsp:rsid wsp:val=&quot;00833743&quot;/&gt;&lt;wsp:rsid wsp:val=&quot;00833A05&quot;/&gt;&lt;wsp:rsid wsp:val=&quot;008340A4&quot;/&gt;&lt;wsp:rsid wsp:val=&quot;008379B1&quot;/&gt;&lt;wsp:rsid wsp:val=&quot;00846F8E&quot;/&gt;&lt;wsp:rsid wsp:val=&quot;00852DCD&quot;/&gt;&lt;wsp:rsid wsp:val=&quot;008560C1&quot;/&gt;&lt;wsp:rsid wsp:val=&quot;008569CE&quot;/&gt;&lt;wsp:rsid wsp:val=&quot;00863692&quot;/&gt;&lt;wsp:rsid wsp:val=&quot;00863953&quot;/&gt;&lt;wsp:rsid wsp:val=&quot;0087135F&quot;/&gt;&lt;wsp:rsid wsp:val=&quot;008716A6&quot;/&gt;&lt;wsp:rsid wsp:val=&quot;00872CB8&quot;/&gt;&lt;wsp:rsid wsp:val=&quot;00872D94&quot;/&gt;&lt;wsp:rsid wsp:val=&quot;00880364&quot;/&gt;&lt;wsp:rsid wsp:val=&quot;008807E2&quot;/&gt;&lt;wsp:rsid wsp:val=&quot;00881DB5&quot;/&gt;&lt;wsp:rsid wsp:val=&quot;00886794&quot;/&gt;&lt;wsp:rsid wsp:val=&quot;00891592&quot;/&gt;&lt;wsp:rsid wsp:val=&quot;00891E9E&quot;/&gt;&lt;wsp:rsid wsp:val=&quot;008930C2&quot;/&gt;&lt;wsp:rsid wsp:val=&quot;00894EF9&quot;/&gt;&lt;wsp:rsid wsp:val=&quot;00895938&quot;/&gt;&lt;wsp:rsid wsp:val=&quot;008A214E&quot;/&gt;&lt;wsp:rsid wsp:val=&quot;008A2F68&quot;/&gt;&lt;wsp:rsid wsp:val=&quot;008A55A2&quot;/&gt;&lt;wsp:rsid wsp:val=&quot;008A5914&quot;/&gt;&lt;wsp:rsid wsp:val=&quot;008B0720&quot;/&gt;&lt;wsp:rsid wsp:val=&quot;008B30F2&quot;/&gt;&lt;wsp:rsid wsp:val=&quot;008B4C8C&quot;/&gt;&lt;wsp:rsid wsp:val=&quot;008B4FA6&quot;/&gt;&lt;wsp:rsid wsp:val=&quot;008B5282&quot;/&gt;&lt;wsp:rsid wsp:val=&quot;008B6ECE&quot;/&gt;&lt;wsp:rsid wsp:val=&quot;008B7C17&quot;/&gt;&lt;wsp:rsid wsp:val=&quot;008C1CDA&quot;/&gt;&lt;wsp:rsid wsp:val=&quot;008C2D01&quot;/&gt;&lt;wsp:rsid wsp:val=&quot;008C40E6&quot;/&gt;&lt;wsp:rsid wsp:val=&quot;008D0F7A&quot;/&gt;&lt;wsp:rsid wsp:val=&quot;008D1D43&quot;/&gt;&lt;wsp:rsid wsp:val=&quot;008D68E4&quot;/&gt;&lt;wsp:rsid wsp:val=&quot;008E0173&quot;/&gt;&lt;wsp:rsid wsp:val=&quot;008E0506&quot;/&gt;&lt;wsp:rsid wsp:val=&quot;008E0CFF&quot;/&gt;&lt;wsp:rsid wsp:val=&quot;008E5D6B&quot;/&gt;&lt;wsp:rsid wsp:val=&quot;008E76F0&quot;/&gt;&lt;wsp:rsid wsp:val=&quot;008F0A89&quot;/&gt;&lt;wsp:rsid wsp:val=&quot;008F12E5&quot;/&gt;&lt;wsp:rsid wsp:val=&quot;008F15FE&quot;/&gt;&lt;wsp:rsid wsp:val=&quot;008F2D29&quot;/&gt;&lt;wsp:rsid wsp:val=&quot;008F5187&quot;/&gt;&lt;wsp:rsid wsp:val=&quot;008F60D8&quot;/&gt;&lt;wsp:rsid wsp:val=&quot;0090025A&quot;/&gt;&lt;wsp:rsid wsp:val=&quot;00901D6E&quot;/&gt;&lt;wsp:rsid wsp:val=&quot;00902727&quot;/&gt;&lt;wsp:rsid wsp:val=&quot;0090312B&quot;/&gt;&lt;wsp:rsid wsp:val=&quot;009063D0&quot;/&gt;&lt;wsp:rsid wsp:val=&quot;00907EFF&quot;/&gt;&lt;wsp:rsid wsp:val=&quot;0091477F&quot;/&gt;&lt;wsp:rsid wsp:val=&quot;00914818&quot;/&gt;&lt;wsp:rsid wsp:val=&quot;00915FEC&quot;/&gt;&lt;wsp:rsid wsp:val=&quot;009165BF&quot;/&gt;&lt;wsp:rsid wsp:val=&quot;0091736D&quot;/&gt;&lt;wsp:rsid wsp:val=&quot;009178E8&quot;/&gt;&lt;wsp:rsid wsp:val=&quot;0092238F&quot;/&gt;&lt;wsp:rsid wsp:val=&quot;009254B3&quot;/&gt;&lt;wsp:rsid wsp:val=&quot;0092589F&quot;/&gt;&lt;wsp:rsid wsp:val=&quot;00925ADA&quot;/&gt;&lt;wsp:rsid wsp:val=&quot;0093037A&quot;/&gt;&lt;wsp:rsid wsp:val=&quot;0093482C&quot;/&gt;&lt;wsp:rsid wsp:val=&quot;0094048A&quot;/&gt;&lt;wsp:rsid wsp:val=&quot;0094154D&quot;/&gt;&lt;wsp:rsid wsp:val=&quot;009437B7&quot;/&gt;&lt;wsp:rsid wsp:val=&quot;00943949&quot;/&gt;&lt;wsp:rsid wsp:val=&quot;009465B5&quot;/&gt;&lt;wsp:rsid wsp:val=&quot;00950372&quot;/&gt;&lt;wsp:rsid wsp:val=&quot;0095101F&quot;/&gt;&lt;wsp:rsid wsp:val=&quot;0095155F&quot;/&gt;&lt;wsp:rsid wsp:val=&quot;00954429&quot;/&gt;&lt;wsp:rsid wsp:val=&quot;009563CE&quot;/&gt;&lt;wsp:rsid wsp:val=&quot;00957310&quot;/&gt;&lt;wsp:rsid wsp:val=&quot;00962536&quot;/&gt;&lt;wsp:rsid wsp:val=&quot;009706C2&quot;/&gt;&lt;wsp:rsid wsp:val=&quot;00971AD8&quot;/&gt;&lt;wsp:rsid wsp:val=&quot;00972276&quot;/&gt;&lt;wsp:rsid wsp:val=&quot;00973235&quot;/&gt;&lt;wsp:rsid wsp:val=&quot;00976328&quot;/&gt;&lt;wsp:rsid wsp:val=&quot;00976378&quot;/&gt;&lt;wsp:rsid wsp:val=&quot;0097680D&quot;/&gt;&lt;wsp:rsid wsp:val=&quot;00982438&quot;/&gt;&lt;wsp:rsid wsp:val=&quot;0098404C&quot;/&gt;&lt;wsp:rsid wsp:val=&quot;00985283&quot;/&gt;&lt;wsp:rsid wsp:val=&quot;009858BF&quot;/&gt;&lt;wsp:rsid wsp:val=&quot;00987222&quot;/&gt;&lt;wsp:rsid wsp:val=&quot;00987C1C&quot;/&gt;&lt;wsp:rsid wsp:val=&quot;00987D2E&quot;/&gt;&lt;wsp:rsid wsp:val=&quot;00990832&quot;/&gt;&lt;wsp:rsid wsp:val=&quot;009908E6&quot;/&gt;&lt;wsp:rsid wsp:val=&quot;00995992&quot;/&gt;&lt;wsp:rsid wsp:val=&quot;00996804&quot;/&gt;&lt;wsp:rsid wsp:val=&quot;00996CC9&quot;/&gt;&lt;wsp:rsid wsp:val=&quot;00997A70&quot;/&gt;&lt;wsp:rsid wsp:val=&quot;009A03E5&quot;/&gt;&lt;wsp:rsid wsp:val=&quot;009A0F3B&quot;/&gt;&lt;wsp:rsid wsp:val=&quot;009A1BB4&quot;/&gt;&lt;wsp:rsid wsp:val=&quot;009A2628&quot;/&gt;&lt;wsp:rsid wsp:val=&quot;009A3200&quot;/&gt;&lt;wsp:rsid wsp:val=&quot;009A3E3D&quot;/&gt;&lt;wsp:rsid wsp:val=&quot;009A5F66&quot;/&gt;&lt;wsp:rsid wsp:val=&quot;009B03D0&quot;/&gt;&lt;wsp:rsid wsp:val=&quot;009B0897&quot;/&gt;&lt;wsp:rsid wsp:val=&quot;009B7BD9&quot;/&gt;&lt;wsp:rsid wsp:val=&quot;009C4E04&quot;/&gt;&lt;wsp:rsid wsp:val=&quot;009C65DD&quot;/&gt;&lt;wsp:rsid wsp:val=&quot;009C7057&quot;/&gt;&lt;wsp:rsid wsp:val=&quot;009C7DD5&quot;/&gt;&lt;wsp:rsid wsp:val=&quot;009D29A7&quot;/&gt;&lt;wsp:rsid wsp:val=&quot;009D3F0B&quot;/&gt;&lt;wsp:rsid wsp:val=&quot;009D6820&quot;/&gt;&lt;wsp:rsid wsp:val=&quot;009E227D&quot;/&gt;&lt;wsp:rsid wsp:val=&quot;009E35D6&quot;/&gt;&lt;wsp:rsid wsp:val=&quot;009E5019&quot;/&gt;&lt;wsp:rsid wsp:val=&quot;009E6657&quot;/&gt;&lt;wsp:rsid wsp:val=&quot;009F2B61&quot;/&gt;&lt;wsp:rsid wsp:val=&quot;009F3C64&quot;/&gt;&lt;wsp:rsid wsp:val=&quot;00A04F1B&quot;/&gt;&lt;wsp:rsid wsp:val=&quot;00A0501B&quot;/&gt;&lt;wsp:rsid wsp:val=&quot;00A068B1&quot;/&gt;&lt;wsp:rsid wsp:val=&quot;00A11498&quot;/&gt;&lt;wsp:rsid wsp:val=&quot;00A11A27&quot;/&gt;&lt;wsp:rsid wsp:val=&quot;00A137D4&quot;/&gt;&lt;wsp:rsid wsp:val=&quot;00A14947&quot;/&gt;&lt;wsp:rsid wsp:val=&quot;00A203CA&quot;/&gt;&lt;wsp:rsid wsp:val=&quot;00A22898&quot;/&gt;&lt;wsp:rsid wsp:val=&quot;00A25E09&quot;/&gt;&lt;wsp:rsid wsp:val=&quot;00A32A83&quot;/&gt;&lt;wsp:rsid wsp:val=&quot;00A368DB&quot;/&gt;&lt;wsp:rsid wsp:val=&quot;00A404DE&quot;/&gt;&lt;wsp:rsid wsp:val=&quot;00A419CA&quot;/&gt;&lt;wsp:rsid wsp:val=&quot;00A423AA&quot;/&gt;&lt;wsp:rsid wsp:val=&quot;00A44879&quot;/&gt;&lt;wsp:rsid wsp:val=&quot;00A45341&quot;/&gt;&lt;wsp:rsid wsp:val=&quot;00A46D89&quot;/&gt;&lt;wsp:rsid wsp:val=&quot;00A47CD5&quot;/&gt;&lt;wsp:rsid wsp:val=&quot;00A52D92&quot;/&gt;&lt;wsp:rsid wsp:val=&quot;00A53EC6&quot;/&gt;&lt;wsp:rsid wsp:val=&quot;00A55C0F&quot;/&gt;&lt;wsp:rsid wsp:val=&quot;00A66ADF&quot;/&gt;&lt;wsp:rsid wsp:val=&quot;00A77E1B&quot;/&gt;&lt;wsp:rsid wsp:val=&quot;00A8713F&quot;/&gt;&lt;wsp:rsid wsp:val=&quot;00A90BA1&quot;/&gt;&lt;wsp:rsid wsp:val=&quot;00A916D2&quot;/&gt;&lt;wsp:rsid wsp:val=&quot;00A92355&quot;/&gt;&lt;wsp:rsid wsp:val=&quot;00A9258B&quot;/&gt;&lt;wsp:rsid wsp:val=&quot;00A9448C&quot;/&gt;&lt;wsp:rsid wsp:val=&quot;00A95EB3&quot;/&gt;&lt;wsp:rsid wsp:val=&quot;00A97A9A&quot;/&gt;&lt;wsp:rsid wsp:val=&quot;00AA0671&quot;/&gt;&lt;wsp:rsid wsp:val=&quot;00AA2531&quot;/&gt;&lt;wsp:rsid wsp:val=&quot;00AA2A63&quot;/&gt;&lt;wsp:rsid wsp:val=&quot;00AA37E5&quot;/&gt;&lt;wsp:rsid wsp:val=&quot;00AA7EFF&quot;/&gt;&lt;wsp:rsid wsp:val=&quot;00AB1E09&quot;/&gt;&lt;wsp:rsid wsp:val=&quot;00AB5330&quot;/&gt;&lt;wsp:rsid wsp:val=&quot;00AB7747&quot;/&gt;&lt;wsp:rsid wsp:val=&quot;00AC14CE&quot;/&gt;&lt;wsp:rsid wsp:val=&quot;00AC2A56&quot;/&gt;&lt;wsp:rsid wsp:val=&quot;00AC37C4&quot;/&gt;&lt;wsp:rsid wsp:val=&quot;00AC4B06&quot;/&gt;&lt;wsp:rsid wsp:val=&quot;00AC6229&quot;/&gt;&lt;wsp:rsid wsp:val=&quot;00AC74C8&quot;/&gt;&lt;wsp:rsid wsp:val=&quot;00AC7B25&quot;/&gt;&lt;wsp:rsid wsp:val=&quot;00AD055E&quot;/&gt;&lt;wsp:rsid wsp:val=&quot;00AD47A7&quot;/&gt;&lt;wsp:rsid wsp:val=&quot;00AD51BD&quot;/&gt;&lt;wsp:rsid wsp:val=&quot;00AE11E2&quot;/&gt;&lt;wsp:rsid wsp:val=&quot;00AE2907&quot;/&gt;&lt;wsp:rsid wsp:val=&quot;00AE409C&quot;/&gt;&lt;wsp:rsid wsp:val=&quot;00AE6A57&quot;/&gt;&lt;wsp:rsid wsp:val=&quot;00AF0CBF&quot;/&gt;&lt;wsp:rsid wsp:val=&quot;00AF257F&quot;/&gt;&lt;wsp:rsid wsp:val=&quot;00AF33CF&quot;/&gt;&lt;wsp:rsid wsp:val=&quot;00AF4D50&quot;/&gt;&lt;wsp:rsid wsp:val=&quot;00AF6179&quot;/&gt;&lt;wsp:rsid wsp:val=&quot;00B055D0&quot;/&gt;&lt;wsp:rsid wsp:val=&quot;00B06461&quot;/&gt;&lt;wsp:rsid wsp:val=&quot;00B10EAB&quot;/&gt;&lt;wsp:rsid wsp:val=&quot;00B1148C&quot;/&gt;&lt;wsp:rsid wsp:val=&quot;00B1295A&quot;/&gt;&lt;wsp:rsid wsp:val=&quot;00B20A45&quot;/&gt;&lt;wsp:rsid wsp:val=&quot;00B216EC&quot;/&gt;&lt;wsp:rsid wsp:val=&quot;00B226A4&quot;/&gt;&lt;wsp:rsid wsp:val=&quot;00B22C5C&quot;/&gt;&lt;wsp:rsid wsp:val=&quot;00B24F30&quot;/&gt;&lt;wsp:rsid wsp:val=&quot;00B26641&quot;/&gt;&lt;wsp:rsid wsp:val=&quot;00B306FE&quot;/&gt;&lt;wsp:rsid wsp:val=&quot;00B31ABF&quot;/&gt;&lt;wsp:rsid wsp:val=&quot;00B337D8&quot;/&gt;&lt;wsp:rsid wsp:val=&quot;00B33BE3&quot;/&gt;&lt;wsp:rsid wsp:val=&quot;00B405F9&quot;/&gt;&lt;wsp:rsid wsp:val=&quot;00B4157D&quot;/&gt;&lt;wsp:rsid wsp:val=&quot;00B44088&quot;/&gt;&lt;wsp:rsid wsp:val=&quot;00B47447&quot;/&gt;&lt;wsp:rsid wsp:val=&quot;00B51C53&quot;/&gt;&lt;wsp:rsid wsp:val=&quot;00B535B1&quot;/&gt;&lt;wsp:rsid wsp:val=&quot;00B53B5D&quot;/&gt;&lt;wsp:rsid wsp:val=&quot;00B576E5&quot;/&gt;&lt;wsp:rsid wsp:val=&quot;00B57E59&quot;/&gt;&lt;wsp:rsid wsp:val=&quot;00B6055E&quot;/&gt;&lt;wsp:rsid wsp:val=&quot;00B6317D&quot;/&gt;&lt;wsp:rsid wsp:val=&quot;00B65144&quot;/&gt;&lt;wsp:rsid wsp:val=&quot;00B66953&quot;/&gt;&lt;wsp:rsid wsp:val=&quot;00B712B8&quot;/&gt;&lt;wsp:rsid wsp:val=&quot;00B75181&quot;/&gt;&lt;wsp:rsid wsp:val=&quot;00B7723F&quot;/&gt;&lt;wsp:rsid wsp:val=&quot;00B77D2C&quot;/&gt;&lt;wsp:rsid wsp:val=&quot;00B77D83&quot;/&gt;&lt;wsp:rsid wsp:val=&quot;00B803A5&quot;/&gt;&lt;wsp:rsid wsp:val=&quot;00B80534&quot;/&gt;&lt;wsp:rsid wsp:val=&quot;00B81FA2&quot;/&gt;&lt;wsp:rsid wsp:val=&quot;00B8433C&quot;/&gt;&lt;wsp:rsid wsp:val=&quot;00B87491&quot;/&gt;&lt;wsp:rsid wsp:val=&quot;00B87FCF&quot;/&gt;&lt;wsp:rsid wsp:val=&quot;00B915FD&quot;/&gt;&lt;wsp:rsid wsp:val=&quot;00B95631&quot;/&gt;&lt;wsp:rsid wsp:val=&quot;00B9662F&quot;/&gt;&lt;wsp:rsid wsp:val=&quot;00B96FF7&quot;/&gt;&lt;wsp:rsid wsp:val=&quot;00B97D8F&quot;/&gt;&lt;wsp:rsid wsp:val=&quot;00BA072C&quot;/&gt;&lt;wsp:rsid wsp:val=&quot;00BA29E9&quot;/&gt;&lt;wsp:rsid wsp:val=&quot;00BA34A0&quot;/&gt;&lt;wsp:rsid wsp:val=&quot;00BA6E29&quot;/&gt;&lt;wsp:rsid wsp:val=&quot;00BA7142&quot;/&gt;&lt;wsp:rsid wsp:val=&quot;00BB17EC&quot;/&gt;&lt;wsp:rsid wsp:val=&quot;00BB237C&quot;/&gt;&lt;wsp:rsid wsp:val=&quot;00BB41A3&quot;/&gt;&lt;wsp:rsid wsp:val=&quot;00BB5A15&quot;/&gt;&lt;wsp:rsid wsp:val=&quot;00BC0808&quot;/&gt;&lt;wsp:rsid wsp:val=&quot;00BC29F8&quot;/&gt;&lt;wsp:rsid wsp:val=&quot;00BC32DC&quot;/&gt;&lt;wsp:rsid wsp:val=&quot;00BC35B6&quot;/&gt;&lt;wsp:rsid wsp:val=&quot;00BC65D2&quot;/&gt;&lt;wsp:rsid wsp:val=&quot;00BD10A1&quot;/&gt;&lt;wsp:rsid wsp:val=&quot;00BD1B51&quot;/&gt;&lt;wsp:rsid wsp:val=&quot;00BD22D3&quot;/&gt;&lt;wsp:rsid wsp:val=&quot;00BD4596&quot;/&gt;&lt;wsp:rsid wsp:val=&quot;00BD4D6C&quot;/&gt;&lt;wsp:rsid wsp:val=&quot;00BD6DB9&quot;/&gt;&lt;wsp:rsid wsp:val=&quot;00BE1405&quot;/&gt;&lt;wsp:rsid wsp:val=&quot;00BE312D&quot;/&gt;&lt;wsp:rsid wsp:val=&quot;00BF1C20&quot;/&gt;&lt;wsp:rsid wsp:val=&quot;00BF2500&quot;/&gt;&lt;wsp:rsid wsp:val=&quot;00BF747E&quot;/&gt;&lt;wsp:rsid wsp:val=&quot;00C000A4&quot;/&gt;&lt;wsp:rsid wsp:val=&quot;00C00896&quot;/&gt;&lt;wsp:rsid wsp:val=&quot;00C01A70&quot;/&gt;&lt;wsp:rsid wsp:val=&quot;00C04ECC&quot;/&gt;&lt;wsp:rsid wsp:val=&quot;00C0505F&quot;/&gt;&lt;wsp:rsid wsp:val=&quot;00C064A5&quot;/&gt;&lt;wsp:rsid wsp:val=&quot;00C10578&quot;/&gt;&lt;wsp:rsid wsp:val=&quot;00C135BC&quot;/&gt;&lt;wsp:rsid wsp:val=&quot;00C149BC&quot;/&gt;&lt;wsp:rsid wsp:val=&quot;00C14E6E&quot;/&gt;&lt;wsp:rsid wsp:val=&quot;00C150B3&quot;/&gt;&lt;wsp:rsid wsp:val=&quot;00C15C95&quot;/&gt;&lt;wsp:rsid wsp:val=&quot;00C174EA&quot;/&gt;&lt;wsp:rsid wsp:val=&quot;00C200E2&quot;/&gt;&lt;wsp:rsid wsp:val=&quot;00C21919&quot;/&gt;&lt;wsp:rsid wsp:val=&quot;00C21B6C&quot;/&gt;&lt;wsp:rsid wsp:val=&quot;00C2596A&quot;/&gt;&lt;wsp:rsid wsp:val=&quot;00C266A1&quot;/&gt;&lt;wsp:rsid wsp:val=&quot;00C26B06&quot;/&gt;&lt;wsp:rsid wsp:val=&quot;00C27537&quot;/&gt;&lt;wsp:rsid wsp:val=&quot;00C328FE&quot;/&gt;&lt;wsp:rsid wsp:val=&quot;00C33507&quot;/&gt;&lt;wsp:rsid wsp:val=&quot;00C36F73&quot;/&gt;&lt;wsp:rsid wsp:val=&quot;00C37292&quot;/&gt;&lt;wsp:rsid wsp:val=&quot;00C37310&quot;/&gt;&lt;wsp:rsid wsp:val=&quot;00C37D8E&quot;/&gt;&lt;wsp:rsid wsp:val=&quot;00C4386B&quot;/&gt;&lt;wsp:rsid wsp:val=&quot;00C4409D&quot;/&gt;&lt;wsp:rsid wsp:val=&quot;00C44E72&quot;/&gt;&lt;wsp:rsid wsp:val=&quot;00C45A06&quot;/&gt;&lt;wsp:rsid wsp:val=&quot;00C465F5&quot;/&gt;&lt;wsp:rsid wsp:val=&quot;00C46A9F&quot;/&gt;&lt;wsp:rsid wsp:val=&quot;00C47E5B&quot;/&gt;&lt;wsp:rsid wsp:val=&quot;00C56377&quot;/&gt;&lt;wsp:rsid wsp:val=&quot;00C60E75&quot;/&gt;&lt;wsp:rsid wsp:val=&quot;00C61E4B&quot;/&gt;&lt;wsp:rsid wsp:val=&quot;00C64BFF&quot;/&gt;&lt;wsp:rsid wsp:val=&quot;00C704E9&quot;/&gt;&lt;wsp:rsid wsp:val=&quot;00C7236D&quot;/&gt;&lt;wsp:rsid wsp:val=&quot;00C73761&quot;/&gt;&lt;wsp:rsid wsp:val=&quot;00C74125&quot;/&gt;&lt;wsp:rsid wsp:val=&quot;00C75C68&quot;/&gt;&lt;wsp:rsid wsp:val=&quot;00C763C9&quot;/&gt;&lt;wsp:rsid wsp:val=&quot;00C80057&quot;/&gt;&lt;wsp:rsid wsp:val=&quot;00C808B3&quot;/&gt;&lt;wsp:rsid wsp:val=&quot;00C82232&quot;/&gt;&lt;wsp:rsid wsp:val=&quot;00C82913&quot;/&gt;&lt;wsp:rsid wsp:val=&quot;00C94789&quot;/&gt;&lt;wsp:rsid wsp:val=&quot;00C972B1&quot;/&gt;&lt;wsp:rsid wsp:val=&quot;00C97EE3&quot;/&gt;&lt;wsp:rsid wsp:val=&quot;00CA0ACD&quot;/&gt;&lt;wsp:rsid wsp:val=&quot;00CA0B21&quot;/&gt;&lt;wsp:rsid wsp:val=&quot;00CA1C08&quot;/&gt;&lt;wsp:rsid wsp:val=&quot;00CA2B61&quot;/&gt;&lt;wsp:rsid wsp:val=&quot;00CA2CCE&quot;/&gt;&lt;wsp:rsid wsp:val=&quot;00CA43FD&quot;/&gt;&lt;wsp:rsid wsp:val=&quot;00CA7EF8&quot;/&gt;&lt;wsp:rsid wsp:val=&quot;00CC0602&quot;/&gt;&lt;wsp:rsid wsp:val=&quot;00CC255F&quot;/&gt;&lt;wsp:rsid wsp:val=&quot;00CC489B&quot;/&gt;&lt;wsp:rsid wsp:val=&quot;00CC61D5&quot;/&gt;&lt;wsp:rsid wsp:val=&quot;00CD2BCD&quot;/&gt;&lt;wsp:rsid wsp:val=&quot;00CD3177&quot;/&gt;&lt;wsp:rsid wsp:val=&quot;00CD3A4C&quot;/&gt;&lt;wsp:rsid wsp:val=&quot;00CD6607&quot;/&gt;&lt;wsp:rsid wsp:val=&quot;00CE10E9&quot;/&gt;&lt;wsp:rsid wsp:val=&quot;00CE2910&quot;/&gt;&lt;wsp:rsid wsp:val=&quot;00CE29AC&quot;/&gt;&lt;wsp:rsid wsp:val=&quot;00CE48AA&quot;/&gt;&lt;wsp:rsid wsp:val=&quot;00CE5267&quot;/&gt;&lt;wsp:rsid wsp:val=&quot;00CE5393&quot;/&gt;&lt;wsp:rsid wsp:val=&quot;00CF36BE&quot;/&gt;&lt;wsp:rsid wsp:val=&quot;00CF5256&quot;/&gt;&lt;wsp:rsid wsp:val=&quot;00CF5978&quot;/&gt;&lt;wsp:rsid wsp:val=&quot;00CF6000&quot;/&gt;&lt;wsp:rsid wsp:val=&quot;00CF6E07&quot;/&gt;&lt;wsp:rsid wsp:val=&quot;00D003F3&quot;/&gt;&lt;wsp:rsid wsp:val=&quot;00D00481&quot;/&gt;&lt;wsp:rsid wsp:val=&quot;00D0364F&quot;/&gt;&lt;wsp:rsid wsp:val=&quot;00D03FA8&quot;/&gt;&lt;wsp:rsid wsp:val=&quot;00D06834&quot;/&gt;&lt;wsp:rsid wsp:val=&quot;00D06C98&quot;/&gt;&lt;wsp:rsid wsp:val=&quot;00D11AEE&quot;/&gt;&lt;wsp:rsid wsp:val=&quot;00D14081&quot;/&gt;&lt;wsp:rsid wsp:val=&quot;00D16DD4&quot;/&gt;&lt;wsp:rsid wsp:val=&quot;00D21564&quot;/&gt;&lt;wsp:rsid wsp:val=&quot;00D23EE6&quot;/&gt;&lt;wsp:rsid wsp:val=&quot;00D265B3&quot;/&gt;&lt;wsp:rsid wsp:val=&quot;00D308ED&quot;/&gt;&lt;wsp:rsid wsp:val=&quot;00D36D86&quot;/&gt;&lt;wsp:rsid wsp:val=&quot;00D37DB4&quot;/&gt;&lt;wsp:rsid wsp:val=&quot;00D4012F&quot;/&gt;&lt;wsp:rsid wsp:val=&quot;00D428AA&quot;/&gt;&lt;wsp:rsid wsp:val=&quot;00D4497C&quot;/&gt;&lt;wsp:rsid wsp:val=&quot;00D50A34&quot;/&gt;&lt;wsp:rsid wsp:val=&quot;00D5294B&quot;/&gt;&lt;wsp:rsid wsp:val=&quot;00D53EFA&quot;/&gt;&lt;wsp:rsid wsp:val=&quot;00D55C2F&quot;/&gt;&lt;wsp:rsid wsp:val=&quot;00D65204&quot;/&gt;&lt;wsp:rsid wsp:val=&quot;00D67BBE&quot;/&gt;&lt;wsp:rsid wsp:val=&quot;00D71164&quot;/&gt;&lt;wsp:rsid wsp:val=&quot;00D75034&quot;/&gt;&lt;wsp:rsid wsp:val=&quot;00D769D2&quot;/&gt;&lt;wsp:rsid wsp:val=&quot;00D877F7&quot;/&gt;&lt;wsp:rsid wsp:val=&quot;00D902B9&quot;/&gt;&lt;wsp:rsid wsp:val=&quot;00D91DA1&quot;/&gt;&lt;wsp:rsid wsp:val=&quot;00D93F0E&quot;/&gt;&lt;wsp:rsid wsp:val=&quot;00D94A7C&quot;/&gt;&lt;wsp:rsid wsp:val=&quot;00D95896&quot;/&gt;&lt;wsp:rsid wsp:val=&quot;00DA61B6&quot;/&gt;&lt;wsp:rsid wsp:val=&quot;00DA750F&quot;/&gt;&lt;wsp:rsid wsp:val=&quot;00DB251C&quot;/&gt;&lt;wsp:rsid wsp:val=&quot;00DB2983&quot;/&gt;&lt;wsp:rsid wsp:val=&quot;00DB52AA&quot;/&gt;&lt;wsp:rsid wsp:val=&quot;00DB68DF&quot;/&gt;&lt;wsp:rsid wsp:val=&quot;00DC1257&quot;/&gt;&lt;wsp:rsid wsp:val=&quot;00DC1D21&quot;/&gt;&lt;wsp:rsid wsp:val=&quot;00DC3DC0&quot;/&gt;&lt;wsp:rsid wsp:val=&quot;00DC5B2B&quot;/&gt;&lt;wsp:rsid wsp:val=&quot;00DC6D28&quot;/&gt;&lt;wsp:rsid wsp:val=&quot;00DC6FA1&quot;/&gt;&lt;wsp:rsid wsp:val=&quot;00DD01DD&quot;/&gt;&lt;wsp:rsid wsp:val=&quot;00DD318D&quot;/&gt;&lt;wsp:rsid wsp:val=&quot;00DD5368&quot;/&gt;&lt;wsp:rsid wsp:val=&quot;00DD722C&quot;/&gt;&lt;wsp:rsid wsp:val=&quot;00DE03F2&quot;/&gt;&lt;wsp:rsid wsp:val=&quot;00DE0912&quot;/&gt;&lt;wsp:rsid wsp:val=&quot;00DE1D75&quot;/&gt;&lt;wsp:rsid wsp:val=&quot;00DF2E12&quot;/&gt;&lt;wsp:rsid wsp:val=&quot;00DF4893&quot;/&gt;&lt;wsp:rsid wsp:val=&quot;00DF514A&quot;/&gt;&lt;wsp:rsid wsp:val=&quot;00DF6690&quot;/&gt;&lt;wsp:rsid wsp:val=&quot;00DF6804&quot;/&gt;&lt;wsp:rsid wsp:val=&quot;00E02443&quot;/&gt;&lt;wsp:rsid wsp:val=&quot;00E0358D&quot;/&gt;&lt;wsp:rsid wsp:val=&quot;00E04323&quot;/&gt;&lt;wsp:rsid wsp:val=&quot;00E06C93&quot;/&gt;&lt;wsp:rsid wsp:val=&quot;00E070A2&quot;/&gt;&lt;wsp:rsid wsp:val=&quot;00E16A5F&quot;/&gt;&lt;wsp:rsid wsp:val=&quot;00E235DB&quot;/&gt;&lt;wsp:rsid wsp:val=&quot;00E25274&quot;/&gt;&lt;wsp:rsid wsp:val=&quot;00E25E63&quot;/&gt;&lt;wsp:rsid wsp:val=&quot;00E2656A&quot;/&gt;&lt;wsp:rsid wsp:val=&quot;00E319F5&quot;/&gt;&lt;wsp:rsid wsp:val=&quot;00E412D0&quot;/&gt;&lt;wsp:rsid wsp:val=&quot;00E418F9&quot;/&gt;&lt;wsp:rsid wsp:val=&quot;00E433CE&quot;/&gt;&lt;wsp:rsid wsp:val=&quot;00E436D0&quot;/&gt;&lt;wsp:rsid wsp:val=&quot;00E50DA8&quot;/&gt;&lt;wsp:rsid wsp:val=&quot;00E56322&quot;/&gt;&lt;wsp:rsid wsp:val=&quot;00E56BE1&quot;/&gt;&lt;wsp:rsid wsp:val=&quot;00E601D2&quot;/&gt;&lt;wsp:rsid wsp:val=&quot;00E60982&quot;/&gt;&lt;wsp:rsid wsp:val=&quot;00E61361&quot;/&gt;&lt;wsp:rsid wsp:val=&quot;00E62C62&quot;/&gt;&lt;wsp:rsid wsp:val=&quot;00E630CE&quot;/&gt;&lt;wsp:rsid wsp:val=&quot;00E647B1&quot;/&gt;&lt;wsp:rsid wsp:val=&quot;00E654C1&quot;/&gt;&lt;wsp:rsid wsp:val=&quot;00E65D97&quot;/&gt;&lt;wsp:rsid wsp:val=&quot;00E70D8D&quot;/&gt;&lt;wsp:rsid wsp:val=&quot;00E71093&quot;/&gt;&lt;wsp:rsid wsp:val=&quot;00E72A5A&quot;/&gt;&lt;wsp:rsid wsp:val=&quot;00E72D52&quot;/&gt;&lt;wsp:rsid wsp:val=&quot;00E73354&quot;/&gt;&lt;wsp:rsid wsp:val=&quot;00E739C9&quot;/&gt;&lt;wsp:rsid wsp:val=&quot;00E74DED&quot;/&gt;&lt;wsp:rsid wsp:val=&quot;00E777A0&quot;/&gt;&lt;wsp:rsid wsp:val=&quot;00E77CB0&quot;/&gt;&lt;wsp:rsid wsp:val=&quot;00E80C9D&quot;/&gt;&lt;wsp:rsid wsp:val=&quot;00E877CF&quot;/&gt;&lt;wsp:rsid wsp:val=&quot;00E9242D&quot;/&gt;&lt;wsp:rsid wsp:val=&quot;00EA5813&quot;/&gt;&lt;wsp:rsid wsp:val=&quot;00EA7471&quot;/&gt;&lt;wsp:rsid wsp:val=&quot;00EB5255&quot;/&gt;&lt;wsp:rsid wsp:val=&quot;00EB593A&quot;/&gt;&lt;wsp:rsid wsp:val=&quot;00EB5C47&quot;/&gt;&lt;wsp:rsid wsp:val=&quot;00EC0A7B&quot;/&gt;&lt;wsp:rsid wsp:val=&quot;00EC103E&quot;/&gt;&lt;wsp:rsid wsp:val=&quot;00EC1A68&quot;/&gt;&lt;wsp:rsid wsp:val=&quot;00EC2F4F&quot;/&gt;&lt;wsp:rsid wsp:val=&quot;00EC450D&quot;/&gt;&lt;wsp:rsid wsp:val=&quot;00ED0032&quot;/&gt;&lt;wsp:rsid wsp:val=&quot;00ED027C&quot;/&gt;&lt;wsp:rsid wsp:val=&quot;00ED0639&quot;/&gt;&lt;wsp:rsid wsp:val=&quot;00ED0708&quot;/&gt;&lt;wsp:rsid wsp:val=&quot;00ED3CCA&quot;/&gt;&lt;wsp:rsid wsp:val=&quot;00EE0BD4&quot;/&gt;&lt;wsp:rsid wsp:val=&quot;00EE0E66&quot;/&gt;&lt;wsp:rsid wsp:val=&quot;00EF1D82&quot;/&gt;&lt;wsp:rsid wsp:val=&quot;00EF202C&quot;/&gt;&lt;wsp:rsid wsp:val=&quot;00EF40CC&quot;/&gt;&lt;wsp:rsid wsp:val=&quot;00EF4755&quot;/&gt;&lt;wsp:rsid wsp:val=&quot;00EF7135&quot;/&gt;&lt;wsp:rsid wsp:val=&quot;00F006AA&quot;/&gt;&lt;wsp:rsid wsp:val=&quot;00F01BAC&quot;/&gt;&lt;wsp:rsid wsp:val=&quot;00F02010&quot;/&gt;&lt;wsp:rsid wsp:val=&quot;00F027DB&quot;/&gt;&lt;wsp:rsid wsp:val=&quot;00F03503&quot;/&gt;&lt;wsp:rsid wsp:val=&quot;00F07EAA&quot;/&gt;&lt;wsp:rsid wsp:val=&quot;00F10E54&quot;/&gt;&lt;wsp:rsid wsp:val=&quot;00F112E3&quot;/&gt;&lt;wsp:rsid wsp:val=&quot;00F1461C&quot;/&gt;&lt;wsp:rsid wsp:val=&quot;00F14A7A&quot;/&gt;&lt;wsp:rsid wsp:val=&quot;00F21669&quot;/&gt;&lt;wsp:rsid wsp:val=&quot;00F22985&quot;/&gt;&lt;wsp:rsid wsp:val=&quot;00F24882&quot;/&gt;&lt;wsp:rsid wsp:val=&quot;00F33150&quot;/&gt;&lt;wsp:rsid wsp:val=&quot;00F3383E&quot;/&gt;&lt;wsp:rsid wsp:val=&quot;00F361D9&quot;/&gt;&lt;wsp:rsid wsp:val=&quot;00F40A47&quot;/&gt;&lt;wsp:rsid wsp:val=&quot;00F41907&quot;/&gt;&lt;wsp:rsid wsp:val=&quot;00F444D7&quot;/&gt;&lt;wsp:rsid wsp:val=&quot;00F44D85&quot;/&gt;&lt;wsp:rsid wsp:val=&quot;00F465A7&quot;/&gt;&lt;wsp:rsid wsp:val=&quot;00F4791E&quot;/&gt;&lt;wsp:rsid wsp:val=&quot;00F50B7C&quot;/&gt;&lt;wsp:rsid wsp:val=&quot;00F550E6&quot;/&gt;&lt;wsp:rsid wsp:val=&quot;00F62A00&quot;/&gt;&lt;wsp:rsid wsp:val=&quot;00F6519C&quot;/&gt;&lt;wsp:rsid wsp:val=&quot;00F67A8B&quot;/&gt;&lt;wsp:rsid wsp:val=&quot;00F7111C&quot;/&gt;&lt;wsp:rsid wsp:val=&quot;00F720B1&quot;/&gt;&lt;wsp:rsid wsp:val=&quot;00F7303E&quot;/&gt;&lt;wsp:rsid wsp:val=&quot;00F74345&quot;/&gt;&lt;wsp:rsid wsp:val=&quot;00F80A0A&quot;/&gt;&lt;wsp:rsid wsp:val=&quot;00F82B19&quot;/&gt;&lt;wsp:rsid wsp:val=&quot;00F86E1F&quot;/&gt;&lt;wsp:rsid wsp:val=&quot;00F91E52&quot;/&gt;&lt;wsp:rsid wsp:val=&quot;00F9212D&quot;/&gt;&lt;wsp:rsid wsp:val=&quot;00F9216F&quot;/&gt;&lt;wsp:rsid wsp:val=&quot;00F94275&quot;/&gt;&lt;wsp:rsid wsp:val=&quot;00F965DA&quot;/&gt;&lt;wsp:rsid wsp:val=&quot;00F971DA&quot;/&gt;&lt;wsp:rsid wsp:val=&quot;00FA0AF1&quot;/&gt;&lt;wsp:rsid wsp:val=&quot;00FA3AD0&quot;/&gt;&lt;wsp:rsid wsp:val=&quot;00FA406A&quot;/&gt;&lt;wsp:rsid wsp:val=&quot;00FA79A3&quot;/&gt;&lt;wsp:rsid wsp:val=&quot;00FA7AD6&quot;/&gt;&lt;wsp:rsid wsp:val=&quot;00FB3AE8&quot;/&gt;&lt;wsp:rsid wsp:val=&quot;00FB41AA&quot;/&gt;&lt;wsp:rsid wsp:val=&quot;00FB503A&quot;/&gt;&lt;wsp:rsid wsp:val=&quot;00FB516C&quot;/&gt;&lt;wsp:rsid wsp:val=&quot;00FB51B1&quot;/&gt;&lt;wsp:rsid wsp:val=&quot;00FC079B&quot;/&gt;&lt;wsp:rsid wsp:val=&quot;00FC353D&quot;/&gt;&lt;wsp:rsid wsp:val=&quot;00FC653F&quot;/&gt;&lt;wsp:rsid wsp:val=&quot;00FD0236&quot;/&gt;&lt;wsp:rsid wsp:val=&quot;00FD18F4&quot;/&gt;&lt;wsp:rsid wsp:val=&quot;00FD54DB&quot;/&gt;&lt;wsp:rsid wsp:val=&quot;00FD5647&quot;/&gt;&lt;wsp:rsid wsp:val=&quot;00FD619F&quot;/&gt;&lt;wsp:rsid wsp:val=&quot;00FE0694&quot;/&gt;&lt;wsp:rsid wsp:val=&quot;00FE2243&quot;/&gt;&lt;wsp:rsid wsp:val=&quot;00FE487D&quot;/&gt;&lt;wsp:rsid wsp:val=&quot;00FE564F&quot;/&gt;&lt;wsp:rsid wsp:val=&quot;00FE7FE4&quot;/&gt;&lt;wsp:rsid wsp:val=&quot;00FF03D4&quot;/&gt;&lt;wsp:rsid wsp:val=&quot;00FF0D31&quot;/&gt;&lt;wsp:rsid wsp:val=&quot;00FF2603&quot;/&gt;&lt;wsp:rsid wsp:val=&quot;00FF369D&quot;/&gt;&lt;wsp:rsid wsp:val=&quot;00FF7CFE&quot;/&gt;&lt;wsp:rsid wsp:val=&quot;01290F7E&quot;/&gt;&lt;wsp:rsid wsp:val=&quot;015D1E09&quot;/&gt;&lt;wsp:rsid wsp:val=&quot;02697903&quot;/&gt;&lt;wsp:rsid wsp:val=&quot;02F96569&quot;/&gt;&lt;wsp:rsid wsp:val=&quot;03EA7B21&quot;/&gt;&lt;wsp:rsid wsp:val=&quot;05F83EAE&quot;/&gt;&lt;wsp:rsid wsp:val=&quot;063E7D85&quot;/&gt;&lt;wsp:rsid wsp:val=&quot;07293586&quot;/&gt;&lt;wsp:rsid wsp:val=&quot;07295285&quot;/&gt;&lt;wsp:rsid wsp:val=&quot;07636392&quot;/&gt;&lt;wsp:rsid wsp:val=&quot;07770C56&quot;/&gt;&lt;wsp:rsid wsp:val=&quot;092217DD&quot;/&gt;&lt;wsp:rsid wsp:val=&quot;093A7294&quot;/&gt;&lt;wsp:rsid wsp:val=&quot;0A263993&quot;/&gt;&lt;wsp:rsid wsp:val=&quot;0A2D3AC2&quot;/&gt;&lt;wsp:rsid wsp:val=&quot;0AA755DF&quot;/&gt;&lt;wsp:rsid wsp:val=&quot;0B120D44&quot;/&gt;&lt;wsp:rsid wsp:val=&quot;0BD27BF6&quot;/&gt;&lt;wsp:rsid wsp:val=&quot;0C3B3C7D&quot;/&gt;&lt;wsp:rsid wsp:val=&quot;0CAB2EAE&quot;/&gt;&lt;wsp:rsid wsp:val=&quot;0D621C7D&quot;/&gt;&lt;wsp:rsid wsp:val=&quot;0E73034D&quot;/&gt;&lt;wsp:rsid wsp:val=&quot;0F13775A&quot;/&gt;&lt;wsp:rsid wsp:val=&quot;0F5F45FE&quot;/&gt;&lt;wsp:rsid wsp:val=&quot;0F9A112B&quot;/&gt;&lt;wsp:rsid wsp:val=&quot;106D2F64&quot;/&gt;&lt;wsp:rsid wsp:val=&quot;10B63710&quot;/&gt;&lt;wsp:rsid wsp:val=&quot;10F10820&quot;/&gt;&lt;wsp:rsid wsp:val=&quot;111C2F7A&quot;/&gt;&lt;wsp:rsid wsp:val=&quot;11665CA1&quot;/&gt;&lt;wsp:rsid wsp:val=&quot;13951726&quot;/&gt;&lt;wsp:rsid wsp:val=&quot;14396509&quot;/&gt;&lt;wsp:rsid wsp:val=&quot;14DD2C3C&quot;/&gt;&lt;wsp:rsid wsp:val=&quot;16087E1D&quot;/&gt;&lt;wsp:rsid wsp:val=&quot;17701D14&quot;/&gt;&lt;wsp:rsid wsp:val=&quot;17735226&quot;/&gt;&lt;wsp:rsid wsp:val=&quot;189F624C&quot;/&gt;&lt;wsp:rsid wsp:val=&quot;1A1C66C0&quot;/&gt;&lt;wsp:rsid wsp:val=&quot;1A42393B&quot;/&gt;&lt;wsp:rsid wsp:val=&quot;1AAD45DE&quot;/&gt;&lt;wsp:rsid wsp:val=&quot;1B046F80&quot;/&gt;&lt;wsp:rsid wsp:val=&quot;1B3267B5&quot;/&gt;&lt;wsp:rsid wsp:val=&quot;1B40161D&quot;/&gt;&lt;wsp:rsid wsp:val=&quot;1B441859&quot;/&gt;&lt;wsp:rsid wsp:val=&quot;1B6606B1&quot;/&gt;&lt;wsp:rsid wsp:val=&quot;1BE80FA1&quot;/&gt;&lt;wsp:rsid wsp:val=&quot;1C5E7925&quot;/&gt;&lt;wsp:rsid wsp:val=&quot;1CCC3824&quot;/&gt;&lt;wsp:rsid wsp:val=&quot;1CFD070F&quot;/&gt;&lt;wsp:rsid wsp:val=&quot;1D5F6196&quot;/&gt;&lt;wsp:rsid wsp:val=&quot;1D6132A5&quot;/&gt;&lt;wsp:rsid wsp:val=&quot;1D8E56D5&quot;/&gt;&lt;wsp:rsid wsp:val=&quot;1E7A43DA&quot;/&gt;&lt;wsp:rsid wsp:val=&quot;1E966599&quot;/&gt;&lt;wsp:rsid wsp:val=&quot;1FE7539E&quot;/&gt;&lt;wsp:rsid wsp:val=&quot;20671BE0&quot;/&gt;&lt;wsp:rsid wsp:val=&quot;20963CB8&quot;/&gt;&lt;wsp:rsid wsp:val=&quot;20A81A1B&quot;/&gt;&lt;wsp:rsid wsp:val=&quot;20B07FB6&quot;/&gt;&lt;wsp:rsid wsp:val=&quot;20B646FB&quot;/&gt;&lt;wsp:rsid wsp:val=&quot;213B74B1&quot;/&gt;&lt;wsp:rsid wsp:val=&quot;215A2310&quot;/&gt;&lt;wsp:rsid wsp:val=&quot;21DE318A&quot;/&gt;&lt;wsp:rsid wsp:val=&quot;21EF5B80&quot;/&gt;&lt;wsp:rsid wsp:val=&quot;22576990&quot;/&gt;&lt;wsp:rsid wsp:val=&quot;22F47480&quot;/&gt;&lt;wsp:rsid wsp:val=&quot;23DE1C48&quot;/&gt;&lt;wsp:rsid wsp:val=&quot;240210CD&quot;/&gt;&lt;wsp:rsid wsp:val=&quot;24BF09F7&quot;/&gt;&lt;wsp:rsid wsp:val=&quot;252D53FE&quot;/&gt;&lt;wsp:rsid wsp:val=&quot;25EC2D81&quot;/&gt;&lt;wsp:rsid wsp:val=&quot;277057A2&quot;/&gt;&lt;wsp:rsid wsp:val=&quot;29206EB8&quot;/&gt;&lt;wsp:rsid wsp:val=&quot;29595666&quot;/&gt;&lt;wsp:rsid wsp:val=&quot;29874881&quot;/&gt;&lt;wsp:rsid wsp:val=&quot;29E325E0&quot;/&gt;&lt;wsp:rsid wsp:val=&quot;2A452503&quot;/&gt;&lt;wsp:rsid wsp:val=&quot;2BA936A8&quot;/&gt;&lt;wsp:rsid wsp:val=&quot;2C315A5A&quot;/&gt;&lt;wsp:rsid wsp:val=&quot;2C4B1C25&quot;/&gt;&lt;wsp:rsid wsp:val=&quot;2D9E56F5&quot;/&gt;&lt;wsp:rsid wsp:val=&quot;2E667F96&quot;/&gt;&lt;wsp:rsid wsp:val=&quot;2E8226AB&quot;/&gt;&lt;wsp:rsid wsp:val=&quot;2FD065E6&quot;/&gt;&lt;wsp:rsid wsp:val=&quot;2FD96870&quot;/&gt;&lt;wsp:rsid wsp:val=&quot;30580BC9&quot;/&gt;&lt;wsp:rsid wsp:val=&quot;311E2ED7&quot;/&gt;&lt;wsp:rsid wsp:val=&quot;315619EE&quot;/&gt;&lt;wsp:rsid wsp:val=&quot;315C449C&quot;/&gt;&lt;wsp:rsid wsp:val=&quot;31B82709&quot;/&gt;&lt;wsp:rsid wsp:val=&quot;31D05482&quot;/&gt;&lt;wsp:rsid wsp:val=&quot;32400B34&quot;/&gt;&lt;wsp:rsid wsp:val=&quot;329E6876&quot;/&gt;&lt;wsp:rsid wsp:val=&quot;333015F2&quot;/&gt;&lt;wsp:rsid wsp:val=&quot;334B6320&quot;/&gt;&lt;wsp:rsid wsp:val=&quot;33D934D4&quot;/&gt;&lt;wsp:rsid wsp:val=&quot;33FE2F6A&quot;/&gt;&lt;wsp:rsid wsp:val=&quot;340E07E5&quot;/&gt;&lt;wsp:rsid wsp:val=&quot;34235BF7&quot;/&gt;&lt;wsp:rsid wsp:val=&quot;358C5FA8&quot;/&gt;&lt;wsp:rsid wsp:val=&quot;35C15DF1&quot;/&gt;&lt;wsp:rsid wsp:val=&quot;36074A7F&quot;/&gt;&lt;wsp:rsid wsp:val=&quot;36923549&quot;/&gt;&lt;wsp:rsid wsp:val=&quot;36B75FBF&quot;/&gt;&lt;wsp:rsid wsp:val=&quot;36BD0C45&quot;/&gt;&lt;wsp:rsid wsp:val=&quot;37E00298&quot;/&gt;&lt;wsp:rsid wsp:val=&quot;38B302F9&quot;/&gt;&lt;wsp:rsid wsp:val=&quot;38F12CD3&quot;/&gt;&lt;wsp:rsid wsp:val=&quot;38F94775&quot;/&gt;&lt;wsp:rsid wsp:val=&quot;392971ED&quot;/&gt;&lt;wsp:rsid wsp:val=&quot;39325651&quot;/&gt;&lt;wsp:rsid wsp:val=&quot;3A872856&quot;/&gt;&lt;wsp:rsid wsp:val=&quot;3B3763D1&quot;/&gt;&lt;wsp:rsid wsp:val=&quot;3C2F6E1E&quot;/&gt;&lt;wsp:rsid wsp:val=&quot;3C4F64BA&quot;/&gt;&lt;wsp:rsid wsp:val=&quot;3CDA245A&quot;/&gt;&lt;wsp:rsid wsp:val=&quot;3D1E06B7&quot;/&gt;&lt;wsp:rsid wsp:val=&quot;3EDA0523&quot;/&gt;&lt;wsp:rsid wsp:val=&quot;407A6407&quot;/&gt;&lt;wsp:rsid wsp:val=&quot;41113F44&quot;/&gt;&lt;wsp:rsid wsp:val=&quot;4200449D&quot;/&gt;&lt;wsp:rsid wsp:val=&quot;423A3BCC&quot;/&gt;&lt;wsp:rsid wsp:val=&quot;424E57D2&quot;/&gt;&lt;wsp:rsid wsp:val=&quot;42B26C49&quot;/&gt;&lt;wsp:rsid wsp:val=&quot;433A6FE6&quot;/&gt;&lt;wsp:rsid wsp:val=&quot;43480868&quot;/&gt;&lt;wsp:rsid wsp:val=&quot;4350713C&quot;/&gt;&lt;wsp:rsid wsp:val=&quot;436653E0&quot;/&gt;&lt;wsp:rsid wsp:val=&quot;43C4431A&quot;/&gt;&lt;wsp:rsid wsp:val=&quot;44B951CC&quot;/&gt;&lt;wsp:rsid wsp:val=&quot;44CD14E0&quot;/&gt;&lt;wsp:rsid wsp:val=&quot;44F20B0B&quot;/&gt;&lt;wsp:rsid wsp:val=&quot;452E5F4C&quot;/&gt;&lt;wsp:rsid wsp:val=&quot;45612018&quot;/&gt;&lt;wsp:rsid wsp:val=&quot;458946E9&quot;/&gt;&lt;wsp:rsid wsp:val=&quot;45A47C0E&quot;/&gt;&lt;wsp:rsid wsp:val=&quot;45BB62CB&quot;/&gt;&lt;wsp:rsid wsp:val=&quot;46577FD6&quot;/&gt;&lt;wsp:rsid wsp:val=&quot;46D955A7&quot;/&gt;&lt;wsp:rsid wsp:val=&quot;47133957&quot;/&gt;&lt;wsp:rsid wsp:val=&quot;47A07E0C&quot;/&gt;&lt;wsp:rsid wsp:val=&quot;4870272E&quot;/&gt;&lt;wsp:rsid wsp:val=&quot;49CE123B&quot;/&gt;&lt;wsp:rsid wsp:val=&quot;49DC7715&quot;/&gt;&lt;wsp:rsid wsp:val=&quot;4A023139&quot;/&gt;&lt;wsp:rsid wsp:val=&quot;4A7B576F&quot;/&gt;&lt;wsp:rsid wsp:val=&quot;4AF561A9&quot;/&gt;&lt;wsp:rsid wsp:val=&quot;4B3B0445&quot;/&gt;&lt;wsp:rsid wsp:val=&quot;4C4A0649&quot;/&gt;&lt;wsp:rsid wsp:val=&quot;4C7E5ECA&quot;/&gt;&lt;wsp:rsid wsp:val=&quot;4C876AA5&quot;/&gt;&lt;wsp:rsid wsp:val=&quot;4D0E00FB&quot;/&gt;&lt;wsp:rsid wsp:val=&quot;4D176606&quot;/&gt;&lt;wsp:rsid wsp:val=&quot;4DEC4FB0&quot;/&gt;&lt;wsp:rsid wsp:val=&quot;4E075D8A&quot;/&gt;&lt;wsp:rsid wsp:val=&quot;4EC00FAD&quot;/&gt;&lt;wsp:rsid wsp:val=&quot;4F9843DC&quot;/&gt;&lt;wsp:rsid wsp:val=&quot;4FC62A8C&quot;/&gt;&lt;wsp:rsid wsp:val=&quot;4FE20F0D&quot;/&gt;&lt;wsp:rsid wsp:val=&quot;4FE51552&quot;/&gt;&lt;wsp:rsid wsp:val=&quot;50504C4B&quot;/&gt;&lt;wsp:rsid wsp:val=&quot;509C6E7C&quot;/&gt;&lt;wsp:rsid wsp:val=&quot;5162104E&quot;/&gt;&lt;wsp:rsid wsp:val=&quot;53A039CC&quot;/&gt;&lt;wsp:rsid wsp:val=&quot;53A1505A&quot;/&gt;&lt;wsp:rsid wsp:val=&quot;54063E08&quot;/&gt;&lt;wsp:rsid wsp:val=&quot;543437E8&quot;/&gt;&lt;wsp:rsid wsp:val=&quot;549B1D44&quot;/&gt;&lt;wsp:rsid wsp:val=&quot;54F73313&quot;/&gt;&lt;wsp:rsid wsp:val=&quot;54F80955&quot;/&gt;&lt;wsp:rsid wsp:val=&quot;555170A7&quot;/&gt;&lt;wsp:rsid wsp:val=&quot;5587536D&quot;/&gt;&lt;wsp:rsid wsp:val=&quot;559B174B&quot;/&gt;&lt;wsp:rsid wsp:val=&quot;55CE0CF4&quot;/&gt;&lt;wsp:rsid wsp:val=&quot;56B22A9C&quot;/&gt;&lt;wsp:rsid wsp:val=&quot;57B72A76&quot;/&gt;&lt;wsp:rsid wsp:val=&quot;57C3426C&quot;/&gt;&lt;wsp:rsid wsp:val=&quot;57CE1F93&quot;/&gt;&lt;wsp:rsid wsp:val=&quot;588743D1&quot;/&gt;&lt;wsp:rsid wsp:val=&quot;5887701A&quot;/&gt;&lt;wsp:rsid wsp:val=&quot;59C0439F&quot;/&gt;&lt;wsp:rsid wsp:val=&quot;5ABE2233&quot;/&gt;&lt;wsp:rsid wsp:val=&quot;5BDF5D95&quot;/&gt;&lt;wsp:rsid wsp:val=&quot;5BFE7528&quot;/&gt;&lt;wsp:rsid wsp:val=&quot;5D605B3E&quot;/&gt;&lt;wsp:rsid wsp:val=&quot;5E2467F1&quot;/&gt;&lt;wsp:rsid wsp:val=&quot;5F1A2B43&quot;/&gt;&lt;wsp:rsid wsp:val=&quot;5F941BF4&quot;/&gt;&lt;wsp:rsid wsp:val=&quot;5FB837BB&quot;/&gt;&lt;wsp:rsid wsp:val=&quot;60CC405A&quot;/&gt;&lt;wsp:rsid wsp:val=&quot;61E215D8&quot;/&gt;&lt;wsp:rsid wsp:val=&quot;621B3775&quot;/&gt;&lt;wsp:rsid wsp:val=&quot;62364782&quot;/&gt;&lt;wsp:rsid wsp:val=&quot;6394356A&quot;/&gt;&lt;wsp:rsid wsp:val=&quot;63C61B2C&quot;/&gt;&lt;wsp:rsid wsp:val=&quot;63D40BE9&quot;/&gt;&lt;wsp:rsid wsp:val=&quot;64102431&quot;/&gt;&lt;wsp:rsid wsp:val=&quot;64A5243A&quot;/&gt;&lt;wsp:rsid wsp:val=&quot;64F531DE&quot;/&gt;&lt;wsp:rsid wsp:val=&quot;65373578&quot;/&gt;&lt;wsp:rsid wsp:val=&quot;671F124A&quot;/&gt;&lt;wsp:rsid wsp:val=&quot;677A33C6&quot;/&gt;&lt;wsp:rsid wsp:val=&quot;681F6961&quot;/&gt;&lt;wsp:rsid wsp:val=&quot;68610A2F&quot;/&gt;&lt;wsp:rsid wsp:val=&quot;68805514&quot;/&gt;&lt;wsp:rsid wsp:val=&quot;69316E2F&quot;/&gt;&lt;wsp:rsid wsp:val=&quot;694E2071&quot;/&gt;&lt;wsp:rsid wsp:val=&quot;69766163&quot;/&gt;&lt;wsp:rsid wsp:val=&quot;697A3B33&quot;/&gt;&lt;wsp:rsid wsp:val=&quot;69D44760&quot;/&gt;&lt;wsp:rsid wsp:val=&quot;6A520EC7&quot;/&gt;&lt;wsp:rsid wsp:val=&quot;6AF87E20&quot;/&gt;&lt;wsp:rsid wsp:val=&quot;6B322639&quot;/&gt;&lt;wsp:rsid wsp:val=&quot;6C636C38&quot;/&gt;&lt;wsp:rsid wsp:val=&quot;6DB34098&quot;/&gt;&lt;wsp:rsid wsp:val=&quot;6DB545B6&quot;/&gt;&lt;wsp:rsid wsp:val=&quot;6DE02FB4&quot;/&gt;&lt;wsp:rsid wsp:val=&quot;6E514CED&quot;/&gt;&lt;wsp:rsid wsp:val=&quot;6EB563D5&quot;/&gt;&lt;wsp:rsid wsp:val=&quot;6ED92677&quot;/&gt;&lt;wsp:rsid wsp:val=&quot;6F225983&quot;/&gt;&lt;wsp:rsid wsp:val=&quot;6FFC5590&quot;/&gt;&lt;wsp:rsid wsp:val=&quot;706D1DD0&quot;/&gt;&lt;wsp:rsid wsp:val=&quot;70856B87&quot;/&gt;&lt;wsp:rsid wsp:val=&quot;70D527EE&quot;/&gt;&lt;wsp:rsid wsp:val=&quot;715B5300&quot;/&gt;&lt;wsp:rsid wsp:val=&quot;71D27F8A&quot;/&gt;&lt;wsp:rsid wsp:val=&quot;72553024&quot;/&gt;&lt;wsp:rsid wsp:val=&quot;73122968&quot;/&gt;&lt;wsp:rsid wsp:val=&quot;731F5D5E&quot;/&gt;&lt;wsp:rsid wsp:val=&quot;73C51AD5&quot;/&gt;&lt;wsp:rsid wsp:val=&quot;741E793C&quot;/&gt;&lt;wsp:rsid wsp:val=&quot;745E3944&quot;/&gt;&lt;wsp:rsid wsp:val=&quot;7635099D&quot;/&gt;&lt;wsp:rsid wsp:val=&quot;77762421&quot;/&gt;&lt;wsp:rsid wsp:val=&quot;77B56B1F&quot;/&gt;&lt;wsp:rsid wsp:val=&quot;780F09F4&quot;/&gt;&lt;wsp:rsid wsp:val=&quot;78A90480&quot;/&gt;&lt;wsp:rsid wsp:val=&quot;79957269&quot;/&gt;&lt;wsp:rsid wsp:val=&quot;7A364017&quot;/&gt;&lt;wsp:rsid wsp:val=&quot;7A8265E1&quot;/&gt;&lt;wsp:rsid wsp:val=&quot;7B686D42&quot;/&gt;&lt;wsp:rsid wsp:val=&quot;7B841746&quot;/&gt;&lt;wsp:rsid wsp:val=&quot;7C6C5AC7&quot;/&gt;&lt;wsp:rsid wsp:val=&quot;7CC6544B&quot;/&gt;&lt;wsp:rsid wsp:val=&quot;7D0239FF&quot;/&gt;&lt;wsp:rsid wsp:val=&quot;7D5E40CD&quot;/&gt;&lt;wsp:rsid wsp:val=&quot;7DCD56F2&quot;/&gt;&lt;wsp:rsid wsp:val=&quot;7F001CE7&quot;/&gt;&lt;wsp:rsid wsp:val=&quot;7FE47E50&quot;/&gt;&lt;/wsp:rsids&gt;&lt;/w:docPr&gt;&lt;w:body&gt;&lt;wx:sect&gt;&lt;w:p wsp:rsidR=&quot;00000000&quot; wsp:rsidRDefault=&quot;00A52D92&quot; wsp:rsidP=&quot;00A52D92&quot;&gt;&lt;m:oMathPara&gt;&lt;m:oMath&gt;&lt;m:d&gt;&lt;m:dPr&gt;&lt;m:begChr m:val=&quot;[&quot;/&gt;&lt;m:endChr m:val=&quot;]&quot;/&gt;&lt;m:ctrlPr&gt;&lt;w:rPr&gt;&lt;w:rFonts w:ascii=&quot;Cambria Math&quot; w:h-ansi=&quot;Cambria Math&quot;/&gt;&lt;wx:font wx:val=&quot;Cambria Math&quot;/&gt;&lt;w:color w:val=&quot;0C0C0C&quot;/&gt;&lt;/w:rPr&gt;&lt;/m:ctrlPr&gt;&lt;/m:dPr&gt;&lt;m:e&gt;&lt;m:f&gt;&lt;m:fPr&gt;&lt;m:ctrlPr&gt;&lt;w:rPr&gt;&lt;w:rFonts w:ascii=&quot;Cambria Math&quot; w:h-ansi=&quot;Cambria Math&quot;/&gt;&lt;wx:font wx:val=&quot;Cambria Math&quot;/&gt;&lt;w:i/&gt;&lt;w:color w:val=&quot;0C0C0C&quot;/&gt;&lt;/w:rPr&gt;&lt;/m:ctrlPr&gt;&lt;/m:fPr&gt;&lt;m:num&gt;&lt;m:r&gt;&lt;w:rPr&gt;&lt;w:rFonts w:ascii=&quot;Cambria Math&quot; w:h-ansi=&quot;Cambria Math&quot;/&gt;&lt;wx:font wx:val=&quot;Cambria Math&quot;/&gt;&lt;w:i/&gt;&lt;w:color w:val=&quot;0C0C0C&quot;/&gt;&lt;/w:rPr&gt;&lt;m:t&gt;1&lt;/m:t&gt;&lt;/m:r&gt;&lt;/m:num&gt;&lt;m:den&gt;&lt;m:r&gt;&lt;w:rPr&gt;&lt;w:rFonts w:ascii=&quot;Cambria Math&quot; w:h-ansi=&quot;Cambria Math&quot;/&gt;&lt;wx:font wx:val=&quot;Cambria Math&quot;/&gt;&lt;w:i/&gt;&lt;w:color w:val=&quot;0C0C0C&quot;/&gt;&lt;/w:rPr&gt;&lt;m:t&gt;T&lt;/m:t&gt;&lt;/m:r&gt;&lt;/m:den&gt;&lt;/m:f&gt;&lt;m:d&gt;&lt;m:dPr&gt;&lt;m:begChr m:val=&quot;{&quot;/&gt;&lt;m:endChr m:val=&quot;}&quot;/&gt;&lt;m:ctrlPr&gt;&lt;w:rPr&gt;&lt;w:rFonts w:ascii=&quot;Cambria Math&quot; w:h-ansi=&quot;Cambria Math&quot;/&gt;&lt;wx:font wx:val=&quot;Cambria Math&quot;/&gt;&lt;w:i/&gt;&lt;w:color w:val=&quot;0C0C0C&quot;/&gt;&lt;/w:rPr&gt;&lt;/m:ctrlPr&gt;&lt;/m:dPr&gt;&lt;m:e&gt;&lt;m:limLow&gt;&lt;m:limLowPr&gt;&lt;m:ctrlPr&gt;&lt;w:rPr&gt;&lt;w:rFonts w:ascii=&quot;Cambria Math&quot; w:h-ansi=&quot;Cambria Math&quot;/&gt;&lt;wx:font wx:val=&quot;Cambria Math&quot;/&gt;&lt;w:color w:val=&quot;0C0C0C&quot;/&gt;&lt;/w:rPr&gt;&lt;/m:ctrlPr&gt;&lt;/m:limLowPr&gt;&lt;m:e&gt;&lt;m:limUpp&gt;&lt;m:limUppPr&gt;&lt;m:ctrlPr&gt;&lt;w:rPr&gt;&lt;w:rFonts w:ascii=&quot;Cambria Math&quot; w:h-ansi=&quot;Cambria Math&quot;/&gt;&lt;wx:font wx:val=&quot;Cambria Math&quot;/&gt;&lt;w:i/&gt;&lt;w:color w:val=&quot;0C0C0C&quot;/&gt;&lt;/w:rPr&gt;&lt;/m:ctrlPr&gt;&lt;/m:limUppPr&gt;&lt;m:e&gt;&lt;m:r&gt;&lt;w:rPr&gt;&lt;w:rFonts w:ascii=&quot;Cambria Math&quot; w:h-ansi=&quot;Cambria Math&quot;/&gt;&lt;wx:font wx:val=&quot;Cambria Math&quot;/&gt;&lt;w:i/&gt;&lt;w:color w:val=&quot;0C0C0C&quot;/&gt;&lt;/w:rPr&gt;&lt;m:t&gt;∑&lt;/m:t&gt;&lt;/m:r&gt;&lt;/m:e&gt;&lt;m:lim&gt;&lt;m:r&gt;&lt;w:rPr&gt;&lt;w:rFonts w:ascii=&quot;Cambria Math&quot; w:h-ansi=&quot;Cambria Math&quot;/&gt;&lt;wx:font wx:val=&quot;Cambria Math&quot;/&gt;&lt;w:i/&gt;&lt;w:color w:val=&quot;0C0C0C&quot;/&gt;&lt;/w:rPr&gt;&lt;m:t&gt;N&lt;/m:t&gt;&lt;/m:r&gt;&lt;/m:lim&gt;&lt;/m:libmUpp&gt;&lt;m:ctrlPr&gt;&lt;w:rPr&gt;&lt;w:rFonts w:ascii=&quot;Cambria Math&quot; w:h-ansi=&quot;Cambria Math&quot;/&gt;&lt;wx:font wx:val=&quot;Cambria Math&quot;/&gt;&lt;w:i/&gt;&lt;/w:rPr&gt;&lt;/m:ctrlPr&gt;&lt;/m:e&gt;&lt;m:lim&gt;&lt;m:r&gt;&lt;w:rPr&gt;&lt;w:rFonts w:ascii=&quot;Cambria Math&quot; w:h-ansi=&quot;Cambria Math&quot;/&gt;&lt;wx:font wx:val=&quot;Cambria Math&quot;/&gt;&lt;w:i/&gt;&lt;/w:rPr&gt;&lt;m:t&gt;i=1&lt;/m:t&gt;&lt;/m:r&gt;&lt;/m:lim&gt;&lt;/m:limLow&gt;&lt;m:sSub&gt;&lt;m:sSubPr&gt;&lt;m:ctrlPr&gt;&lt;w:rPr&gt;&lt;w:rFonts w:ascii=&quot;Cambria Math&quot; w:h-ansi=&quot;Cambria Math&quot;/&gt;&lt;wx:font wx:val=&quot;Cambria Math&quot;/&gt;&lt;w:i/&gt;&lt;w:color w:val=&quot;0C0C0C&quot;/&gt;&lt;/w:rPr&gt;&lt;/m:ctrlPr&gt;&lt;/m:sSubPr&gt;&lt;m:e&gt;&lt;m:r&gt;&lt;w:rPr&gt;&lt;w:rFonts w:ascii=&quot;Cambria Math&quot; w:h-ansi=&quot;Cambria Math&quot;/&gt;&lt;wx:font wx:val=&quot;Cambria Math&quot;/&gt;&lt;w:i/&gt;&lt;w:color w:val=&quot;0C0C0C&quot;/&gt;&lt;/w:rPr&gt;&lt;m:t&gt;t&lt;/m:t&gt;&lt;/m:r&gt;&lt;/m:e&gt;&lt;m:sub&gt;&lt;m:r&gt;&lt;w:rPr&gt;&lt;w:rFonts w:ascii=&quot;Cambria Math&quot; w:h-ansi=&quot;Cambria Math&quot;/&gt;&lt;wx:font wx:val=&quot;Cambria Math&quot;/&gt;&lt;w:i/&gt;&lt;w:color w:val=&quot;0C0C0C&quot;/&gt;&lt;/w:rPr&gt;&lt;m:t&gt;i&lt;/m:t&gt;&lt;/m:r&gt;&lt;/m:sub&gt;&lt;/m:sSub&gt;&lt;m:sSup&gt;&lt;m:sSupPr&gt;&lt;m:ctrlPr&gt;&lt;w:rPr&gt;&lt;w:rFonts w:ascii=&quot;Cambria Math&quot; w:h-ansi=&quot;Cambria Math&quot;/&gt;&lt;wx:font wx:val=&quot;Cambria Math&quot;/&gt;&lt;w:i/&gt;&lt;w:color w:val=&quot;0C0C0C&quot;/&gt;&lt;/w:rPr&gt;&lt;/m:ctrlPr&gt;&lt;/m:sSupPr&gt;&lt;m:e&gt;&lt;m:r&gt;&lt;w:rPr&gt;&lt;w:rFonts w:ascii=&quot;Cambria Math&quot; w:h-ansi=&quot;Cambria Math&quot;/&gt;&lt;wx:font wx:val=&quot;Cambria Math&quot;/&gt;&lt;w:i/&gt;&lt;w:color w:val=&quot;0C0C0C&quot;/&gt;&lt;/w:rPr&gt;&lt;m:t&gt;10&lt;/m:t&gt;&lt;/m:r&gt;&lt;/m:e&gt;&lt;m:sup&gt;&lt;m:sSub&gt;&lt;m:sSubPr&gt;&lt;m:ctrlPr&gt;&lt;w:rPr&gt;&lt;w:rFonts w:ascii=&quot;Cambria Math&quot; w:h-ansi=&quot;Cambria Math&quot;/&gt;&lt;wx:font wx:val=&quot;Cambria Math&quot;/&gt;&lt;w:i/&gt;&lt;w:color w:val=&quot;0C0C0C&quot;/&gt;&lt;/w:rPr&gt;&lt;/m:ctrlPr&gt;&lt;/m:sSubPr&gt;&lt;m:e&gt;&lt;m:r&gt;&lt;w:rPr&gt;&lt;w:rFonts w:ascii=&quot;Cambria Math&quot; w:h-ansi=&quot;Cambria Math&quot;/&gt;&lt;wx:font wx:val=&quot;Cambria Math&quot;/&gt;&lt;w:i/&gt;&lt;w:color w:val=&quot;0C0C0C&quot;/&gt;&lt;/w:rPr&gt;&lt;m:t&gt;0.1L&lt;/m:t&gt;&lt;/m:r&gt;&lt;/m:e&gt;&lt;m:sub&gt;&lt;m:r&gt;&lt;w:rPr&gt;&lt;w:rFonts w:ascii=&quot;Cambria Math&quot; w:h-ansi=&quot;Cambria Math&quot;/&gt;&lt;wx:font wx:val=&quot;Cambria Math&quot;/&gt;&lt;w:i/&gt;&lt;w:color w:val=&quot;0C0C0C&quot;/&gt;&lt;/w:rPr&gt;&lt;m:t&gt;Ai&lt;/m:t&gt;&lt;/m:r&gt;&lt;/m:sub&gt;&lt;/m:sSub&gt;&lt;/m:sup&gt;&lt;/m:sSup&gt;&lt;m:r&gt;&lt;w:rPr&gt;&lt;w:rFonts w:ascii=&quot;Cambria Math&quot; w:h-ansi=&quot;Cambria Math&quot;/&gt;&lt;wx:font wx:val=&quot;Cambria Math&quot;/&gt;&lt;w:i/&gt;&lt;w:color w:val=&quot;0C0C0C&quot;/&gt;&lt;/w:rPr&gt;&lt;m:t&gt;+&lt;/m:t&gt;&lt;/m:r&gt;&lt;m:limLow&gt;&lt;m:limLowPr&gt;&lt;m:ctrlPr&gt;&lt;w:rPr&gt;&lt;w:rFonts w:ascii=&quot;Cambria Math&quot; w:h-ansi=&quot;Cambria Math&quot;/&gt;&lt;wx:font wx:val=&quot;Cambria Math&quot;/&gt;&lt;w:color w:val=&quot;0C0C0C&quot;/&gt;&lt;/w:rPr&gt;&lt;/m:ctrlPr&gt;&lt;/m:limLowPr&gt;&lt;m:e&gt;&lt;m:limUpp&gt;&lt;m:limUppPr&gt;&lt;m:ctrlPr&gt;&lt;w:rPr&gt;&lt;w:rFonts w:ascii=&quot;Cambria Math&quot; w:h-ansi=&quot;Cambria Math&quot;/&gt;&lt;wx:font wx:val=&quot;Cambria Math&quot;/&gt;&lt;w:i/&gt;&lt;w:color w:val=&quot;0C0C0C&quot;/&gt;&lt;/w:rPr&gt;&lt;/m:ctrlPr&gt;&lt;/m:limUppPr&gt;&lt;m:e&gt;&lt;m:r&gt;&lt;w:rPr&gt;&lt;w:rFonts w:ascii=&quot;Cambria Math&quot; w:h-ansi=&quot;Cambria Math&quot;/&gt;&lt;wx:font wx:val=&quot;Cambria Math&quot;/&gt;&lt;w:i/&gt;&lt;w:color w:val=&quot;0C0C0C&quot;/&gt;&lt;/w:rPr&gt;&lt;m:t&gt;∑&lt;/m:t&gt;&lt;/m:r&gt;&lt;/m:e&gt;&lt;m:lim&gt;&lt;m:r&gt;&lt;w:rPr&gt;&lt;w:rFonts w:ascii=&quot;Cambria Math&quot; w:h-ansi=&quot;CambriaP Math&quot;/&gt;&lt;wx:font wx:val=&quot;Cambria Math&quot;/&gt;&lt;w:i/&gt;&lt;w:color w:val=&quot;0C0C0C&quot;/&gt;&lt;/w:rPr&gt;&lt;m:t&gt;M&lt;/m:t&gt;&lt;/m:r&gt;&lt;/m:lim&gt;&lt;/m:limUpp&gt;&lt;m:ctrlPr&gt;&lt;w:rPr&gt;&lt;w:rFonts w:ascii=&quot;Cambria Math&quot; w:h-ansi=&quot;Cambria Math&quot;/&gt;&lt;wx:font wx:val=&quot;Cambria Math&quot;/&gt;&lt;w:i/&gt;&lt;/w:rPr&gt;&lt;/m:ctrlPr&gt;&lt;/m:e&gt;&lt;m:lim&gt;&lt;m:r&gt;&lt;w:rPr&gt;&lt;w:rFonts w:ascii=&quot;Cambria Math&quot; w:h-ansi=&quot;Cambria Math&quot;/&gt;&lt;wx:font wx:val=&quot;Cambria Math&quot;/&gt;&lt;w:i/&gt;&lt;/w:rPr&gt;&lt;m:t&gt;j=1&lt;/m:t&gt;&lt;/m:r&gt;&lt;/m:lim&gt;&lt;/m:limLow&gt;&lt;m:sSub&gt;&lt;m:sSubPr&gt;&lt;m:ctrlPr&gt;&lt;w:rPr&gt;&lt;w:rFonts w:ascii=&quot;Cambria Math&quot; w:h-ansi=&quot;Cambria Math&quot;/&gt;&lt;wx:font wx:val=&quot;Cambria Math&quot;/&gt;&lt;w:i/&gt;&lt;w:color w:val=&quot;0C0C0C&quot;/&gt;&lt;/w:rPr&gt;&lt;/m:ctrlPr&gt;&lt;/m:sSubPr&gt;&lt;m:e&gt;&lt;m:r&gt;&lt;w:rPr&gt;&lt;w:rFonts w:ascii=&quot;Cambria Math&quot; w:h-ansi=&quot;Cambria Math&quot;/&gt;&lt;wx:font wx:val=&quot;Cambria Math&quot;/&gt;&lt;w:i/&gt;&lt;w:color w:val=&quot;0C0C0C&quot;/&gt;&lt;/w:rPr&gt;&lt;m:t&gt;t&lt;/m:t&gt;&lt;/m:r&gt;&lt;/m:e&gt;&lt;m:sub&gt;&lt;m:r&gt;&lt;w:rPr&gt;&lt;w:rFonts w:ascii=&quot;Cambria Math&quot; w:h-ansi=&quot;Cambria Math&quot;/&gt;&lt;wx:font wx:val=&quot;Cambria Math&quot;/&gt;&lt;w:i/&gt;&lt;w:color w:val=&quot;0C0C0C&quot;/&gt;&lt;/w:rPr&gt;&lt;m:t&gt;j&lt;/m:t&gt;&lt;/m:r&gt;&lt;/m:sub&gt;&lt;/m:sSub&gt;&lt;m:sSup&gt;&lt;m:sSupPr&gt;&lt;m:ctrlPr&gt;&lt;w:rPr&gt;&lt;w:rFonts w:ascii=&quot;Cambria Math&quot; w:h-ansi=&quot;Cambria Math&quot;/&gt;&lt;wx:font wx:val=&quot;Cambria Math&quot;/&gt;&lt;w:i/&gt;&lt;w:color w:val=&quot;0C0C0C&quot;/&gt;&lt;/w:rPr&gt;&lt;/m:ctrlPr&gt;&lt;/m:sSupPr&gt;&lt;m:e&gt;&lt;m:r&gt;&lt;w:rPr&gt;&lt;w:rFonts w:ascii=&quot;Cambria Math&quot; w:h-ansi=&quot;Cambria Math&quot;/&gt;&lt;wx:font wx:val=&quot;Cambria Math&quot;/&gt;&lt;w:i/&gt;&lt;w:color w:val=&quot;0C0C0C&quot;/&gt;&lt;/w:rPr&gt;&lt;m:t&gt;10&lt;/m:t&gt;&lt;/m:r&gt;&lt;/m:e&gt;&lt;m:sup&gt;&lt;m:sSub&gt;&lt;m:sSubPr&gt;&lt;m:ctrlPr&gt;&lt;w:rPr&gt;&lt;w:rFonts w:ascii=&quot;Cambria Math&quot; w:h-ansi=&quot;Cambria Math&quot;/&gt;&lt;wx:font wx:val=&quot;Cambria Math&quot;/&gt;&lt;w:i/&gt;&lt;w:color w:val=&quot;0C0C0C&quot;/&gt;&lt;/w:rPr&gt;&lt;/m:ctrlPr&gt;&lt;/m:sSubPr&gt;&lt;m:e&gt;&lt;m:r&gt;&lt;w:rPr&gt;&lt;w:rFonts w:ascii=&quot;Cambria Math&quot; w:h-ansi=&quot;Cambria Math&quot;/&gt;&lt;wx:font wx:val=&quot;Cambria Math&quot;/&gt;&lt;w:i/&gt;&lt;w:color w:val=&quot;0C0C0C&quot;/&gt;&lt;/w:rPr&gt;&lt;m:t&gt;0.1L&lt;/m:t&gt;&lt;/m:r&gt;&lt;/m:e&gt;&lt;m:sub&gt;&lt;m:r&gt;&lt;w:rPr&gt;&lt;w:rFonts w:ascii=&quot;Cambria Math&quot; w:h-ansi=&quot;Cambria Math&quot;/&gt;&lt;wx:font wx:val=&quot;Cambria Math&quot;/&gt;&lt;w:i/&gt;&lt;w:color w:val=&quot;0C0C0C&quot;/&gt;&lt;/w:rPr&gt;&lt;m:t&gt;Aj&lt;/m:t&gt;&lt;/m:r&gt;&lt;/m:sub&gt;&lt;/m:sSub&gt;&lt;/m:sup&gt;&lt;/m:sSup&gt;&lt;/m:e&gt;&lt;/m:d&gt;&lt;/m:e&gt;&lt;/m:d&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2" chromakey="#FFFFFF" o:title=""/>
                  <o:lock v:ext="edit" aspectratio="t"/>
                  <w10:wrap type="none"/>
                  <w10:anchorlock/>
                </v:shape>
              </w:pict>
            </w:r>
            <w:r>
              <w:rPr>
                <w:rFonts w:hAnsi="Cambria Math"/>
                <w:color w:val="0C0C0C"/>
              </w:rPr>
              <w:instrText xml:space="preserve"> </w:instrText>
            </w:r>
            <w:r>
              <w:rPr>
                <w:rFonts w:hAnsi="Cambria Math"/>
                <w:color w:val="0C0C0C"/>
              </w:rPr>
              <w:fldChar w:fldCharType="separate"/>
            </w:r>
            <w:r>
              <w:rPr>
                <w:position w:val="-21"/>
              </w:rPr>
              <w:pict>
                <v:shape id="_x0000_i1029" o:spt="75" type="#_x0000_t75" style="height:27.55pt;width:146.3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bordersDontSurroundHeader/&gt;&lt;w:bordersDontSurroundFooter/&gt;&lt;w:stylePaneFormatFilter w:val=&quot;3F01&quot;/&gt;&lt;w:documentProtection w:edit=&quot;tracked-changes&quot; w:enforcement=&quot;off&quot;/&gt;&lt;w:defaultTabStop w:val=&quot;420&quot;/&gt;&lt;w:doNotHyphenateCaps/&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docVars&gt;&lt;w:docVar w:name=&quot;commondata&quot; w:val=&quot;eyJoZGlkIjoiM2E5ZmNiYjAyYjViNTZjMWRmZTZkMWFmYTEzNDQwMTEifQ==&quot;/&gt;&lt;/w:docVars&gt;&lt;wsp:rsids&gt;&lt;wsp:rsidRoot wsp:val=&quot;00A14947&quot;/&gt;&lt;wsp:rsid wsp:val=&quot;000060B3&quot;/&gt;&lt;wsp:rsid wsp:val=&quot;000115BC&quot;/&gt;&lt;wsp:rsid wsp:val=&quot;00025499&quot;/&gt;&lt;wsp:rsid wsp:val=&quot;00034578&quot;/&gt;&lt;wsp:rsid wsp:val=&quot;00036B35&quot;/&gt;&lt;wsp:rsid wsp:val=&quot;000370DB&quot;/&gt;&lt;wsp:rsid wsp:val=&quot;0003711F&quot;/&gt;&lt;wsp:rsid wsp:val=&quot;0004364B&quot;/&gt;&lt;wsp:rsid wsp:val=&quot;00051F7F&quot;/&gt;&lt;wsp:rsid wsp:val=&quot;00052E73&quot;/&gt;&lt;wsp:rsid wsp:val=&quot;00061AD1&quot;/&gt;&lt;wsp:rsid wsp:val=&quot;00061B1F&quot;/&gt;&lt;wsp:rsid wsp:val=&quot;00063350&quot;/&gt;&lt;wsp:rsid wsp:val=&quot;000654F7&quot;/&gt;&lt;wsp:rsid wsp:val=&quot;00072A85&quot;/&gt;&lt;wsp:rsid wsp:val=&quot;000733C4&quot;/&gt;&lt;wsp:rsid wsp:val=&quot;00074783&quot;/&gt;&lt;wsp:rsid wsp:val=&quot;0007608C&quot;/&gt;&lt;wsp:rsid wsp:val=&quot;0008070B&quot;/&gt;&lt;wsp:rsid wsp:val=&quot;000810AC&quot;/&gt;&lt;wsp:rsid wsp:val=&quot;00081A02&quot;/&gt;&lt;wsp:rsid wsp:val=&quot;00081FFB&quot;/&gt;&lt;wsp:rsid wsp:val=&quot;00082231&quot;/&gt;&lt;wsp:rsid wsp:val=&quot;00086479&quot;/&gt;&lt;wsp:rsid wsp:val=&quot;00091828&quot;/&gt;&lt;wsp:rsid wsp:val=&quot;00091E24&quot;/&gt;&lt;wsp:rsid wsp:val=&quot;00092A85&quot;/&gt;&lt;wsp:rsid wsp:val=&quot;00092D38&quot;/&gt;&lt;wsp:rsid wsp:val=&quot;0009377B&quot;/&gt;&lt;wsp:rsid wsp:val=&quot;000A20C9&quot;/&gt;&lt;wsp:rsid wsp:val=&quot;000A3F87&quot;/&gt;&lt;wsp:rsid wsp:val=&quot;000A648A&quot;/&gt;&lt;wsp:rsid wsp:val=&quot;000B058F&quot;/&gt;&lt;wsp:rsid wsp:val=&quot;000B3A3A&quot;/&gt;&lt;wsp:rsid wsp:val=&quot;000B4467&quot;/&gt;&lt;wsp:rsid wsp:val=&quot;000B4DB9&quot;/&gt;&lt;wsp:rsid wsp:val=&quot;000B6964&quot;/&gt;&lt;wsp:rsid wsp:val=&quot;000B6DD2&quot;/&gt;&lt;wsp:rsid wsp:val=&quot;000C04D8&quot;/&gt;&lt;wsp:rsid wsp:val=&quot;000C09AC&quot;/&gt;&lt;wsp:rsid wsp:val=&quot;000C44FD&quot;/&gt;&lt;wsp:rsid wsp:val=&quot;000C53A9&quot;/&gt;&lt;wsp:rsid wsp:val=&quot;000C767F&quot;/&gt;&lt;wsp:rsid wsp:val=&quot;000C768D&quot;/&gt;&lt;wsp:rsid wsp:val=&quot;000D0CB1&quot;/&gt;&lt;wsp:rsid wsp:val=&quot;000D1E57&quot;/&gt;&lt;wsp:rsid wsp:val=&quot;000D5A44&quot;/&gt;&lt;wsp:rsid wsp:val=&quot;000E3ED2&quot;/&gt;&lt;wsp:rsid wsp:val=&quot;000E53C2&quot;/&gt;&lt;wsp:rsid wsp:val=&quot;000F0346&quot;/&gt;&lt;wsp:rsid wsp:val=&quot;000F4AD8&quot;/&gt;&lt;wsp:rsid wsp:val=&quot;000F5C83&quot;/&gt;&lt;wsp:rsid wsp:val=&quot;000F7EA7&quot;/&gt;&lt;wsp:rsid wsp:val=&quot;001010E8&quot;/&gt;&lt;wsp:rsid wsp:val=&quot;00103BD7&quot;/&gt;&lt;wsp:rsid wsp:val=&quot;00105B70&quot;/&gt;&lt;wsp:rsid wsp:val=&quot;00111B2D&quot;/&gt;&lt;wsp:rsid wsp:val=&quot;00112A4D&quot;/&gt;&lt;wsp:rsid wsp:val=&quot;00115DCA&quot;/&gt;&lt;wsp:rsid wsp:val=&quot;00117105&quot;/&gt;&lt;wsp:rsid wsp:val=&quot;00131804&quot;/&gt;&lt;wsp:rsid wsp:val=&quot;00131F42&quot;/&gt;&lt;wsp:rsid wsp:val=&quot;00135530&quot;/&gt;&lt;wsp:rsid wsp:val=&quot;001357F1&quot;/&gt;&lt;wsp:rsid wsp:val=&quot;00137D04&quot;/&gt;&lt;wsp:rsid wsp:val=&quot;001400DD&quot;/&gt;&lt;wsp:rsid wsp:val=&quot;0014090A&quot;/&gt;&lt;wsp:rsid wsp:val=&quot;00140FA8&quot;/&gt;&lt;wsp:rsid wsp:val=&quot;00141F6D&quot;/&gt;&lt;wsp:rsid wsp:val=&quot;00142FEB&quot;/&gt;&lt;wsp:rsid wsp:val=&quot;00143A2D&quot;/&gt;&lt;wsp:rsid wsp:val=&quot;00145A41&quot;/&gt;&lt;wsp:rsid wsp:val=&quot;00146A90&quot;/&gt;&lt;wsp:rsid wsp:val=&quot;00151675&quot;/&gt;&lt;wsp:rsid wsp:val=&quot;0015246F&quot;/&gt;&lt;wsp:rsid wsp:val=&quot;00154977&quot;/&gt;&lt;wsp:rsid wsp:val=&quot;00156C74&quot;/&gt;&lt;wsp:rsid wsp:val=&quot;00156DAA&quot;/&gt;&lt;wsp:rsid wsp:val=&quot;00157435&quot;/&gt;&lt;wsp:rsid wsp:val=&quot;00161762&quot;/&gt;&lt;wsp:rsid wsp:val=&quot;0016521C&quot;/&gt;&lt;wsp:rsid wsp:val=&quot;00167B0C&quot;/&gt;&lt;wsp:rsid wsp:val=&quot;001710F5&quot;/&gt;&lt;wsp:rsid wsp:val=&quot;0017504D&quot;/&gt;&lt;wsp:rsid wsp:val=&quot;0017671A&quot;/&gt;&lt;wsp:rsid wsp:val=&quot;00177422&quot;/&gt;&lt;wsp:rsid wsp:val=&quot;001835AA&quot;/&gt;&lt;wsp:rsid wsp:val=&quot;00184590&quot;/&gt;&lt;wsp:rsid wsp:val=&quot;00185BBE&quot;/&gt;&lt;wsp:rsid wsp:val=&quot;001870D1&quot;/&gt;&lt;wsp:rsid wsp:val=&quot;0018781E&quot;/&gt;&lt;wsp:rsid wsp:val=&quot;0019262D&quot;/&gt;&lt;wsp:rsid wsp:val=&quot;001A1B35&quot;/&gt;&lt;wsp:rsid wsp:val=&quot;001A3464&quot;/&gt;&lt;wsp:rsid wsp:val=&quot;001A3965&quot;/&gt;&lt;wsp:rsid wsp:val=&quot;001A48A2&quot;/&gt;&lt;wsp:rsid wsp:val=&quot;001A57CC&quot;/&gt;&lt;wsp:rsid wsp:val=&quot;001A6F61&quot;/&gt;&lt;wsp:rsid wsp:val=&quot;001B46BE&quot;/&gt;&lt;wsp:rsid wsp:val=&quot;001B56E2&quot;/&gt;&lt;wsp:rsid wsp:val=&quot;001B72B8&quot;/&gt;&lt;wsp:rsid wsp:val=&quot;001C0E81&quot;/&gt;&lt;wsp:rsid wsp:val=&quot;001C4510&quot;/&gt;&lt;wsp:rsid wsp:val=&quot;001C69B3&quot;/&gt;&lt;wsp:rsid wsp:val=&quot;001C74B4&quot;/&gt;&lt;wsp:rsid wsp:val=&quot;001D4A99&quot;/&gt;&lt;wsp:rsid wsp:val=&quot;001D5595&quot;/&gt;&lt;wsp:rsid wsp:val=&quot;001D64D5&quot;/&gt;&lt;wsp:rsid wsp:val=&quot;001D7042&quot;/&gt;&lt;wsp:rsid wsp:val=&quot;001D7874&quot;/&gt;&lt;wsp:rsid wsp:val=&quot;001D7F22&quot;/&gt;&lt;wsp:rsid wsp:val=&quot;001E08FC&quot;/&gt;&lt;wsp:rsid wsp:val=&quot;001E35B8&quot;/&gt;&lt;wsp:rsid wsp:val=&quot;001E5C65&quot;/&gt;&lt;wsp:rsid wsp:val=&quot;001F0F17&quot;/&gt;&lt;wsp:rsid wsp:val=&quot;001F3347&quot;/&gt;&lt;wsp:rsid wsp:val=&quot;001F39F9&quot;/&gt;&lt;wsp:rsid wsp:val=&quot;001F512B&quot;/&gt;&lt;wsp:rsid wsp:val=&quot;001F69E4&quot;/&gt;&lt;wsp:rsid wsp:val=&quot;00201D7A&quot;/&gt;&lt;wsp:rsid wsp:val=&quot;00202EBA&quot;/&gt;&lt;wsp:rsid wsp:val=&quot;00203E02&quot;/&gt;&lt;wsp:rsid wsp:val=&quot;00206B6C&quot;/&gt;&lt;wsp:rsid wsp:val=&quot;00211323&quot;/&gt;&lt;wsp:rsid wsp:val=&quot;00211DB3&quot;/&gt;&lt;wsp:rsid wsp:val=&quot;002125B4&quot;/&gt;&lt;wsp:rsid wsp:val=&quot;00213C07&quot;/&gt;&lt;wsp:rsid wsp:val=&quot;002148E2&quot;/&gt;&lt;wsp:rsid wsp:val=&quot;00214F43&quot;/&gt;&lt;wsp:rsid wsp:val=&quot;002155B8&quot;/&gt;&lt;wsp:rsid wsp:val=&quot;00217C58&quot;/&gt;&lt;wsp:rsid wsp:val=&quot;002212AF&quot;/&gt;&lt;wsp:rsid wsp:val=&quot;00224839&quot;/&gt;&lt;wsp:rsid wsp:val=&quot;002249B2&quot;/&gt;&lt;wsp:rsid wsp:val=&quot;002258D6&quot;/&gt;&lt;wsp:rsid wsp:val=&quot;00226574&quot;/&gt;&lt;wsp:rsid wsp:val=&quot;00226C00&quot;/&gt;&lt;wsp:rsid wsp:val=&quot;0022700C&quot;/&gt;&lt;wsp:rsid wsp:val=&quot;002278EC&quot;/&gt;&lt;wsp:rsid wsp:val=&quot;0023280E&quot;/&gt;&lt;wsp:rsid wsp:val=&quot;00234198&quot;/&gt;&lt;wsp:rsid wsp:val=&quot;002377D1&quot;/&gt;&lt;wsp:rsid wsp:val=&quot;002400BE&quot;/&gt;&lt;wsp:rsid wsp:val=&quot;002405EC&quot;/&gt;&lt;wsp:rsid wsp:val=&quot;00241F6B&quot;/&gt;&lt;wsp:rsid wsp:val=&quot;0024533A&quot;/&gt;&lt;wsp:rsid wsp:val=&quot;002506BC&quot;/&gt;&lt;wsp:rsid wsp:val=&quot;00254345&quot;/&gt;&lt;wsp:rsid wsp:val=&quot;00256EA8&quot;/&gt;&lt;wsp:rsid wsp:val=&quot;00260CFD&quot;/&gt;&lt;wsp:rsid wsp:val=&quot;002643E6&quot;/&gt;&lt;wsp:rsid wsp:val=&quot;00264557&quot;/&gt;&lt;wsp:rsid wsp:val=&quot;0026767C&quot;/&gt;&lt;wsp:rsid wsp:val=&quot;00273698&quot;/&gt;&lt;wsp:rsid wsp:val=&quot;002805AB&quot;/&gt;&lt;wsp:rsid wsp:val=&quot;002812A2&quot;/&gt;&lt;wsp:rsid wsp:val=&quot;00284204&quot;/&gt;&lt;wsp:rsid wsp:val=&quot;00284423&quot;/&gt;&lt;wsp:rsid wsp:val=&quot;002851E5&quot;/&gt;&lt;wsp:rsid wsp:val=&quot;00290BB2&quot;/&gt;&lt;wsp:rsid wsp:val=&quot;002911F2&quot;/&gt;&lt;wsp:rsid wsp:val=&quot;00291773&quot;/&gt;&lt;wsp:rsid wsp:val=&quot;00293528&quot;/&gt;&lt;wsp:rsid wsp:val=&quot;0029396B&quot;/&gt;&lt;wsp:rsid wsp:val=&quot;002A168C&quot;/&gt;&lt;wsp:rsid wsp:val=&quot;002A3784&quot;/&gt;&lt;wsp:rsid wsp:val=&quot;002A39E8&quot;/&gt;&lt;wsp:rsid wsp:val=&quot;002A3DC7&quot;/&gt;&lt;wsp:rsid wsp:val=&quot;002A6800&quot;/&gt;&lt;wsp:rsid wsp:val=&quot;002B32A0&quot;/&gt;&lt;wsp:rsid wsp:val=&quot;002B49E2&quot;/&gt;&lt;wsp:rsid wsp:val=&quot;002B6236&quot;/&gt;&lt;wsp:rsid wsp:val=&quot;002B7B00&quot;/&gt;&lt;wsp:rsid wsp:val=&quot;002B7C44&quot;/&gt;&lt;wsp:rsid wsp:val=&quot;002C1118&quot;/&gt;&lt;wsp:rsid wsp:val=&quot;002C2B17&quot;/&gt;&lt;wsp:rsid wsp:val=&quot;002C2B96&quot;/&gt;&lt;wsp:rsid wsp:val=&quot;002D2E67&quot;/&gt;&lt;wsp:rsid wsp:val=&quot;002D3DD0&quot;/&gt;&lt;wsp:rsid wsp:val=&quot;002D40C8&quot;/&gt;&lt;wsp:rsid wsp:val=&quot;002E1F3A&quot;/&gt;&lt;wsp:rsid wsp:val=&quot;002E298A&quot;/&gt;&lt;wsp:rsid wsp:val=&quot;002E378A&quot;/&gt;&lt;wsp:rsid wsp:val=&quot;00301978&quot;/&gt;&lt;wsp:rsid wsp:val=&quot;0030332C&quot;/&gt;&lt;wsp:rsid wsp:val=&quot;00304174&quot;/&gt;&lt;wsp:rsid wsp:val=&quot;003051C2&quot;/&gt;&lt;wsp:rsid wsp:val=&quot;00305BEC&quot;/&gt;&lt;wsp:rsid wsp:val=&quot;00311755&quot;/&gt;&lt;wsp:rsid wsp:val=&quot;00312296&quot;/&gt;&lt;wsp:rsid wsp:val=&quot;003142B3&quot;/&gt;&lt;wsp:rsid wsp:val=&quot;00314F0E&quot;/&gt;&lt;wsp:rsid wsp:val=&quot;00321D8E&quot;/&gt;&lt;wsp:rsid wsp:val=&quot;003240C5&quot;/&gt;&lt;wsp:rsid wsp:val=&quot;00325928&quot;/&gt;&lt;wsp:rsid wsp:val=&quot;003264C2&quot;/&gt;&lt;wsp:rsid wsp:val=&quot;00327818&quot;/&gt;&lt;wsp:rsid wsp:val=&quot;00332863&quot;/&gt;&lt;wsp:rsid wsp:val=&quot;003331B5&quot;/&gt;&lt;wsp:rsid wsp:val=&quot;0033482A&quot;/&gt;&lt;wsp:rsid wsp:val=&quot;0033684D&quot;/&gt;&lt;wsp:rsid wsp:val=&quot;00337B42&quot;/&gt;&lt;wsp:rsid wsp:val=&quot;00341B42&quot;/&gt;&lt;wsp:rsid wsp:val=&quot;00343048&quot;/&gt;&lt;wsp:rsid wsp:val=&quot;0034348F&quot;/&gt;&lt;wsp:rsid wsp:val=&quot;00346EEC&quot;/&gt;&lt;wsp:rsid wsp:val=&quot;00346FC9&quot;/&gt;&lt;wsp:rsid wsp:val=&quot;0035088E&quot;/&gt;&lt;wsp:rsid wsp:val=&quot;00355A27&quot;/&gt;&lt;wsp:rsid wsp:val=&quot;003564B1&quot;/&gt;&lt;wsp:rsid wsp:val=&quot;00356653&quot;/&gt;&lt;wsp:rsid wsp:val=&quot;00356CE5&quot;/&gt;&lt;wsp:rsid wsp:val=&quot;00356D0F&quot;/&gt;&lt;wsp:rsid wsp:val=&quot;0035743F&quot;/&gt;&lt;wsp:rsid wsp:val=&quot;00357BE2&quot;/&gt;&lt;wsp:rsid wsp:val=&quot;0036110C&quot;/&gt;&lt;wsp:rsid wsp:val=&quot;0036170C&quot;/&gt;&lt;wsp:rsid wsp:val=&quot;003622D4&quot;/&gt;&lt;wsp:rsid wsp:val=&quot;00362718&quot;/&gt;&lt;wsp:rsid wsp:val=&quot;00366E0F&quot;/&gt;&lt;wsp:rsid wsp:val=&quot;00367FA6&quot;/&gt;&lt;wsp:rsid wsp:val=&quot;0037127B&quot;/&gt;&lt;wsp:rsid wsp:val=&quot;003758F4&quot;/&gt;&lt;wsp:rsid wsp:val=&quot;00377299&quot;/&gt;&lt;wsp:rsid wsp:val=&quot;00377AFA&quot;/&gt;&lt;wsp:rsid wsp:val=&quot;00377B33&quot;/&gt;&lt;wsp:rsid wsp:val=&quot;00381A72&quot;/&gt;&lt;wsp:rsid wsp:val=&quot;00382FFA&quot;/&gt;&lt;wsp:rsid wsp:val=&quot;003836AB&quot;/&gt;&lt;wsp:rsid wsp:val=&quot;00384676&quot;/&gt;&lt;wsp:rsid wsp:val=&quot;003848F4&quot;/&gt;&lt;wsp:rsid wsp:val=&quot;00385EB5&quot;/&gt;&lt;wsp:rsid wsp:val=&quot;00386B47&quot;/&gt;&lt;wsp:rsid wsp:val=&quot;00387597&quot;/&gt;&lt;wsp:rsid wsp:val=&quot;00390857&quot;/&gt;&lt;wsp:rsid wsp:val=&quot;003912EE&quot;/&gt;&lt;wsp:rsid wsp:val=&quot;003A0712&quot;/&gt;&lt;wsp:rsid wsp:val=&quot;003A10BC&quot;/&gt;&lt;wsp:rsid wsp:val=&quot;003A28A0&quot;/&gt;&lt;wsp:rsid wsp:val=&quot;003A3A11&quot;/&gt;&lt;wsp:rsid wsp:val=&quot;003A4BF3&quot;/&gt;&lt;wsp:rsid wsp:val=&quot;003B420D&quot;/&gt;&lt;wsp:rsid wsp:val=&quot;003B66DD&quot;/&gt;&lt;wsp:rsid wsp:val=&quot;003C331D&quot;/&gt;&lt;wsp:rsid wsp:val=&quot;003C47CD&quot;/&gt;&lt;wsp:rsid wsp:val=&quot;003C6C16&quot;/&gt;&lt;wsp:rsid wsp:val=&quot;003C7103&quot;/&gt;&lt;wsp:rsid wsp:val=&quot;003C777E&quot;/&gt;&lt;wsp:rsid wsp:val=&quot;003D0101&quot;/&gt;&lt;wsp:rsid wsp:val=&quot;003D03BE&quot;/&gt;&lt;wsp:rsid wsp:val=&quot;003D50B7&quot;/&gt;&lt;wsp:rsid wsp:val=&quot;003D794D&quot;/&gt;&lt;wsp:rsid wsp:val=&quot;003E1BAE&quot;/&gt;&lt;wsp:rsid wsp:val=&quot;003E3058&quot;/&gt;&lt;wsp:rsid wsp:val=&quot;003E4629&quot;/&gt;&lt;wsp:rsid wsp:val=&quot;003E76A9&quot;/&gt;&lt;wsp:rsid wsp:val=&quot;003F0809&quot;/&gt;&lt;wsp:rsid wsp:val=&quot;003F0E55&quot;/&gt;&lt;wsp:rsid wsp:val=&quot;003F144E&quot;/&gt;&lt;wsp:rsid wsp:val=&quot;003F1EBE&quot;/&gt;&lt;wsp:rsid wsp:val=&quot;003F6A8C&quot;/&gt;&lt;wsp:rsid wsp:val=&quot;003F755C&quot;/&gt;&lt;wsp:rsid wsp:val=&quot;00403011&quot;/&gt;&lt;wsp:rsid wsp:val=&quot;00406843&quot;/&gt;&lt;wsp:rsid wsp:val=&quot;00406F01&quot;/&gt;&lt;wsp:rsid wsp:val=&quot;0041181A&quot;/&gt;&lt;wsp:rsid wsp:val=&quot;004139DC&quot;/&gt;&lt;wsp:rsid wsp:val=&quot;004158C1&quot;/&gt;&lt;wsp:rsid wsp:val=&quot;00416D50&quot;/&gt;&lt;wsp:rsid wsp:val=&quot;00416FD5&quot;/&gt;&lt;wsp:rsid wsp:val=&quot;00417772&quot;/&gt;&lt;wsp:rsid wsp:val=&quot;00420522&quot;/&gt;&lt;wsp:rsid wsp:val=&quot;00420E6A&quot;/&gt;&lt;wsp:rsid wsp:val=&quot;00422E8C&quot;/&gt;&lt;wsp:rsid wsp:val=&quot;00422FCD&quot;/&gt;&lt;wsp:rsid wsp:val=&quot;00425A9E&quot;/&gt;&lt;wsp:rsid wsp:val=&quot;004269EF&quot;/&gt;&lt;wsp:rsid wsp:val=&quot;00426D6B&quot;/&gt;&lt;wsp:rsid wsp:val=&quot;00431CC2&quot;/&gt;&lt;wsp:rsid wsp:val=&quot;00431E6C&quot;/&gt;&lt;wsp:rsid wsp:val=&quot;00433CE7&quot;/&gt;&lt;wsp:rsid wsp:val=&quot;00435B4C&quot;/&gt;&lt;wsp:rsid wsp:val=&quot;00441B93&quot;/&gt;&lt;wsp:rsid wsp:val=&quot;00444734&quot;/&gt;&lt;wsp:rsid wsp:val=&quot;00445F49&quot;/&gt;&lt;wsp:rsid wsp:val=&quot;00447162&quot;/&gt;&lt;wsp:rsid wsp:val=&quot;00447AC0&quot;/&gt;&lt;wsp:rsid wsp:val=&quot;00447E64&quot;/&gt;&lt;wsp:rsid wsp:val=&quot;00452738&quot;/&gt;&lt;wsp:rsid wsp:val=&quot;00456091&quot;/&gt;&lt;wsp:rsid wsp:val=&quot;0045697A&quot;/&gt;&lt;wsp:rsid wsp:val=&quot;00456C7A&quot;/&gt;&lt;wsp:rsid wsp:val=&quot;0046483E&quot;/&gt;&lt;wsp:rsid wsp:val=&quot;00466321&quot;/&gt;&lt;wsp:rsid wsp:val=&quot;00477321&quot;/&gt;&lt;wsp:rsid wsp:val=&quot;004833F2&quot;/&gt;&lt;wsp:rsid wsp:val=&quot;00484B9B&quot;/&gt;&lt;wsp:rsid wsp:val=&quot;004855F6&quot;/&gt;&lt;wsp:rsid wsp:val=&quot;0048661E&quot;/&gt;&lt;wsp:rsid wsp:val=&quot;00492509&quot;/&gt;&lt;wsp:rsid wsp:val=&quot;00494670&quot;/&gt;&lt;wsp:rsid wsp:val=&quot;004A3823&quot;/&gt;&lt;wsp:rsid wsp:val=&quot;004B1D6B&quot;/&gt;&lt;wsp:rsid wsp:val=&quot;004B4CA0&quot;/&gt;&lt;wsp:rsid wsp:val=&quot;004B68A4&quot;/&gt;&lt;wsp:rsid wsp:val=&quot;004B76F0&quot;/&gt;&lt;wsp:rsid wsp:val=&quot;004C6632&quot;/&gt;&lt;wsp:rsid wsp:val=&quot;004D13C8&quot;/&gt;&lt;wsp:rsid wsp:val=&quot;004E1337&quot;/&gt;&lt;wsp:rsid wsp:val=&quot;004E3049&quot;/&gt;&lt;wsp:rsid wsp:val=&quot;004E3750&quot;/&gt;&lt;wsp:rsid wsp:val=&quot;004E53D4&quot;/&gt;&lt;wsp:rsid wsp:val=&quot;004E6946&quot;/&gt;&lt;wsp:rsid wsp:val=&quot;004F1AD8&quot;/&gt;&lt;wsp:rsid wsp:val=&quot;004F783A&quot;/&gt;&lt;wsp:rsid wsp:val=&quot;005039CB&quot;/&gt;&lt;wsp:rsid wsp:val=&quot;0050558F&quot;/&gt;&lt;wsp:rsid wsp:val=&quot;00505749&quot;/&gt;&lt;wsp:rsid wsp:val=&quot;00506286&quot;/&gt;&lt;wsp:rsid wsp:val=&quot;00510813&quot;/&gt;&lt;wsp:rsid wsp:val=&quot;00511990&quot;/&gt;&lt;wsp:rsid wsp:val=&quot;00511DE0&quot;/&gt;&lt;wsp:rsid wsp:val=&quot;00514870&quot;/&gt;&lt;wsp:rsid wsp:val=&quot;00514B9B&quot;/&gt;&lt;wsp:rsid wsp:val=&quot;005175B2&quot;/&gt;&lt;wsp:rsid wsp:val=&quot;00517CAE&quot;/&gt;&lt;wsp:rsid wsp:val=&quot;00517F02&quot;/&gt;&lt;wsp:rsid wsp:val=&quot;00520CC0&quot;/&gt;&lt;wsp:rsid wsp:val=&quot;00521C03&quot;/&gt;&lt;wsp:rsid wsp:val=&quot;00524303&quot;/&gt;&lt;wsp:rsid wsp:val=&quot;005258A2&quot;/&gt;&lt;wsp:rsid wsp:val=&quot;00535620&quot;/&gt;&lt;wsp:rsid wsp:val=&quot;0053676E&quot;/&gt;&lt;wsp:rsid wsp:val=&quot;00536885&quot;/&gt;&lt;wsp:rsid wsp:val=&quot;005401AE&quot;/&gt;&lt;wsp:rsid wsp:val=&quot;00540D79&quot;/&gt;&lt;wsp:rsid wsp:val=&quot;00542E07&quot;/&gt;&lt;wsp:rsid wsp:val=&quot;00545424&quot;/&gt;&lt;wsp:rsid wsp:val=&quot;00554A7B&quot;/&gt;&lt;wsp:rsid wsp:val=&quot;0055572C&quot;/&gt;&lt;wsp:rsid wsp:val=&quot;0056106A&quot;/&gt;&lt;wsp:rsid wsp:val=&quot;005619F2&quot;/&gt;&lt;wsp:rsid wsp:val=&quot;005672F2&quot;/&gt;&lt;wsp:rsid wsp:val=&quot;00567A91&quot;/&gt;&lt;wsp:rsid wsp:val=&quot;00570187&quot;/&gt;&lt;wsp:rsid wsp:val=&quot;00571CE7&quot;/&gt;&lt;wsp:rsid wsp:val=&quot;005720AE&quot;/&gt;&lt;wsp:rsid wsp:val=&quot;00580A88&quot;/&gt;&lt;wsp:rsid wsp:val=&quot;0058147D&quot;/&gt;&lt;wsp:rsid wsp:val=&quot;00583F60&quot;/&gt;&lt;wsp:rsid wsp:val=&quot;005866DA&quot;/&gt;&lt;wsp:rsid wsp:val=&quot;0059272E&quot;/&gt;&lt;wsp:rsid wsp:val=&quot;00594D77&quot;/&gt;&lt;wsp:rsid wsp:val=&quot;005969E4&quot;/&gt;&lt;wsp:rsid wsp:val=&quot;005A06B7&quot;/&gt;&lt;wsp:rsid wsp:val=&quot;005A07AD&quot;/&gt;&lt;wsp:rsid wsp:val=&quot;005A1759&quot;/&gt;&lt;wsp:rsid wsp:val=&quot;005A2DC2&quot;/&gt;&lt;wsp:rsid wsp:val=&quot;005A38CD&quot;/&gt;&lt;wsp:rsid wsp:val=&quot;005A68A7&quot;/&gt;&lt;wsp:rsid wsp:val=&quot;005A7F86&quot;/&gt;&lt;wsp:rsid wsp:val=&quot;005B235B&quot;/&gt;&lt;wsp:rsid wsp:val=&quot;005B3E23&quot;/&gt;&lt;wsp:rsid wsp:val=&quot;005B4D10&quot;/&gt;&lt;wsp:rsid wsp:val=&quot;005B5EF9&quot;/&gt;&lt;wsp:rsid wsp:val=&quot;005C0B92&quot;/&gt;&lt;wsp:rsid wsp:val=&quot;005C2080&quot;/&gt;&lt;wsp:rsid wsp:val=&quot;005C65C8&quot;/&gt;&lt;wsp:rsid wsp:val=&quot;005C7420&quot;/&gt;&lt;wsp:rsid wsp:val=&quot;005D2BCD&quot;/&gt;&lt;wsp:rsid wsp:val=&quot;005D36AB&quot;/&gt;&lt;wsp:rsid wsp:val=&quot;005D5D68&quot;/&gt;&lt;wsp:rsid wsp:val=&quot;005D69B4&quot;/&gt;&lt;wsp:rsid wsp:val=&quot;005E1B8F&quot;/&gt;&lt;wsp:rsid wsp:val=&quot;005E6C5C&quot;/&gt;&lt;wsp:rsid wsp:val=&quot;005F4FBC&quot;/&gt;&lt;wsp:rsid wsp:val=&quot;006014E9&quot;/&gt;&lt;wsp:rsid wsp:val=&quot;00603099&quot;/&gt;&lt;wsp:rsid wsp:val=&quot;00607528&quot;/&gt;&lt;wsp:rsid wsp:val=&quot;006079DA&quot;/&gt;&lt;wsp:rsid wsp:val=&quot;00610992&quot;/&gt;&lt;wsp:rsid wsp:val=&quot;00612343&quot;/&gt;&lt;wsp:rsid wsp:val=&quot;006156B5&quot;/&gt;&lt;wsp:rsid wsp:val=&quot;00617CC3&quot;/&gt;&lt;wsp:rsid wsp:val=&quot;0062214C&quot;/&gt;&lt;wsp:rsid wsp:val=&quot;0063154A&quot;/&gt;&lt;wsp:rsid wsp:val=&quot;00631B41&quot;/&gt;&lt;wsp:rsid wsp:val=&quot;00631CC4&quot;/&gt;&lt;wsp:rsid wsp:val=&quot;0063619D&quot;/&gt;&lt;wsp:rsid wsp:val=&quot;00636FF1&quot;/&gt;&lt;wsp:rsid wsp:val=&quot;0063749E&quot;/&gt;&lt;wsp:rsid wsp:val=&quot;006377A6&quot;/&gt;&lt;wsp:rsid wsp:val=&quot;00637A3D&quot;/&gt;&lt;wsp:rsid wsp:val=&quot;006411EF&quot;/&gt;&lt;wsp:rsid wsp:val=&quot;0064139B&quot;/&gt;&lt;wsp:rsid wsp:val=&quot;0064179B&quot;/&gt;&lt;wsp:rsid wsp:val=&quot;0064259A&quot;/&gt;&lt;wsp:rsid wsp:val=&quot;00644C6A&quot;/&gt;&lt;wsp:rsid wsp:val=&quot;006522B1&quot;/&gt;&lt;wsp:rsid wsp:val=&quot;00665A45&quot;/&gt;&lt;wsp:rsid wsp:val=&quot;006748B8&quot;/&gt;&lt;wsp:rsid wsp:val=&quot;00675128&quot;/&gt;&lt;wsp:rsid wsp:val=&quot;00675D9B&quot;/&gt;&lt;wsp:rsid wsp:val=&quot;006773CC&quot;/&gt;&lt;wsp:rsid wsp:val=&quot;006775C3&quot;/&gt;&lt;wsp:rsid wsp:val=&quot;00684880&quot;/&gt;&lt;wsp:rsid wsp:val=&quot;006855D4&quot;/&gt;&lt;wsp:rsid wsp:val=&quot;00687546&quot;/&gt;&lt;wsp:rsid wsp:val=&quot;0069290A&quot;/&gt;&lt;wsp:rsid wsp:val=&quot;0069327F&quot;/&gt;&lt;wsp:rsid wsp:val=&quot;00693B1C&quot;/&gt;&lt;wsp:rsid wsp:val=&quot;006969FA&quot;/&gt;&lt;wsp:rsid wsp:val=&quot;0069775A&quot;/&gt;&lt;wsp:rsid wsp:val=&quot;00697813&quot;/&gt;&lt;wsp:rsid wsp:val=&quot;006A237A&quot;/&gt;&lt;wsp:rsid wsp:val=&quot;006A2E55&quot;/&gt;&lt;wsp:rsid wsp:val=&quot;006A3EE8&quot;/&gt;&lt;wsp:rsid wsp:val=&quot;006A72BF&quot;/&gt;&lt;wsp:rsid wsp:val=&quot;006B002B&quot;/&gt;&lt;wsp:rsid wsp:val=&quot;006B03F2&quot;/&gt;&lt;wsp:rsid wsp:val=&quot;006B37DC&quot;/&gt;&lt;wsp:rsid wsp:val=&quot;006B4F68&quot;/&gt;&lt;wsp:rsid wsp:val=&quot;006C0592&quot;/&gt;&lt;wsp:rsid wsp:val=&quot;006C272E&quot;/&gt;&lt;wsp:rsid wsp:val=&quot;006C5479&quot;/&gt;&lt;wsp:rsid wsp:val=&quot;006C7DB4&quot;/&gt;&lt;wsp:rsid wsp:val=&quot;006D13B5&quot;/&gt;&lt;wsp:rsid wsp:val=&quot;006D7488&quot;/&gt;&lt;wsp:rsid wsp:val=&quot;006E12FF&quot;/&gt;&lt;wsp:rsid wsp:val=&quot;006E5586&quot;/&gt;&lt;wsp:rsid wsp:val=&quot;006E607E&quot;/&gt;&lt;wsp:rsid wsp:val=&quot;006F22E0&quot;/&gt;&lt;wsp:rsid wsp:val=&quot;006F2692&quot;/&gt;&lt;wsp:rsid wsp:val=&quot;006F2F3D&quot;/&gt;&lt;wsp:rsid wsp:val=&quot;006F2FD5&quot;/&gt;&lt;wsp:rsid wsp:val=&quot;007029E6&quot;/&gt;&lt;wsp:rsid wsp:val=&quot;00706C5D&quot;/&gt;&lt;wsp:rsid wsp:val=&quot;00706FEC&quot;/&gt;&lt;wsp:rsid wsp:val=&quot;00710221&quot;/&gt;&lt;wsp:rsid wsp:val=&quot;00716123&quot;/&gt;&lt;wsp:rsid wsp:val=&quot;007207E0&quot;/&gt;&lt;wsp:rsid wsp:val=&quot;0072489D&quot;/&gt;&lt;wsp:rsid wsp:val=&quot;007328F0&quot;/&gt;&lt;wsp:rsid wsp:val=&quot;00732922&quot;/&gt;&lt;wsp:rsid wsp:val=&quot;007453FF&quot;/&gt;&lt;wsp:rsid wsp:val=&quot;00746B6F&quot;/&gt;&lt;wsp:rsid wsp:val=&quot;00746CEE&quot;/&gt;&lt;wsp:rsid wsp:val=&quot;00747061&quot;/&gt;&lt;wsp:rsid wsp:val=&quot;0075162E&quot;/&gt;&lt;wsp:rsid wsp:val=&quot;00754034&quot;/&gt;&lt;wsp:rsid wsp:val=&quot;007543F2&quot;/&gt;&lt;wsp:rsid wsp:val=&quot;00755E3C&quot;/&gt;&lt;wsp:rsid wsp:val=&quot;00756522&quot;/&gt;&lt;wsp:rsid wsp:val=&quot;00756556&quot;/&gt;&lt;wsp:rsid wsp:val=&quot;00756D79&quot;/&gt;&lt;wsp:rsid wsp:val=&quot;007618C4&quot;/&gt;&lt;wsp:rsid wsp:val=&quot;00767980&quot;/&gt;&lt;wsp:rsid wsp:val=&quot;00770B19&quot;/&gt;&lt;wsp:rsid wsp:val=&quot;0077463F&quot;/&gt;&lt;wsp:rsid wsp:val=&quot;007836EA&quot;/&gt;&lt;wsp:rsid wsp:val=&quot;00783E52&quot;/&gt;&lt;wsp:rsid wsp:val=&quot;00784CDA&quot;/&gt;&lt;wsp:rsid wsp:val=&quot;00787AC2&quot;/&gt;&lt;wsp:rsid wsp:val=&quot;007906C4&quot;/&gt;&lt;wsp:rsid wsp:val=&quot;007918F1&quot;/&gt;&lt;wsp:rsid wsp:val=&quot;007928DC&quot;/&gt;&lt;wsp:rsid wsp:val=&quot;007940EA&quot;/&gt;&lt;wsp:rsid wsp:val=&quot;007967E8&quot;/&gt;&lt;wsp:rsid wsp:val=&quot;007A02FF&quot;/&gt;&lt;wsp:rsid wsp:val=&quot;007A2170&quot;/&gt;&lt;wsp:rsid wsp:val=&quot;007A22BF&quot;/&gt;&lt;wsp:rsid wsp:val=&quot;007A3323&quot;/&gt;&lt;wsp:rsid wsp:val=&quot;007B0D39&quot;/&gt;&lt;wsp:rsid wsp:val=&quot;007B6908&quot;/&gt;&lt;wsp:rsid wsp:val=&quot;007B6D17&quot;/&gt;&lt;wsp:rsid wsp:val=&quot;007B72B8&quot;/&gt;&lt;wsp:rsid wsp:val=&quot;007B7A58&quot;/&gt;&lt;wsp:rsid wsp:val=&quot;007C1021&quot;/&gt;&lt;wsp:rsid wsp:val=&quot;007C21B5&quot;/&gt;&lt;wsp:rsid wsp:val=&quot;007C2EAA&quot;/&gt;&lt;wsp:rsid wsp:val=&quot;007C6D61&quot;/&gt;&lt;wsp:rsid wsp:val=&quot;007D5766&quot;/&gt;&lt;wsp:rsid wsp:val=&quot;007D589C&quot;/&gt;&lt;wsp:rsid wsp:val=&quot;007E18B7&quot;/&gt;&lt;wsp:rsid wsp:val=&quot;007E4BD2&quot;/&gt;&lt;wsp:rsid wsp:val=&quot;007E50BC&quot;/&gt;&lt;wsp:rsid wsp:val=&quot;007F19EB&quot;/&gt;&lt;wsp:rsid wsp:val=&quot;007F3BC9&quot;/&gt;&lt;wsp:rsid wsp:val=&quot;00800D6D&quot;/&gt;&lt;wsp:rsid wsp:val=&quot;00801393&quot;/&gt;&lt;wsp:rsid wsp:val=&quot;00801450&quot;/&gt;&lt;wsp:rsid wsp:val=&quot;008016D3&quot;/&gt;&lt;wsp:rsid wsp:val=&quot;008025EA&quot;/&gt;&lt;wsp:rsid wsp:val=&quot;00802C50&quot;/&gt;&lt;wsp:rsid wsp:val=&quot;00802F88&quot;/&gt;&lt;wsp:rsid wsp:val=&quot;00803CBF&quot;/&gt;&lt;wsp:rsid wsp:val=&quot;00811C11&quot;/&gt;&lt;wsp:rsid wsp:val=&quot;0081258E&quot;/&gt;&lt;wsp:rsid wsp:val=&quot;0081293E&quot;/&gt;&lt;wsp:rsid wsp:val=&quot;00815465&quot;/&gt;&lt;wsp:rsid wsp:val=&quot;00817E9A&quot;/&gt;&lt;wsp:rsid wsp:val=&quot;008202F4&quot;/&gt;&lt;wsp:rsid wsp:val=&quot;00822C5F&quot;/&gt;&lt;wsp:rsid wsp:val=&quot;00823113&quot;/&gt;&lt;wsp:rsid wsp:val=&quot;008306BD&quot;/&gt;&lt;wsp:rsid wsp:val=&quot;008316CC&quot;/&gt;&lt;wsp:rsid wsp:val=&quot;00831A80&quot;/&gt;&lt;wsp:rsid wsp:val=&quot;00833743&quot;/&gt;&lt;wsp:rsid wsp:val=&quot;00833A05&quot;/&gt;&lt;wsp:rsid wsp:val=&quot;008340A4&quot;/&gt;&lt;wsp:rsid wsp:val=&quot;008379B1&quot;/&gt;&lt;wsp:rsid wsp:val=&quot;00846F8E&quot;/&gt;&lt;wsp:rsid wsp:val=&quot;00852DCD&quot;/&gt;&lt;wsp:rsid wsp:val=&quot;008560C1&quot;/&gt;&lt;wsp:rsid wsp:val=&quot;008569CE&quot;/&gt;&lt;wsp:rsid wsp:val=&quot;00863692&quot;/&gt;&lt;wsp:rsid wsp:val=&quot;00863953&quot;/&gt;&lt;wsp:rsid wsp:val=&quot;0087135F&quot;/&gt;&lt;wsp:rsid wsp:val=&quot;008716A6&quot;/&gt;&lt;wsp:rsid wsp:val=&quot;00872CB8&quot;/&gt;&lt;wsp:rsid wsp:val=&quot;00872D94&quot;/&gt;&lt;wsp:rsid wsp:val=&quot;00880364&quot;/&gt;&lt;wsp:rsid wsp:val=&quot;008807E2&quot;/&gt;&lt;wsp:rsid wsp:val=&quot;00881DB5&quot;/&gt;&lt;wsp:rsid wsp:val=&quot;00886794&quot;/&gt;&lt;wsp:rsid wsp:val=&quot;00891592&quot;/&gt;&lt;wsp:rsid wsp:val=&quot;00891E9E&quot;/&gt;&lt;wsp:rsid wsp:val=&quot;008930C2&quot;/&gt;&lt;wsp:rsid wsp:val=&quot;00894EF9&quot;/&gt;&lt;wsp:rsid wsp:val=&quot;00895938&quot;/&gt;&lt;wsp:rsid wsp:val=&quot;008A214E&quot;/&gt;&lt;wsp:rsid wsp:val=&quot;008A2F68&quot;/&gt;&lt;wsp:rsid wsp:val=&quot;008A55A2&quot;/&gt;&lt;wsp:rsid wsp:val=&quot;008A5914&quot;/&gt;&lt;wsp:rsid wsp:val=&quot;008B0720&quot;/&gt;&lt;wsp:rsid wsp:val=&quot;008B30F2&quot;/&gt;&lt;wsp:rsid wsp:val=&quot;008B4C8C&quot;/&gt;&lt;wsp:rsid wsp:val=&quot;008B4FA6&quot;/&gt;&lt;wsp:rsid wsp:val=&quot;008B5282&quot;/&gt;&lt;wsp:rsid wsp:val=&quot;008B6ECE&quot;/&gt;&lt;wsp:rsid wsp:val=&quot;008B7C17&quot;/&gt;&lt;wsp:rsid wsp:val=&quot;008C1CDA&quot;/&gt;&lt;wsp:rsid wsp:val=&quot;008C2D01&quot;/&gt;&lt;wsp:rsid wsp:val=&quot;008C40E6&quot;/&gt;&lt;wsp:rsid wsp:val=&quot;008D0F7A&quot;/&gt;&lt;wsp:rsid wsp:val=&quot;008D1D43&quot;/&gt;&lt;wsp:rsid wsp:val=&quot;008D68E4&quot;/&gt;&lt;wsp:rsid wsp:val=&quot;008E0173&quot;/&gt;&lt;wsp:rsid wsp:val=&quot;008E0506&quot;/&gt;&lt;wsp:rsid wsp:val=&quot;008E0CFF&quot;/&gt;&lt;wsp:rsid wsp:val=&quot;008E5D6B&quot;/&gt;&lt;wsp:rsid wsp:val=&quot;008E76F0&quot;/&gt;&lt;wsp:rsid wsp:val=&quot;008F0A89&quot;/&gt;&lt;wsp:rsid wsp:val=&quot;008F12E5&quot;/&gt;&lt;wsp:rsid wsp:val=&quot;008F15FE&quot;/&gt;&lt;wsp:rsid wsp:val=&quot;008F2D29&quot;/&gt;&lt;wsp:rsid wsp:val=&quot;008F5187&quot;/&gt;&lt;wsp:rsid wsp:val=&quot;008F60D8&quot;/&gt;&lt;wsp:rsid wsp:val=&quot;0090025A&quot;/&gt;&lt;wsp:rsid wsp:val=&quot;00901D6E&quot;/&gt;&lt;wsp:rsid wsp:val=&quot;00902727&quot;/&gt;&lt;wsp:rsid wsp:val=&quot;0090312B&quot;/&gt;&lt;wsp:rsid wsp:val=&quot;009063D0&quot;/&gt;&lt;wsp:rsid wsp:val=&quot;00907EFF&quot;/&gt;&lt;wsp:rsid wsp:val=&quot;0091477F&quot;/&gt;&lt;wsp:rsid wsp:val=&quot;00914818&quot;/&gt;&lt;wsp:rsid wsp:val=&quot;00915FEC&quot;/&gt;&lt;wsp:rsid wsp:val=&quot;009165BF&quot;/&gt;&lt;wsp:rsid wsp:val=&quot;0091736D&quot;/&gt;&lt;wsp:rsid wsp:val=&quot;009178E8&quot;/&gt;&lt;wsp:rsid wsp:val=&quot;0092238F&quot;/&gt;&lt;wsp:rsid wsp:val=&quot;009254B3&quot;/&gt;&lt;wsp:rsid wsp:val=&quot;0092589F&quot;/&gt;&lt;wsp:rsid wsp:val=&quot;00925ADA&quot;/&gt;&lt;wsp:rsid wsp:val=&quot;0093037A&quot;/&gt;&lt;wsp:rsid wsp:val=&quot;0093482C&quot;/&gt;&lt;wsp:rsid wsp:val=&quot;0094048A&quot;/&gt;&lt;wsp:rsid wsp:val=&quot;0094154D&quot;/&gt;&lt;wsp:rsid wsp:val=&quot;009437B7&quot;/&gt;&lt;wsp:rsid wsp:val=&quot;00943949&quot;/&gt;&lt;wsp:rsid wsp:val=&quot;009465B5&quot;/&gt;&lt;wsp:rsid wsp:val=&quot;00950372&quot;/&gt;&lt;wsp:rsid wsp:val=&quot;0095101F&quot;/&gt;&lt;wsp:rsid wsp:val=&quot;0095155F&quot;/&gt;&lt;wsp:rsid wsp:val=&quot;00954429&quot;/&gt;&lt;wsp:rsid wsp:val=&quot;009563CE&quot;/&gt;&lt;wsp:rsid wsp:val=&quot;00957310&quot;/&gt;&lt;wsp:rsid wsp:val=&quot;00962536&quot;/&gt;&lt;wsp:rsid wsp:val=&quot;009706C2&quot;/&gt;&lt;wsp:rsid wsp:val=&quot;00971AD8&quot;/&gt;&lt;wsp:rsid wsp:val=&quot;00972276&quot;/&gt;&lt;wsp:rsid wsp:val=&quot;00973235&quot;/&gt;&lt;wsp:rsid wsp:val=&quot;00976328&quot;/&gt;&lt;wsp:rsid wsp:val=&quot;00976378&quot;/&gt;&lt;wsp:rsid wsp:val=&quot;0097680D&quot;/&gt;&lt;wsp:rsid wsp:val=&quot;00982438&quot;/&gt;&lt;wsp:rsid wsp:val=&quot;0098404C&quot;/&gt;&lt;wsp:rsid wsp:val=&quot;00985283&quot;/&gt;&lt;wsp:rsid wsp:val=&quot;009858BF&quot;/&gt;&lt;wsp:rsid wsp:val=&quot;00987222&quot;/&gt;&lt;wsp:rsid wsp:val=&quot;00987C1C&quot;/&gt;&lt;wsp:rsid wsp:val=&quot;00987D2E&quot;/&gt;&lt;wsp:rsid wsp:val=&quot;00990832&quot;/&gt;&lt;wsp:rsid wsp:val=&quot;009908E6&quot;/&gt;&lt;wsp:rsid wsp:val=&quot;00995992&quot;/&gt;&lt;wsp:rsid wsp:val=&quot;00996804&quot;/&gt;&lt;wsp:rsid wsp:val=&quot;00996CC9&quot;/&gt;&lt;wsp:rsid wsp:val=&quot;00997A70&quot;/&gt;&lt;wsp:rsid wsp:val=&quot;009A03E5&quot;/&gt;&lt;wsp:rsid wsp:val=&quot;009A0F3B&quot;/&gt;&lt;wsp:rsid wsp:val=&quot;009A1BB4&quot;/&gt;&lt;wsp:rsid wsp:val=&quot;009A2628&quot;/&gt;&lt;wsp:rsid wsp:val=&quot;009A3200&quot;/&gt;&lt;wsp:rsid wsp:val=&quot;009A3E3D&quot;/&gt;&lt;wsp:rsid wsp:val=&quot;009A5F66&quot;/&gt;&lt;wsp:rsid wsp:val=&quot;009B03D0&quot;/&gt;&lt;wsp:rsid wsp:val=&quot;009B0897&quot;/&gt;&lt;wsp:rsid wsp:val=&quot;009B7BD9&quot;/&gt;&lt;wsp:rsid wsp:val=&quot;009C4E04&quot;/&gt;&lt;wsp:rsid wsp:val=&quot;009C65DD&quot;/&gt;&lt;wsp:rsid wsp:val=&quot;009C7057&quot;/&gt;&lt;wsp:rsid wsp:val=&quot;009C7DD5&quot;/&gt;&lt;wsp:rsid wsp:val=&quot;009D29A7&quot;/&gt;&lt;wsp:rsid wsp:val=&quot;009D3F0B&quot;/&gt;&lt;wsp:rsid wsp:val=&quot;009D6820&quot;/&gt;&lt;wsp:rsid wsp:val=&quot;009E227D&quot;/&gt;&lt;wsp:rsid wsp:val=&quot;009E35D6&quot;/&gt;&lt;wsp:rsid wsp:val=&quot;009E5019&quot;/&gt;&lt;wsp:rsid wsp:val=&quot;009E6657&quot;/&gt;&lt;wsp:rsid wsp:val=&quot;009F2B61&quot;/&gt;&lt;wsp:rsid wsp:val=&quot;009F3C64&quot;/&gt;&lt;wsp:rsid wsp:val=&quot;00A04F1B&quot;/&gt;&lt;wsp:rsid wsp:val=&quot;00A0501B&quot;/&gt;&lt;wsp:rsid wsp:val=&quot;00A068B1&quot;/&gt;&lt;wsp:rsid wsp:val=&quot;00A11498&quot;/&gt;&lt;wsp:rsid wsp:val=&quot;00A11A27&quot;/&gt;&lt;wsp:rsid wsp:val=&quot;00A137D4&quot;/&gt;&lt;wsp:rsid wsp:val=&quot;00A14947&quot;/&gt;&lt;wsp:rsid wsp:val=&quot;00A203CA&quot;/&gt;&lt;wsp:rsid wsp:val=&quot;00A22898&quot;/&gt;&lt;wsp:rsid wsp:val=&quot;00A25E09&quot;/&gt;&lt;wsp:rsid wsp:val=&quot;00A32A83&quot;/&gt;&lt;wsp:rsid wsp:val=&quot;00A368DB&quot;/&gt;&lt;wsp:rsid wsp:val=&quot;00A404DE&quot;/&gt;&lt;wsp:rsid wsp:val=&quot;00A419CA&quot;/&gt;&lt;wsp:rsid wsp:val=&quot;00A423AA&quot;/&gt;&lt;wsp:rsid wsp:val=&quot;00A44879&quot;/&gt;&lt;wsp:rsid wsp:val=&quot;00A45341&quot;/&gt;&lt;wsp:rsid wsp:val=&quot;00A46D89&quot;/&gt;&lt;wsp:rsid wsp:val=&quot;00A47CD5&quot;/&gt;&lt;wsp:rsid wsp:val=&quot;00A52D92&quot;/&gt;&lt;wsp:rsid wsp:val=&quot;00A53EC6&quot;/&gt;&lt;wsp:rsid wsp:val=&quot;00A55C0F&quot;/&gt;&lt;wsp:rsid wsp:val=&quot;00A66ADF&quot;/&gt;&lt;wsp:rsid wsp:val=&quot;00A77E1B&quot;/&gt;&lt;wsp:rsid wsp:val=&quot;00A8713F&quot;/&gt;&lt;wsp:rsid wsp:val=&quot;00A90BA1&quot;/&gt;&lt;wsp:rsid wsp:val=&quot;00A916D2&quot;/&gt;&lt;wsp:rsid wsp:val=&quot;00A92355&quot;/&gt;&lt;wsp:rsid wsp:val=&quot;00A9258B&quot;/&gt;&lt;wsp:rsid wsp:val=&quot;00A9448C&quot;/&gt;&lt;wsp:rsid wsp:val=&quot;00A95EB3&quot;/&gt;&lt;wsp:rsid wsp:val=&quot;00A97A9A&quot;/&gt;&lt;wsp:rsid wsp:val=&quot;00AA0671&quot;/&gt;&lt;wsp:rsid wsp:val=&quot;00AA2531&quot;/&gt;&lt;wsp:rsid wsp:val=&quot;00AA2A63&quot;/&gt;&lt;wsp:rsid wsp:val=&quot;00AA37E5&quot;/&gt;&lt;wsp:rsid wsp:val=&quot;00AA7EFF&quot;/&gt;&lt;wsp:rsid wsp:val=&quot;00AB1E09&quot;/&gt;&lt;wsp:rsid wsp:val=&quot;00AB5330&quot;/&gt;&lt;wsp:rsid wsp:val=&quot;00AB7747&quot;/&gt;&lt;wsp:rsid wsp:val=&quot;00AC14CE&quot;/&gt;&lt;wsp:rsid wsp:val=&quot;00AC2A56&quot;/&gt;&lt;wsp:rsid wsp:val=&quot;00AC37C4&quot;/&gt;&lt;wsp:rsid wsp:val=&quot;00AC4B06&quot;/&gt;&lt;wsp:rsid wsp:val=&quot;00AC6229&quot;/&gt;&lt;wsp:rsid wsp:val=&quot;00AC74C8&quot;/&gt;&lt;wsp:rsid wsp:val=&quot;00AC7B25&quot;/&gt;&lt;wsp:rsid wsp:val=&quot;00AD055E&quot;/&gt;&lt;wsp:rsid wsp:val=&quot;00AD47A7&quot;/&gt;&lt;wsp:rsid wsp:val=&quot;00AD51BD&quot;/&gt;&lt;wsp:rsid wsp:val=&quot;00AE11E2&quot;/&gt;&lt;wsp:rsid wsp:val=&quot;00AE2907&quot;/&gt;&lt;wsp:rsid wsp:val=&quot;00AE409C&quot;/&gt;&lt;wsp:rsid wsp:val=&quot;00AE6A57&quot;/&gt;&lt;wsp:rsid wsp:val=&quot;00AF0CBF&quot;/&gt;&lt;wsp:rsid wsp:val=&quot;00AF257F&quot;/&gt;&lt;wsp:rsid wsp:val=&quot;00AF33CF&quot;/&gt;&lt;wsp:rsid wsp:val=&quot;00AF4D50&quot;/&gt;&lt;wsp:rsid wsp:val=&quot;00AF6179&quot;/&gt;&lt;wsp:rsid wsp:val=&quot;00B055D0&quot;/&gt;&lt;wsp:rsid wsp:val=&quot;00B06461&quot;/&gt;&lt;wsp:rsid wsp:val=&quot;00B10EAB&quot;/&gt;&lt;wsp:rsid wsp:val=&quot;00B1148C&quot;/&gt;&lt;wsp:rsid wsp:val=&quot;00B1295A&quot;/&gt;&lt;wsp:rsid wsp:val=&quot;00B20A45&quot;/&gt;&lt;wsp:rsid wsp:val=&quot;00B216EC&quot;/&gt;&lt;wsp:rsid wsp:val=&quot;00B226A4&quot;/&gt;&lt;wsp:rsid wsp:val=&quot;00B22C5C&quot;/&gt;&lt;wsp:rsid wsp:val=&quot;00B24F30&quot;/&gt;&lt;wsp:rsid wsp:val=&quot;00B26641&quot;/&gt;&lt;wsp:rsid wsp:val=&quot;00B306FE&quot;/&gt;&lt;wsp:rsid wsp:val=&quot;00B31ABF&quot;/&gt;&lt;wsp:rsid wsp:val=&quot;00B337D8&quot;/&gt;&lt;wsp:rsid wsp:val=&quot;00B33BE3&quot;/&gt;&lt;wsp:rsid wsp:val=&quot;00B405F9&quot;/&gt;&lt;wsp:rsid wsp:val=&quot;00B4157D&quot;/&gt;&lt;wsp:rsid wsp:val=&quot;00B44088&quot;/&gt;&lt;wsp:rsid wsp:val=&quot;00B47447&quot;/&gt;&lt;wsp:rsid wsp:val=&quot;00B51C53&quot;/&gt;&lt;wsp:rsid wsp:val=&quot;00B535B1&quot;/&gt;&lt;wsp:rsid wsp:val=&quot;00B53B5D&quot;/&gt;&lt;wsp:rsid wsp:val=&quot;00B576E5&quot;/&gt;&lt;wsp:rsid wsp:val=&quot;00B57E59&quot;/&gt;&lt;wsp:rsid wsp:val=&quot;00B6055E&quot;/&gt;&lt;wsp:rsid wsp:val=&quot;00B6317D&quot;/&gt;&lt;wsp:rsid wsp:val=&quot;00B65144&quot;/&gt;&lt;wsp:rsid wsp:val=&quot;00B66953&quot;/&gt;&lt;wsp:rsid wsp:val=&quot;00B712B8&quot;/&gt;&lt;wsp:rsid wsp:val=&quot;00B75181&quot;/&gt;&lt;wsp:rsid wsp:val=&quot;00B7723F&quot;/&gt;&lt;wsp:rsid wsp:val=&quot;00B77D2C&quot;/&gt;&lt;wsp:rsid wsp:val=&quot;00B77D83&quot;/&gt;&lt;wsp:rsid wsp:val=&quot;00B803A5&quot;/&gt;&lt;wsp:rsid wsp:val=&quot;00B80534&quot;/&gt;&lt;wsp:rsid wsp:val=&quot;00B81FA2&quot;/&gt;&lt;wsp:rsid wsp:val=&quot;00B8433C&quot;/&gt;&lt;wsp:rsid wsp:val=&quot;00B87491&quot;/&gt;&lt;wsp:rsid wsp:val=&quot;00B87FCF&quot;/&gt;&lt;wsp:rsid wsp:val=&quot;00B915FD&quot;/&gt;&lt;wsp:rsid wsp:val=&quot;00B95631&quot;/&gt;&lt;wsp:rsid wsp:val=&quot;00B9662F&quot;/&gt;&lt;wsp:rsid wsp:val=&quot;00B96FF7&quot;/&gt;&lt;wsp:rsid wsp:val=&quot;00B97D8F&quot;/&gt;&lt;wsp:rsid wsp:val=&quot;00BA072C&quot;/&gt;&lt;wsp:rsid wsp:val=&quot;00BA29E9&quot;/&gt;&lt;wsp:rsid wsp:val=&quot;00BA34A0&quot;/&gt;&lt;wsp:rsid wsp:val=&quot;00BA6E29&quot;/&gt;&lt;wsp:rsid wsp:val=&quot;00BA7142&quot;/&gt;&lt;wsp:rsid wsp:val=&quot;00BB17EC&quot;/&gt;&lt;wsp:rsid wsp:val=&quot;00BB237C&quot;/&gt;&lt;wsp:rsid wsp:val=&quot;00BB41A3&quot;/&gt;&lt;wsp:rsid wsp:val=&quot;00BB5A15&quot;/&gt;&lt;wsp:rsid wsp:val=&quot;00BC0808&quot;/&gt;&lt;wsp:rsid wsp:val=&quot;00BC29F8&quot;/&gt;&lt;wsp:rsid wsp:val=&quot;00BC32DC&quot;/&gt;&lt;wsp:rsid wsp:val=&quot;00BC35B6&quot;/&gt;&lt;wsp:rsid wsp:val=&quot;00BC65D2&quot;/&gt;&lt;wsp:rsid wsp:val=&quot;00BD10A1&quot;/&gt;&lt;wsp:rsid wsp:val=&quot;00BD1B51&quot;/&gt;&lt;wsp:rsid wsp:val=&quot;00BD22D3&quot;/&gt;&lt;wsp:rsid wsp:val=&quot;00BD4596&quot;/&gt;&lt;wsp:rsid wsp:val=&quot;00BD4D6C&quot;/&gt;&lt;wsp:rsid wsp:val=&quot;00BD6DB9&quot;/&gt;&lt;wsp:rsid wsp:val=&quot;00BE1405&quot;/&gt;&lt;wsp:rsid wsp:val=&quot;00BE312D&quot;/&gt;&lt;wsp:rsid wsp:val=&quot;00BF1C20&quot;/&gt;&lt;wsp:rsid wsp:val=&quot;00BF2500&quot;/&gt;&lt;wsp:rsid wsp:val=&quot;00BF747E&quot;/&gt;&lt;wsp:rsid wsp:val=&quot;00C000A4&quot;/&gt;&lt;wsp:rsid wsp:val=&quot;00C00896&quot;/&gt;&lt;wsp:rsid wsp:val=&quot;00C01A70&quot;/&gt;&lt;wsp:rsid wsp:val=&quot;00C04ECC&quot;/&gt;&lt;wsp:rsid wsp:val=&quot;00C0505F&quot;/&gt;&lt;wsp:rsid wsp:val=&quot;00C064A5&quot;/&gt;&lt;wsp:rsid wsp:val=&quot;00C10578&quot;/&gt;&lt;wsp:rsid wsp:val=&quot;00C135BC&quot;/&gt;&lt;wsp:rsid wsp:val=&quot;00C149BC&quot;/&gt;&lt;wsp:rsid wsp:val=&quot;00C14E6E&quot;/&gt;&lt;wsp:rsid wsp:val=&quot;00C150B3&quot;/&gt;&lt;wsp:rsid wsp:val=&quot;00C15C95&quot;/&gt;&lt;wsp:rsid wsp:val=&quot;00C174EA&quot;/&gt;&lt;wsp:rsid wsp:val=&quot;00C200E2&quot;/&gt;&lt;wsp:rsid wsp:val=&quot;00C21919&quot;/&gt;&lt;wsp:rsid wsp:val=&quot;00C21B6C&quot;/&gt;&lt;wsp:rsid wsp:val=&quot;00C2596A&quot;/&gt;&lt;wsp:rsid wsp:val=&quot;00C266A1&quot;/&gt;&lt;wsp:rsid wsp:val=&quot;00C26B06&quot;/&gt;&lt;wsp:rsid wsp:val=&quot;00C27537&quot;/&gt;&lt;wsp:rsid wsp:val=&quot;00C328FE&quot;/&gt;&lt;wsp:rsid wsp:val=&quot;00C33507&quot;/&gt;&lt;wsp:rsid wsp:val=&quot;00C36F73&quot;/&gt;&lt;wsp:rsid wsp:val=&quot;00C37292&quot;/&gt;&lt;wsp:rsid wsp:val=&quot;00C37310&quot;/&gt;&lt;wsp:rsid wsp:val=&quot;00C37D8E&quot;/&gt;&lt;wsp:rsid wsp:val=&quot;00C4386B&quot;/&gt;&lt;wsp:rsid wsp:val=&quot;00C4409D&quot;/&gt;&lt;wsp:rsid wsp:val=&quot;00C44E72&quot;/&gt;&lt;wsp:rsid wsp:val=&quot;00C45A06&quot;/&gt;&lt;wsp:rsid wsp:val=&quot;00C465F5&quot;/&gt;&lt;wsp:rsid wsp:val=&quot;00C46A9F&quot;/&gt;&lt;wsp:rsid wsp:val=&quot;00C47E5B&quot;/&gt;&lt;wsp:rsid wsp:val=&quot;00C56377&quot;/&gt;&lt;wsp:rsid wsp:val=&quot;00C60E75&quot;/&gt;&lt;wsp:rsid wsp:val=&quot;00C61E4B&quot;/&gt;&lt;wsp:rsid wsp:val=&quot;00C64BFF&quot;/&gt;&lt;wsp:rsid wsp:val=&quot;00C704E9&quot;/&gt;&lt;wsp:rsid wsp:val=&quot;00C7236D&quot;/&gt;&lt;wsp:rsid wsp:val=&quot;00C73761&quot;/&gt;&lt;wsp:rsid wsp:val=&quot;00C74125&quot;/&gt;&lt;wsp:rsid wsp:val=&quot;00C75C68&quot;/&gt;&lt;wsp:rsid wsp:val=&quot;00C763C9&quot;/&gt;&lt;wsp:rsid wsp:val=&quot;00C80057&quot;/&gt;&lt;wsp:rsid wsp:val=&quot;00C808B3&quot;/&gt;&lt;wsp:rsid wsp:val=&quot;00C82232&quot;/&gt;&lt;wsp:rsid wsp:val=&quot;00C82913&quot;/&gt;&lt;wsp:rsid wsp:val=&quot;00C94789&quot;/&gt;&lt;wsp:rsid wsp:val=&quot;00C972B1&quot;/&gt;&lt;wsp:rsid wsp:val=&quot;00C97EE3&quot;/&gt;&lt;wsp:rsid wsp:val=&quot;00CA0ACD&quot;/&gt;&lt;wsp:rsid wsp:val=&quot;00CA0B21&quot;/&gt;&lt;wsp:rsid wsp:val=&quot;00CA1C08&quot;/&gt;&lt;wsp:rsid wsp:val=&quot;00CA2B61&quot;/&gt;&lt;wsp:rsid wsp:val=&quot;00CA2CCE&quot;/&gt;&lt;wsp:rsid wsp:val=&quot;00CA43FD&quot;/&gt;&lt;wsp:rsid wsp:val=&quot;00CA7EF8&quot;/&gt;&lt;wsp:rsid wsp:val=&quot;00CC0602&quot;/&gt;&lt;wsp:rsid wsp:val=&quot;00CC255F&quot;/&gt;&lt;wsp:rsid wsp:val=&quot;00CC489B&quot;/&gt;&lt;wsp:rsid wsp:val=&quot;00CC61D5&quot;/&gt;&lt;wsp:rsid wsp:val=&quot;00CD2BCD&quot;/&gt;&lt;wsp:rsid wsp:val=&quot;00CD3177&quot;/&gt;&lt;wsp:rsid wsp:val=&quot;00CD3A4C&quot;/&gt;&lt;wsp:rsid wsp:val=&quot;00CD6607&quot;/&gt;&lt;wsp:rsid wsp:val=&quot;00CE10E9&quot;/&gt;&lt;wsp:rsid wsp:val=&quot;00CE2910&quot;/&gt;&lt;wsp:rsid wsp:val=&quot;00CE29AC&quot;/&gt;&lt;wsp:rsid wsp:val=&quot;00CE48AA&quot;/&gt;&lt;wsp:rsid wsp:val=&quot;00CE5267&quot;/&gt;&lt;wsp:rsid wsp:val=&quot;00CE5393&quot;/&gt;&lt;wsp:rsid wsp:val=&quot;00CF36BE&quot;/&gt;&lt;wsp:rsid wsp:val=&quot;00CF5256&quot;/&gt;&lt;wsp:rsid wsp:val=&quot;00CF5978&quot;/&gt;&lt;wsp:rsid wsp:val=&quot;00CF6000&quot;/&gt;&lt;wsp:rsid wsp:val=&quot;00CF6E07&quot;/&gt;&lt;wsp:rsid wsp:val=&quot;00D003F3&quot;/&gt;&lt;wsp:rsid wsp:val=&quot;00D00481&quot;/&gt;&lt;wsp:rsid wsp:val=&quot;00D0364F&quot;/&gt;&lt;wsp:rsid wsp:val=&quot;00D03FA8&quot;/&gt;&lt;wsp:rsid wsp:val=&quot;00D06834&quot;/&gt;&lt;wsp:rsid wsp:val=&quot;00D06C98&quot;/&gt;&lt;wsp:rsid wsp:val=&quot;00D11AEE&quot;/&gt;&lt;wsp:rsid wsp:val=&quot;00D14081&quot;/&gt;&lt;wsp:rsid wsp:val=&quot;00D16DD4&quot;/&gt;&lt;wsp:rsid wsp:val=&quot;00D21564&quot;/&gt;&lt;wsp:rsid wsp:val=&quot;00D23EE6&quot;/&gt;&lt;wsp:rsid wsp:val=&quot;00D265B3&quot;/&gt;&lt;wsp:rsid wsp:val=&quot;00D308ED&quot;/&gt;&lt;wsp:rsid wsp:val=&quot;00D36D86&quot;/&gt;&lt;wsp:rsid wsp:val=&quot;00D37DB4&quot;/&gt;&lt;wsp:rsid wsp:val=&quot;00D4012F&quot;/&gt;&lt;wsp:rsid wsp:val=&quot;00D428AA&quot;/&gt;&lt;wsp:rsid wsp:val=&quot;00D4497C&quot;/&gt;&lt;wsp:rsid wsp:val=&quot;00D50A34&quot;/&gt;&lt;wsp:rsid wsp:val=&quot;00D5294B&quot;/&gt;&lt;wsp:rsid wsp:val=&quot;00D53EFA&quot;/&gt;&lt;wsp:rsid wsp:val=&quot;00D55C2F&quot;/&gt;&lt;wsp:rsid wsp:val=&quot;00D65204&quot;/&gt;&lt;wsp:rsid wsp:val=&quot;00D67BBE&quot;/&gt;&lt;wsp:rsid wsp:val=&quot;00D71164&quot;/&gt;&lt;wsp:rsid wsp:val=&quot;00D75034&quot;/&gt;&lt;wsp:rsid wsp:val=&quot;00D769D2&quot;/&gt;&lt;wsp:rsid wsp:val=&quot;00D877F7&quot;/&gt;&lt;wsp:rsid wsp:val=&quot;00D902B9&quot;/&gt;&lt;wsp:rsid wsp:val=&quot;00D91DA1&quot;/&gt;&lt;wsp:rsid wsp:val=&quot;00D93F0E&quot;/&gt;&lt;wsp:rsid wsp:val=&quot;00D94A7C&quot;/&gt;&lt;wsp:rsid wsp:val=&quot;00D95896&quot;/&gt;&lt;wsp:rsid wsp:val=&quot;00DA61B6&quot;/&gt;&lt;wsp:rsid wsp:val=&quot;00DA750F&quot;/&gt;&lt;wsp:rsid wsp:val=&quot;00DB251C&quot;/&gt;&lt;wsp:rsid wsp:val=&quot;00DB2983&quot;/&gt;&lt;wsp:rsid wsp:val=&quot;00DB52AA&quot;/&gt;&lt;wsp:rsid wsp:val=&quot;00DB68DF&quot;/&gt;&lt;wsp:rsid wsp:val=&quot;00DC1257&quot;/&gt;&lt;wsp:rsid wsp:val=&quot;00DC1D21&quot;/&gt;&lt;wsp:rsid wsp:val=&quot;00DC3DC0&quot;/&gt;&lt;wsp:rsid wsp:val=&quot;00DC5B2B&quot;/&gt;&lt;wsp:rsid wsp:val=&quot;00DC6D28&quot;/&gt;&lt;wsp:rsid wsp:val=&quot;00DC6FA1&quot;/&gt;&lt;wsp:rsid wsp:val=&quot;00DD01DD&quot;/&gt;&lt;wsp:rsid wsp:val=&quot;00DD318D&quot;/&gt;&lt;wsp:rsid wsp:val=&quot;00DD5368&quot;/&gt;&lt;wsp:rsid wsp:val=&quot;00DD722C&quot;/&gt;&lt;wsp:rsid wsp:val=&quot;00DE03F2&quot;/&gt;&lt;wsp:rsid wsp:val=&quot;00DE0912&quot;/&gt;&lt;wsp:rsid wsp:val=&quot;00DE1D75&quot;/&gt;&lt;wsp:rsid wsp:val=&quot;00DF2E12&quot;/&gt;&lt;wsp:rsid wsp:val=&quot;00DF4893&quot;/&gt;&lt;wsp:rsid wsp:val=&quot;00DF514A&quot;/&gt;&lt;wsp:rsid wsp:val=&quot;00DF6690&quot;/&gt;&lt;wsp:rsid wsp:val=&quot;00DF6804&quot;/&gt;&lt;wsp:rsid wsp:val=&quot;00E02443&quot;/&gt;&lt;wsp:rsid wsp:val=&quot;00E0358D&quot;/&gt;&lt;wsp:rsid wsp:val=&quot;00E04323&quot;/&gt;&lt;wsp:rsid wsp:val=&quot;00E06C93&quot;/&gt;&lt;wsp:rsid wsp:val=&quot;00E070A2&quot;/&gt;&lt;wsp:rsid wsp:val=&quot;00E16A5F&quot;/&gt;&lt;wsp:rsid wsp:val=&quot;00E235DB&quot;/&gt;&lt;wsp:rsid wsp:val=&quot;00E25274&quot;/&gt;&lt;wsp:rsid wsp:val=&quot;00E25E63&quot;/&gt;&lt;wsp:rsid wsp:val=&quot;00E2656A&quot;/&gt;&lt;wsp:rsid wsp:val=&quot;00E319F5&quot;/&gt;&lt;wsp:rsid wsp:val=&quot;00E412D0&quot;/&gt;&lt;wsp:rsid wsp:val=&quot;00E418F9&quot;/&gt;&lt;wsp:rsid wsp:val=&quot;00E433CE&quot;/&gt;&lt;wsp:rsid wsp:val=&quot;00E436D0&quot;/&gt;&lt;wsp:rsid wsp:val=&quot;00E50DA8&quot;/&gt;&lt;wsp:rsid wsp:val=&quot;00E56322&quot;/&gt;&lt;wsp:rsid wsp:val=&quot;00E56BE1&quot;/&gt;&lt;wsp:rsid wsp:val=&quot;00E601D2&quot;/&gt;&lt;wsp:rsid wsp:val=&quot;00E60982&quot;/&gt;&lt;wsp:rsid wsp:val=&quot;00E61361&quot;/&gt;&lt;wsp:rsid wsp:val=&quot;00E62C62&quot;/&gt;&lt;wsp:rsid wsp:val=&quot;00E630CE&quot;/&gt;&lt;wsp:rsid wsp:val=&quot;00E647B1&quot;/&gt;&lt;wsp:rsid wsp:val=&quot;00E654C1&quot;/&gt;&lt;wsp:rsid wsp:val=&quot;00E65D97&quot;/&gt;&lt;wsp:rsid wsp:val=&quot;00E70D8D&quot;/&gt;&lt;wsp:rsid wsp:val=&quot;00E71093&quot;/&gt;&lt;wsp:rsid wsp:val=&quot;00E72A5A&quot;/&gt;&lt;wsp:rsid wsp:val=&quot;00E72D52&quot;/&gt;&lt;wsp:rsid wsp:val=&quot;00E73354&quot;/&gt;&lt;wsp:rsid wsp:val=&quot;00E739C9&quot;/&gt;&lt;wsp:rsid wsp:val=&quot;00E74DED&quot;/&gt;&lt;wsp:rsid wsp:val=&quot;00E777A0&quot;/&gt;&lt;wsp:rsid wsp:val=&quot;00E77CB0&quot;/&gt;&lt;wsp:rsid wsp:val=&quot;00E80C9D&quot;/&gt;&lt;wsp:rsid wsp:val=&quot;00E877CF&quot;/&gt;&lt;wsp:rsid wsp:val=&quot;00E9242D&quot;/&gt;&lt;wsp:rsid wsp:val=&quot;00EA5813&quot;/&gt;&lt;wsp:rsid wsp:val=&quot;00EA7471&quot;/&gt;&lt;wsp:rsid wsp:val=&quot;00EB5255&quot;/&gt;&lt;wsp:rsid wsp:val=&quot;00EB593A&quot;/&gt;&lt;wsp:rsid wsp:val=&quot;00EB5C47&quot;/&gt;&lt;wsp:rsid wsp:val=&quot;00EC0A7B&quot;/&gt;&lt;wsp:rsid wsp:val=&quot;00EC103E&quot;/&gt;&lt;wsp:rsid wsp:val=&quot;00EC1A68&quot;/&gt;&lt;wsp:rsid wsp:val=&quot;00EC2F4F&quot;/&gt;&lt;wsp:rsid wsp:val=&quot;00EC450D&quot;/&gt;&lt;wsp:rsid wsp:val=&quot;00ED0032&quot;/&gt;&lt;wsp:rsid wsp:val=&quot;00ED027C&quot;/&gt;&lt;wsp:rsid wsp:val=&quot;00ED0639&quot;/&gt;&lt;wsp:rsid wsp:val=&quot;00ED0708&quot;/&gt;&lt;wsp:rsid wsp:val=&quot;00ED3CCA&quot;/&gt;&lt;wsp:rsid wsp:val=&quot;00EE0BD4&quot;/&gt;&lt;wsp:rsid wsp:val=&quot;00EE0E66&quot;/&gt;&lt;wsp:rsid wsp:val=&quot;00EF1D82&quot;/&gt;&lt;wsp:rsid wsp:val=&quot;00EF202C&quot;/&gt;&lt;wsp:rsid wsp:val=&quot;00EF40CC&quot;/&gt;&lt;wsp:rsid wsp:val=&quot;00EF4755&quot;/&gt;&lt;wsp:rsid wsp:val=&quot;00EF7135&quot;/&gt;&lt;wsp:rsid wsp:val=&quot;00F006AA&quot;/&gt;&lt;wsp:rsid wsp:val=&quot;00F01BAC&quot;/&gt;&lt;wsp:rsid wsp:val=&quot;00F02010&quot;/&gt;&lt;wsp:rsid wsp:val=&quot;00F027DB&quot;/&gt;&lt;wsp:rsid wsp:val=&quot;00F03503&quot;/&gt;&lt;wsp:rsid wsp:val=&quot;00F07EAA&quot;/&gt;&lt;wsp:rsid wsp:val=&quot;00F10E54&quot;/&gt;&lt;wsp:rsid wsp:val=&quot;00F112E3&quot;/&gt;&lt;wsp:rsid wsp:val=&quot;00F1461C&quot;/&gt;&lt;wsp:rsid wsp:val=&quot;00F14A7A&quot;/&gt;&lt;wsp:rsid wsp:val=&quot;00F21669&quot;/&gt;&lt;wsp:rsid wsp:val=&quot;00F22985&quot;/&gt;&lt;wsp:rsid wsp:val=&quot;00F24882&quot;/&gt;&lt;wsp:rsid wsp:val=&quot;00F33150&quot;/&gt;&lt;wsp:rsid wsp:val=&quot;00F3383E&quot;/&gt;&lt;wsp:rsid wsp:val=&quot;00F361D9&quot;/&gt;&lt;wsp:rsid wsp:val=&quot;00F40A47&quot;/&gt;&lt;wsp:rsid wsp:val=&quot;00F41907&quot;/&gt;&lt;wsp:rsid wsp:val=&quot;00F444D7&quot;/&gt;&lt;wsp:rsid wsp:val=&quot;00F44D85&quot;/&gt;&lt;wsp:rsid wsp:val=&quot;00F465A7&quot;/&gt;&lt;wsp:rsid wsp:val=&quot;00F4791E&quot;/&gt;&lt;wsp:rsid wsp:val=&quot;00F50B7C&quot;/&gt;&lt;wsp:rsid wsp:val=&quot;00F550E6&quot;/&gt;&lt;wsp:rsid wsp:val=&quot;00F62A00&quot;/&gt;&lt;wsp:rsid wsp:val=&quot;00F6519C&quot;/&gt;&lt;wsp:rsid wsp:val=&quot;00F67A8B&quot;/&gt;&lt;wsp:rsid wsp:val=&quot;00F7111C&quot;/&gt;&lt;wsp:rsid wsp:val=&quot;00F720B1&quot;/&gt;&lt;wsp:rsid wsp:val=&quot;00F7303E&quot;/&gt;&lt;wsp:rsid wsp:val=&quot;00F74345&quot;/&gt;&lt;wsp:rsid wsp:val=&quot;00F80A0A&quot;/&gt;&lt;wsp:rsid wsp:val=&quot;00F82B19&quot;/&gt;&lt;wsp:rsid wsp:val=&quot;00F86E1F&quot;/&gt;&lt;wsp:rsid wsp:val=&quot;00F91E52&quot;/&gt;&lt;wsp:rsid wsp:val=&quot;00F9212D&quot;/&gt;&lt;wsp:rsid wsp:val=&quot;00F9216F&quot;/&gt;&lt;wsp:rsid wsp:val=&quot;00F94275&quot;/&gt;&lt;wsp:rsid wsp:val=&quot;00F965DA&quot;/&gt;&lt;wsp:rsid wsp:val=&quot;00F971DA&quot;/&gt;&lt;wsp:rsid wsp:val=&quot;00FA0AF1&quot;/&gt;&lt;wsp:rsid wsp:val=&quot;00FA3AD0&quot;/&gt;&lt;wsp:rsid wsp:val=&quot;00FA406A&quot;/&gt;&lt;wsp:rsid wsp:val=&quot;00FA79A3&quot;/&gt;&lt;wsp:rsid wsp:val=&quot;00FA7AD6&quot;/&gt;&lt;wsp:rsid wsp:val=&quot;00FB3AE8&quot;/&gt;&lt;wsp:rsid wsp:val=&quot;00FB41AA&quot;/&gt;&lt;wsp:rsid wsp:val=&quot;00FB503A&quot;/&gt;&lt;wsp:rsid wsp:val=&quot;00FB516C&quot;/&gt;&lt;wsp:rsid wsp:val=&quot;00FB51B1&quot;/&gt;&lt;wsp:rsid wsp:val=&quot;00FC079B&quot;/&gt;&lt;wsp:rsid wsp:val=&quot;00FC353D&quot;/&gt;&lt;wsp:rsid wsp:val=&quot;00FC653F&quot;/&gt;&lt;wsp:rsid wsp:val=&quot;00FD0236&quot;/&gt;&lt;wsp:rsid wsp:val=&quot;00FD18F4&quot;/&gt;&lt;wsp:rsid wsp:val=&quot;00FD54DB&quot;/&gt;&lt;wsp:rsid wsp:val=&quot;00FD5647&quot;/&gt;&lt;wsp:rsid wsp:val=&quot;00FD619F&quot;/&gt;&lt;wsp:rsid wsp:val=&quot;00FE0694&quot;/&gt;&lt;wsp:rsid wsp:val=&quot;00FE2243&quot;/&gt;&lt;wsp:rsid wsp:val=&quot;00FE487D&quot;/&gt;&lt;wsp:rsid wsp:val=&quot;00FE564F&quot;/&gt;&lt;wsp:rsid wsp:val=&quot;00FE7FE4&quot;/&gt;&lt;wsp:rsid wsp:val=&quot;00FF03D4&quot;/&gt;&lt;wsp:rsid wsp:val=&quot;00FF0D31&quot;/&gt;&lt;wsp:rsid wsp:val=&quot;00FF2603&quot;/&gt;&lt;wsp:rsid wsp:val=&quot;00FF369D&quot;/&gt;&lt;wsp:rsid wsp:val=&quot;00FF7CFE&quot;/&gt;&lt;wsp:rsid wsp:val=&quot;01290F7E&quot;/&gt;&lt;wsp:rsid wsp:val=&quot;015D1E09&quot;/&gt;&lt;wsp:rsid wsp:val=&quot;02697903&quot;/&gt;&lt;wsp:rsid wsp:val=&quot;02F96569&quot;/&gt;&lt;wsp:rsid wsp:val=&quot;03EA7B21&quot;/&gt;&lt;wsp:rsid wsp:val=&quot;05F83EAE&quot;/&gt;&lt;wsp:rsid wsp:val=&quot;063E7D85&quot;/&gt;&lt;wsp:rsid wsp:val=&quot;07293586&quot;/&gt;&lt;wsp:rsid wsp:val=&quot;07295285&quot;/&gt;&lt;wsp:rsid wsp:val=&quot;07636392&quot;/&gt;&lt;wsp:rsid wsp:val=&quot;07770C56&quot;/&gt;&lt;wsp:rsid wsp:val=&quot;092217DD&quot;/&gt;&lt;wsp:rsid wsp:val=&quot;093A7294&quot;/&gt;&lt;wsp:rsid wsp:val=&quot;0A263993&quot;/&gt;&lt;wsp:rsid wsp:val=&quot;0A2D3AC2&quot;/&gt;&lt;wsp:rsid wsp:val=&quot;0AA755DF&quot;/&gt;&lt;wsp:rsid wsp:val=&quot;0B120D44&quot;/&gt;&lt;wsp:rsid wsp:val=&quot;0BD27BF6&quot;/&gt;&lt;wsp:rsid wsp:val=&quot;0C3B3C7D&quot;/&gt;&lt;wsp:rsid wsp:val=&quot;0CAB2EAE&quot;/&gt;&lt;wsp:rsid wsp:val=&quot;0D621C7D&quot;/&gt;&lt;wsp:rsid wsp:val=&quot;0E73034D&quot;/&gt;&lt;wsp:rsid wsp:val=&quot;0F13775A&quot;/&gt;&lt;wsp:rsid wsp:val=&quot;0F5F45FE&quot;/&gt;&lt;wsp:rsid wsp:val=&quot;0F9A112B&quot;/&gt;&lt;wsp:rsid wsp:val=&quot;106D2F64&quot;/&gt;&lt;wsp:rsid wsp:val=&quot;10B63710&quot;/&gt;&lt;wsp:rsid wsp:val=&quot;10F10820&quot;/&gt;&lt;wsp:rsid wsp:val=&quot;111C2F7A&quot;/&gt;&lt;wsp:rsid wsp:val=&quot;11665CA1&quot;/&gt;&lt;wsp:rsid wsp:val=&quot;13951726&quot;/&gt;&lt;wsp:rsid wsp:val=&quot;14396509&quot;/&gt;&lt;wsp:rsid wsp:val=&quot;14DD2C3C&quot;/&gt;&lt;wsp:rsid wsp:val=&quot;16087E1D&quot;/&gt;&lt;wsp:rsid wsp:val=&quot;17701D14&quot;/&gt;&lt;wsp:rsid wsp:val=&quot;17735226&quot;/&gt;&lt;wsp:rsid wsp:val=&quot;189F624C&quot;/&gt;&lt;wsp:rsid wsp:val=&quot;1A1C66C0&quot;/&gt;&lt;wsp:rsid wsp:val=&quot;1A42393B&quot;/&gt;&lt;wsp:rsid wsp:val=&quot;1AAD45DE&quot;/&gt;&lt;wsp:rsid wsp:val=&quot;1B046F80&quot;/&gt;&lt;wsp:rsid wsp:val=&quot;1B3267B5&quot;/&gt;&lt;wsp:rsid wsp:val=&quot;1B40161D&quot;/&gt;&lt;wsp:rsid wsp:val=&quot;1B441859&quot;/&gt;&lt;wsp:rsid wsp:val=&quot;1B6606B1&quot;/&gt;&lt;wsp:rsid wsp:val=&quot;1BE80FA1&quot;/&gt;&lt;wsp:rsid wsp:val=&quot;1C5E7925&quot;/&gt;&lt;wsp:rsid wsp:val=&quot;1CCC3824&quot;/&gt;&lt;wsp:rsid wsp:val=&quot;1CFD070F&quot;/&gt;&lt;wsp:rsid wsp:val=&quot;1D5F6196&quot;/&gt;&lt;wsp:rsid wsp:val=&quot;1D6132A5&quot;/&gt;&lt;wsp:rsid wsp:val=&quot;1D8E56D5&quot;/&gt;&lt;wsp:rsid wsp:val=&quot;1E7A43DA&quot;/&gt;&lt;wsp:rsid wsp:val=&quot;1E966599&quot;/&gt;&lt;wsp:rsid wsp:val=&quot;1FE7539E&quot;/&gt;&lt;wsp:rsid wsp:val=&quot;20671BE0&quot;/&gt;&lt;wsp:rsid wsp:val=&quot;20963CB8&quot;/&gt;&lt;wsp:rsid wsp:val=&quot;20A81A1B&quot;/&gt;&lt;wsp:rsid wsp:val=&quot;20B07FB6&quot;/&gt;&lt;wsp:rsid wsp:val=&quot;20B646FB&quot;/&gt;&lt;wsp:rsid wsp:val=&quot;213B74B1&quot;/&gt;&lt;wsp:rsid wsp:val=&quot;215A2310&quot;/&gt;&lt;wsp:rsid wsp:val=&quot;21DE318A&quot;/&gt;&lt;wsp:rsid wsp:val=&quot;21EF5B80&quot;/&gt;&lt;wsp:rsid wsp:val=&quot;22576990&quot;/&gt;&lt;wsp:rsid wsp:val=&quot;22F47480&quot;/&gt;&lt;wsp:rsid wsp:val=&quot;23DE1C48&quot;/&gt;&lt;wsp:rsid wsp:val=&quot;240210CD&quot;/&gt;&lt;wsp:rsid wsp:val=&quot;24BF09F7&quot;/&gt;&lt;wsp:rsid wsp:val=&quot;252D53FE&quot;/&gt;&lt;wsp:rsid wsp:val=&quot;25EC2D81&quot;/&gt;&lt;wsp:rsid wsp:val=&quot;277057A2&quot;/&gt;&lt;wsp:rsid wsp:val=&quot;29206EB8&quot;/&gt;&lt;wsp:rsid wsp:val=&quot;29595666&quot;/&gt;&lt;wsp:rsid wsp:val=&quot;29874881&quot;/&gt;&lt;wsp:rsid wsp:val=&quot;29E325E0&quot;/&gt;&lt;wsp:rsid wsp:val=&quot;2A452503&quot;/&gt;&lt;wsp:rsid wsp:val=&quot;2BA936A8&quot;/&gt;&lt;wsp:rsid wsp:val=&quot;2C315A5A&quot;/&gt;&lt;wsp:rsid wsp:val=&quot;2C4B1C25&quot;/&gt;&lt;wsp:rsid wsp:val=&quot;2D9E56F5&quot;/&gt;&lt;wsp:rsid wsp:val=&quot;2E667F96&quot;/&gt;&lt;wsp:rsid wsp:val=&quot;2E8226AB&quot;/&gt;&lt;wsp:rsid wsp:val=&quot;2FD065E6&quot;/&gt;&lt;wsp:rsid wsp:val=&quot;2FD96870&quot;/&gt;&lt;wsp:rsid wsp:val=&quot;30580BC9&quot;/&gt;&lt;wsp:rsid wsp:val=&quot;311E2ED7&quot;/&gt;&lt;wsp:rsid wsp:val=&quot;315619EE&quot;/&gt;&lt;wsp:rsid wsp:val=&quot;315C449C&quot;/&gt;&lt;wsp:rsid wsp:val=&quot;31B82709&quot;/&gt;&lt;wsp:rsid wsp:val=&quot;31D05482&quot;/&gt;&lt;wsp:rsid wsp:val=&quot;32400B34&quot;/&gt;&lt;wsp:rsid wsp:val=&quot;329E6876&quot;/&gt;&lt;wsp:rsid wsp:val=&quot;333015F2&quot;/&gt;&lt;wsp:rsid wsp:val=&quot;334B6320&quot;/&gt;&lt;wsp:rsid wsp:val=&quot;33D934D4&quot;/&gt;&lt;wsp:rsid wsp:val=&quot;33FE2F6A&quot;/&gt;&lt;wsp:rsid wsp:val=&quot;340E07E5&quot;/&gt;&lt;wsp:rsid wsp:val=&quot;34235BF7&quot;/&gt;&lt;wsp:rsid wsp:val=&quot;358C5FA8&quot;/&gt;&lt;wsp:rsid wsp:val=&quot;35C15DF1&quot;/&gt;&lt;wsp:rsid wsp:val=&quot;36074A7F&quot;/&gt;&lt;wsp:rsid wsp:val=&quot;36923549&quot;/&gt;&lt;wsp:rsid wsp:val=&quot;36B75FBF&quot;/&gt;&lt;wsp:rsid wsp:val=&quot;36BD0C45&quot;/&gt;&lt;wsp:rsid wsp:val=&quot;37E00298&quot;/&gt;&lt;wsp:rsid wsp:val=&quot;38B302F9&quot;/&gt;&lt;wsp:rsid wsp:val=&quot;38F12CD3&quot;/&gt;&lt;wsp:rsid wsp:val=&quot;38F94775&quot;/&gt;&lt;wsp:rsid wsp:val=&quot;392971ED&quot;/&gt;&lt;wsp:rsid wsp:val=&quot;39325651&quot;/&gt;&lt;wsp:rsid wsp:val=&quot;3A872856&quot;/&gt;&lt;wsp:rsid wsp:val=&quot;3B3763D1&quot;/&gt;&lt;wsp:rsid wsp:val=&quot;3C2F6E1E&quot;/&gt;&lt;wsp:rsid wsp:val=&quot;3C4F64BA&quot;/&gt;&lt;wsp:rsid wsp:val=&quot;3CDA245A&quot;/&gt;&lt;wsp:rsid wsp:val=&quot;3D1E06B7&quot;/&gt;&lt;wsp:rsid wsp:val=&quot;3EDA0523&quot;/&gt;&lt;wsp:rsid wsp:val=&quot;407A6407&quot;/&gt;&lt;wsp:rsid wsp:val=&quot;41113F44&quot;/&gt;&lt;wsp:rsid wsp:val=&quot;4200449D&quot;/&gt;&lt;wsp:rsid wsp:val=&quot;423A3BCC&quot;/&gt;&lt;wsp:rsid wsp:val=&quot;424E57D2&quot;/&gt;&lt;wsp:rsid wsp:val=&quot;42B26C49&quot;/&gt;&lt;wsp:rsid wsp:val=&quot;433A6FE6&quot;/&gt;&lt;wsp:rsid wsp:val=&quot;43480868&quot;/&gt;&lt;wsp:rsid wsp:val=&quot;4350713C&quot;/&gt;&lt;wsp:rsid wsp:val=&quot;436653E0&quot;/&gt;&lt;wsp:rsid wsp:val=&quot;43C4431A&quot;/&gt;&lt;wsp:rsid wsp:val=&quot;44B951CC&quot;/&gt;&lt;wsp:rsid wsp:val=&quot;44CD14E0&quot;/&gt;&lt;wsp:rsid wsp:val=&quot;44F20B0B&quot;/&gt;&lt;wsp:rsid wsp:val=&quot;452E5F4C&quot;/&gt;&lt;wsp:rsid wsp:val=&quot;45612018&quot;/&gt;&lt;wsp:rsid wsp:val=&quot;458946E9&quot;/&gt;&lt;wsp:rsid wsp:val=&quot;45A47C0E&quot;/&gt;&lt;wsp:rsid wsp:val=&quot;45BB62CB&quot;/&gt;&lt;wsp:rsid wsp:val=&quot;46577FD6&quot;/&gt;&lt;wsp:rsid wsp:val=&quot;46D955A7&quot;/&gt;&lt;wsp:rsid wsp:val=&quot;47133957&quot;/&gt;&lt;wsp:rsid wsp:val=&quot;47A07E0C&quot;/&gt;&lt;wsp:rsid wsp:val=&quot;4870272E&quot;/&gt;&lt;wsp:rsid wsp:val=&quot;49CE123B&quot;/&gt;&lt;wsp:rsid wsp:val=&quot;49DC7715&quot;/&gt;&lt;wsp:rsid wsp:val=&quot;4A023139&quot;/&gt;&lt;wsp:rsid wsp:val=&quot;4A7B576F&quot;/&gt;&lt;wsp:rsid wsp:val=&quot;4AF561A9&quot;/&gt;&lt;wsp:rsid wsp:val=&quot;4B3B0445&quot;/&gt;&lt;wsp:rsid wsp:val=&quot;4C4A0649&quot;/&gt;&lt;wsp:rsid wsp:val=&quot;4C7E5ECA&quot;/&gt;&lt;wsp:rsid wsp:val=&quot;4C876AA5&quot;/&gt;&lt;wsp:rsid wsp:val=&quot;4D0E00FB&quot;/&gt;&lt;wsp:rsid wsp:val=&quot;4D176606&quot;/&gt;&lt;wsp:rsid wsp:val=&quot;4DEC4FB0&quot;/&gt;&lt;wsp:rsid wsp:val=&quot;4E075D8A&quot;/&gt;&lt;wsp:rsid wsp:val=&quot;4EC00FAD&quot;/&gt;&lt;wsp:rsid wsp:val=&quot;4F9843DC&quot;/&gt;&lt;wsp:rsid wsp:val=&quot;4FC62A8C&quot;/&gt;&lt;wsp:rsid wsp:val=&quot;4FE20F0D&quot;/&gt;&lt;wsp:rsid wsp:val=&quot;4FE51552&quot;/&gt;&lt;wsp:rsid wsp:val=&quot;50504C4B&quot;/&gt;&lt;wsp:rsid wsp:val=&quot;509C6E7C&quot;/&gt;&lt;wsp:rsid wsp:val=&quot;5162104E&quot;/&gt;&lt;wsp:rsid wsp:val=&quot;53A039CC&quot;/&gt;&lt;wsp:rsid wsp:val=&quot;53A1505A&quot;/&gt;&lt;wsp:rsid wsp:val=&quot;54063E08&quot;/&gt;&lt;wsp:rsid wsp:val=&quot;543437E8&quot;/&gt;&lt;wsp:rsid wsp:val=&quot;549B1D44&quot;/&gt;&lt;wsp:rsid wsp:val=&quot;54F73313&quot;/&gt;&lt;wsp:rsid wsp:val=&quot;54F80955&quot;/&gt;&lt;wsp:rsid wsp:val=&quot;555170A7&quot;/&gt;&lt;wsp:rsid wsp:val=&quot;5587536D&quot;/&gt;&lt;wsp:rsid wsp:val=&quot;559B174B&quot;/&gt;&lt;wsp:rsid wsp:val=&quot;55CE0CF4&quot;/&gt;&lt;wsp:rsid wsp:val=&quot;56B22A9C&quot;/&gt;&lt;wsp:rsid wsp:val=&quot;57B72A76&quot;/&gt;&lt;wsp:rsid wsp:val=&quot;57C3426C&quot;/&gt;&lt;wsp:rsid wsp:val=&quot;57CE1F93&quot;/&gt;&lt;wsp:rsid wsp:val=&quot;588743D1&quot;/&gt;&lt;wsp:rsid wsp:val=&quot;5887701A&quot;/&gt;&lt;wsp:rsid wsp:val=&quot;59C0439F&quot;/&gt;&lt;wsp:rsid wsp:val=&quot;5ABE2233&quot;/&gt;&lt;wsp:rsid wsp:val=&quot;5BDF5D95&quot;/&gt;&lt;wsp:rsid wsp:val=&quot;5BFE7528&quot;/&gt;&lt;wsp:rsid wsp:val=&quot;5D605B3E&quot;/&gt;&lt;wsp:rsid wsp:val=&quot;5E2467F1&quot;/&gt;&lt;wsp:rsid wsp:val=&quot;5F1A2B43&quot;/&gt;&lt;wsp:rsid wsp:val=&quot;5F941BF4&quot;/&gt;&lt;wsp:rsid wsp:val=&quot;5FB837BB&quot;/&gt;&lt;wsp:rsid wsp:val=&quot;60CC405A&quot;/&gt;&lt;wsp:rsid wsp:val=&quot;61E215D8&quot;/&gt;&lt;wsp:rsid wsp:val=&quot;621B3775&quot;/&gt;&lt;wsp:rsid wsp:val=&quot;62364782&quot;/&gt;&lt;wsp:rsid wsp:val=&quot;6394356A&quot;/&gt;&lt;wsp:rsid wsp:val=&quot;63C61B2C&quot;/&gt;&lt;wsp:rsid wsp:val=&quot;63D40BE9&quot;/&gt;&lt;wsp:rsid wsp:val=&quot;64102431&quot;/&gt;&lt;wsp:rsid wsp:val=&quot;64A5243A&quot;/&gt;&lt;wsp:rsid wsp:val=&quot;64F531DE&quot;/&gt;&lt;wsp:rsid wsp:val=&quot;65373578&quot;/&gt;&lt;wsp:rsid wsp:val=&quot;671F124A&quot;/&gt;&lt;wsp:rsid wsp:val=&quot;677A33C6&quot;/&gt;&lt;wsp:rsid wsp:val=&quot;681F6961&quot;/&gt;&lt;wsp:rsid wsp:val=&quot;68610A2F&quot;/&gt;&lt;wsp:rsid wsp:val=&quot;68805514&quot;/&gt;&lt;wsp:rsid wsp:val=&quot;69316E2F&quot;/&gt;&lt;wsp:rsid wsp:val=&quot;694E2071&quot;/&gt;&lt;wsp:rsid wsp:val=&quot;69766163&quot;/&gt;&lt;wsp:rsid wsp:val=&quot;697A3B33&quot;/&gt;&lt;wsp:rsid wsp:val=&quot;69D44760&quot;/&gt;&lt;wsp:rsid wsp:val=&quot;6A520EC7&quot;/&gt;&lt;wsp:rsid wsp:val=&quot;6AF87E20&quot;/&gt;&lt;wsp:rsid wsp:val=&quot;6B322639&quot;/&gt;&lt;wsp:rsid wsp:val=&quot;6C636C38&quot;/&gt;&lt;wsp:rsid wsp:val=&quot;6DB34098&quot;/&gt;&lt;wsp:rsid wsp:val=&quot;6DB545B6&quot;/&gt;&lt;wsp:rsid wsp:val=&quot;6DE02FB4&quot;/&gt;&lt;wsp:rsid wsp:val=&quot;6E514CED&quot;/&gt;&lt;wsp:rsid wsp:val=&quot;6EB563D5&quot;/&gt;&lt;wsp:rsid wsp:val=&quot;6ED92677&quot;/&gt;&lt;wsp:rsid wsp:val=&quot;6F225983&quot;/&gt;&lt;wsp:rsid wsp:val=&quot;6FFC5590&quot;/&gt;&lt;wsp:rsid wsp:val=&quot;706D1DD0&quot;/&gt;&lt;wsp:rsid wsp:val=&quot;70856B87&quot;/&gt;&lt;wsp:rsid wsp:val=&quot;70D527EE&quot;/&gt;&lt;wsp:rsid wsp:val=&quot;715B5300&quot;/&gt;&lt;wsp:rsid wsp:val=&quot;71D27F8A&quot;/&gt;&lt;wsp:rsid wsp:val=&quot;72553024&quot;/&gt;&lt;wsp:rsid wsp:val=&quot;73122968&quot;/&gt;&lt;wsp:rsid wsp:val=&quot;731F5D5E&quot;/&gt;&lt;wsp:rsid wsp:val=&quot;73C51AD5&quot;/&gt;&lt;wsp:rsid wsp:val=&quot;741E793C&quot;/&gt;&lt;wsp:rsid wsp:val=&quot;745E3944&quot;/&gt;&lt;wsp:rsid wsp:val=&quot;7635099D&quot;/&gt;&lt;wsp:rsid wsp:val=&quot;77762421&quot;/&gt;&lt;wsp:rsid wsp:val=&quot;77B56B1F&quot;/&gt;&lt;wsp:rsid wsp:val=&quot;780F09F4&quot;/&gt;&lt;wsp:rsid wsp:val=&quot;78A90480&quot;/&gt;&lt;wsp:rsid wsp:val=&quot;79957269&quot;/&gt;&lt;wsp:rsid wsp:val=&quot;7A364017&quot;/&gt;&lt;wsp:rsid wsp:val=&quot;7A8265E1&quot;/&gt;&lt;wsp:rsid wsp:val=&quot;7B686D42&quot;/&gt;&lt;wsp:rsid wsp:val=&quot;7B841746&quot;/&gt;&lt;wsp:rsid wsp:val=&quot;7C6C5AC7&quot;/&gt;&lt;wsp:rsid wsp:val=&quot;7CC6544B&quot;/&gt;&lt;wsp:rsid wsp:val=&quot;7D0239FF&quot;/&gt;&lt;wsp:rsid wsp:val=&quot;7D5E40CD&quot;/&gt;&lt;wsp:rsid wsp:val=&quot;7DCD56F2&quot;/&gt;&lt;wsp:rsid wsp:val=&quot;7F001CE7&quot;/&gt;&lt;wsp:rsid wsp:val=&quot;7FE47E50&quot;/&gt;&lt;/wsp:rsids&gt;&lt;/w:docPr&gt;&lt;w:body&gt;&lt;wx:sect&gt;&lt;w:p wsp:rsidR=&quot;00000000&quot; wsp:rsidRDefault=&quot;00A52D92&quot; wsp:rsidP=&quot;00A52D92&quot;&gt;&lt;m:oMathPara&gt;&lt;m:oMath&gt;&lt;m:d&gt;&lt;m:dPr&gt;&lt;m:begChr m:val=&quot;[&quot;/&gt;&lt;m:endChr m:val=&quot;]&quot;/&gt;&lt;m:ctrlPr&gt;&lt;w:rPr&gt;&lt;w:rFonts w:ascii=&quot;Cambria Math&quot; w:h-ansi=&quot;Cambria Math&quot;/&gt;&lt;wx:font wx:val=&quot;Cambria Math&quot;/&gt;&lt;w:color w:val=&quot;0C0C0C&quot;/&gt;&lt;/w:rPr&gt;&lt;/m:ctrlPr&gt;&lt;/m:dPr&gt;&lt;m:e&gt;&lt;m:f&gt;&lt;m:fPr&gt;&lt;m:ctrlPr&gt;&lt;w:rPr&gt;&lt;w:rFonts w:ascii=&quot;Cambria Math&quot; w:h-ansi=&quot;Cambria Math&quot;/&gt;&lt;wx:font wx:val=&quot;Cambria Math&quot;/&gt;&lt;w:i/&gt;&lt;w:color w:val=&quot;0C0C0C&quot;/&gt;&lt;/w:rPr&gt;&lt;/m:ctrlPr&gt;&lt;/m:fPr&gt;&lt;m:num&gt;&lt;m:r&gt;&lt;w:rPr&gt;&lt;w:rFonts w:ascii=&quot;Cambria Math&quot; w:h-ansi=&quot;Cambria Math&quot;/&gt;&lt;wx:font wx:val=&quot;Cambria Math&quot;/&gt;&lt;w:i/&gt;&lt;w:color w:val=&quot;0C0C0C&quot;/&gt;&lt;/w:rPr&gt;&lt;m:t&gt;1&lt;/m:t&gt;&lt;/m:r&gt;&lt;/m:num&gt;&lt;m:den&gt;&lt;m:r&gt;&lt;w:rPr&gt;&lt;w:rFonts w:ascii=&quot;Cambria Math&quot; w:h-ansi=&quot;Cambria Math&quot;/&gt;&lt;wx:font wx:val=&quot;Cambria Math&quot;/&gt;&lt;w:i/&gt;&lt;w:color w:val=&quot;0C0C0C&quot;/&gt;&lt;/w:rPr&gt;&lt;m:t&gt;T&lt;/m:t&gt;&lt;/m:r&gt;&lt;/m:den&gt;&lt;/m:f&gt;&lt;m:d&gt;&lt;m:dPr&gt;&lt;m:begChr m:val=&quot;{&quot;/&gt;&lt;m:endChr m:val=&quot;}&quot;/&gt;&lt;m:ctrlPr&gt;&lt;w:rPr&gt;&lt;w:rFonts w:ascii=&quot;Cambria Math&quot; w:h-ansi=&quot;Cambria Math&quot;/&gt;&lt;wx:font wx:val=&quot;Cambria Math&quot;/&gt;&lt;w:i/&gt;&lt;w:color w:val=&quot;0C0C0C&quot;/&gt;&lt;/w:rPr&gt;&lt;/m:ctrlPr&gt;&lt;/m:dPr&gt;&lt;m:e&gt;&lt;m:limLow&gt;&lt;m:limLowPr&gt;&lt;m:ctrlPr&gt;&lt;w:rPr&gt;&lt;w:rFonts w:ascii=&quot;Cambria Math&quot; w:h-ansi=&quot;Cambria Math&quot;/&gt;&lt;wx:font wx:val=&quot;Cambria Math&quot;/&gt;&lt;w:color w:val=&quot;0C0C0C&quot;/&gt;&lt;/w:rPr&gt;&lt;/m:ctrlPr&gt;&lt;/m:limLowPr&gt;&lt;m:e&gt;&lt;m:limUpp&gt;&lt;m:limUppPr&gt;&lt;m:ctrlPr&gt;&lt;w:rPr&gt;&lt;w:rFonts w:ascii=&quot;Cambria Math&quot; w:h-ansi=&quot;Cambria Math&quot;/&gt;&lt;wx:font wx:val=&quot;Cambria Math&quot;/&gt;&lt;w:i/&gt;&lt;w:color w:val=&quot;0C0C0C&quot;/&gt;&lt;/w:rPr&gt;&lt;/m:ctrlPr&gt;&lt;/m:limUppPr&gt;&lt;m:e&gt;&lt;m:r&gt;&lt;w:rPr&gt;&lt;w:rFonts w:ascii=&quot;Cambria Math&quot; w:h-ansi=&quot;Cambria Math&quot;/&gt;&lt;wx:font wx:val=&quot;Cambria Math&quot;/&gt;&lt;w:i/&gt;&lt;w:color w:val=&quot;0C0C0C&quot;/&gt;&lt;/w:rPr&gt;&lt;m:t&gt;∑&lt;/m:t&gt;&lt;/m:r&gt;&lt;/m:e&gt;&lt;m:lim&gt;&lt;m:r&gt;&lt;w:rPr&gt;&lt;w:rFonts w:ascii=&quot;Cambria Math&quot; w:h-ansi=&quot;Cambria Math&quot;/&gt;&lt;wx:font wx:val=&quot;Cambria Math&quot;/&gt;&lt;w:i/&gt;&lt;w:color w:val=&quot;0C0C0C&quot;/&gt;&lt;/w:rPr&gt;&lt;m:t&gt;N&lt;/m:t&gt;&lt;/m:r&gt;&lt;/m:lim&gt;&lt;/m:libmUpp&gt;&lt;m:ctrlPr&gt;&lt;w:rPr&gt;&lt;w:rFonts w:ascii=&quot;Cambria Math&quot; w:h-ansi=&quot;Cambria Math&quot;/&gt;&lt;wx:font wx:val=&quot;Cambria Math&quot;/&gt;&lt;w:i/&gt;&lt;/w:rPr&gt;&lt;/m:ctrlPr&gt;&lt;/m:e&gt;&lt;m:lim&gt;&lt;m:r&gt;&lt;w:rPr&gt;&lt;w:rFonts w:ascii=&quot;Cambria Math&quot; w:h-ansi=&quot;Cambria Math&quot;/&gt;&lt;wx:font wx:val=&quot;Cambria Math&quot;/&gt;&lt;w:i/&gt;&lt;/w:rPr&gt;&lt;m:t&gt;i=1&lt;/m:t&gt;&lt;/m:r&gt;&lt;/m:lim&gt;&lt;/m:limLow&gt;&lt;m:sSub&gt;&lt;m:sSubPr&gt;&lt;m:ctrlPr&gt;&lt;w:rPr&gt;&lt;w:rFonts w:ascii=&quot;Cambria Math&quot; w:h-ansi=&quot;Cambria Math&quot;/&gt;&lt;wx:font wx:val=&quot;Cambria Math&quot;/&gt;&lt;w:i/&gt;&lt;w:color w:val=&quot;0C0C0C&quot;/&gt;&lt;/w:rPr&gt;&lt;/m:ctrlPr&gt;&lt;/m:sSubPr&gt;&lt;m:e&gt;&lt;m:r&gt;&lt;w:rPr&gt;&lt;w:rFonts w:ascii=&quot;Cambria Math&quot; w:h-ansi=&quot;Cambria Math&quot;/&gt;&lt;wx:font wx:val=&quot;Cambria Math&quot;/&gt;&lt;w:i/&gt;&lt;w:color w:val=&quot;0C0C0C&quot;/&gt;&lt;/w:rPr&gt;&lt;m:t&gt;t&lt;/m:t&gt;&lt;/m:r&gt;&lt;/m:e&gt;&lt;m:sub&gt;&lt;m:r&gt;&lt;w:rPr&gt;&lt;w:rFonts w:ascii=&quot;Cambria Math&quot; w:h-ansi=&quot;Cambria Math&quot;/&gt;&lt;wx:font wx:val=&quot;Cambria Math&quot;/&gt;&lt;w:i/&gt;&lt;w:color w:val=&quot;0C0C0C&quot;/&gt;&lt;/w:rPr&gt;&lt;m:t&gt;i&lt;/m:t&gt;&lt;/m:r&gt;&lt;/m:sub&gt;&lt;/m:sSub&gt;&lt;m:sSup&gt;&lt;m:sSupPr&gt;&lt;m:ctrlPr&gt;&lt;w:rPr&gt;&lt;w:rFonts w:ascii=&quot;Cambria Math&quot; w:h-ansi=&quot;Cambria Math&quot;/&gt;&lt;wx:font wx:val=&quot;Cambria Math&quot;/&gt;&lt;w:i/&gt;&lt;w:color w:val=&quot;0C0C0C&quot;/&gt;&lt;/w:rPr&gt;&lt;/m:ctrlPr&gt;&lt;/m:sSupPr&gt;&lt;m:e&gt;&lt;m:r&gt;&lt;w:rPr&gt;&lt;w:rFonts w:ascii=&quot;Cambria Math&quot; w:h-ansi=&quot;Cambria Math&quot;/&gt;&lt;wx:font wx:val=&quot;Cambria Math&quot;/&gt;&lt;w:i/&gt;&lt;w:color w:val=&quot;0C0C0C&quot;/&gt;&lt;/w:rPr&gt;&lt;m:t&gt;10&lt;/m:t&gt;&lt;/m:r&gt;&lt;/m:e&gt;&lt;m:sup&gt;&lt;m:sSub&gt;&lt;m:sSubPr&gt;&lt;m:ctrlPr&gt;&lt;w:rPr&gt;&lt;w:rFonts w:ascii=&quot;Cambria Math&quot; w:h-ansi=&quot;Cambria Math&quot;/&gt;&lt;wx:font wx:val=&quot;Cambria Math&quot;/&gt;&lt;w:i/&gt;&lt;w:color w:val=&quot;0C0C0C&quot;/&gt;&lt;/w:rPr&gt;&lt;/m:ctrlPr&gt;&lt;/m:sSubPr&gt;&lt;m:e&gt;&lt;m:r&gt;&lt;w:rPr&gt;&lt;w:rFonts w:ascii=&quot;Cambria Math&quot; w:h-ansi=&quot;Cambria Math&quot;/&gt;&lt;wx:font wx:val=&quot;Cambria Math&quot;/&gt;&lt;w:i/&gt;&lt;w:color w:val=&quot;0C0C0C&quot;/&gt;&lt;/w:rPr&gt;&lt;m:t&gt;0.1L&lt;/m:t&gt;&lt;/m:r&gt;&lt;/m:e&gt;&lt;m:sub&gt;&lt;m:r&gt;&lt;w:rPr&gt;&lt;w:rFonts w:ascii=&quot;Cambria Math&quot; w:h-ansi=&quot;Cambria Math&quot;/&gt;&lt;wx:font wx:val=&quot;Cambria Math&quot;/&gt;&lt;w:i/&gt;&lt;w:color w:val=&quot;0C0C0C&quot;/&gt;&lt;/w:rPr&gt;&lt;m:t&gt;Ai&lt;/m:t&gt;&lt;/m:r&gt;&lt;/m:sub&gt;&lt;/m:sSub&gt;&lt;/m:sup&gt;&lt;/m:sSup&gt;&lt;m:r&gt;&lt;w:rPr&gt;&lt;w:rFonts w:ascii=&quot;Cambria Math&quot; w:h-ansi=&quot;Cambria Math&quot;/&gt;&lt;wx:font wx:val=&quot;Cambria Math&quot;/&gt;&lt;w:i/&gt;&lt;w:color w:val=&quot;0C0C0C&quot;/&gt;&lt;/w:rPr&gt;&lt;m:t&gt;+&lt;/m:t&gt;&lt;/m:r&gt;&lt;m:limLow&gt;&lt;m:limLowPr&gt;&lt;m:ctrlPr&gt;&lt;w:rPr&gt;&lt;w:rFonts w:ascii=&quot;Cambria Math&quot; w:h-ansi=&quot;Cambria Math&quot;/&gt;&lt;wx:font wx:val=&quot;Cambria Math&quot;/&gt;&lt;w:color w:val=&quot;0C0C0C&quot;/&gt;&lt;/w:rPr&gt;&lt;/m:ctrlPr&gt;&lt;/m:limLowPr&gt;&lt;m:e&gt;&lt;m:limUpp&gt;&lt;m:limUppPr&gt;&lt;m:ctrlPr&gt;&lt;w:rPr&gt;&lt;w:rFonts w:ascii=&quot;Cambria Math&quot; w:h-ansi=&quot;Cambria Math&quot;/&gt;&lt;wx:font wx:val=&quot;Cambria Math&quot;/&gt;&lt;w:i/&gt;&lt;w:color w:val=&quot;0C0C0C&quot;/&gt;&lt;/w:rPr&gt;&lt;/m:ctrlPr&gt;&lt;/m:limUppPr&gt;&lt;m:e&gt;&lt;m:r&gt;&lt;w:rPr&gt;&lt;w:rFonts w:ascii=&quot;Cambria Math&quot; w:h-ansi=&quot;Cambria Math&quot;/&gt;&lt;wx:font wx:val=&quot;Cambria Math&quot;/&gt;&lt;w:i/&gt;&lt;w:color w:val=&quot;0C0C0C&quot;/&gt;&lt;/w:rPr&gt;&lt;m:t&gt;∑&lt;/m:t&gt;&lt;/m:r&gt;&lt;/m:e&gt;&lt;m:lim&gt;&lt;m:r&gt;&lt;w:rPr&gt;&lt;w:rFonts w:ascii=&quot;Cambria Math&quot; w:h-ansi=&quot;CambriaP Math&quot;/&gt;&lt;wx:font wx:val=&quot;Cambria Math&quot;/&gt;&lt;w:i/&gt;&lt;w:color w:val=&quot;0C0C0C&quot;/&gt;&lt;/w:rPr&gt;&lt;m:t&gt;M&lt;/m:t&gt;&lt;/m:r&gt;&lt;/m:lim&gt;&lt;/m:limUpp&gt;&lt;m:ctrlPr&gt;&lt;w:rPr&gt;&lt;w:rFonts w:ascii=&quot;Cambria Math&quot; w:h-ansi=&quot;Cambria Math&quot;/&gt;&lt;wx:font wx:val=&quot;Cambria Math&quot;/&gt;&lt;w:i/&gt;&lt;/w:rPr&gt;&lt;/m:ctrlPr&gt;&lt;/m:e&gt;&lt;m:lim&gt;&lt;m:r&gt;&lt;w:rPr&gt;&lt;w:rFonts w:ascii=&quot;Cambria Math&quot; w:h-ansi=&quot;Cambria Math&quot;/&gt;&lt;wx:font wx:val=&quot;Cambria Math&quot;/&gt;&lt;w:i/&gt;&lt;/w:rPr&gt;&lt;m:t&gt;j=1&lt;/m:t&gt;&lt;/m:r&gt;&lt;/m:lim&gt;&lt;/m:limLow&gt;&lt;m:sSub&gt;&lt;m:sSubPr&gt;&lt;m:ctrlPr&gt;&lt;w:rPr&gt;&lt;w:rFonts w:ascii=&quot;Cambria Math&quot; w:h-ansi=&quot;Cambria Math&quot;/&gt;&lt;wx:font wx:val=&quot;Cambria Math&quot;/&gt;&lt;w:i/&gt;&lt;w:color w:val=&quot;0C0C0C&quot;/&gt;&lt;/w:rPr&gt;&lt;/m:ctrlPr&gt;&lt;/m:sSubPr&gt;&lt;m:e&gt;&lt;m:r&gt;&lt;w:rPr&gt;&lt;w:rFonts w:ascii=&quot;Cambria Math&quot; w:h-ansi=&quot;Cambria Math&quot;/&gt;&lt;wx:font wx:val=&quot;Cambria Math&quot;/&gt;&lt;w:i/&gt;&lt;w:color w:val=&quot;0C0C0C&quot;/&gt;&lt;/w:rPr&gt;&lt;m:t&gt;t&lt;/m:t&gt;&lt;/m:r&gt;&lt;/m:e&gt;&lt;m:sub&gt;&lt;m:r&gt;&lt;w:rPr&gt;&lt;w:rFonts w:ascii=&quot;Cambria Math&quot; w:h-ansi=&quot;Cambria Math&quot;/&gt;&lt;wx:font wx:val=&quot;Cambria Math&quot;/&gt;&lt;w:i/&gt;&lt;w:color w:val=&quot;0C0C0C&quot;/&gt;&lt;/w:rPr&gt;&lt;m:t&gt;j&lt;/m:t&gt;&lt;/m:r&gt;&lt;/m:sub&gt;&lt;/m:sSub&gt;&lt;m:sSup&gt;&lt;m:sSupPr&gt;&lt;m:ctrlPr&gt;&lt;w:rPr&gt;&lt;w:rFonts w:ascii=&quot;Cambria Math&quot; w:h-ansi=&quot;Cambria Math&quot;/&gt;&lt;wx:font wx:val=&quot;Cambria Math&quot;/&gt;&lt;w:i/&gt;&lt;w:color w:val=&quot;0C0C0C&quot;/&gt;&lt;/w:rPr&gt;&lt;/m:ctrlPr&gt;&lt;/m:sSupPr&gt;&lt;m:e&gt;&lt;m:r&gt;&lt;w:rPr&gt;&lt;w:rFonts w:ascii=&quot;Cambria Math&quot; w:h-ansi=&quot;Cambria Math&quot;/&gt;&lt;wx:font wx:val=&quot;Cambria Math&quot;/&gt;&lt;w:i/&gt;&lt;w:color w:val=&quot;0C0C0C&quot;/&gt;&lt;/w:rPr&gt;&lt;m:t&gt;10&lt;/m:t&gt;&lt;/m:r&gt;&lt;/m:e&gt;&lt;m:sup&gt;&lt;m:sSub&gt;&lt;m:sSubPr&gt;&lt;m:ctrlPr&gt;&lt;w:rPr&gt;&lt;w:rFonts w:ascii=&quot;Cambria Math&quot; w:h-ansi=&quot;Cambria Math&quot;/&gt;&lt;wx:font wx:val=&quot;Cambria Math&quot;/&gt;&lt;w:i/&gt;&lt;w:color w:val=&quot;0C0C0C&quot;/&gt;&lt;/w:rPr&gt;&lt;/m:ctrlPr&gt;&lt;/m:sSubPr&gt;&lt;m:e&gt;&lt;m:r&gt;&lt;w:rPr&gt;&lt;w:rFonts w:ascii=&quot;Cambria Math&quot; w:h-ansi=&quot;Cambria Math&quot;/&gt;&lt;wx:font wx:val=&quot;Cambria Math&quot;/&gt;&lt;w:i/&gt;&lt;w:color w:val=&quot;0C0C0C&quot;/&gt;&lt;/w:rPr&gt;&lt;m:t&gt;0.1L&lt;/m:t&gt;&lt;/m:r&gt;&lt;/m:e&gt;&lt;m:sub&gt;&lt;m:r&gt;&lt;w:rPr&gt;&lt;w:rFonts w:ascii=&quot;Cambria Math&quot; w:h-ansi=&quot;Cambria Math&quot;/&gt;&lt;wx:font wx:val=&quot;Cambria Math&quot;/&gt;&lt;w:i/&gt;&lt;w:color w:val=&quot;0C0C0C&quot;/&gt;&lt;/w:rPr&gt;&lt;m:t&gt;Aj&lt;/m:t&gt;&lt;/m:r&gt;&lt;/m:sub&gt;&lt;/m:sSub&gt;&lt;/m:sup&gt;&lt;/m:sSup&gt;&lt;/m:e&gt;&lt;/m:d&gt;&lt;/m:e&gt;&lt;/m:d&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2" chromakey="#FFFFFF" o:title=""/>
                  <o:lock v:ext="edit" aspectratio="t"/>
                  <w10:wrap type="none"/>
                  <w10:anchorlock/>
                </v:shape>
              </w:pict>
            </w:r>
            <w:r>
              <w:rPr>
                <w:rFonts w:hAnsi="Cambria Math"/>
                <w:color w:val="0C0C0C"/>
              </w:rPr>
              <w:fldChar w:fldCharType="end"/>
            </w:r>
          </w:p>
          <w:p w14:paraId="082A9463">
            <w:pPr>
              <w:spacing w:line="520" w:lineRule="exact"/>
            </w:pPr>
            <w:r>
              <w:t>式中：Leqg—建设项目声源在预测的产生的噪声贡献值，dB；</w:t>
            </w:r>
          </w:p>
          <w:p w14:paraId="28B27C4D">
            <w:pPr>
              <w:spacing w:line="520" w:lineRule="exact"/>
              <w:ind w:firstLine="720" w:firstLineChars="300"/>
            </w:pPr>
            <w:r>
              <w:t>T—用于计算等效声级的时间，s；</w:t>
            </w:r>
          </w:p>
          <w:p w14:paraId="4CD8FA63">
            <w:pPr>
              <w:spacing w:line="520" w:lineRule="exact"/>
              <w:ind w:firstLine="720" w:firstLineChars="300"/>
            </w:pPr>
            <w:r>
              <w:t>N—室外声源个数；</w:t>
            </w:r>
          </w:p>
          <w:p w14:paraId="3EAEE5D6">
            <w:pPr>
              <w:spacing w:line="520" w:lineRule="exact"/>
              <w:ind w:firstLine="720" w:firstLineChars="300"/>
            </w:pPr>
            <w:r>
              <w:t>t</w:t>
            </w:r>
            <w:r>
              <w:rPr>
                <w:vertAlign w:val="subscript"/>
              </w:rPr>
              <w:t>i</w:t>
            </w:r>
            <w:r>
              <w:t>—在T时间内i声源内工作时间，s；</w:t>
            </w:r>
          </w:p>
          <w:p w14:paraId="58685E22">
            <w:pPr>
              <w:spacing w:line="520" w:lineRule="exact"/>
              <w:ind w:firstLine="720" w:firstLineChars="300"/>
            </w:pPr>
            <w:r>
              <w:t>M—等效室外声源个数；</w:t>
            </w:r>
          </w:p>
          <w:p w14:paraId="1F453FE7">
            <w:pPr>
              <w:spacing w:line="520" w:lineRule="exact"/>
              <w:ind w:firstLine="720" w:firstLineChars="300"/>
            </w:pPr>
            <w:r>
              <w:t>t</w:t>
            </w:r>
            <w:r>
              <w:rPr>
                <w:vertAlign w:val="subscript"/>
              </w:rPr>
              <w:t>i</w:t>
            </w:r>
            <w:r>
              <w:t>—在T时间内j声源内工作时间，s；</w:t>
            </w:r>
          </w:p>
          <w:p w14:paraId="1DE4EF5F">
            <w:pPr>
              <w:adjustRightInd w:val="0"/>
              <w:snapToGrid w:val="0"/>
              <w:spacing w:line="460" w:lineRule="exact"/>
              <w:ind w:firstLine="480" w:firstLineChars="200"/>
              <w:rPr>
                <w:bCs/>
              </w:rPr>
            </w:pPr>
            <w:r>
              <w:rPr>
                <w:rFonts w:hint="eastAsia"/>
                <w:bCs/>
              </w:rPr>
              <w:t>经过以上计算，本项目室内噪声源强见及预测结果如下。</w:t>
            </w:r>
          </w:p>
          <w:p w14:paraId="23D0AFE3">
            <w:pPr>
              <w:adjustRightInd w:val="0"/>
              <w:snapToGrid w:val="0"/>
              <w:spacing w:line="520" w:lineRule="exact"/>
              <w:ind w:firstLine="480" w:firstLineChars="200"/>
              <w:jc w:val="left"/>
              <w:rPr>
                <w:rFonts w:eastAsia="黑体"/>
                <w:szCs w:val="21"/>
              </w:rPr>
            </w:pPr>
            <w:r>
              <w:rPr>
                <w:rFonts w:eastAsia="黑体"/>
                <w:szCs w:val="21"/>
              </w:rPr>
              <w:t>表</w:t>
            </w:r>
            <w:r>
              <w:rPr>
                <w:rFonts w:hint="eastAsia" w:eastAsia="黑体"/>
                <w:szCs w:val="21"/>
              </w:rPr>
              <w:t>4-1</w:t>
            </w:r>
            <w:r>
              <w:rPr>
                <w:rFonts w:hint="eastAsia" w:eastAsia="黑体"/>
                <w:szCs w:val="21"/>
                <w:lang w:val="en-US" w:eastAsia="zh-CN"/>
              </w:rPr>
              <w:t>2</w:t>
            </w:r>
            <w:r>
              <w:rPr>
                <w:rFonts w:eastAsia="黑体"/>
                <w:szCs w:val="21"/>
              </w:rPr>
              <w:t xml:space="preserve">       </w:t>
            </w:r>
            <w:r>
              <w:rPr>
                <w:rFonts w:hint="eastAsia" w:eastAsia="黑体"/>
                <w:szCs w:val="21"/>
              </w:rPr>
              <w:t xml:space="preserve">  </w:t>
            </w:r>
            <w:r>
              <w:rPr>
                <w:rFonts w:eastAsia="黑体"/>
                <w:szCs w:val="21"/>
              </w:rPr>
              <w:t xml:space="preserve">  工业企业噪声源强调查清单（室外声源）</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87"/>
              <w:gridCol w:w="508"/>
              <w:gridCol w:w="701"/>
              <w:gridCol w:w="720"/>
              <w:gridCol w:w="638"/>
              <w:gridCol w:w="1467"/>
              <w:gridCol w:w="869"/>
              <w:gridCol w:w="910"/>
              <w:gridCol w:w="763"/>
              <w:gridCol w:w="930"/>
            </w:tblGrid>
            <w:tr w14:paraId="26E4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5" w:type="pct"/>
                  <w:vMerge w:val="restart"/>
                  <w:vAlign w:val="center"/>
                </w:tcPr>
                <w:p w14:paraId="51662CCB">
                  <w:pPr>
                    <w:pStyle w:val="7"/>
                    <w:spacing w:line="240" w:lineRule="auto"/>
                    <w:ind w:firstLine="0" w:firstLineChars="0"/>
                    <w:jc w:val="center"/>
                    <w:rPr>
                      <w:sz w:val="21"/>
                      <w:szCs w:val="21"/>
                    </w:rPr>
                  </w:pPr>
                  <w:r>
                    <w:rPr>
                      <w:sz w:val="21"/>
                      <w:szCs w:val="21"/>
                    </w:rPr>
                    <w:t>序号</w:t>
                  </w:r>
                </w:p>
              </w:tc>
              <w:tc>
                <w:tcPr>
                  <w:tcW w:w="449" w:type="pct"/>
                  <w:vMerge w:val="restart"/>
                  <w:vAlign w:val="center"/>
                </w:tcPr>
                <w:p w14:paraId="2E8BAF1E">
                  <w:pPr>
                    <w:pStyle w:val="7"/>
                    <w:spacing w:line="240" w:lineRule="auto"/>
                    <w:ind w:firstLine="0" w:firstLineChars="0"/>
                    <w:jc w:val="center"/>
                    <w:rPr>
                      <w:sz w:val="21"/>
                      <w:szCs w:val="21"/>
                    </w:rPr>
                  </w:pPr>
                  <w:r>
                    <w:rPr>
                      <w:sz w:val="21"/>
                      <w:szCs w:val="21"/>
                    </w:rPr>
                    <w:t>声源名称</w:t>
                  </w:r>
                </w:p>
              </w:tc>
              <w:tc>
                <w:tcPr>
                  <w:tcW w:w="290" w:type="pct"/>
                  <w:vMerge w:val="restart"/>
                  <w:vAlign w:val="center"/>
                </w:tcPr>
                <w:p w14:paraId="1C73C182">
                  <w:pPr>
                    <w:pStyle w:val="7"/>
                    <w:spacing w:line="240" w:lineRule="auto"/>
                    <w:ind w:firstLine="0" w:firstLineChars="0"/>
                    <w:jc w:val="center"/>
                    <w:rPr>
                      <w:sz w:val="21"/>
                      <w:szCs w:val="21"/>
                    </w:rPr>
                  </w:pPr>
                  <w:r>
                    <w:rPr>
                      <w:sz w:val="21"/>
                      <w:szCs w:val="21"/>
                    </w:rPr>
                    <w:t>型号</w:t>
                  </w:r>
                </w:p>
              </w:tc>
              <w:tc>
                <w:tcPr>
                  <w:tcW w:w="1175" w:type="pct"/>
                  <w:gridSpan w:val="3"/>
                  <w:vAlign w:val="center"/>
                </w:tcPr>
                <w:p w14:paraId="462992D3">
                  <w:pPr>
                    <w:pStyle w:val="26"/>
                    <w:adjustRightInd w:val="0"/>
                    <w:snapToGrid w:val="0"/>
                    <w:spacing w:before="24" w:after="24"/>
                    <w:rPr>
                      <w:color w:val="auto"/>
                      <w:sz w:val="21"/>
                      <w:szCs w:val="21"/>
                    </w:rPr>
                  </w:pPr>
                  <w:r>
                    <w:rPr>
                      <w:color w:val="auto"/>
                      <w:sz w:val="21"/>
                      <w:szCs w:val="21"/>
                    </w:rPr>
                    <w:t>空间相对位置/m</w:t>
                  </w:r>
                </w:p>
              </w:tc>
              <w:tc>
                <w:tcPr>
                  <w:tcW w:w="837" w:type="pct"/>
                  <w:vAlign w:val="center"/>
                </w:tcPr>
                <w:p w14:paraId="2683E6EF">
                  <w:pPr>
                    <w:pStyle w:val="26"/>
                    <w:adjustRightInd w:val="0"/>
                    <w:snapToGrid w:val="0"/>
                    <w:spacing w:before="24" w:after="24"/>
                    <w:rPr>
                      <w:color w:val="auto"/>
                      <w:sz w:val="21"/>
                      <w:szCs w:val="21"/>
                    </w:rPr>
                  </w:pPr>
                  <w:r>
                    <w:rPr>
                      <w:color w:val="auto"/>
                      <w:sz w:val="21"/>
                      <w:szCs w:val="21"/>
                    </w:rPr>
                    <w:t>声源源强</w:t>
                  </w:r>
                </w:p>
              </w:tc>
              <w:tc>
                <w:tcPr>
                  <w:tcW w:w="496" w:type="pct"/>
                  <w:vMerge w:val="restart"/>
                  <w:vAlign w:val="center"/>
                </w:tcPr>
                <w:p w14:paraId="70BA1442">
                  <w:pPr>
                    <w:pStyle w:val="26"/>
                    <w:adjustRightInd w:val="0"/>
                    <w:snapToGrid w:val="0"/>
                    <w:spacing w:before="24" w:after="24"/>
                    <w:rPr>
                      <w:color w:val="auto"/>
                      <w:sz w:val="21"/>
                      <w:szCs w:val="21"/>
                    </w:rPr>
                  </w:pPr>
                  <w:r>
                    <w:rPr>
                      <w:color w:val="auto"/>
                      <w:sz w:val="21"/>
                      <w:szCs w:val="21"/>
                    </w:rPr>
                    <w:t>设备数量/台</w:t>
                  </w:r>
                </w:p>
              </w:tc>
              <w:tc>
                <w:tcPr>
                  <w:tcW w:w="519" w:type="pct"/>
                  <w:vMerge w:val="restart"/>
                  <w:vAlign w:val="center"/>
                </w:tcPr>
                <w:p w14:paraId="7B197BF5">
                  <w:pPr>
                    <w:pStyle w:val="26"/>
                    <w:adjustRightInd w:val="0"/>
                    <w:snapToGrid w:val="0"/>
                    <w:spacing w:before="24" w:after="24"/>
                    <w:rPr>
                      <w:color w:val="auto"/>
                      <w:sz w:val="21"/>
                      <w:szCs w:val="21"/>
                    </w:rPr>
                  </w:pPr>
                  <w:r>
                    <w:rPr>
                      <w:color w:val="auto"/>
                      <w:sz w:val="21"/>
                      <w:szCs w:val="21"/>
                    </w:rPr>
                    <w:t>声源控制措施</w:t>
                  </w:r>
                </w:p>
              </w:tc>
              <w:tc>
                <w:tcPr>
                  <w:tcW w:w="435" w:type="pct"/>
                  <w:vMerge w:val="restart"/>
                  <w:vAlign w:val="center"/>
                </w:tcPr>
                <w:p w14:paraId="1696D1C3">
                  <w:pPr>
                    <w:pStyle w:val="26"/>
                    <w:adjustRightInd w:val="0"/>
                    <w:snapToGrid w:val="0"/>
                    <w:spacing w:before="24" w:after="24"/>
                    <w:rPr>
                      <w:color w:val="auto"/>
                      <w:sz w:val="21"/>
                      <w:szCs w:val="21"/>
                    </w:rPr>
                  </w:pPr>
                  <w:r>
                    <w:rPr>
                      <w:color w:val="auto"/>
                      <w:sz w:val="21"/>
                      <w:szCs w:val="21"/>
                    </w:rPr>
                    <w:t>治理后声级</w:t>
                  </w:r>
                </w:p>
                <w:p w14:paraId="069E2B56">
                  <w:pPr>
                    <w:pStyle w:val="26"/>
                    <w:adjustRightInd w:val="0"/>
                    <w:snapToGrid w:val="0"/>
                    <w:spacing w:before="24" w:after="24"/>
                    <w:rPr>
                      <w:color w:val="auto"/>
                      <w:sz w:val="21"/>
                      <w:szCs w:val="21"/>
                    </w:rPr>
                  </w:pPr>
                  <w:r>
                    <w:rPr>
                      <w:color w:val="auto"/>
                      <w:sz w:val="21"/>
                      <w:szCs w:val="21"/>
                    </w:rPr>
                    <w:t>dB(A)</w:t>
                  </w:r>
                </w:p>
              </w:tc>
              <w:tc>
                <w:tcPr>
                  <w:tcW w:w="530" w:type="pct"/>
                  <w:vMerge w:val="restart"/>
                  <w:vAlign w:val="center"/>
                </w:tcPr>
                <w:p w14:paraId="5137FD74">
                  <w:pPr>
                    <w:pStyle w:val="26"/>
                    <w:adjustRightInd w:val="0"/>
                    <w:snapToGrid w:val="0"/>
                    <w:spacing w:before="24" w:after="24"/>
                    <w:rPr>
                      <w:color w:val="auto"/>
                      <w:sz w:val="21"/>
                      <w:szCs w:val="21"/>
                    </w:rPr>
                  </w:pPr>
                  <w:r>
                    <w:rPr>
                      <w:color w:val="auto"/>
                      <w:sz w:val="21"/>
                      <w:szCs w:val="21"/>
                    </w:rPr>
                    <w:t>运行时段</w:t>
                  </w:r>
                </w:p>
              </w:tc>
            </w:tr>
            <w:tr w14:paraId="3E61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5" w:type="pct"/>
                  <w:vMerge w:val="continue"/>
                  <w:vAlign w:val="center"/>
                </w:tcPr>
                <w:p w14:paraId="05D6BF4B">
                  <w:pPr>
                    <w:pStyle w:val="7"/>
                    <w:spacing w:line="240" w:lineRule="auto"/>
                    <w:ind w:firstLine="0" w:firstLineChars="0"/>
                    <w:jc w:val="center"/>
                    <w:rPr>
                      <w:b w:val="0"/>
                      <w:sz w:val="21"/>
                      <w:szCs w:val="21"/>
                    </w:rPr>
                  </w:pPr>
                </w:p>
              </w:tc>
              <w:tc>
                <w:tcPr>
                  <w:tcW w:w="449" w:type="pct"/>
                  <w:vMerge w:val="continue"/>
                  <w:vAlign w:val="center"/>
                </w:tcPr>
                <w:p w14:paraId="0A85BEB2">
                  <w:pPr>
                    <w:pStyle w:val="7"/>
                    <w:spacing w:line="240" w:lineRule="auto"/>
                    <w:ind w:firstLine="0" w:firstLineChars="0"/>
                    <w:jc w:val="center"/>
                    <w:rPr>
                      <w:b w:val="0"/>
                      <w:sz w:val="21"/>
                      <w:szCs w:val="21"/>
                    </w:rPr>
                  </w:pPr>
                </w:p>
              </w:tc>
              <w:tc>
                <w:tcPr>
                  <w:tcW w:w="290" w:type="pct"/>
                  <w:vMerge w:val="continue"/>
                  <w:vAlign w:val="center"/>
                </w:tcPr>
                <w:p w14:paraId="6625E365">
                  <w:pPr>
                    <w:pStyle w:val="7"/>
                    <w:spacing w:line="240" w:lineRule="auto"/>
                    <w:ind w:firstLine="0" w:firstLineChars="0"/>
                    <w:jc w:val="center"/>
                    <w:rPr>
                      <w:b w:val="0"/>
                      <w:sz w:val="21"/>
                      <w:szCs w:val="21"/>
                    </w:rPr>
                  </w:pPr>
                </w:p>
              </w:tc>
              <w:tc>
                <w:tcPr>
                  <w:tcW w:w="400" w:type="pct"/>
                  <w:vAlign w:val="center"/>
                </w:tcPr>
                <w:p w14:paraId="6C2B8739">
                  <w:pPr>
                    <w:pStyle w:val="26"/>
                    <w:adjustRightInd w:val="0"/>
                    <w:snapToGrid w:val="0"/>
                    <w:spacing w:before="24" w:after="24"/>
                    <w:rPr>
                      <w:b w:val="0"/>
                      <w:color w:val="auto"/>
                      <w:sz w:val="21"/>
                      <w:szCs w:val="21"/>
                    </w:rPr>
                  </w:pPr>
                  <w:r>
                    <w:rPr>
                      <w:b w:val="0"/>
                      <w:color w:val="auto"/>
                      <w:sz w:val="21"/>
                      <w:szCs w:val="21"/>
                    </w:rPr>
                    <w:t>X</w:t>
                  </w:r>
                </w:p>
              </w:tc>
              <w:tc>
                <w:tcPr>
                  <w:tcW w:w="411" w:type="pct"/>
                  <w:vAlign w:val="center"/>
                </w:tcPr>
                <w:p w14:paraId="6B467A0E">
                  <w:pPr>
                    <w:pStyle w:val="26"/>
                    <w:adjustRightInd w:val="0"/>
                    <w:snapToGrid w:val="0"/>
                    <w:spacing w:before="24" w:after="24"/>
                    <w:rPr>
                      <w:b w:val="0"/>
                      <w:color w:val="auto"/>
                      <w:sz w:val="21"/>
                      <w:szCs w:val="21"/>
                    </w:rPr>
                  </w:pPr>
                  <w:r>
                    <w:rPr>
                      <w:b w:val="0"/>
                      <w:color w:val="auto"/>
                      <w:sz w:val="21"/>
                      <w:szCs w:val="21"/>
                    </w:rPr>
                    <w:t>Y</w:t>
                  </w:r>
                </w:p>
              </w:tc>
              <w:tc>
                <w:tcPr>
                  <w:tcW w:w="363" w:type="pct"/>
                  <w:vAlign w:val="center"/>
                </w:tcPr>
                <w:p w14:paraId="6676F60D">
                  <w:pPr>
                    <w:pStyle w:val="26"/>
                    <w:adjustRightInd w:val="0"/>
                    <w:snapToGrid w:val="0"/>
                    <w:spacing w:before="24" w:after="24"/>
                    <w:rPr>
                      <w:b w:val="0"/>
                      <w:color w:val="auto"/>
                      <w:sz w:val="21"/>
                      <w:szCs w:val="21"/>
                    </w:rPr>
                  </w:pPr>
                  <w:r>
                    <w:rPr>
                      <w:b w:val="0"/>
                      <w:color w:val="auto"/>
                      <w:sz w:val="21"/>
                      <w:szCs w:val="21"/>
                    </w:rPr>
                    <w:t>Z</w:t>
                  </w:r>
                </w:p>
              </w:tc>
              <w:tc>
                <w:tcPr>
                  <w:tcW w:w="837" w:type="pct"/>
                  <w:vAlign w:val="center"/>
                </w:tcPr>
                <w:p w14:paraId="2193E6D8">
                  <w:pPr>
                    <w:pStyle w:val="26"/>
                    <w:adjustRightInd w:val="0"/>
                    <w:snapToGrid w:val="0"/>
                    <w:spacing w:before="24" w:after="24"/>
                    <w:rPr>
                      <w:b w:val="0"/>
                      <w:color w:val="auto"/>
                      <w:sz w:val="21"/>
                      <w:szCs w:val="21"/>
                    </w:rPr>
                  </w:pPr>
                  <w:r>
                    <w:rPr>
                      <w:bCs/>
                      <w:color w:val="auto"/>
                      <w:sz w:val="21"/>
                      <w:szCs w:val="21"/>
                    </w:rPr>
                    <w:t>（声压级/距声源距离）/（dB（A）/m）</w:t>
                  </w:r>
                </w:p>
              </w:tc>
              <w:tc>
                <w:tcPr>
                  <w:tcW w:w="496" w:type="pct"/>
                  <w:vMerge w:val="continue"/>
                  <w:vAlign w:val="center"/>
                </w:tcPr>
                <w:p w14:paraId="70990E70">
                  <w:pPr>
                    <w:pStyle w:val="26"/>
                    <w:adjustRightInd w:val="0"/>
                    <w:snapToGrid w:val="0"/>
                    <w:spacing w:before="24" w:after="24"/>
                    <w:rPr>
                      <w:color w:val="auto"/>
                      <w:sz w:val="21"/>
                      <w:szCs w:val="21"/>
                    </w:rPr>
                  </w:pPr>
                </w:p>
              </w:tc>
              <w:tc>
                <w:tcPr>
                  <w:tcW w:w="519" w:type="pct"/>
                  <w:vMerge w:val="continue"/>
                  <w:vAlign w:val="center"/>
                </w:tcPr>
                <w:p w14:paraId="41A212C1">
                  <w:pPr>
                    <w:pStyle w:val="26"/>
                    <w:adjustRightInd w:val="0"/>
                    <w:snapToGrid w:val="0"/>
                    <w:spacing w:before="24" w:after="24"/>
                    <w:rPr>
                      <w:color w:val="auto"/>
                      <w:sz w:val="21"/>
                      <w:szCs w:val="21"/>
                    </w:rPr>
                  </w:pPr>
                </w:p>
              </w:tc>
              <w:tc>
                <w:tcPr>
                  <w:tcW w:w="435" w:type="pct"/>
                  <w:vMerge w:val="continue"/>
                  <w:vAlign w:val="center"/>
                </w:tcPr>
                <w:p w14:paraId="2A3EBAF0">
                  <w:pPr>
                    <w:pStyle w:val="26"/>
                    <w:adjustRightInd w:val="0"/>
                    <w:snapToGrid w:val="0"/>
                    <w:spacing w:before="24" w:after="24"/>
                    <w:rPr>
                      <w:color w:val="auto"/>
                      <w:sz w:val="21"/>
                      <w:szCs w:val="21"/>
                    </w:rPr>
                  </w:pPr>
                </w:p>
              </w:tc>
              <w:tc>
                <w:tcPr>
                  <w:tcW w:w="530" w:type="pct"/>
                  <w:vMerge w:val="continue"/>
                  <w:vAlign w:val="center"/>
                </w:tcPr>
                <w:p w14:paraId="79ED272E">
                  <w:pPr>
                    <w:pStyle w:val="26"/>
                    <w:adjustRightInd w:val="0"/>
                    <w:snapToGrid w:val="0"/>
                    <w:spacing w:before="24" w:after="24"/>
                    <w:rPr>
                      <w:b w:val="0"/>
                      <w:color w:val="auto"/>
                      <w:sz w:val="21"/>
                      <w:szCs w:val="21"/>
                    </w:rPr>
                  </w:pPr>
                </w:p>
              </w:tc>
            </w:tr>
            <w:tr w14:paraId="18FA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5" w:type="pct"/>
                  <w:vAlign w:val="center"/>
                </w:tcPr>
                <w:p w14:paraId="6BF5EF53">
                  <w:pPr>
                    <w:pStyle w:val="7"/>
                    <w:spacing w:line="240" w:lineRule="auto"/>
                    <w:ind w:firstLine="0" w:firstLineChars="0"/>
                    <w:jc w:val="center"/>
                    <w:rPr>
                      <w:rFonts w:eastAsia="等线"/>
                      <w:b w:val="0"/>
                      <w:sz w:val="21"/>
                      <w:szCs w:val="21"/>
                    </w:rPr>
                  </w:pPr>
                  <w:r>
                    <w:rPr>
                      <w:b w:val="0"/>
                      <w:sz w:val="21"/>
                      <w:szCs w:val="21"/>
                    </w:rPr>
                    <w:t>1</w:t>
                  </w:r>
                </w:p>
              </w:tc>
              <w:tc>
                <w:tcPr>
                  <w:tcW w:w="449" w:type="pct"/>
                  <w:vAlign w:val="center"/>
                </w:tcPr>
                <w:p w14:paraId="3A8E3C96">
                  <w:pPr>
                    <w:jc w:val="center"/>
                    <w:rPr>
                      <w:sz w:val="21"/>
                      <w:szCs w:val="21"/>
                    </w:rPr>
                  </w:pPr>
                  <w:r>
                    <w:rPr>
                      <w:sz w:val="21"/>
                      <w:szCs w:val="21"/>
                    </w:rPr>
                    <w:t>风机</w:t>
                  </w:r>
                  <w:r>
                    <w:rPr>
                      <w:rFonts w:hint="eastAsia"/>
                      <w:sz w:val="21"/>
                      <w:szCs w:val="21"/>
                    </w:rPr>
                    <w:t>1</w:t>
                  </w:r>
                </w:p>
              </w:tc>
              <w:tc>
                <w:tcPr>
                  <w:tcW w:w="290" w:type="pct"/>
                  <w:vAlign w:val="center"/>
                </w:tcPr>
                <w:p w14:paraId="60C3ED92">
                  <w:pPr>
                    <w:pStyle w:val="7"/>
                    <w:spacing w:line="240" w:lineRule="auto"/>
                    <w:ind w:firstLine="0" w:firstLineChars="0"/>
                    <w:jc w:val="center"/>
                    <w:rPr>
                      <w:rFonts w:eastAsia="等线"/>
                      <w:b w:val="0"/>
                      <w:sz w:val="21"/>
                      <w:szCs w:val="21"/>
                    </w:rPr>
                  </w:pPr>
                  <w:r>
                    <w:rPr>
                      <w:b w:val="0"/>
                      <w:sz w:val="21"/>
                      <w:szCs w:val="21"/>
                    </w:rPr>
                    <w:t>/</w:t>
                  </w:r>
                </w:p>
              </w:tc>
              <w:tc>
                <w:tcPr>
                  <w:tcW w:w="400" w:type="pct"/>
                  <w:vAlign w:val="center"/>
                </w:tcPr>
                <w:p w14:paraId="4F73D6D5">
                  <w:pPr>
                    <w:pStyle w:val="28"/>
                    <w:adjustRightInd w:val="0"/>
                    <w:snapToGrid w:val="0"/>
                    <w:rPr>
                      <w:kern w:val="2"/>
                      <w:sz w:val="21"/>
                    </w:rPr>
                  </w:pPr>
                  <w:r>
                    <w:rPr>
                      <w:rFonts w:hint="eastAsia"/>
                      <w:kern w:val="2"/>
                      <w:sz w:val="21"/>
                    </w:rPr>
                    <w:t>4</w:t>
                  </w:r>
                </w:p>
              </w:tc>
              <w:tc>
                <w:tcPr>
                  <w:tcW w:w="411" w:type="pct"/>
                  <w:vAlign w:val="center"/>
                </w:tcPr>
                <w:p w14:paraId="471BAFF7">
                  <w:pPr>
                    <w:pStyle w:val="28"/>
                    <w:adjustRightInd w:val="0"/>
                    <w:snapToGrid w:val="0"/>
                    <w:rPr>
                      <w:sz w:val="21"/>
                    </w:rPr>
                  </w:pPr>
                  <w:r>
                    <w:rPr>
                      <w:rFonts w:hint="eastAsia"/>
                      <w:sz w:val="21"/>
                    </w:rPr>
                    <w:t>16</w:t>
                  </w:r>
                </w:p>
              </w:tc>
              <w:tc>
                <w:tcPr>
                  <w:tcW w:w="363" w:type="pct"/>
                  <w:vAlign w:val="center"/>
                </w:tcPr>
                <w:p w14:paraId="2E208127">
                  <w:pPr>
                    <w:pStyle w:val="28"/>
                    <w:adjustRightInd w:val="0"/>
                    <w:snapToGrid w:val="0"/>
                    <w:rPr>
                      <w:sz w:val="21"/>
                    </w:rPr>
                  </w:pPr>
                  <w:r>
                    <w:rPr>
                      <w:rFonts w:hint="eastAsia"/>
                      <w:sz w:val="21"/>
                    </w:rPr>
                    <w:t>1</w:t>
                  </w:r>
                </w:p>
              </w:tc>
              <w:tc>
                <w:tcPr>
                  <w:tcW w:w="837" w:type="pct"/>
                  <w:vAlign w:val="center"/>
                </w:tcPr>
                <w:p w14:paraId="4B8F081E">
                  <w:pPr>
                    <w:jc w:val="center"/>
                    <w:rPr>
                      <w:sz w:val="21"/>
                      <w:szCs w:val="21"/>
                    </w:rPr>
                  </w:pPr>
                  <w:r>
                    <w:rPr>
                      <w:rFonts w:hint="eastAsia"/>
                      <w:sz w:val="21"/>
                      <w:szCs w:val="21"/>
                    </w:rPr>
                    <w:t>8</w:t>
                  </w:r>
                  <w:r>
                    <w:rPr>
                      <w:sz w:val="21"/>
                      <w:szCs w:val="21"/>
                    </w:rPr>
                    <w:t>0/1</w:t>
                  </w:r>
                </w:p>
              </w:tc>
              <w:tc>
                <w:tcPr>
                  <w:tcW w:w="496" w:type="pct"/>
                  <w:vAlign w:val="center"/>
                </w:tcPr>
                <w:p w14:paraId="5DC81C14">
                  <w:pPr>
                    <w:jc w:val="center"/>
                    <w:rPr>
                      <w:kern w:val="0"/>
                      <w:sz w:val="21"/>
                      <w:szCs w:val="21"/>
                    </w:rPr>
                  </w:pPr>
                  <w:r>
                    <w:rPr>
                      <w:kern w:val="0"/>
                      <w:sz w:val="21"/>
                      <w:szCs w:val="21"/>
                    </w:rPr>
                    <w:t>1</w:t>
                  </w:r>
                </w:p>
              </w:tc>
              <w:tc>
                <w:tcPr>
                  <w:tcW w:w="519" w:type="pct"/>
                  <w:vMerge w:val="restart"/>
                  <w:vAlign w:val="center"/>
                </w:tcPr>
                <w:p w14:paraId="64A10844">
                  <w:pPr>
                    <w:jc w:val="center"/>
                    <w:rPr>
                      <w:rFonts w:eastAsia="等线"/>
                      <w:sz w:val="21"/>
                      <w:szCs w:val="21"/>
                    </w:rPr>
                  </w:pPr>
                  <w:r>
                    <w:rPr>
                      <w:kern w:val="0"/>
                      <w:sz w:val="21"/>
                      <w:szCs w:val="21"/>
                    </w:rPr>
                    <w:t>隔声、</w:t>
                  </w:r>
                  <w:r>
                    <w:rPr>
                      <w:rFonts w:hint="eastAsia"/>
                      <w:kern w:val="0"/>
                      <w:sz w:val="21"/>
                      <w:szCs w:val="21"/>
                    </w:rPr>
                    <w:t>基础减震、</w:t>
                  </w:r>
                  <w:r>
                    <w:rPr>
                      <w:kern w:val="0"/>
                      <w:sz w:val="21"/>
                      <w:szCs w:val="21"/>
                    </w:rPr>
                    <w:t>距离衰减</w:t>
                  </w:r>
                </w:p>
              </w:tc>
              <w:tc>
                <w:tcPr>
                  <w:tcW w:w="435" w:type="pct"/>
                  <w:vAlign w:val="center"/>
                </w:tcPr>
                <w:p w14:paraId="02C65E4D">
                  <w:pPr>
                    <w:jc w:val="center"/>
                    <w:rPr>
                      <w:kern w:val="0"/>
                      <w:sz w:val="21"/>
                      <w:szCs w:val="21"/>
                    </w:rPr>
                  </w:pPr>
                  <w:r>
                    <w:rPr>
                      <w:rFonts w:hint="eastAsia"/>
                      <w:kern w:val="0"/>
                      <w:sz w:val="21"/>
                      <w:szCs w:val="21"/>
                    </w:rPr>
                    <w:t>43</w:t>
                  </w:r>
                </w:p>
              </w:tc>
              <w:tc>
                <w:tcPr>
                  <w:tcW w:w="530" w:type="pct"/>
                  <w:vMerge w:val="restart"/>
                  <w:vAlign w:val="center"/>
                </w:tcPr>
                <w:p w14:paraId="24A9F965">
                  <w:pPr>
                    <w:pStyle w:val="26"/>
                    <w:adjustRightInd w:val="0"/>
                    <w:snapToGrid w:val="0"/>
                    <w:spacing w:before="24" w:after="24"/>
                    <w:rPr>
                      <w:b w:val="0"/>
                      <w:color w:val="auto"/>
                      <w:sz w:val="21"/>
                      <w:szCs w:val="21"/>
                    </w:rPr>
                  </w:pPr>
                  <w:r>
                    <w:rPr>
                      <w:b w:val="0"/>
                      <w:color w:val="auto"/>
                      <w:sz w:val="21"/>
                      <w:szCs w:val="21"/>
                    </w:rPr>
                    <w:t>昼间</w:t>
                  </w:r>
                  <w:r>
                    <w:rPr>
                      <w:rFonts w:hint="eastAsia"/>
                      <w:b w:val="0"/>
                      <w:color w:val="auto"/>
                      <w:sz w:val="21"/>
                      <w:szCs w:val="21"/>
                    </w:rPr>
                    <w:t>6：00-22：00</w:t>
                  </w:r>
                </w:p>
              </w:tc>
            </w:tr>
            <w:tr w14:paraId="2C46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5" w:type="pct"/>
                  <w:vAlign w:val="center"/>
                </w:tcPr>
                <w:p w14:paraId="11CDF689">
                  <w:pPr>
                    <w:pStyle w:val="7"/>
                    <w:spacing w:line="240" w:lineRule="auto"/>
                    <w:ind w:firstLine="0" w:firstLineChars="0"/>
                    <w:jc w:val="center"/>
                    <w:rPr>
                      <w:b w:val="0"/>
                      <w:sz w:val="21"/>
                      <w:szCs w:val="21"/>
                    </w:rPr>
                  </w:pPr>
                  <w:r>
                    <w:rPr>
                      <w:rFonts w:hint="eastAsia"/>
                      <w:b w:val="0"/>
                      <w:sz w:val="21"/>
                      <w:szCs w:val="21"/>
                    </w:rPr>
                    <w:t>2</w:t>
                  </w:r>
                </w:p>
              </w:tc>
              <w:tc>
                <w:tcPr>
                  <w:tcW w:w="449" w:type="pct"/>
                  <w:vAlign w:val="center"/>
                </w:tcPr>
                <w:p w14:paraId="7A9CBE0B">
                  <w:pPr>
                    <w:jc w:val="center"/>
                    <w:rPr>
                      <w:sz w:val="21"/>
                      <w:szCs w:val="21"/>
                    </w:rPr>
                  </w:pPr>
                  <w:r>
                    <w:rPr>
                      <w:sz w:val="21"/>
                      <w:szCs w:val="21"/>
                    </w:rPr>
                    <w:t>风机</w:t>
                  </w:r>
                  <w:r>
                    <w:rPr>
                      <w:rFonts w:hint="eastAsia"/>
                      <w:sz w:val="21"/>
                      <w:szCs w:val="21"/>
                    </w:rPr>
                    <w:t>1</w:t>
                  </w:r>
                </w:p>
              </w:tc>
              <w:tc>
                <w:tcPr>
                  <w:tcW w:w="290" w:type="pct"/>
                  <w:vAlign w:val="center"/>
                </w:tcPr>
                <w:p w14:paraId="7472A184">
                  <w:pPr>
                    <w:pStyle w:val="7"/>
                    <w:spacing w:line="240" w:lineRule="auto"/>
                    <w:ind w:firstLine="0" w:firstLineChars="0"/>
                    <w:jc w:val="center"/>
                    <w:rPr>
                      <w:b w:val="0"/>
                      <w:sz w:val="21"/>
                      <w:szCs w:val="21"/>
                    </w:rPr>
                  </w:pPr>
                  <w:r>
                    <w:rPr>
                      <w:rFonts w:hint="eastAsia"/>
                      <w:b w:val="0"/>
                      <w:sz w:val="21"/>
                      <w:szCs w:val="21"/>
                    </w:rPr>
                    <w:t>/</w:t>
                  </w:r>
                </w:p>
              </w:tc>
              <w:tc>
                <w:tcPr>
                  <w:tcW w:w="400" w:type="pct"/>
                  <w:vAlign w:val="center"/>
                </w:tcPr>
                <w:p w14:paraId="463A4F8F">
                  <w:pPr>
                    <w:pStyle w:val="28"/>
                    <w:adjustRightInd w:val="0"/>
                    <w:snapToGrid w:val="0"/>
                    <w:rPr>
                      <w:kern w:val="2"/>
                      <w:sz w:val="21"/>
                    </w:rPr>
                  </w:pPr>
                  <w:r>
                    <w:rPr>
                      <w:rFonts w:hint="eastAsia"/>
                      <w:kern w:val="2"/>
                      <w:sz w:val="21"/>
                    </w:rPr>
                    <w:t>-4</w:t>
                  </w:r>
                </w:p>
              </w:tc>
              <w:tc>
                <w:tcPr>
                  <w:tcW w:w="411" w:type="pct"/>
                  <w:vAlign w:val="center"/>
                </w:tcPr>
                <w:p w14:paraId="3FE9A681">
                  <w:pPr>
                    <w:pStyle w:val="28"/>
                    <w:adjustRightInd w:val="0"/>
                    <w:snapToGrid w:val="0"/>
                    <w:rPr>
                      <w:sz w:val="21"/>
                    </w:rPr>
                  </w:pPr>
                  <w:r>
                    <w:rPr>
                      <w:rFonts w:hint="eastAsia"/>
                      <w:sz w:val="21"/>
                    </w:rPr>
                    <w:t>13</w:t>
                  </w:r>
                </w:p>
              </w:tc>
              <w:tc>
                <w:tcPr>
                  <w:tcW w:w="363" w:type="pct"/>
                  <w:vAlign w:val="center"/>
                </w:tcPr>
                <w:p w14:paraId="755FA7E5">
                  <w:pPr>
                    <w:pStyle w:val="28"/>
                    <w:adjustRightInd w:val="0"/>
                    <w:snapToGrid w:val="0"/>
                    <w:rPr>
                      <w:sz w:val="21"/>
                    </w:rPr>
                  </w:pPr>
                  <w:r>
                    <w:rPr>
                      <w:rFonts w:hint="eastAsia"/>
                      <w:sz w:val="21"/>
                    </w:rPr>
                    <w:t>1</w:t>
                  </w:r>
                </w:p>
              </w:tc>
              <w:tc>
                <w:tcPr>
                  <w:tcW w:w="837" w:type="pct"/>
                  <w:vAlign w:val="center"/>
                </w:tcPr>
                <w:p w14:paraId="197B4E86">
                  <w:pPr>
                    <w:jc w:val="center"/>
                    <w:rPr>
                      <w:sz w:val="21"/>
                      <w:szCs w:val="21"/>
                    </w:rPr>
                  </w:pPr>
                  <w:r>
                    <w:rPr>
                      <w:rFonts w:hint="eastAsia"/>
                      <w:sz w:val="21"/>
                      <w:szCs w:val="21"/>
                    </w:rPr>
                    <w:t>8</w:t>
                  </w:r>
                  <w:r>
                    <w:rPr>
                      <w:sz w:val="21"/>
                      <w:szCs w:val="21"/>
                    </w:rPr>
                    <w:t>0/1</w:t>
                  </w:r>
                </w:p>
              </w:tc>
              <w:tc>
                <w:tcPr>
                  <w:tcW w:w="496" w:type="pct"/>
                  <w:vAlign w:val="center"/>
                </w:tcPr>
                <w:p w14:paraId="7EC1D278">
                  <w:pPr>
                    <w:jc w:val="center"/>
                    <w:rPr>
                      <w:kern w:val="0"/>
                      <w:sz w:val="21"/>
                      <w:szCs w:val="21"/>
                    </w:rPr>
                  </w:pPr>
                  <w:r>
                    <w:rPr>
                      <w:rFonts w:hint="eastAsia"/>
                      <w:kern w:val="0"/>
                      <w:sz w:val="21"/>
                      <w:szCs w:val="21"/>
                    </w:rPr>
                    <w:t>1</w:t>
                  </w:r>
                </w:p>
              </w:tc>
              <w:tc>
                <w:tcPr>
                  <w:tcW w:w="519" w:type="pct"/>
                  <w:vMerge w:val="continue"/>
                  <w:vAlign w:val="center"/>
                </w:tcPr>
                <w:p w14:paraId="064639DB">
                  <w:pPr>
                    <w:jc w:val="center"/>
                    <w:rPr>
                      <w:kern w:val="0"/>
                      <w:sz w:val="21"/>
                      <w:szCs w:val="21"/>
                    </w:rPr>
                  </w:pPr>
                </w:p>
              </w:tc>
              <w:tc>
                <w:tcPr>
                  <w:tcW w:w="435" w:type="pct"/>
                  <w:vAlign w:val="center"/>
                </w:tcPr>
                <w:p w14:paraId="0F90AC03">
                  <w:pPr>
                    <w:jc w:val="center"/>
                    <w:rPr>
                      <w:kern w:val="0"/>
                      <w:sz w:val="21"/>
                      <w:szCs w:val="21"/>
                    </w:rPr>
                  </w:pPr>
                  <w:r>
                    <w:rPr>
                      <w:rFonts w:hint="eastAsia"/>
                      <w:kern w:val="0"/>
                      <w:sz w:val="21"/>
                      <w:szCs w:val="21"/>
                    </w:rPr>
                    <w:t>41</w:t>
                  </w:r>
                </w:p>
              </w:tc>
              <w:tc>
                <w:tcPr>
                  <w:tcW w:w="530" w:type="pct"/>
                  <w:vMerge w:val="continue"/>
                  <w:vAlign w:val="center"/>
                </w:tcPr>
                <w:p w14:paraId="0F829D6F">
                  <w:pPr>
                    <w:pStyle w:val="26"/>
                    <w:adjustRightInd w:val="0"/>
                    <w:snapToGrid w:val="0"/>
                    <w:spacing w:before="24" w:after="24"/>
                    <w:rPr>
                      <w:b w:val="0"/>
                      <w:color w:val="auto"/>
                      <w:sz w:val="21"/>
                      <w:szCs w:val="21"/>
                    </w:rPr>
                  </w:pPr>
                </w:p>
              </w:tc>
            </w:tr>
            <w:tr w14:paraId="6C03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5" w:type="pct"/>
                  <w:vAlign w:val="center"/>
                </w:tcPr>
                <w:p w14:paraId="7218787E">
                  <w:pPr>
                    <w:pStyle w:val="7"/>
                    <w:spacing w:line="240" w:lineRule="auto"/>
                    <w:ind w:firstLine="0" w:firstLineChars="0"/>
                    <w:jc w:val="center"/>
                    <w:rPr>
                      <w:b w:val="0"/>
                      <w:sz w:val="21"/>
                      <w:szCs w:val="21"/>
                    </w:rPr>
                  </w:pPr>
                  <w:r>
                    <w:rPr>
                      <w:rFonts w:hint="eastAsia"/>
                      <w:b w:val="0"/>
                      <w:sz w:val="21"/>
                      <w:szCs w:val="21"/>
                    </w:rPr>
                    <w:t>3</w:t>
                  </w:r>
                </w:p>
              </w:tc>
              <w:tc>
                <w:tcPr>
                  <w:tcW w:w="449" w:type="pct"/>
                  <w:vAlign w:val="center"/>
                </w:tcPr>
                <w:p w14:paraId="610EB11D">
                  <w:pPr>
                    <w:jc w:val="center"/>
                    <w:rPr>
                      <w:sz w:val="21"/>
                      <w:szCs w:val="21"/>
                    </w:rPr>
                  </w:pPr>
                  <w:r>
                    <w:rPr>
                      <w:rFonts w:hint="eastAsia"/>
                      <w:sz w:val="21"/>
                      <w:szCs w:val="21"/>
                    </w:rPr>
                    <w:t>水泵1</w:t>
                  </w:r>
                </w:p>
              </w:tc>
              <w:tc>
                <w:tcPr>
                  <w:tcW w:w="290" w:type="pct"/>
                  <w:vAlign w:val="center"/>
                </w:tcPr>
                <w:p w14:paraId="44AA0BA7">
                  <w:pPr>
                    <w:pStyle w:val="7"/>
                    <w:spacing w:line="240" w:lineRule="auto"/>
                    <w:ind w:firstLine="0" w:firstLineChars="0"/>
                    <w:jc w:val="center"/>
                    <w:rPr>
                      <w:b w:val="0"/>
                      <w:sz w:val="21"/>
                      <w:szCs w:val="21"/>
                    </w:rPr>
                  </w:pPr>
                  <w:r>
                    <w:rPr>
                      <w:rFonts w:hint="eastAsia"/>
                      <w:b w:val="0"/>
                      <w:sz w:val="21"/>
                      <w:szCs w:val="21"/>
                    </w:rPr>
                    <w:t>/</w:t>
                  </w:r>
                </w:p>
              </w:tc>
              <w:tc>
                <w:tcPr>
                  <w:tcW w:w="400" w:type="pct"/>
                  <w:vAlign w:val="center"/>
                </w:tcPr>
                <w:p w14:paraId="221CDA88">
                  <w:pPr>
                    <w:pStyle w:val="28"/>
                    <w:adjustRightInd w:val="0"/>
                    <w:snapToGrid w:val="0"/>
                    <w:rPr>
                      <w:kern w:val="2"/>
                      <w:sz w:val="21"/>
                    </w:rPr>
                  </w:pPr>
                  <w:r>
                    <w:rPr>
                      <w:rFonts w:hint="eastAsia"/>
                      <w:kern w:val="2"/>
                      <w:sz w:val="21"/>
                    </w:rPr>
                    <w:t>-23</w:t>
                  </w:r>
                </w:p>
              </w:tc>
              <w:tc>
                <w:tcPr>
                  <w:tcW w:w="411" w:type="pct"/>
                  <w:vAlign w:val="center"/>
                </w:tcPr>
                <w:p w14:paraId="5BC92A68">
                  <w:pPr>
                    <w:pStyle w:val="28"/>
                    <w:adjustRightInd w:val="0"/>
                    <w:snapToGrid w:val="0"/>
                    <w:rPr>
                      <w:sz w:val="21"/>
                    </w:rPr>
                  </w:pPr>
                  <w:r>
                    <w:rPr>
                      <w:rFonts w:hint="eastAsia"/>
                      <w:sz w:val="21"/>
                    </w:rPr>
                    <w:t>-90</w:t>
                  </w:r>
                </w:p>
              </w:tc>
              <w:tc>
                <w:tcPr>
                  <w:tcW w:w="363" w:type="pct"/>
                  <w:vAlign w:val="center"/>
                </w:tcPr>
                <w:p w14:paraId="47A857A8">
                  <w:pPr>
                    <w:pStyle w:val="28"/>
                    <w:adjustRightInd w:val="0"/>
                    <w:snapToGrid w:val="0"/>
                    <w:rPr>
                      <w:sz w:val="21"/>
                    </w:rPr>
                  </w:pPr>
                  <w:r>
                    <w:rPr>
                      <w:rFonts w:hint="eastAsia"/>
                      <w:sz w:val="21"/>
                    </w:rPr>
                    <w:t>1</w:t>
                  </w:r>
                </w:p>
              </w:tc>
              <w:tc>
                <w:tcPr>
                  <w:tcW w:w="837" w:type="pct"/>
                  <w:vAlign w:val="center"/>
                </w:tcPr>
                <w:p w14:paraId="357F906A">
                  <w:pPr>
                    <w:jc w:val="center"/>
                    <w:rPr>
                      <w:sz w:val="21"/>
                      <w:szCs w:val="21"/>
                    </w:rPr>
                  </w:pPr>
                  <w:r>
                    <w:rPr>
                      <w:rFonts w:hint="eastAsia"/>
                      <w:sz w:val="21"/>
                      <w:szCs w:val="21"/>
                    </w:rPr>
                    <w:t>75</w:t>
                  </w:r>
                  <w:r>
                    <w:rPr>
                      <w:sz w:val="21"/>
                      <w:szCs w:val="21"/>
                    </w:rPr>
                    <w:t>/1</w:t>
                  </w:r>
                </w:p>
              </w:tc>
              <w:tc>
                <w:tcPr>
                  <w:tcW w:w="496" w:type="pct"/>
                  <w:vAlign w:val="center"/>
                </w:tcPr>
                <w:p w14:paraId="5630CDEF">
                  <w:pPr>
                    <w:jc w:val="center"/>
                    <w:rPr>
                      <w:kern w:val="0"/>
                      <w:sz w:val="21"/>
                      <w:szCs w:val="21"/>
                    </w:rPr>
                  </w:pPr>
                  <w:r>
                    <w:rPr>
                      <w:rFonts w:hint="eastAsia"/>
                      <w:kern w:val="0"/>
                      <w:sz w:val="21"/>
                      <w:szCs w:val="21"/>
                    </w:rPr>
                    <w:t>1</w:t>
                  </w:r>
                </w:p>
              </w:tc>
              <w:tc>
                <w:tcPr>
                  <w:tcW w:w="519" w:type="pct"/>
                  <w:vMerge w:val="continue"/>
                  <w:vAlign w:val="center"/>
                </w:tcPr>
                <w:p w14:paraId="70F474C4">
                  <w:pPr>
                    <w:jc w:val="center"/>
                    <w:rPr>
                      <w:kern w:val="0"/>
                      <w:sz w:val="21"/>
                      <w:szCs w:val="21"/>
                    </w:rPr>
                  </w:pPr>
                </w:p>
              </w:tc>
              <w:tc>
                <w:tcPr>
                  <w:tcW w:w="435" w:type="pct"/>
                  <w:vAlign w:val="center"/>
                </w:tcPr>
                <w:p w14:paraId="27B95CE8">
                  <w:pPr>
                    <w:jc w:val="center"/>
                    <w:rPr>
                      <w:kern w:val="0"/>
                      <w:sz w:val="21"/>
                      <w:szCs w:val="21"/>
                    </w:rPr>
                  </w:pPr>
                  <w:r>
                    <w:rPr>
                      <w:rFonts w:hint="eastAsia"/>
                      <w:kern w:val="0"/>
                      <w:sz w:val="21"/>
                      <w:szCs w:val="21"/>
                    </w:rPr>
                    <w:t>35</w:t>
                  </w:r>
                </w:p>
              </w:tc>
              <w:tc>
                <w:tcPr>
                  <w:tcW w:w="530" w:type="pct"/>
                  <w:vMerge w:val="continue"/>
                  <w:vAlign w:val="center"/>
                </w:tcPr>
                <w:p w14:paraId="20FBE0C3">
                  <w:pPr>
                    <w:pStyle w:val="26"/>
                    <w:adjustRightInd w:val="0"/>
                    <w:snapToGrid w:val="0"/>
                    <w:spacing w:before="24" w:after="24"/>
                    <w:rPr>
                      <w:b w:val="0"/>
                      <w:color w:val="auto"/>
                      <w:sz w:val="21"/>
                      <w:szCs w:val="21"/>
                    </w:rPr>
                  </w:pPr>
                </w:p>
              </w:tc>
            </w:tr>
            <w:tr w14:paraId="6FE3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5" w:type="pct"/>
                  <w:vAlign w:val="center"/>
                </w:tcPr>
                <w:p w14:paraId="0234A13F">
                  <w:pPr>
                    <w:pStyle w:val="7"/>
                    <w:spacing w:line="240" w:lineRule="auto"/>
                    <w:ind w:firstLine="0" w:firstLineChars="0"/>
                    <w:jc w:val="center"/>
                    <w:rPr>
                      <w:b w:val="0"/>
                      <w:sz w:val="21"/>
                      <w:szCs w:val="21"/>
                    </w:rPr>
                  </w:pPr>
                  <w:r>
                    <w:rPr>
                      <w:rFonts w:hint="eastAsia"/>
                      <w:b w:val="0"/>
                      <w:sz w:val="21"/>
                      <w:szCs w:val="21"/>
                    </w:rPr>
                    <w:t>4</w:t>
                  </w:r>
                </w:p>
              </w:tc>
              <w:tc>
                <w:tcPr>
                  <w:tcW w:w="449" w:type="pct"/>
                  <w:vAlign w:val="center"/>
                </w:tcPr>
                <w:p w14:paraId="5BA6A55F">
                  <w:pPr>
                    <w:jc w:val="center"/>
                    <w:rPr>
                      <w:sz w:val="21"/>
                      <w:szCs w:val="21"/>
                    </w:rPr>
                  </w:pPr>
                  <w:r>
                    <w:rPr>
                      <w:rFonts w:hint="eastAsia"/>
                      <w:sz w:val="21"/>
                      <w:szCs w:val="21"/>
                    </w:rPr>
                    <w:t>水泵2</w:t>
                  </w:r>
                </w:p>
              </w:tc>
              <w:tc>
                <w:tcPr>
                  <w:tcW w:w="290" w:type="pct"/>
                  <w:vAlign w:val="center"/>
                </w:tcPr>
                <w:p w14:paraId="1CC53904">
                  <w:pPr>
                    <w:pStyle w:val="7"/>
                    <w:spacing w:line="240" w:lineRule="auto"/>
                    <w:ind w:firstLine="0" w:firstLineChars="0"/>
                    <w:jc w:val="center"/>
                    <w:rPr>
                      <w:b w:val="0"/>
                      <w:sz w:val="21"/>
                      <w:szCs w:val="21"/>
                    </w:rPr>
                  </w:pPr>
                  <w:r>
                    <w:rPr>
                      <w:rFonts w:hint="eastAsia"/>
                      <w:b w:val="0"/>
                      <w:sz w:val="21"/>
                      <w:szCs w:val="21"/>
                    </w:rPr>
                    <w:t>/</w:t>
                  </w:r>
                </w:p>
              </w:tc>
              <w:tc>
                <w:tcPr>
                  <w:tcW w:w="400" w:type="pct"/>
                  <w:vAlign w:val="center"/>
                </w:tcPr>
                <w:p w14:paraId="5483137E">
                  <w:pPr>
                    <w:pStyle w:val="28"/>
                    <w:adjustRightInd w:val="0"/>
                    <w:snapToGrid w:val="0"/>
                    <w:rPr>
                      <w:kern w:val="2"/>
                      <w:sz w:val="21"/>
                    </w:rPr>
                  </w:pPr>
                  <w:r>
                    <w:rPr>
                      <w:rFonts w:hint="eastAsia"/>
                      <w:kern w:val="2"/>
                      <w:sz w:val="21"/>
                    </w:rPr>
                    <w:t>15</w:t>
                  </w:r>
                </w:p>
              </w:tc>
              <w:tc>
                <w:tcPr>
                  <w:tcW w:w="411" w:type="pct"/>
                  <w:vAlign w:val="center"/>
                </w:tcPr>
                <w:p w14:paraId="019FDFBB">
                  <w:pPr>
                    <w:pStyle w:val="28"/>
                    <w:adjustRightInd w:val="0"/>
                    <w:snapToGrid w:val="0"/>
                    <w:rPr>
                      <w:sz w:val="21"/>
                    </w:rPr>
                  </w:pPr>
                  <w:r>
                    <w:rPr>
                      <w:rFonts w:hint="eastAsia"/>
                      <w:sz w:val="21"/>
                    </w:rPr>
                    <w:t>14</w:t>
                  </w:r>
                </w:p>
              </w:tc>
              <w:tc>
                <w:tcPr>
                  <w:tcW w:w="363" w:type="pct"/>
                  <w:vAlign w:val="center"/>
                </w:tcPr>
                <w:p w14:paraId="7D6BB383">
                  <w:pPr>
                    <w:pStyle w:val="28"/>
                    <w:adjustRightInd w:val="0"/>
                    <w:snapToGrid w:val="0"/>
                    <w:rPr>
                      <w:sz w:val="21"/>
                    </w:rPr>
                  </w:pPr>
                  <w:r>
                    <w:rPr>
                      <w:rFonts w:hint="eastAsia"/>
                      <w:sz w:val="21"/>
                    </w:rPr>
                    <w:t>1</w:t>
                  </w:r>
                </w:p>
              </w:tc>
              <w:tc>
                <w:tcPr>
                  <w:tcW w:w="837" w:type="pct"/>
                  <w:vAlign w:val="center"/>
                </w:tcPr>
                <w:p w14:paraId="1C2967AB">
                  <w:pPr>
                    <w:jc w:val="center"/>
                    <w:rPr>
                      <w:sz w:val="21"/>
                      <w:szCs w:val="21"/>
                    </w:rPr>
                  </w:pPr>
                  <w:r>
                    <w:rPr>
                      <w:rFonts w:hint="eastAsia"/>
                      <w:sz w:val="21"/>
                      <w:szCs w:val="21"/>
                    </w:rPr>
                    <w:t>75</w:t>
                  </w:r>
                  <w:r>
                    <w:rPr>
                      <w:sz w:val="21"/>
                      <w:szCs w:val="21"/>
                    </w:rPr>
                    <w:t>/1</w:t>
                  </w:r>
                </w:p>
              </w:tc>
              <w:tc>
                <w:tcPr>
                  <w:tcW w:w="496" w:type="pct"/>
                  <w:vAlign w:val="center"/>
                </w:tcPr>
                <w:p w14:paraId="1FA1A273">
                  <w:pPr>
                    <w:jc w:val="center"/>
                    <w:rPr>
                      <w:kern w:val="0"/>
                      <w:sz w:val="21"/>
                      <w:szCs w:val="21"/>
                    </w:rPr>
                  </w:pPr>
                  <w:r>
                    <w:rPr>
                      <w:rFonts w:hint="eastAsia"/>
                      <w:kern w:val="0"/>
                      <w:sz w:val="21"/>
                      <w:szCs w:val="21"/>
                    </w:rPr>
                    <w:t>1</w:t>
                  </w:r>
                </w:p>
              </w:tc>
              <w:tc>
                <w:tcPr>
                  <w:tcW w:w="519" w:type="pct"/>
                  <w:vMerge w:val="continue"/>
                  <w:vAlign w:val="center"/>
                </w:tcPr>
                <w:p w14:paraId="2392F7DB">
                  <w:pPr>
                    <w:jc w:val="center"/>
                    <w:rPr>
                      <w:kern w:val="0"/>
                      <w:sz w:val="21"/>
                      <w:szCs w:val="21"/>
                    </w:rPr>
                  </w:pPr>
                </w:p>
              </w:tc>
              <w:tc>
                <w:tcPr>
                  <w:tcW w:w="435" w:type="pct"/>
                  <w:vAlign w:val="center"/>
                </w:tcPr>
                <w:p w14:paraId="41C5C892">
                  <w:pPr>
                    <w:jc w:val="center"/>
                    <w:rPr>
                      <w:kern w:val="0"/>
                      <w:sz w:val="21"/>
                      <w:szCs w:val="21"/>
                    </w:rPr>
                  </w:pPr>
                  <w:r>
                    <w:rPr>
                      <w:rFonts w:hint="eastAsia"/>
                      <w:kern w:val="0"/>
                      <w:sz w:val="21"/>
                      <w:szCs w:val="21"/>
                    </w:rPr>
                    <w:t>33</w:t>
                  </w:r>
                </w:p>
              </w:tc>
              <w:tc>
                <w:tcPr>
                  <w:tcW w:w="530" w:type="pct"/>
                  <w:vMerge w:val="continue"/>
                  <w:vAlign w:val="center"/>
                </w:tcPr>
                <w:p w14:paraId="2B1491F4">
                  <w:pPr>
                    <w:pStyle w:val="26"/>
                    <w:adjustRightInd w:val="0"/>
                    <w:snapToGrid w:val="0"/>
                    <w:spacing w:before="24" w:after="24"/>
                    <w:rPr>
                      <w:b w:val="0"/>
                      <w:color w:val="auto"/>
                      <w:sz w:val="21"/>
                      <w:szCs w:val="21"/>
                    </w:rPr>
                  </w:pPr>
                </w:p>
              </w:tc>
            </w:tr>
          </w:tbl>
          <w:p w14:paraId="2A0B62A4">
            <w:pPr>
              <w:adjustRightInd w:val="0"/>
              <w:snapToGrid w:val="0"/>
              <w:spacing w:line="520" w:lineRule="exact"/>
              <w:ind w:firstLine="480" w:firstLineChars="200"/>
              <w:rPr>
                <w:rFonts w:eastAsia="黑体"/>
                <w:szCs w:val="21"/>
              </w:rPr>
            </w:pPr>
            <w:r>
              <w:rPr>
                <w:rFonts w:eastAsia="黑体"/>
                <w:szCs w:val="21"/>
              </w:rPr>
              <w:t>表</w:t>
            </w:r>
            <w:r>
              <w:rPr>
                <w:rFonts w:hint="eastAsia" w:eastAsia="黑体"/>
                <w:szCs w:val="21"/>
              </w:rPr>
              <w:t>4-1</w:t>
            </w:r>
            <w:r>
              <w:rPr>
                <w:rFonts w:hint="eastAsia" w:eastAsia="黑体"/>
                <w:szCs w:val="21"/>
                <w:lang w:val="en-US" w:eastAsia="zh-CN"/>
              </w:rPr>
              <w:t>3</w:t>
            </w:r>
            <w:r>
              <w:rPr>
                <w:rFonts w:eastAsia="黑体"/>
                <w:szCs w:val="21"/>
              </w:rPr>
              <w:t xml:space="preserve">    </w:t>
            </w:r>
            <w:r>
              <w:rPr>
                <w:rFonts w:hint="eastAsia" w:eastAsia="黑体"/>
                <w:szCs w:val="21"/>
              </w:rPr>
              <w:t xml:space="preserve">    </w:t>
            </w:r>
            <w:r>
              <w:rPr>
                <w:rFonts w:eastAsia="黑体"/>
                <w:szCs w:val="21"/>
              </w:rPr>
              <w:t>工业企业噪声源强调查清单（室内声源）</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
              <w:gridCol w:w="753"/>
              <w:gridCol w:w="639"/>
              <w:gridCol w:w="482"/>
              <w:gridCol w:w="713"/>
              <w:gridCol w:w="490"/>
              <w:gridCol w:w="559"/>
              <w:gridCol w:w="464"/>
              <w:gridCol w:w="366"/>
              <w:gridCol w:w="623"/>
              <w:gridCol w:w="692"/>
              <w:gridCol w:w="517"/>
              <w:gridCol w:w="692"/>
              <w:gridCol w:w="709"/>
              <w:gridCol w:w="636"/>
            </w:tblGrid>
            <w:tr w14:paraId="739C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restart"/>
                  <w:vAlign w:val="center"/>
                </w:tcPr>
                <w:p w14:paraId="7F8EF5EF">
                  <w:pPr>
                    <w:pStyle w:val="26"/>
                    <w:spacing w:before="24" w:after="24" w:line="240" w:lineRule="exact"/>
                    <w:rPr>
                      <w:rFonts w:cs="Times New Roman"/>
                      <w:color w:val="auto"/>
                      <w:sz w:val="21"/>
                      <w:szCs w:val="21"/>
                    </w:rPr>
                  </w:pPr>
                  <w:r>
                    <w:rPr>
                      <w:rFonts w:cs="Times New Roman"/>
                      <w:color w:val="auto"/>
                      <w:sz w:val="21"/>
                      <w:szCs w:val="21"/>
                    </w:rPr>
                    <w:t>建筑物名称</w:t>
                  </w:r>
                </w:p>
              </w:tc>
              <w:tc>
                <w:tcPr>
                  <w:tcW w:w="430" w:type="pct"/>
                  <w:vMerge w:val="restart"/>
                  <w:vAlign w:val="center"/>
                </w:tcPr>
                <w:p w14:paraId="49047CDA">
                  <w:pPr>
                    <w:pStyle w:val="26"/>
                    <w:spacing w:before="24" w:after="24" w:line="240" w:lineRule="exact"/>
                    <w:rPr>
                      <w:rFonts w:cs="Times New Roman"/>
                      <w:color w:val="auto"/>
                      <w:sz w:val="21"/>
                      <w:szCs w:val="21"/>
                    </w:rPr>
                  </w:pPr>
                  <w:r>
                    <w:rPr>
                      <w:rFonts w:cs="Times New Roman"/>
                      <w:color w:val="auto"/>
                      <w:sz w:val="21"/>
                      <w:szCs w:val="21"/>
                    </w:rPr>
                    <w:t>声源名称</w:t>
                  </w:r>
                </w:p>
              </w:tc>
              <w:tc>
                <w:tcPr>
                  <w:tcW w:w="365" w:type="pct"/>
                  <w:vMerge w:val="restart"/>
                  <w:vAlign w:val="center"/>
                </w:tcPr>
                <w:p w14:paraId="2FE9514F">
                  <w:pPr>
                    <w:pStyle w:val="26"/>
                    <w:spacing w:before="24" w:after="24" w:line="240" w:lineRule="exact"/>
                    <w:rPr>
                      <w:rFonts w:cs="Times New Roman"/>
                      <w:color w:val="auto"/>
                      <w:sz w:val="21"/>
                      <w:szCs w:val="21"/>
                    </w:rPr>
                  </w:pPr>
                  <w:r>
                    <w:rPr>
                      <w:rFonts w:cs="Times New Roman"/>
                      <w:color w:val="auto"/>
                      <w:sz w:val="21"/>
                      <w:szCs w:val="21"/>
                    </w:rPr>
                    <w:t>声功率级</w:t>
                  </w:r>
                </w:p>
                <w:p w14:paraId="40755C1B">
                  <w:pPr>
                    <w:pStyle w:val="26"/>
                    <w:spacing w:before="24" w:after="24" w:line="240" w:lineRule="exact"/>
                    <w:rPr>
                      <w:rFonts w:cs="Times New Roman"/>
                      <w:color w:val="auto"/>
                      <w:sz w:val="21"/>
                      <w:szCs w:val="21"/>
                    </w:rPr>
                  </w:pPr>
                  <w:r>
                    <w:rPr>
                      <w:rFonts w:cs="Times New Roman"/>
                      <w:color w:val="auto"/>
                      <w:sz w:val="21"/>
                      <w:szCs w:val="21"/>
                    </w:rPr>
                    <w:t>/dB(A)</w:t>
                  </w:r>
                </w:p>
              </w:tc>
              <w:tc>
                <w:tcPr>
                  <w:tcW w:w="275" w:type="pct"/>
                  <w:vMerge w:val="restart"/>
                  <w:vAlign w:val="center"/>
                </w:tcPr>
                <w:p w14:paraId="018DCD1F">
                  <w:pPr>
                    <w:pStyle w:val="26"/>
                    <w:spacing w:before="24" w:after="24" w:line="240" w:lineRule="exact"/>
                    <w:rPr>
                      <w:rFonts w:cs="Times New Roman"/>
                      <w:color w:val="auto"/>
                      <w:sz w:val="21"/>
                      <w:szCs w:val="21"/>
                    </w:rPr>
                  </w:pPr>
                  <w:r>
                    <w:rPr>
                      <w:rFonts w:cs="Times New Roman"/>
                      <w:color w:val="auto"/>
                      <w:sz w:val="21"/>
                      <w:szCs w:val="21"/>
                    </w:rPr>
                    <w:t>数量(台)</w:t>
                  </w:r>
                </w:p>
              </w:tc>
              <w:tc>
                <w:tcPr>
                  <w:tcW w:w="407" w:type="pct"/>
                  <w:vMerge w:val="restart"/>
                  <w:vAlign w:val="center"/>
                </w:tcPr>
                <w:p w14:paraId="2366B3CE">
                  <w:pPr>
                    <w:pStyle w:val="26"/>
                    <w:spacing w:before="24" w:after="24" w:line="240" w:lineRule="exact"/>
                    <w:rPr>
                      <w:rFonts w:cs="Times New Roman"/>
                      <w:color w:val="auto"/>
                      <w:sz w:val="21"/>
                      <w:szCs w:val="21"/>
                    </w:rPr>
                  </w:pPr>
                  <w:r>
                    <w:rPr>
                      <w:rFonts w:cs="Times New Roman"/>
                      <w:color w:val="auto"/>
                      <w:sz w:val="21"/>
                      <w:szCs w:val="21"/>
                    </w:rPr>
                    <w:t>声源控制措施</w:t>
                  </w:r>
                </w:p>
              </w:tc>
              <w:tc>
                <w:tcPr>
                  <w:tcW w:w="864" w:type="pct"/>
                  <w:gridSpan w:val="3"/>
                  <w:vAlign w:val="center"/>
                </w:tcPr>
                <w:p w14:paraId="4CA9A2C6">
                  <w:pPr>
                    <w:pStyle w:val="26"/>
                    <w:spacing w:before="24" w:after="24" w:line="240" w:lineRule="exact"/>
                    <w:rPr>
                      <w:rFonts w:cs="Times New Roman"/>
                      <w:color w:val="auto"/>
                      <w:sz w:val="21"/>
                      <w:szCs w:val="21"/>
                    </w:rPr>
                  </w:pPr>
                  <w:r>
                    <w:rPr>
                      <w:rFonts w:cs="Times New Roman"/>
                      <w:color w:val="auto"/>
                      <w:sz w:val="21"/>
                      <w:szCs w:val="21"/>
                    </w:rPr>
                    <w:t>空间相对位置/m</w:t>
                  </w:r>
                </w:p>
              </w:tc>
              <w:tc>
                <w:tcPr>
                  <w:tcW w:w="209" w:type="pct"/>
                  <w:vMerge w:val="restart"/>
                  <w:vAlign w:val="center"/>
                </w:tcPr>
                <w:p w14:paraId="7DF1ADA8">
                  <w:pPr>
                    <w:pStyle w:val="26"/>
                    <w:spacing w:before="24" w:after="24" w:line="240" w:lineRule="exact"/>
                    <w:rPr>
                      <w:rFonts w:cs="Times New Roman"/>
                      <w:color w:val="auto"/>
                      <w:sz w:val="21"/>
                      <w:szCs w:val="21"/>
                    </w:rPr>
                  </w:pPr>
                  <w:r>
                    <w:rPr>
                      <w:rFonts w:cs="Times New Roman"/>
                      <w:color w:val="auto"/>
                      <w:sz w:val="21"/>
                      <w:szCs w:val="21"/>
                    </w:rPr>
                    <w:t>方位</w:t>
                  </w:r>
                </w:p>
              </w:tc>
              <w:tc>
                <w:tcPr>
                  <w:tcW w:w="356" w:type="pct"/>
                  <w:vMerge w:val="restart"/>
                  <w:vAlign w:val="center"/>
                </w:tcPr>
                <w:p w14:paraId="0906AEEB">
                  <w:pPr>
                    <w:pStyle w:val="26"/>
                    <w:spacing w:before="24" w:after="24" w:line="240" w:lineRule="exact"/>
                    <w:rPr>
                      <w:rFonts w:cs="Times New Roman"/>
                      <w:color w:val="auto"/>
                      <w:sz w:val="21"/>
                      <w:szCs w:val="21"/>
                    </w:rPr>
                  </w:pPr>
                  <w:r>
                    <w:rPr>
                      <w:rFonts w:cs="Times New Roman"/>
                      <w:color w:val="auto"/>
                      <w:sz w:val="21"/>
                      <w:szCs w:val="21"/>
                    </w:rPr>
                    <w:t>距室内边界距离/m</w:t>
                  </w:r>
                </w:p>
              </w:tc>
              <w:tc>
                <w:tcPr>
                  <w:tcW w:w="395" w:type="pct"/>
                  <w:vMerge w:val="restart"/>
                  <w:vAlign w:val="center"/>
                </w:tcPr>
                <w:p w14:paraId="46B6CA6C">
                  <w:pPr>
                    <w:pStyle w:val="26"/>
                    <w:spacing w:before="24" w:after="24" w:line="240" w:lineRule="exact"/>
                    <w:rPr>
                      <w:rFonts w:cs="Times New Roman"/>
                      <w:color w:val="auto"/>
                      <w:sz w:val="21"/>
                      <w:szCs w:val="21"/>
                    </w:rPr>
                  </w:pPr>
                  <w:r>
                    <w:rPr>
                      <w:rFonts w:cs="Times New Roman"/>
                      <w:color w:val="auto"/>
                      <w:sz w:val="21"/>
                      <w:szCs w:val="21"/>
                    </w:rPr>
                    <w:t>室内边界声级/dB(A)</w:t>
                  </w:r>
                </w:p>
              </w:tc>
              <w:tc>
                <w:tcPr>
                  <w:tcW w:w="295" w:type="pct"/>
                  <w:vMerge w:val="restart"/>
                  <w:vAlign w:val="center"/>
                </w:tcPr>
                <w:p w14:paraId="2AB7C709">
                  <w:pPr>
                    <w:pStyle w:val="26"/>
                    <w:spacing w:before="24" w:after="24" w:line="240" w:lineRule="exact"/>
                    <w:rPr>
                      <w:rFonts w:cs="Times New Roman"/>
                      <w:color w:val="auto"/>
                      <w:sz w:val="21"/>
                      <w:szCs w:val="21"/>
                    </w:rPr>
                  </w:pPr>
                  <w:r>
                    <w:rPr>
                      <w:rFonts w:cs="Times New Roman"/>
                      <w:color w:val="auto"/>
                      <w:sz w:val="21"/>
                      <w:szCs w:val="21"/>
                    </w:rPr>
                    <w:t>运行时段</w:t>
                  </w:r>
                </w:p>
              </w:tc>
              <w:tc>
                <w:tcPr>
                  <w:tcW w:w="395" w:type="pct"/>
                  <w:vMerge w:val="restart"/>
                  <w:vAlign w:val="center"/>
                </w:tcPr>
                <w:p w14:paraId="3F620459">
                  <w:pPr>
                    <w:pStyle w:val="26"/>
                    <w:spacing w:before="24" w:after="24" w:line="240" w:lineRule="exact"/>
                    <w:rPr>
                      <w:rFonts w:cs="Times New Roman"/>
                      <w:color w:val="auto"/>
                      <w:sz w:val="21"/>
                      <w:szCs w:val="21"/>
                    </w:rPr>
                  </w:pPr>
                  <w:r>
                    <w:rPr>
                      <w:rFonts w:cs="Times New Roman"/>
                      <w:color w:val="auto"/>
                      <w:sz w:val="21"/>
                      <w:szCs w:val="21"/>
                    </w:rPr>
                    <w:t>建筑物插入损失/dB(A)</w:t>
                  </w:r>
                </w:p>
              </w:tc>
              <w:tc>
                <w:tcPr>
                  <w:tcW w:w="763" w:type="pct"/>
                  <w:gridSpan w:val="2"/>
                  <w:vAlign w:val="center"/>
                </w:tcPr>
                <w:p w14:paraId="501AD8DA">
                  <w:pPr>
                    <w:pStyle w:val="26"/>
                    <w:spacing w:before="24" w:after="24" w:line="240" w:lineRule="exact"/>
                    <w:rPr>
                      <w:rFonts w:cs="Times New Roman"/>
                      <w:color w:val="auto"/>
                      <w:sz w:val="21"/>
                      <w:szCs w:val="21"/>
                    </w:rPr>
                  </w:pPr>
                  <w:r>
                    <w:rPr>
                      <w:rFonts w:cs="Times New Roman"/>
                      <w:color w:val="auto"/>
                      <w:sz w:val="21"/>
                      <w:szCs w:val="21"/>
                    </w:rPr>
                    <w:t>建筑物外噪声</w:t>
                  </w:r>
                </w:p>
              </w:tc>
            </w:tr>
            <w:tr w14:paraId="1859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7DD84B47">
                  <w:pPr>
                    <w:pStyle w:val="26"/>
                    <w:spacing w:before="24" w:after="24" w:line="240" w:lineRule="exact"/>
                    <w:rPr>
                      <w:rFonts w:cs="Times New Roman"/>
                      <w:color w:val="auto"/>
                      <w:sz w:val="21"/>
                      <w:szCs w:val="21"/>
                    </w:rPr>
                  </w:pPr>
                </w:p>
              </w:tc>
              <w:tc>
                <w:tcPr>
                  <w:tcW w:w="430" w:type="pct"/>
                  <w:vMerge w:val="continue"/>
                  <w:vAlign w:val="center"/>
                </w:tcPr>
                <w:p w14:paraId="5B391E76">
                  <w:pPr>
                    <w:pStyle w:val="26"/>
                    <w:spacing w:before="24" w:after="24" w:line="240" w:lineRule="exact"/>
                    <w:rPr>
                      <w:rFonts w:cs="Times New Roman"/>
                      <w:color w:val="auto"/>
                      <w:sz w:val="21"/>
                      <w:szCs w:val="21"/>
                    </w:rPr>
                  </w:pPr>
                </w:p>
              </w:tc>
              <w:tc>
                <w:tcPr>
                  <w:tcW w:w="365" w:type="pct"/>
                  <w:vMerge w:val="continue"/>
                  <w:vAlign w:val="center"/>
                </w:tcPr>
                <w:p w14:paraId="372A9289">
                  <w:pPr>
                    <w:pStyle w:val="26"/>
                    <w:spacing w:before="24" w:after="24" w:line="240" w:lineRule="exact"/>
                    <w:rPr>
                      <w:rFonts w:cs="Times New Roman"/>
                      <w:color w:val="auto"/>
                      <w:sz w:val="21"/>
                      <w:szCs w:val="21"/>
                    </w:rPr>
                  </w:pPr>
                </w:p>
              </w:tc>
              <w:tc>
                <w:tcPr>
                  <w:tcW w:w="275" w:type="pct"/>
                  <w:vMerge w:val="continue"/>
                  <w:vAlign w:val="center"/>
                </w:tcPr>
                <w:p w14:paraId="34E9C6E7">
                  <w:pPr>
                    <w:pStyle w:val="26"/>
                    <w:spacing w:before="24" w:after="24" w:line="240" w:lineRule="exact"/>
                    <w:rPr>
                      <w:rFonts w:cs="Times New Roman"/>
                      <w:color w:val="auto"/>
                      <w:sz w:val="21"/>
                      <w:szCs w:val="21"/>
                    </w:rPr>
                  </w:pPr>
                </w:p>
              </w:tc>
              <w:tc>
                <w:tcPr>
                  <w:tcW w:w="407" w:type="pct"/>
                  <w:vMerge w:val="continue"/>
                  <w:vAlign w:val="center"/>
                </w:tcPr>
                <w:p w14:paraId="618A5DF1">
                  <w:pPr>
                    <w:pStyle w:val="26"/>
                    <w:spacing w:before="24" w:after="24" w:line="240" w:lineRule="exact"/>
                    <w:rPr>
                      <w:rFonts w:cs="Times New Roman"/>
                      <w:color w:val="auto"/>
                      <w:sz w:val="21"/>
                      <w:szCs w:val="21"/>
                    </w:rPr>
                  </w:pPr>
                </w:p>
              </w:tc>
              <w:tc>
                <w:tcPr>
                  <w:tcW w:w="280" w:type="pct"/>
                  <w:vAlign w:val="center"/>
                </w:tcPr>
                <w:p w14:paraId="7D751AA1">
                  <w:pPr>
                    <w:pStyle w:val="26"/>
                    <w:spacing w:before="24" w:after="24" w:line="240" w:lineRule="exact"/>
                    <w:rPr>
                      <w:rFonts w:cs="Times New Roman"/>
                      <w:color w:val="auto"/>
                      <w:sz w:val="21"/>
                      <w:szCs w:val="21"/>
                    </w:rPr>
                  </w:pPr>
                  <w:r>
                    <w:rPr>
                      <w:rFonts w:cs="Times New Roman"/>
                      <w:color w:val="auto"/>
                      <w:sz w:val="21"/>
                      <w:szCs w:val="21"/>
                    </w:rPr>
                    <w:t>X</w:t>
                  </w:r>
                </w:p>
              </w:tc>
              <w:tc>
                <w:tcPr>
                  <w:tcW w:w="319" w:type="pct"/>
                  <w:vAlign w:val="center"/>
                </w:tcPr>
                <w:p w14:paraId="3897914F">
                  <w:pPr>
                    <w:pStyle w:val="26"/>
                    <w:spacing w:before="24" w:after="24" w:line="240" w:lineRule="exact"/>
                    <w:rPr>
                      <w:rFonts w:cs="Times New Roman"/>
                      <w:color w:val="auto"/>
                      <w:sz w:val="21"/>
                      <w:szCs w:val="21"/>
                    </w:rPr>
                  </w:pPr>
                  <w:r>
                    <w:rPr>
                      <w:rFonts w:cs="Times New Roman"/>
                      <w:color w:val="auto"/>
                      <w:sz w:val="21"/>
                      <w:szCs w:val="21"/>
                    </w:rPr>
                    <w:t>Y</w:t>
                  </w:r>
                </w:p>
              </w:tc>
              <w:tc>
                <w:tcPr>
                  <w:tcW w:w="263" w:type="pct"/>
                  <w:vAlign w:val="center"/>
                </w:tcPr>
                <w:p w14:paraId="14D0C0DE">
                  <w:pPr>
                    <w:pStyle w:val="26"/>
                    <w:spacing w:before="24" w:after="24" w:line="240" w:lineRule="exact"/>
                    <w:rPr>
                      <w:rFonts w:cs="Times New Roman"/>
                      <w:color w:val="auto"/>
                      <w:sz w:val="21"/>
                      <w:szCs w:val="21"/>
                    </w:rPr>
                  </w:pPr>
                  <w:r>
                    <w:rPr>
                      <w:rFonts w:cs="Times New Roman"/>
                      <w:color w:val="auto"/>
                      <w:sz w:val="21"/>
                      <w:szCs w:val="21"/>
                    </w:rPr>
                    <w:t>Z</w:t>
                  </w:r>
                </w:p>
              </w:tc>
              <w:tc>
                <w:tcPr>
                  <w:tcW w:w="209" w:type="pct"/>
                  <w:vMerge w:val="continue"/>
                  <w:vAlign w:val="center"/>
                </w:tcPr>
                <w:p w14:paraId="73E7C5CA">
                  <w:pPr>
                    <w:pStyle w:val="26"/>
                    <w:spacing w:before="24" w:after="24" w:line="240" w:lineRule="exact"/>
                    <w:rPr>
                      <w:rFonts w:cs="Times New Roman"/>
                      <w:color w:val="auto"/>
                      <w:sz w:val="21"/>
                      <w:szCs w:val="21"/>
                    </w:rPr>
                  </w:pPr>
                </w:p>
              </w:tc>
              <w:tc>
                <w:tcPr>
                  <w:tcW w:w="356" w:type="pct"/>
                  <w:vMerge w:val="continue"/>
                  <w:vAlign w:val="center"/>
                </w:tcPr>
                <w:p w14:paraId="094804C7">
                  <w:pPr>
                    <w:pStyle w:val="26"/>
                    <w:spacing w:before="24" w:after="24" w:line="240" w:lineRule="exact"/>
                    <w:rPr>
                      <w:rFonts w:cs="Times New Roman"/>
                      <w:color w:val="auto"/>
                      <w:sz w:val="21"/>
                      <w:szCs w:val="21"/>
                    </w:rPr>
                  </w:pPr>
                </w:p>
              </w:tc>
              <w:tc>
                <w:tcPr>
                  <w:tcW w:w="395" w:type="pct"/>
                  <w:vMerge w:val="continue"/>
                  <w:vAlign w:val="center"/>
                </w:tcPr>
                <w:p w14:paraId="50D3C856">
                  <w:pPr>
                    <w:pStyle w:val="26"/>
                    <w:spacing w:before="24" w:after="24" w:line="240" w:lineRule="exact"/>
                    <w:rPr>
                      <w:rFonts w:cs="Times New Roman"/>
                      <w:color w:val="auto"/>
                      <w:sz w:val="21"/>
                      <w:szCs w:val="21"/>
                    </w:rPr>
                  </w:pPr>
                </w:p>
              </w:tc>
              <w:tc>
                <w:tcPr>
                  <w:tcW w:w="295" w:type="pct"/>
                  <w:vMerge w:val="continue"/>
                  <w:vAlign w:val="center"/>
                </w:tcPr>
                <w:p w14:paraId="18AAA718">
                  <w:pPr>
                    <w:pStyle w:val="26"/>
                    <w:spacing w:before="24" w:after="24" w:line="240" w:lineRule="exact"/>
                    <w:rPr>
                      <w:rFonts w:cs="Times New Roman"/>
                      <w:color w:val="auto"/>
                      <w:sz w:val="21"/>
                      <w:szCs w:val="21"/>
                    </w:rPr>
                  </w:pPr>
                </w:p>
              </w:tc>
              <w:tc>
                <w:tcPr>
                  <w:tcW w:w="395" w:type="pct"/>
                  <w:vMerge w:val="continue"/>
                  <w:vAlign w:val="center"/>
                </w:tcPr>
                <w:p w14:paraId="0B5C025B">
                  <w:pPr>
                    <w:pStyle w:val="26"/>
                    <w:spacing w:before="24" w:after="24" w:line="240" w:lineRule="exact"/>
                    <w:rPr>
                      <w:rFonts w:cs="Times New Roman"/>
                      <w:color w:val="auto"/>
                      <w:sz w:val="21"/>
                      <w:szCs w:val="21"/>
                    </w:rPr>
                  </w:pPr>
                </w:p>
              </w:tc>
              <w:tc>
                <w:tcPr>
                  <w:tcW w:w="405" w:type="pct"/>
                  <w:vAlign w:val="center"/>
                </w:tcPr>
                <w:p w14:paraId="44709AC7">
                  <w:pPr>
                    <w:pStyle w:val="26"/>
                    <w:spacing w:before="24" w:after="24" w:line="240" w:lineRule="exact"/>
                    <w:rPr>
                      <w:rFonts w:cs="Times New Roman"/>
                      <w:color w:val="auto"/>
                      <w:sz w:val="21"/>
                      <w:szCs w:val="21"/>
                    </w:rPr>
                  </w:pPr>
                  <w:r>
                    <w:rPr>
                      <w:rFonts w:cs="Times New Roman"/>
                      <w:color w:val="auto"/>
                      <w:sz w:val="21"/>
                      <w:szCs w:val="21"/>
                    </w:rPr>
                    <w:t>声压级/dB(A)</w:t>
                  </w:r>
                </w:p>
              </w:tc>
              <w:tc>
                <w:tcPr>
                  <w:tcW w:w="358" w:type="pct"/>
                  <w:vAlign w:val="center"/>
                </w:tcPr>
                <w:p w14:paraId="61936EF2">
                  <w:pPr>
                    <w:pStyle w:val="26"/>
                    <w:spacing w:before="24" w:after="24" w:line="240" w:lineRule="exact"/>
                    <w:rPr>
                      <w:rFonts w:cs="Times New Roman"/>
                      <w:color w:val="auto"/>
                      <w:sz w:val="21"/>
                      <w:szCs w:val="21"/>
                    </w:rPr>
                  </w:pPr>
                  <w:r>
                    <w:rPr>
                      <w:rFonts w:cs="Times New Roman"/>
                      <w:color w:val="auto"/>
                      <w:sz w:val="21"/>
                      <w:szCs w:val="21"/>
                    </w:rPr>
                    <w:t>建筑物外距离</w:t>
                  </w:r>
                </w:p>
              </w:tc>
            </w:tr>
            <w:tr w14:paraId="4CF9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restart"/>
                  <w:vAlign w:val="center"/>
                </w:tcPr>
                <w:p w14:paraId="27B7C300">
                  <w:pPr>
                    <w:pStyle w:val="28"/>
                    <w:spacing w:line="240" w:lineRule="exact"/>
                    <w:rPr>
                      <w:sz w:val="21"/>
                    </w:rPr>
                  </w:pPr>
                  <w:bookmarkStart w:id="27" w:name="OLE_LINK68"/>
                  <w:bookmarkStart w:id="28" w:name="OLE_LINK67"/>
                  <w:r>
                    <w:rPr>
                      <w:sz w:val="21"/>
                    </w:rPr>
                    <w:t>生产车间</w:t>
                  </w:r>
                </w:p>
              </w:tc>
              <w:tc>
                <w:tcPr>
                  <w:tcW w:w="430" w:type="pct"/>
                  <w:vMerge w:val="restart"/>
                  <w:vAlign w:val="center"/>
                </w:tcPr>
                <w:p w14:paraId="54AB616C">
                  <w:pPr>
                    <w:pStyle w:val="28"/>
                    <w:spacing w:line="240" w:lineRule="exact"/>
                    <w:rPr>
                      <w:sz w:val="21"/>
                    </w:rPr>
                  </w:pPr>
                  <w:r>
                    <w:rPr>
                      <w:sz w:val="21"/>
                    </w:rPr>
                    <w:t>空压机1</w:t>
                  </w:r>
                </w:p>
              </w:tc>
              <w:tc>
                <w:tcPr>
                  <w:tcW w:w="365" w:type="pct"/>
                  <w:vMerge w:val="restart"/>
                  <w:vAlign w:val="center"/>
                </w:tcPr>
                <w:p w14:paraId="30C07648">
                  <w:pPr>
                    <w:spacing w:line="240" w:lineRule="exact"/>
                    <w:jc w:val="center"/>
                    <w:rPr>
                      <w:sz w:val="21"/>
                      <w:szCs w:val="21"/>
                    </w:rPr>
                  </w:pPr>
                  <w:r>
                    <w:rPr>
                      <w:sz w:val="21"/>
                      <w:szCs w:val="21"/>
                    </w:rPr>
                    <w:t>90</w:t>
                  </w:r>
                </w:p>
              </w:tc>
              <w:tc>
                <w:tcPr>
                  <w:tcW w:w="275" w:type="pct"/>
                  <w:vMerge w:val="restart"/>
                  <w:vAlign w:val="center"/>
                </w:tcPr>
                <w:p w14:paraId="77DE41A7">
                  <w:pPr>
                    <w:spacing w:line="240" w:lineRule="exact"/>
                    <w:jc w:val="center"/>
                    <w:rPr>
                      <w:sz w:val="21"/>
                      <w:szCs w:val="21"/>
                    </w:rPr>
                  </w:pPr>
                  <w:r>
                    <w:rPr>
                      <w:sz w:val="21"/>
                      <w:szCs w:val="21"/>
                    </w:rPr>
                    <w:t>1</w:t>
                  </w:r>
                </w:p>
              </w:tc>
              <w:tc>
                <w:tcPr>
                  <w:tcW w:w="407" w:type="pct"/>
                  <w:vMerge w:val="restart"/>
                  <w:vAlign w:val="center"/>
                </w:tcPr>
                <w:p w14:paraId="61C580F8">
                  <w:pPr>
                    <w:spacing w:line="240" w:lineRule="exact"/>
                    <w:jc w:val="center"/>
                    <w:rPr>
                      <w:kern w:val="0"/>
                      <w:sz w:val="21"/>
                      <w:szCs w:val="21"/>
                    </w:rPr>
                  </w:pPr>
                  <w:r>
                    <w:rPr>
                      <w:kern w:val="0"/>
                      <w:sz w:val="21"/>
                      <w:szCs w:val="21"/>
                    </w:rPr>
                    <w:t>基础减振、厂房隔声</w:t>
                  </w:r>
                </w:p>
              </w:tc>
              <w:tc>
                <w:tcPr>
                  <w:tcW w:w="280" w:type="pct"/>
                  <w:vMerge w:val="restart"/>
                  <w:vAlign w:val="center"/>
                </w:tcPr>
                <w:p w14:paraId="17AB1C47">
                  <w:pPr>
                    <w:spacing w:line="240" w:lineRule="exact"/>
                    <w:jc w:val="center"/>
                    <w:rPr>
                      <w:sz w:val="21"/>
                      <w:szCs w:val="21"/>
                    </w:rPr>
                  </w:pPr>
                  <w:r>
                    <w:rPr>
                      <w:sz w:val="21"/>
                      <w:szCs w:val="21"/>
                    </w:rPr>
                    <w:t>20</w:t>
                  </w:r>
                </w:p>
              </w:tc>
              <w:tc>
                <w:tcPr>
                  <w:tcW w:w="319" w:type="pct"/>
                  <w:vMerge w:val="restart"/>
                  <w:vAlign w:val="center"/>
                </w:tcPr>
                <w:p w14:paraId="1C39DC53">
                  <w:pPr>
                    <w:spacing w:line="240" w:lineRule="exact"/>
                    <w:jc w:val="center"/>
                    <w:rPr>
                      <w:sz w:val="21"/>
                      <w:szCs w:val="21"/>
                    </w:rPr>
                  </w:pPr>
                  <w:r>
                    <w:rPr>
                      <w:sz w:val="21"/>
                      <w:szCs w:val="21"/>
                    </w:rPr>
                    <w:t>-5</w:t>
                  </w:r>
                </w:p>
              </w:tc>
              <w:tc>
                <w:tcPr>
                  <w:tcW w:w="263" w:type="pct"/>
                  <w:vMerge w:val="restart"/>
                  <w:vAlign w:val="center"/>
                </w:tcPr>
                <w:p w14:paraId="47186C84">
                  <w:pPr>
                    <w:spacing w:line="240" w:lineRule="exact"/>
                    <w:jc w:val="center"/>
                    <w:rPr>
                      <w:sz w:val="21"/>
                      <w:szCs w:val="21"/>
                    </w:rPr>
                  </w:pPr>
                  <w:r>
                    <w:rPr>
                      <w:sz w:val="21"/>
                      <w:szCs w:val="21"/>
                    </w:rPr>
                    <w:t>1</w:t>
                  </w:r>
                </w:p>
              </w:tc>
              <w:tc>
                <w:tcPr>
                  <w:tcW w:w="209" w:type="pct"/>
                  <w:vAlign w:val="center"/>
                </w:tcPr>
                <w:p w14:paraId="22458EF0">
                  <w:pPr>
                    <w:spacing w:line="240" w:lineRule="exact"/>
                    <w:jc w:val="center"/>
                    <w:rPr>
                      <w:sz w:val="21"/>
                      <w:szCs w:val="21"/>
                    </w:rPr>
                  </w:pPr>
                  <w:r>
                    <w:rPr>
                      <w:sz w:val="21"/>
                      <w:szCs w:val="21"/>
                    </w:rPr>
                    <w:t>东</w:t>
                  </w:r>
                </w:p>
              </w:tc>
              <w:tc>
                <w:tcPr>
                  <w:tcW w:w="356" w:type="pct"/>
                  <w:vAlign w:val="center"/>
                </w:tcPr>
                <w:p w14:paraId="0AE2C593">
                  <w:pPr>
                    <w:spacing w:line="240" w:lineRule="exact"/>
                    <w:jc w:val="center"/>
                    <w:rPr>
                      <w:sz w:val="21"/>
                      <w:szCs w:val="21"/>
                    </w:rPr>
                  </w:pPr>
                  <w:r>
                    <w:rPr>
                      <w:sz w:val="21"/>
                      <w:szCs w:val="21"/>
                    </w:rPr>
                    <w:t>2</w:t>
                  </w:r>
                </w:p>
              </w:tc>
              <w:tc>
                <w:tcPr>
                  <w:tcW w:w="695" w:type="dxa"/>
                  <w:vAlign w:val="center"/>
                </w:tcPr>
                <w:p w14:paraId="0AB3798E">
                  <w:pPr>
                    <w:widowControl/>
                    <w:jc w:val="right"/>
                    <w:textAlignment w:val="center"/>
                    <w:rPr>
                      <w:sz w:val="21"/>
                      <w:szCs w:val="21"/>
                    </w:rPr>
                  </w:pPr>
                  <w:r>
                    <w:rPr>
                      <w:color w:val="000000"/>
                      <w:kern w:val="0"/>
                      <w:sz w:val="21"/>
                      <w:szCs w:val="21"/>
                      <w:lang w:bidi="ar"/>
                    </w:rPr>
                    <w:t xml:space="preserve">76.2 </w:t>
                  </w:r>
                </w:p>
              </w:tc>
              <w:tc>
                <w:tcPr>
                  <w:tcW w:w="295" w:type="pct"/>
                  <w:vMerge w:val="restart"/>
                  <w:vAlign w:val="center"/>
                </w:tcPr>
                <w:p w14:paraId="153832C6">
                  <w:pPr>
                    <w:pStyle w:val="28"/>
                    <w:spacing w:line="240" w:lineRule="exact"/>
                    <w:rPr>
                      <w:kern w:val="2"/>
                      <w:sz w:val="21"/>
                    </w:rPr>
                  </w:pPr>
                  <w:r>
                    <w:rPr>
                      <w:sz w:val="21"/>
                    </w:rPr>
                    <w:t>昼间6：00-22：00；夜间22：00-次日6：00</w:t>
                  </w:r>
                </w:p>
              </w:tc>
              <w:tc>
                <w:tcPr>
                  <w:tcW w:w="395" w:type="pct"/>
                  <w:vAlign w:val="center"/>
                </w:tcPr>
                <w:p w14:paraId="43AAA5BD">
                  <w:pPr>
                    <w:spacing w:line="240" w:lineRule="exact"/>
                    <w:jc w:val="center"/>
                    <w:rPr>
                      <w:sz w:val="21"/>
                      <w:szCs w:val="21"/>
                    </w:rPr>
                  </w:pPr>
                  <w:r>
                    <w:rPr>
                      <w:sz w:val="21"/>
                      <w:szCs w:val="21"/>
                    </w:rPr>
                    <w:t>25</w:t>
                  </w:r>
                </w:p>
              </w:tc>
              <w:tc>
                <w:tcPr>
                  <w:tcW w:w="713" w:type="dxa"/>
                  <w:vAlign w:val="center"/>
                </w:tcPr>
                <w:p w14:paraId="2AEBB765">
                  <w:pPr>
                    <w:widowControl/>
                    <w:jc w:val="right"/>
                    <w:textAlignment w:val="center"/>
                    <w:rPr>
                      <w:sz w:val="21"/>
                      <w:szCs w:val="21"/>
                      <w:highlight w:val="yellow"/>
                    </w:rPr>
                  </w:pPr>
                  <w:r>
                    <w:rPr>
                      <w:color w:val="000000"/>
                      <w:kern w:val="0"/>
                      <w:sz w:val="21"/>
                      <w:szCs w:val="21"/>
                      <w:lang w:bidi="ar"/>
                    </w:rPr>
                    <w:t xml:space="preserve">51.2 </w:t>
                  </w:r>
                </w:p>
              </w:tc>
              <w:tc>
                <w:tcPr>
                  <w:tcW w:w="358" w:type="pct"/>
                  <w:vAlign w:val="center"/>
                </w:tcPr>
                <w:p w14:paraId="7540D17C">
                  <w:pPr>
                    <w:spacing w:line="240" w:lineRule="exact"/>
                    <w:jc w:val="center"/>
                    <w:rPr>
                      <w:sz w:val="21"/>
                      <w:szCs w:val="21"/>
                    </w:rPr>
                  </w:pPr>
                  <w:r>
                    <w:rPr>
                      <w:sz w:val="21"/>
                      <w:szCs w:val="21"/>
                    </w:rPr>
                    <w:t>1m</w:t>
                  </w:r>
                </w:p>
              </w:tc>
            </w:tr>
            <w:bookmarkEnd w:id="27"/>
            <w:bookmarkEnd w:id="28"/>
            <w:tr w14:paraId="209F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08F58E03">
                  <w:pPr>
                    <w:pStyle w:val="28"/>
                    <w:spacing w:line="240" w:lineRule="exact"/>
                    <w:rPr>
                      <w:sz w:val="21"/>
                    </w:rPr>
                  </w:pPr>
                </w:p>
              </w:tc>
              <w:tc>
                <w:tcPr>
                  <w:tcW w:w="430" w:type="pct"/>
                  <w:vMerge w:val="continue"/>
                  <w:vAlign w:val="center"/>
                </w:tcPr>
                <w:p w14:paraId="3D9D9055">
                  <w:pPr>
                    <w:pStyle w:val="28"/>
                    <w:spacing w:line="240" w:lineRule="exact"/>
                    <w:rPr>
                      <w:sz w:val="21"/>
                    </w:rPr>
                  </w:pPr>
                </w:p>
              </w:tc>
              <w:tc>
                <w:tcPr>
                  <w:tcW w:w="365" w:type="pct"/>
                  <w:vMerge w:val="continue"/>
                  <w:vAlign w:val="center"/>
                </w:tcPr>
                <w:p w14:paraId="0C2A41AB">
                  <w:pPr>
                    <w:pStyle w:val="28"/>
                    <w:spacing w:line="240" w:lineRule="exact"/>
                    <w:rPr>
                      <w:sz w:val="21"/>
                    </w:rPr>
                  </w:pPr>
                </w:p>
              </w:tc>
              <w:tc>
                <w:tcPr>
                  <w:tcW w:w="275" w:type="pct"/>
                  <w:vMerge w:val="continue"/>
                  <w:vAlign w:val="center"/>
                </w:tcPr>
                <w:p w14:paraId="1513A481">
                  <w:pPr>
                    <w:pStyle w:val="28"/>
                    <w:spacing w:line="240" w:lineRule="exact"/>
                    <w:rPr>
                      <w:sz w:val="21"/>
                    </w:rPr>
                  </w:pPr>
                </w:p>
              </w:tc>
              <w:tc>
                <w:tcPr>
                  <w:tcW w:w="407" w:type="pct"/>
                  <w:vMerge w:val="continue"/>
                  <w:vAlign w:val="center"/>
                </w:tcPr>
                <w:p w14:paraId="55A693A8">
                  <w:pPr>
                    <w:spacing w:line="240" w:lineRule="exact"/>
                    <w:jc w:val="center"/>
                    <w:rPr>
                      <w:kern w:val="0"/>
                      <w:sz w:val="21"/>
                      <w:szCs w:val="21"/>
                    </w:rPr>
                  </w:pPr>
                </w:p>
              </w:tc>
              <w:tc>
                <w:tcPr>
                  <w:tcW w:w="280" w:type="pct"/>
                  <w:vMerge w:val="continue"/>
                  <w:vAlign w:val="center"/>
                </w:tcPr>
                <w:p w14:paraId="2A837595">
                  <w:pPr>
                    <w:spacing w:line="240" w:lineRule="exact"/>
                    <w:jc w:val="center"/>
                    <w:rPr>
                      <w:sz w:val="21"/>
                      <w:szCs w:val="21"/>
                    </w:rPr>
                  </w:pPr>
                </w:p>
              </w:tc>
              <w:tc>
                <w:tcPr>
                  <w:tcW w:w="319" w:type="pct"/>
                  <w:vMerge w:val="continue"/>
                  <w:vAlign w:val="center"/>
                </w:tcPr>
                <w:p w14:paraId="437CEC9C">
                  <w:pPr>
                    <w:spacing w:line="240" w:lineRule="exact"/>
                    <w:jc w:val="center"/>
                    <w:rPr>
                      <w:sz w:val="21"/>
                      <w:szCs w:val="21"/>
                    </w:rPr>
                  </w:pPr>
                </w:p>
              </w:tc>
              <w:tc>
                <w:tcPr>
                  <w:tcW w:w="263" w:type="pct"/>
                  <w:vMerge w:val="continue"/>
                  <w:vAlign w:val="center"/>
                </w:tcPr>
                <w:p w14:paraId="7A92755E">
                  <w:pPr>
                    <w:spacing w:line="240" w:lineRule="exact"/>
                    <w:jc w:val="center"/>
                    <w:rPr>
                      <w:sz w:val="21"/>
                      <w:szCs w:val="21"/>
                    </w:rPr>
                  </w:pPr>
                </w:p>
              </w:tc>
              <w:tc>
                <w:tcPr>
                  <w:tcW w:w="209" w:type="pct"/>
                  <w:vAlign w:val="center"/>
                </w:tcPr>
                <w:p w14:paraId="2046B950">
                  <w:pPr>
                    <w:spacing w:line="240" w:lineRule="exact"/>
                    <w:jc w:val="center"/>
                    <w:rPr>
                      <w:sz w:val="21"/>
                      <w:szCs w:val="21"/>
                    </w:rPr>
                  </w:pPr>
                  <w:r>
                    <w:rPr>
                      <w:sz w:val="21"/>
                      <w:szCs w:val="21"/>
                    </w:rPr>
                    <w:t>西</w:t>
                  </w:r>
                </w:p>
              </w:tc>
              <w:tc>
                <w:tcPr>
                  <w:tcW w:w="356" w:type="pct"/>
                  <w:vAlign w:val="center"/>
                </w:tcPr>
                <w:p w14:paraId="7E01EEBF">
                  <w:pPr>
                    <w:spacing w:line="240" w:lineRule="exact"/>
                    <w:jc w:val="center"/>
                    <w:rPr>
                      <w:sz w:val="21"/>
                      <w:szCs w:val="21"/>
                    </w:rPr>
                  </w:pPr>
                  <w:r>
                    <w:rPr>
                      <w:sz w:val="21"/>
                      <w:szCs w:val="21"/>
                    </w:rPr>
                    <w:t>25</w:t>
                  </w:r>
                </w:p>
              </w:tc>
              <w:tc>
                <w:tcPr>
                  <w:tcW w:w="695" w:type="dxa"/>
                  <w:vAlign w:val="center"/>
                </w:tcPr>
                <w:p w14:paraId="01B60160">
                  <w:pPr>
                    <w:widowControl/>
                    <w:jc w:val="right"/>
                    <w:textAlignment w:val="center"/>
                    <w:rPr>
                      <w:sz w:val="21"/>
                      <w:szCs w:val="21"/>
                    </w:rPr>
                  </w:pPr>
                  <w:r>
                    <w:rPr>
                      <w:color w:val="000000"/>
                      <w:kern w:val="0"/>
                      <w:sz w:val="21"/>
                      <w:szCs w:val="21"/>
                      <w:lang w:bidi="ar"/>
                    </w:rPr>
                    <w:t xml:space="preserve">62.2 </w:t>
                  </w:r>
                </w:p>
              </w:tc>
              <w:tc>
                <w:tcPr>
                  <w:tcW w:w="295" w:type="pct"/>
                  <w:vMerge w:val="continue"/>
                  <w:vAlign w:val="center"/>
                </w:tcPr>
                <w:p w14:paraId="7CB3490F">
                  <w:pPr>
                    <w:pStyle w:val="28"/>
                    <w:spacing w:line="240" w:lineRule="exact"/>
                    <w:rPr>
                      <w:kern w:val="2"/>
                      <w:sz w:val="21"/>
                    </w:rPr>
                  </w:pPr>
                </w:p>
              </w:tc>
              <w:tc>
                <w:tcPr>
                  <w:tcW w:w="395" w:type="pct"/>
                  <w:vAlign w:val="center"/>
                </w:tcPr>
                <w:p w14:paraId="6D43F0C9">
                  <w:pPr>
                    <w:spacing w:line="240" w:lineRule="exact"/>
                    <w:jc w:val="center"/>
                    <w:rPr>
                      <w:sz w:val="21"/>
                      <w:szCs w:val="21"/>
                    </w:rPr>
                  </w:pPr>
                  <w:r>
                    <w:rPr>
                      <w:sz w:val="21"/>
                      <w:szCs w:val="21"/>
                    </w:rPr>
                    <w:t>25</w:t>
                  </w:r>
                </w:p>
              </w:tc>
              <w:tc>
                <w:tcPr>
                  <w:tcW w:w="713" w:type="dxa"/>
                  <w:vAlign w:val="center"/>
                </w:tcPr>
                <w:p w14:paraId="5126919E">
                  <w:pPr>
                    <w:widowControl/>
                    <w:jc w:val="right"/>
                    <w:textAlignment w:val="center"/>
                    <w:rPr>
                      <w:sz w:val="21"/>
                      <w:szCs w:val="21"/>
                      <w:highlight w:val="yellow"/>
                    </w:rPr>
                  </w:pPr>
                  <w:r>
                    <w:rPr>
                      <w:color w:val="000000"/>
                      <w:kern w:val="0"/>
                      <w:sz w:val="21"/>
                      <w:szCs w:val="21"/>
                      <w:lang w:bidi="ar"/>
                    </w:rPr>
                    <w:t xml:space="preserve">37.2 </w:t>
                  </w:r>
                </w:p>
              </w:tc>
              <w:tc>
                <w:tcPr>
                  <w:tcW w:w="358" w:type="pct"/>
                  <w:vAlign w:val="center"/>
                </w:tcPr>
                <w:p w14:paraId="7F8CB02F">
                  <w:pPr>
                    <w:spacing w:line="240" w:lineRule="exact"/>
                    <w:jc w:val="center"/>
                    <w:rPr>
                      <w:sz w:val="21"/>
                      <w:szCs w:val="21"/>
                    </w:rPr>
                  </w:pPr>
                  <w:r>
                    <w:rPr>
                      <w:sz w:val="21"/>
                      <w:szCs w:val="21"/>
                    </w:rPr>
                    <w:t>1m</w:t>
                  </w:r>
                </w:p>
              </w:tc>
            </w:tr>
            <w:tr w14:paraId="2633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6CE21AB8">
                  <w:pPr>
                    <w:pStyle w:val="28"/>
                    <w:spacing w:line="240" w:lineRule="exact"/>
                    <w:rPr>
                      <w:sz w:val="21"/>
                    </w:rPr>
                  </w:pPr>
                </w:p>
              </w:tc>
              <w:tc>
                <w:tcPr>
                  <w:tcW w:w="430" w:type="pct"/>
                  <w:vMerge w:val="continue"/>
                  <w:vAlign w:val="center"/>
                </w:tcPr>
                <w:p w14:paraId="2F8DEBE4">
                  <w:pPr>
                    <w:pStyle w:val="28"/>
                    <w:spacing w:line="240" w:lineRule="exact"/>
                    <w:rPr>
                      <w:sz w:val="21"/>
                    </w:rPr>
                  </w:pPr>
                </w:p>
              </w:tc>
              <w:tc>
                <w:tcPr>
                  <w:tcW w:w="365" w:type="pct"/>
                  <w:vMerge w:val="continue"/>
                  <w:vAlign w:val="center"/>
                </w:tcPr>
                <w:p w14:paraId="36C6960D">
                  <w:pPr>
                    <w:pStyle w:val="28"/>
                    <w:spacing w:line="240" w:lineRule="exact"/>
                    <w:rPr>
                      <w:sz w:val="21"/>
                    </w:rPr>
                  </w:pPr>
                </w:p>
              </w:tc>
              <w:tc>
                <w:tcPr>
                  <w:tcW w:w="275" w:type="pct"/>
                  <w:vMerge w:val="continue"/>
                  <w:vAlign w:val="center"/>
                </w:tcPr>
                <w:p w14:paraId="37635F9A">
                  <w:pPr>
                    <w:pStyle w:val="28"/>
                    <w:spacing w:line="240" w:lineRule="exact"/>
                    <w:rPr>
                      <w:sz w:val="21"/>
                    </w:rPr>
                  </w:pPr>
                </w:p>
              </w:tc>
              <w:tc>
                <w:tcPr>
                  <w:tcW w:w="407" w:type="pct"/>
                  <w:vMerge w:val="continue"/>
                  <w:vAlign w:val="center"/>
                </w:tcPr>
                <w:p w14:paraId="6189315A">
                  <w:pPr>
                    <w:spacing w:line="240" w:lineRule="exact"/>
                    <w:jc w:val="center"/>
                    <w:rPr>
                      <w:kern w:val="0"/>
                      <w:sz w:val="21"/>
                      <w:szCs w:val="21"/>
                    </w:rPr>
                  </w:pPr>
                </w:p>
              </w:tc>
              <w:tc>
                <w:tcPr>
                  <w:tcW w:w="280" w:type="pct"/>
                  <w:vMerge w:val="continue"/>
                  <w:vAlign w:val="center"/>
                </w:tcPr>
                <w:p w14:paraId="4367412F">
                  <w:pPr>
                    <w:spacing w:line="240" w:lineRule="exact"/>
                    <w:jc w:val="center"/>
                    <w:rPr>
                      <w:sz w:val="21"/>
                      <w:szCs w:val="21"/>
                    </w:rPr>
                  </w:pPr>
                </w:p>
              </w:tc>
              <w:tc>
                <w:tcPr>
                  <w:tcW w:w="319" w:type="pct"/>
                  <w:vMerge w:val="continue"/>
                  <w:vAlign w:val="center"/>
                </w:tcPr>
                <w:p w14:paraId="489B7D9B">
                  <w:pPr>
                    <w:spacing w:line="240" w:lineRule="exact"/>
                    <w:jc w:val="center"/>
                    <w:rPr>
                      <w:sz w:val="21"/>
                      <w:szCs w:val="21"/>
                    </w:rPr>
                  </w:pPr>
                </w:p>
              </w:tc>
              <w:tc>
                <w:tcPr>
                  <w:tcW w:w="263" w:type="pct"/>
                  <w:vMerge w:val="continue"/>
                  <w:vAlign w:val="center"/>
                </w:tcPr>
                <w:p w14:paraId="6E4B40D8">
                  <w:pPr>
                    <w:spacing w:line="240" w:lineRule="exact"/>
                    <w:jc w:val="center"/>
                    <w:rPr>
                      <w:sz w:val="21"/>
                      <w:szCs w:val="21"/>
                    </w:rPr>
                  </w:pPr>
                </w:p>
              </w:tc>
              <w:tc>
                <w:tcPr>
                  <w:tcW w:w="209" w:type="pct"/>
                  <w:vAlign w:val="center"/>
                </w:tcPr>
                <w:p w14:paraId="3FC700B0">
                  <w:pPr>
                    <w:spacing w:line="240" w:lineRule="exact"/>
                    <w:jc w:val="center"/>
                    <w:rPr>
                      <w:sz w:val="21"/>
                      <w:szCs w:val="21"/>
                    </w:rPr>
                  </w:pPr>
                  <w:r>
                    <w:rPr>
                      <w:sz w:val="21"/>
                      <w:szCs w:val="21"/>
                    </w:rPr>
                    <w:t>南</w:t>
                  </w:r>
                </w:p>
              </w:tc>
              <w:tc>
                <w:tcPr>
                  <w:tcW w:w="356" w:type="pct"/>
                  <w:vAlign w:val="center"/>
                </w:tcPr>
                <w:p w14:paraId="60197E4D">
                  <w:pPr>
                    <w:spacing w:line="240" w:lineRule="exact"/>
                    <w:jc w:val="center"/>
                    <w:rPr>
                      <w:sz w:val="21"/>
                      <w:szCs w:val="21"/>
                    </w:rPr>
                  </w:pPr>
                  <w:r>
                    <w:rPr>
                      <w:sz w:val="21"/>
                      <w:szCs w:val="21"/>
                    </w:rPr>
                    <w:t>4.5</w:t>
                  </w:r>
                </w:p>
              </w:tc>
              <w:tc>
                <w:tcPr>
                  <w:tcW w:w="695" w:type="dxa"/>
                  <w:vAlign w:val="center"/>
                </w:tcPr>
                <w:p w14:paraId="234DC716">
                  <w:pPr>
                    <w:widowControl/>
                    <w:jc w:val="right"/>
                    <w:textAlignment w:val="center"/>
                    <w:rPr>
                      <w:sz w:val="21"/>
                      <w:szCs w:val="21"/>
                    </w:rPr>
                  </w:pPr>
                  <w:r>
                    <w:rPr>
                      <w:color w:val="000000"/>
                      <w:kern w:val="0"/>
                      <w:sz w:val="21"/>
                      <w:szCs w:val="21"/>
                      <w:lang w:bidi="ar"/>
                    </w:rPr>
                    <w:t xml:space="preserve">69.7 </w:t>
                  </w:r>
                </w:p>
              </w:tc>
              <w:tc>
                <w:tcPr>
                  <w:tcW w:w="295" w:type="pct"/>
                  <w:vMerge w:val="continue"/>
                  <w:vAlign w:val="center"/>
                </w:tcPr>
                <w:p w14:paraId="2C3E6C9D">
                  <w:pPr>
                    <w:pStyle w:val="28"/>
                    <w:spacing w:line="240" w:lineRule="exact"/>
                    <w:rPr>
                      <w:kern w:val="2"/>
                      <w:sz w:val="21"/>
                    </w:rPr>
                  </w:pPr>
                </w:p>
              </w:tc>
              <w:tc>
                <w:tcPr>
                  <w:tcW w:w="395" w:type="pct"/>
                  <w:vAlign w:val="center"/>
                </w:tcPr>
                <w:p w14:paraId="2FFE0545">
                  <w:pPr>
                    <w:spacing w:line="240" w:lineRule="exact"/>
                    <w:jc w:val="center"/>
                    <w:rPr>
                      <w:sz w:val="21"/>
                      <w:szCs w:val="21"/>
                    </w:rPr>
                  </w:pPr>
                  <w:r>
                    <w:rPr>
                      <w:sz w:val="21"/>
                      <w:szCs w:val="21"/>
                    </w:rPr>
                    <w:t>25</w:t>
                  </w:r>
                </w:p>
              </w:tc>
              <w:tc>
                <w:tcPr>
                  <w:tcW w:w="713" w:type="dxa"/>
                  <w:vAlign w:val="center"/>
                </w:tcPr>
                <w:p w14:paraId="2DFCCDBF">
                  <w:pPr>
                    <w:widowControl/>
                    <w:jc w:val="right"/>
                    <w:textAlignment w:val="center"/>
                    <w:rPr>
                      <w:sz w:val="21"/>
                      <w:szCs w:val="21"/>
                      <w:highlight w:val="yellow"/>
                    </w:rPr>
                  </w:pPr>
                  <w:r>
                    <w:rPr>
                      <w:color w:val="000000"/>
                      <w:kern w:val="0"/>
                      <w:sz w:val="21"/>
                      <w:szCs w:val="21"/>
                      <w:lang w:bidi="ar"/>
                    </w:rPr>
                    <w:t xml:space="preserve">44.7 </w:t>
                  </w:r>
                </w:p>
              </w:tc>
              <w:tc>
                <w:tcPr>
                  <w:tcW w:w="358" w:type="pct"/>
                  <w:vAlign w:val="center"/>
                </w:tcPr>
                <w:p w14:paraId="0EE3441B">
                  <w:pPr>
                    <w:spacing w:line="240" w:lineRule="exact"/>
                    <w:jc w:val="center"/>
                    <w:rPr>
                      <w:sz w:val="21"/>
                      <w:szCs w:val="21"/>
                    </w:rPr>
                  </w:pPr>
                  <w:r>
                    <w:rPr>
                      <w:sz w:val="21"/>
                      <w:szCs w:val="21"/>
                    </w:rPr>
                    <w:t>1m</w:t>
                  </w:r>
                </w:p>
              </w:tc>
            </w:tr>
            <w:tr w14:paraId="22F7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22771041">
                  <w:pPr>
                    <w:pStyle w:val="28"/>
                    <w:spacing w:line="240" w:lineRule="exact"/>
                    <w:rPr>
                      <w:sz w:val="21"/>
                    </w:rPr>
                  </w:pPr>
                </w:p>
              </w:tc>
              <w:tc>
                <w:tcPr>
                  <w:tcW w:w="430" w:type="pct"/>
                  <w:vMerge w:val="continue"/>
                  <w:vAlign w:val="center"/>
                </w:tcPr>
                <w:p w14:paraId="2701ED6F">
                  <w:pPr>
                    <w:pStyle w:val="28"/>
                    <w:spacing w:line="240" w:lineRule="exact"/>
                    <w:rPr>
                      <w:sz w:val="21"/>
                    </w:rPr>
                  </w:pPr>
                </w:p>
              </w:tc>
              <w:tc>
                <w:tcPr>
                  <w:tcW w:w="365" w:type="pct"/>
                  <w:vMerge w:val="continue"/>
                  <w:vAlign w:val="center"/>
                </w:tcPr>
                <w:p w14:paraId="2338E76F">
                  <w:pPr>
                    <w:pStyle w:val="28"/>
                    <w:spacing w:line="240" w:lineRule="exact"/>
                    <w:rPr>
                      <w:sz w:val="21"/>
                    </w:rPr>
                  </w:pPr>
                </w:p>
              </w:tc>
              <w:tc>
                <w:tcPr>
                  <w:tcW w:w="275" w:type="pct"/>
                  <w:vMerge w:val="continue"/>
                  <w:vAlign w:val="center"/>
                </w:tcPr>
                <w:p w14:paraId="73445346">
                  <w:pPr>
                    <w:pStyle w:val="28"/>
                    <w:spacing w:line="240" w:lineRule="exact"/>
                    <w:rPr>
                      <w:sz w:val="21"/>
                    </w:rPr>
                  </w:pPr>
                </w:p>
              </w:tc>
              <w:tc>
                <w:tcPr>
                  <w:tcW w:w="407" w:type="pct"/>
                  <w:vMerge w:val="continue"/>
                  <w:vAlign w:val="center"/>
                </w:tcPr>
                <w:p w14:paraId="4E3D7E4B">
                  <w:pPr>
                    <w:spacing w:line="240" w:lineRule="exact"/>
                    <w:jc w:val="center"/>
                    <w:rPr>
                      <w:kern w:val="0"/>
                      <w:sz w:val="21"/>
                      <w:szCs w:val="21"/>
                    </w:rPr>
                  </w:pPr>
                </w:p>
              </w:tc>
              <w:tc>
                <w:tcPr>
                  <w:tcW w:w="280" w:type="pct"/>
                  <w:vMerge w:val="continue"/>
                  <w:vAlign w:val="center"/>
                </w:tcPr>
                <w:p w14:paraId="321ACB02">
                  <w:pPr>
                    <w:spacing w:line="240" w:lineRule="exact"/>
                    <w:jc w:val="center"/>
                    <w:rPr>
                      <w:sz w:val="21"/>
                      <w:szCs w:val="21"/>
                    </w:rPr>
                  </w:pPr>
                </w:p>
              </w:tc>
              <w:tc>
                <w:tcPr>
                  <w:tcW w:w="319" w:type="pct"/>
                  <w:vMerge w:val="continue"/>
                  <w:vAlign w:val="center"/>
                </w:tcPr>
                <w:p w14:paraId="53C55FCD">
                  <w:pPr>
                    <w:spacing w:line="240" w:lineRule="exact"/>
                    <w:jc w:val="center"/>
                    <w:rPr>
                      <w:sz w:val="21"/>
                      <w:szCs w:val="21"/>
                    </w:rPr>
                  </w:pPr>
                </w:p>
              </w:tc>
              <w:tc>
                <w:tcPr>
                  <w:tcW w:w="263" w:type="pct"/>
                  <w:vMerge w:val="continue"/>
                  <w:vAlign w:val="center"/>
                </w:tcPr>
                <w:p w14:paraId="0B0FFE22">
                  <w:pPr>
                    <w:spacing w:line="240" w:lineRule="exact"/>
                    <w:jc w:val="center"/>
                    <w:rPr>
                      <w:sz w:val="21"/>
                      <w:szCs w:val="21"/>
                    </w:rPr>
                  </w:pPr>
                </w:p>
              </w:tc>
              <w:tc>
                <w:tcPr>
                  <w:tcW w:w="209" w:type="pct"/>
                  <w:vAlign w:val="center"/>
                </w:tcPr>
                <w:p w14:paraId="52ED5B90">
                  <w:pPr>
                    <w:spacing w:line="240" w:lineRule="exact"/>
                    <w:jc w:val="center"/>
                    <w:rPr>
                      <w:sz w:val="21"/>
                      <w:szCs w:val="21"/>
                    </w:rPr>
                  </w:pPr>
                  <w:r>
                    <w:rPr>
                      <w:sz w:val="21"/>
                      <w:szCs w:val="21"/>
                    </w:rPr>
                    <w:t>北</w:t>
                  </w:r>
                </w:p>
              </w:tc>
              <w:tc>
                <w:tcPr>
                  <w:tcW w:w="356" w:type="pct"/>
                  <w:vAlign w:val="center"/>
                </w:tcPr>
                <w:p w14:paraId="6DAA624E">
                  <w:pPr>
                    <w:spacing w:line="240" w:lineRule="exact"/>
                    <w:jc w:val="center"/>
                    <w:rPr>
                      <w:sz w:val="21"/>
                      <w:szCs w:val="21"/>
                    </w:rPr>
                  </w:pPr>
                  <w:r>
                    <w:rPr>
                      <w:sz w:val="21"/>
                      <w:szCs w:val="21"/>
                    </w:rPr>
                    <w:t>25</w:t>
                  </w:r>
                </w:p>
              </w:tc>
              <w:tc>
                <w:tcPr>
                  <w:tcW w:w="695" w:type="dxa"/>
                  <w:vAlign w:val="center"/>
                </w:tcPr>
                <w:p w14:paraId="0A750AC4">
                  <w:pPr>
                    <w:widowControl/>
                    <w:jc w:val="right"/>
                    <w:textAlignment w:val="center"/>
                    <w:rPr>
                      <w:sz w:val="21"/>
                      <w:szCs w:val="21"/>
                    </w:rPr>
                  </w:pPr>
                  <w:r>
                    <w:rPr>
                      <w:color w:val="000000"/>
                      <w:kern w:val="0"/>
                      <w:sz w:val="21"/>
                      <w:szCs w:val="21"/>
                      <w:lang w:bidi="ar"/>
                    </w:rPr>
                    <w:t xml:space="preserve">62.2 </w:t>
                  </w:r>
                </w:p>
              </w:tc>
              <w:tc>
                <w:tcPr>
                  <w:tcW w:w="295" w:type="pct"/>
                  <w:vMerge w:val="continue"/>
                  <w:vAlign w:val="center"/>
                </w:tcPr>
                <w:p w14:paraId="49760B85">
                  <w:pPr>
                    <w:pStyle w:val="28"/>
                    <w:spacing w:line="240" w:lineRule="exact"/>
                    <w:rPr>
                      <w:kern w:val="2"/>
                      <w:sz w:val="21"/>
                    </w:rPr>
                  </w:pPr>
                </w:p>
              </w:tc>
              <w:tc>
                <w:tcPr>
                  <w:tcW w:w="395" w:type="pct"/>
                  <w:vAlign w:val="center"/>
                </w:tcPr>
                <w:p w14:paraId="2D6F2ACF">
                  <w:pPr>
                    <w:spacing w:line="240" w:lineRule="exact"/>
                    <w:jc w:val="center"/>
                    <w:rPr>
                      <w:sz w:val="21"/>
                      <w:szCs w:val="21"/>
                    </w:rPr>
                  </w:pPr>
                  <w:r>
                    <w:rPr>
                      <w:sz w:val="21"/>
                      <w:szCs w:val="21"/>
                    </w:rPr>
                    <w:t>25</w:t>
                  </w:r>
                </w:p>
              </w:tc>
              <w:tc>
                <w:tcPr>
                  <w:tcW w:w="713" w:type="dxa"/>
                  <w:vAlign w:val="center"/>
                </w:tcPr>
                <w:p w14:paraId="356CDD9D">
                  <w:pPr>
                    <w:widowControl/>
                    <w:jc w:val="right"/>
                    <w:textAlignment w:val="center"/>
                    <w:rPr>
                      <w:sz w:val="21"/>
                      <w:szCs w:val="21"/>
                      <w:highlight w:val="yellow"/>
                    </w:rPr>
                  </w:pPr>
                  <w:r>
                    <w:rPr>
                      <w:color w:val="000000"/>
                      <w:kern w:val="0"/>
                      <w:sz w:val="21"/>
                      <w:szCs w:val="21"/>
                      <w:lang w:bidi="ar"/>
                    </w:rPr>
                    <w:t xml:space="preserve">37.2 </w:t>
                  </w:r>
                </w:p>
              </w:tc>
              <w:tc>
                <w:tcPr>
                  <w:tcW w:w="358" w:type="pct"/>
                  <w:vAlign w:val="center"/>
                </w:tcPr>
                <w:p w14:paraId="7110EB5A">
                  <w:pPr>
                    <w:spacing w:line="240" w:lineRule="exact"/>
                    <w:jc w:val="center"/>
                    <w:rPr>
                      <w:sz w:val="21"/>
                      <w:szCs w:val="21"/>
                    </w:rPr>
                  </w:pPr>
                  <w:r>
                    <w:rPr>
                      <w:sz w:val="21"/>
                      <w:szCs w:val="21"/>
                    </w:rPr>
                    <w:t>1m</w:t>
                  </w:r>
                </w:p>
              </w:tc>
            </w:tr>
            <w:tr w14:paraId="3FAA9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6283B70C">
                  <w:pPr>
                    <w:pStyle w:val="28"/>
                    <w:spacing w:line="240" w:lineRule="exact"/>
                    <w:rPr>
                      <w:sz w:val="21"/>
                    </w:rPr>
                  </w:pPr>
                </w:p>
              </w:tc>
              <w:tc>
                <w:tcPr>
                  <w:tcW w:w="430" w:type="pct"/>
                  <w:vMerge w:val="restart"/>
                  <w:vAlign w:val="center"/>
                </w:tcPr>
                <w:p w14:paraId="0D69D0C9">
                  <w:pPr>
                    <w:pStyle w:val="28"/>
                    <w:spacing w:line="240" w:lineRule="exact"/>
                    <w:rPr>
                      <w:sz w:val="21"/>
                    </w:rPr>
                  </w:pPr>
                  <w:r>
                    <w:rPr>
                      <w:sz w:val="21"/>
                    </w:rPr>
                    <w:t>空压机2</w:t>
                  </w:r>
                </w:p>
              </w:tc>
              <w:tc>
                <w:tcPr>
                  <w:tcW w:w="365" w:type="pct"/>
                  <w:vMerge w:val="restart"/>
                  <w:vAlign w:val="center"/>
                </w:tcPr>
                <w:p w14:paraId="4750E549">
                  <w:pPr>
                    <w:pStyle w:val="28"/>
                    <w:spacing w:line="240" w:lineRule="exact"/>
                    <w:rPr>
                      <w:sz w:val="21"/>
                    </w:rPr>
                  </w:pPr>
                  <w:r>
                    <w:rPr>
                      <w:sz w:val="21"/>
                    </w:rPr>
                    <w:t>90</w:t>
                  </w:r>
                </w:p>
              </w:tc>
              <w:tc>
                <w:tcPr>
                  <w:tcW w:w="275" w:type="pct"/>
                  <w:vMerge w:val="restart"/>
                  <w:vAlign w:val="center"/>
                </w:tcPr>
                <w:p w14:paraId="00B693FE">
                  <w:pPr>
                    <w:pStyle w:val="28"/>
                    <w:spacing w:line="240" w:lineRule="exact"/>
                    <w:rPr>
                      <w:sz w:val="21"/>
                    </w:rPr>
                  </w:pPr>
                  <w:r>
                    <w:rPr>
                      <w:sz w:val="21"/>
                    </w:rPr>
                    <w:t>1</w:t>
                  </w:r>
                </w:p>
              </w:tc>
              <w:tc>
                <w:tcPr>
                  <w:tcW w:w="407" w:type="pct"/>
                  <w:vMerge w:val="restart"/>
                  <w:vAlign w:val="center"/>
                </w:tcPr>
                <w:p w14:paraId="1A1D5BD3">
                  <w:pPr>
                    <w:spacing w:line="240" w:lineRule="exact"/>
                    <w:jc w:val="center"/>
                    <w:rPr>
                      <w:kern w:val="0"/>
                      <w:sz w:val="21"/>
                      <w:szCs w:val="21"/>
                    </w:rPr>
                  </w:pPr>
                  <w:r>
                    <w:rPr>
                      <w:kern w:val="0"/>
                      <w:sz w:val="21"/>
                      <w:szCs w:val="21"/>
                    </w:rPr>
                    <w:t>基础减振、厂房隔</w:t>
                  </w:r>
                </w:p>
              </w:tc>
              <w:tc>
                <w:tcPr>
                  <w:tcW w:w="280" w:type="pct"/>
                  <w:vMerge w:val="restart"/>
                  <w:vAlign w:val="center"/>
                </w:tcPr>
                <w:p w14:paraId="649DFB30">
                  <w:pPr>
                    <w:spacing w:line="240" w:lineRule="exact"/>
                    <w:jc w:val="center"/>
                    <w:rPr>
                      <w:sz w:val="21"/>
                      <w:szCs w:val="21"/>
                    </w:rPr>
                  </w:pPr>
                  <w:r>
                    <w:rPr>
                      <w:sz w:val="21"/>
                      <w:szCs w:val="21"/>
                    </w:rPr>
                    <w:t>16</w:t>
                  </w:r>
                </w:p>
              </w:tc>
              <w:tc>
                <w:tcPr>
                  <w:tcW w:w="319" w:type="pct"/>
                  <w:vMerge w:val="restart"/>
                  <w:vAlign w:val="center"/>
                </w:tcPr>
                <w:p w14:paraId="2ABA4FCB">
                  <w:pPr>
                    <w:spacing w:line="240" w:lineRule="exact"/>
                    <w:jc w:val="center"/>
                    <w:rPr>
                      <w:sz w:val="21"/>
                      <w:szCs w:val="21"/>
                    </w:rPr>
                  </w:pPr>
                  <w:r>
                    <w:rPr>
                      <w:sz w:val="21"/>
                      <w:szCs w:val="21"/>
                    </w:rPr>
                    <w:t>-4</w:t>
                  </w:r>
                </w:p>
              </w:tc>
              <w:tc>
                <w:tcPr>
                  <w:tcW w:w="263" w:type="pct"/>
                  <w:vMerge w:val="restart"/>
                  <w:vAlign w:val="center"/>
                </w:tcPr>
                <w:p w14:paraId="767196C2">
                  <w:pPr>
                    <w:spacing w:line="240" w:lineRule="exact"/>
                    <w:jc w:val="center"/>
                    <w:rPr>
                      <w:sz w:val="21"/>
                      <w:szCs w:val="21"/>
                    </w:rPr>
                  </w:pPr>
                  <w:r>
                    <w:rPr>
                      <w:sz w:val="21"/>
                      <w:szCs w:val="21"/>
                    </w:rPr>
                    <w:t>1</w:t>
                  </w:r>
                </w:p>
              </w:tc>
              <w:tc>
                <w:tcPr>
                  <w:tcW w:w="368" w:type="dxa"/>
                  <w:vAlign w:val="center"/>
                </w:tcPr>
                <w:p w14:paraId="43D6E398">
                  <w:pPr>
                    <w:spacing w:line="240" w:lineRule="exact"/>
                    <w:jc w:val="center"/>
                    <w:rPr>
                      <w:sz w:val="21"/>
                      <w:szCs w:val="21"/>
                    </w:rPr>
                  </w:pPr>
                  <w:r>
                    <w:rPr>
                      <w:sz w:val="21"/>
                      <w:szCs w:val="21"/>
                    </w:rPr>
                    <w:t>东</w:t>
                  </w:r>
                </w:p>
              </w:tc>
              <w:tc>
                <w:tcPr>
                  <w:tcW w:w="356" w:type="pct"/>
                  <w:vAlign w:val="center"/>
                </w:tcPr>
                <w:p w14:paraId="4BC0E235">
                  <w:pPr>
                    <w:spacing w:line="240" w:lineRule="exact"/>
                    <w:jc w:val="center"/>
                    <w:rPr>
                      <w:sz w:val="21"/>
                      <w:szCs w:val="21"/>
                    </w:rPr>
                  </w:pPr>
                  <w:r>
                    <w:rPr>
                      <w:sz w:val="21"/>
                      <w:szCs w:val="21"/>
                    </w:rPr>
                    <w:t>4</w:t>
                  </w:r>
                </w:p>
              </w:tc>
              <w:tc>
                <w:tcPr>
                  <w:tcW w:w="695" w:type="dxa"/>
                  <w:vAlign w:val="center"/>
                </w:tcPr>
                <w:p w14:paraId="7DBBA88E">
                  <w:pPr>
                    <w:widowControl/>
                    <w:jc w:val="right"/>
                    <w:textAlignment w:val="center"/>
                    <w:rPr>
                      <w:sz w:val="21"/>
                      <w:szCs w:val="21"/>
                    </w:rPr>
                  </w:pPr>
                  <w:r>
                    <w:rPr>
                      <w:color w:val="000000"/>
                      <w:kern w:val="0"/>
                      <w:sz w:val="21"/>
                      <w:szCs w:val="21"/>
                      <w:lang w:bidi="ar"/>
                    </w:rPr>
                    <w:t xml:space="preserve">70.6 </w:t>
                  </w:r>
                </w:p>
              </w:tc>
              <w:tc>
                <w:tcPr>
                  <w:tcW w:w="295" w:type="pct"/>
                  <w:vMerge w:val="continue"/>
                  <w:vAlign w:val="center"/>
                </w:tcPr>
                <w:p w14:paraId="45D2E442">
                  <w:pPr>
                    <w:pStyle w:val="28"/>
                    <w:spacing w:line="240" w:lineRule="exact"/>
                    <w:rPr>
                      <w:kern w:val="2"/>
                      <w:sz w:val="21"/>
                    </w:rPr>
                  </w:pPr>
                </w:p>
              </w:tc>
              <w:tc>
                <w:tcPr>
                  <w:tcW w:w="695" w:type="dxa"/>
                  <w:vAlign w:val="center"/>
                </w:tcPr>
                <w:p w14:paraId="04C29E1D">
                  <w:pPr>
                    <w:spacing w:line="240" w:lineRule="exact"/>
                    <w:jc w:val="center"/>
                    <w:rPr>
                      <w:sz w:val="21"/>
                      <w:szCs w:val="21"/>
                    </w:rPr>
                  </w:pPr>
                  <w:r>
                    <w:rPr>
                      <w:sz w:val="21"/>
                      <w:szCs w:val="21"/>
                    </w:rPr>
                    <w:t>25</w:t>
                  </w:r>
                </w:p>
              </w:tc>
              <w:tc>
                <w:tcPr>
                  <w:tcW w:w="713" w:type="dxa"/>
                  <w:vAlign w:val="center"/>
                </w:tcPr>
                <w:p w14:paraId="61162D36">
                  <w:pPr>
                    <w:widowControl/>
                    <w:jc w:val="right"/>
                    <w:textAlignment w:val="center"/>
                    <w:rPr>
                      <w:sz w:val="21"/>
                      <w:szCs w:val="21"/>
                    </w:rPr>
                  </w:pPr>
                  <w:r>
                    <w:rPr>
                      <w:color w:val="000000"/>
                      <w:kern w:val="0"/>
                      <w:sz w:val="21"/>
                      <w:szCs w:val="21"/>
                      <w:lang w:bidi="ar"/>
                    </w:rPr>
                    <w:t xml:space="preserve">45.6 </w:t>
                  </w:r>
                </w:p>
              </w:tc>
              <w:tc>
                <w:tcPr>
                  <w:tcW w:w="630" w:type="dxa"/>
                  <w:vAlign w:val="center"/>
                </w:tcPr>
                <w:p w14:paraId="37116671">
                  <w:pPr>
                    <w:spacing w:line="240" w:lineRule="exact"/>
                    <w:jc w:val="center"/>
                    <w:rPr>
                      <w:sz w:val="21"/>
                      <w:szCs w:val="21"/>
                    </w:rPr>
                  </w:pPr>
                  <w:r>
                    <w:rPr>
                      <w:sz w:val="21"/>
                      <w:szCs w:val="21"/>
                    </w:rPr>
                    <w:t>1m</w:t>
                  </w:r>
                </w:p>
              </w:tc>
            </w:tr>
            <w:tr w14:paraId="060F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16084407">
                  <w:pPr>
                    <w:pStyle w:val="28"/>
                    <w:spacing w:line="240" w:lineRule="exact"/>
                    <w:rPr>
                      <w:sz w:val="21"/>
                    </w:rPr>
                  </w:pPr>
                </w:p>
              </w:tc>
              <w:tc>
                <w:tcPr>
                  <w:tcW w:w="430" w:type="pct"/>
                  <w:vMerge w:val="continue"/>
                  <w:vAlign w:val="center"/>
                </w:tcPr>
                <w:p w14:paraId="29CA7AB3">
                  <w:pPr>
                    <w:pStyle w:val="28"/>
                    <w:spacing w:line="240" w:lineRule="exact"/>
                    <w:rPr>
                      <w:sz w:val="21"/>
                    </w:rPr>
                  </w:pPr>
                </w:p>
              </w:tc>
              <w:tc>
                <w:tcPr>
                  <w:tcW w:w="365" w:type="pct"/>
                  <w:vMerge w:val="continue"/>
                  <w:vAlign w:val="center"/>
                </w:tcPr>
                <w:p w14:paraId="2A536EE8">
                  <w:pPr>
                    <w:pStyle w:val="28"/>
                    <w:spacing w:line="240" w:lineRule="exact"/>
                    <w:rPr>
                      <w:sz w:val="21"/>
                    </w:rPr>
                  </w:pPr>
                </w:p>
              </w:tc>
              <w:tc>
                <w:tcPr>
                  <w:tcW w:w="275" w:type="pct"/>
                  <w:vMerge w:val="continue"/>
                  <w:vAlign w:val="center"/>
                </w:tcPr>
                <w:p w14:paraId="3A6470A8">
                  <w:pPr>
                    <w:pStyle w:val="28"/>
                    <w:spacing w:line="240" w:lineRule="exact"/>
                    <w:rPr>
                      <w:sz w:val="21"/>
                    </w:rPr>
                  </w:pPr>
                </w:p>
              </w:tc>
              <w:tc>
                <w:tcPr>
                  <w:tcW w:w="407" w:type="pct"/>
                  <w:vMerge w:val="continue"/>
                  <w:vAlign w:val="center"/>
                </w:tcPr>
                <w:p w14:paraId="3343CAFA">
                  <w:pPr>
                    <w:spacing w:line="240" w:lineRule="exact"/>
                    <w:jc w:val="center"/>
                    <w:rPr>
                      <w:kern w:val="0"/>
                      <w:sz w:val="21"/>
                      <w:szCs w:val="21"/>
                    </w:rPr>
                  </w:pPr>
                </w:p>
              </w:tc>
              <w:tc>
                <w:tcPr>
                  <w:tcW w:w="280" w:type="pct"/>
                  <w:vMerge w:val="continue"/>
                  <w:vAlign w:val="center"/>
                </w:tcPr>
                <w:p w14:paraId="25675163">
                  <w:pPr>
                    <w:spacing w:line="240" w:lineRule="exact"/>
                    <w:jc w:val="center"/>
                    <w:rPr>
                      <w:sz w:val="21"/>
                      <w:szCs w:val="21"/>
                    </w:rPr>
                  </w:pPr>
                </w:p>
              </w:tc>
              <w:tc>
                <w:tcPr>
                  <w:tcW w:w="319" w:type="pct"/>
                  <w:vMerge w:val="continue"/>
                  <w:vAlign w:val="center"/>
                </w:tcPr>
                <w:p w14:paraId="10D536A4">
                  <w:pPr>
                    <w:spacing w:line="240" w:lineRule="exact"/>
                    <w:jc w:val="center"/>
                    <w:rPr>
                      <w:sz w:val="21"/>
                      <w:szCs w:val="21"/>
                    </w:rPr>
                  </w:pPr>
                </w:p>
              </w:tc>
              <w:tc>
                <w:tcPr>
                  <w:tcW w:w="263" w:type="pct"/>
                  <w:vMerge w:val="continue"/>
                  <w:vAlign w:val="center"/>
                </w:tcPr>
                <w:p w14:paraId="497EE90F">
                  <w:pPr>
                    <w:spacing w:line="240" w:lineRule="exact"/>
                    <w:jc w:val="center"/>
                    <w:rPr>
                      <w:sz w:val="21"/>
                      <w:szCs w:val="21"/>
                    </w:rPr>
                  </w:pPr>
                </w:p>
              </w:tc>
              <w:tc>
                <w:tcPr>
                  <w:tcW w:w="368" w:type="dxa"/>
                  <w:vAlign w:val="center"/>
                </w:tcPr>
                <w:p w14:paraId="5ADBF298">
                  <w:pPr>
                    <w:spacing w:line="240" w:lineRule="exact"/>
                    <w:jc w:val="center"/>
                    <w:rPr>
                      <w:sz w:val="21"/>
                      <w:szCs w:val="21"/>
                    </w:rPr>
                  </w:pPr>
                  <w:r>
                    <w:rPr>
                      <w:sz w:val="21"/>
                      <w:szCs w:val="21"/>
                    </w:rPr>
                    <w:t>西</w:t>
                  </w:r>
                </w:p>
              </w:tc>
              <w:tc>
                <w:tcPr>
                  <w:tcW w:w="356" w:type="pct"/>
                  <w:vAlign w:val="center"/>
                </w:tcPr>
                <w:p w14:paraId="400A3DF4">
                  <w:pPr>
                    <w:spacing w:line="240" w:lineRule="exact"/>
                    <w:jc w:val="center"/>
                    <w:rPr>
                      <w:sz w:val="21"/>
                      <w:szCs w:val="21"/>
                    </w:rPr>
                  </w:pPr>
                  <w:r>
                    <w:rPr>
                      <w:sz w:val="21"/>
                      <w:szCs w:val="21"/>
                    </w:rPr>
                    <w:t>23</w:t>
                  </w:r>
                </w:p>
              </w:tc>
              <w:tc>
                <w:tcPr>
                  <w:tcW w:w="695" w:type="dxa"/>
                  <w:vAlign w:val="center"/>
                </w:tcPr>
                <w:p w14:paraId="37034469">
                  <w:pPr>
                    <w:widowControl/>
                    <w:jc w:val="right"/>
                    <w:textAlignment w:val="center"/>
                    <w:rPr>
                      <w:sz w:val="21"/>
                      <w:szCs w:val="21"/>
                    </w:rPr>
                  </w:pPr>
                  <w:r>
                    <w:rPr>
                      <w:color w:val="000000"/>
                      <w:kern w:val="0"/>
                      <w:sz w:val="21"/>
                      <w:szCs w:val="21"/>
                      <w:lang w:bidi="ar"/>
                    </w:rPr>
                    <w:t xml:space="preserve">62.3 </w:t>
                  </w:r>
                </w:p>
              </w:tc>
              <w:tc>
                <w:tcPr>
                  <w:tcW w:w="295" w:type="pct"/>
                  <w:vMerge w:val="continue"/>
                  <w:vAlign w:val="center"/>
                </w:tcPr>
                <w:p w14:paraId="2F037AAE">
                  <w:pPr>
                    <w:pStyle w:val="28"/>
                    <w:spacing w:line="240" w:lineRule="exact"/>
                    <w:rPr>
                      <w:kern w:val="2"/>
                      <w:sz w:val="21"/>
                    </w:rPr>
                  </w:pPr>
                </w:p>
              </w:tc>
              <w:tc>
                <w:tcPr>
                  <w:tcW w:w="695" w:type="dxa"/>
                  <w:vAlign w:val="center"/>
                </w:tcPr>
                <w:p w14:paraId="4E937DD5">
                  <w:pPr>
                    <w:spacing w:line="240" w:lineRule="exact"/>
                    <w:jc w:val="center"/>
                    <w:rPr>
                      <w:sz w:val="21"/>
                      <w:szCs w:val="21"/>
                    </w:rPr>
                  </w:pPr>
                  <w:r>
                    <w:rPr>
                      <w:sz w:val="21"/>
                      <w:szCs w:val="21"/>
                    </w:rPr>
                    <w:t>25</w:t>
                  </w:r>
                </w:p>
              </w:tc>
              <w:tc>
                <w:tcPr>
                  <w:tcW w:w="713" w:type="dxa"/>
                  <w:vAlign w:val="center"/>
                </w:tcPr>
                <w:p w14:paraId="399EA8ED">
                  <w:pPr>
                    <w:widowControl/>
                    <w:jc w:val="right"/>
                    <w:textAlignment w:val="center"/>
                    <w:rPr>
                      <w:sz w:val="21"/>
                      <w:szCs w:val="21"/>
                    </w:rPr>
                  </w:pPr>
                  <w:r>
                    <w:rPr>
                      <w:color w:val="000000"/>
                      <w:kern w:val="0"/>
                      <w:sz w:val="21"/>
                      <w:szCs w:val="21"/>
                      <w:lang w:bidi="ar"/>
                    </w:rPr>
                    <w:t xml:space="preserve">37.3 </w:t>
                  </w:r>
                </w:p>
              </w:tc>
              <w:tc>
                <w:tcPr>
                  <w:tcW w:w="630" w:type="dxa"/>
                  <w:vAlign w:val="center"/>
                </w:tcPr>
                <w:p w14:paraId="28E3A26A">
                  <w:pPr>
                    <w:spacing w:line="240" w:lineRule="exact"/>
                    <w:jc w:val="center"/>
                    <w:rPr>
                      <w:sz w:val="21"/>
                      <w:szCs w:val="21"/>
                    </w:rPr>
                  </w:pPr>
                  <w:r>
                    <w:rPr>
                      <w:sz w:val="21"/>
                      <w:szCs w:val="21"/>
                    </w:rPr>
                    <w:t>1m</w:t>
                  </w:r>
                </w:p>
              </w:tc>
            </w:tr>
            <w:tr w14:paraId="2A1E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5D876203">
                  <w:pPr>
                    <w:pStyle w:val="28"/>
                    <w:spacing w:line="240" w:lineRule="exact"/>
                    <w:rPr>
                      <w:sz w:val="21"/>
                    </w:rPr>
                  </w:pPr>
                </w:p>
              </w:tc>
              <w:tc>
                <w:tcPr>
                  <w:tcW w:w="430" w:type="pct"/>
                  <w:vMerge w:val="continue"/>
                  <w:vAlign w:val="center"/>
                </w:tcPr>
                <w:p w14:paraId="478DED4D">
                  <w:pPr>
                    <w:pStyle w:val="28"/>
                    <w:spacing w:line="240" w:lineRule="exact"/>
                    <w:rPr>
                      <w:sz w:val="21"/>
                    </w:rPr>
                  </w:pPr>
                </w:p>
              </w:tc>
              <w:tc>
                <w:tcPr>
                  <w:tcW w:w="365" w:type="pct"/>
                  <w:vMerge w:val="continue"/>
                  <w:vAlign w:val="center"/>
                </w:tcPr>
                <w:p w14:paraId="0D6D11DE">
                  <w:pPr>
                    <w:pStyle w:val="28"/>
                    <w:spacing w:line="240" w:lineRule="exact"/>
                    <w:rPr>
                      <w:sz w:val="21"/>
                    </w:rPr>
                  </w:pPr>
                </w:p>
              </w:tc>
              <w:tc>
                <w:tcPr>
                  <w:tcW w:w="275" w:type="pct"/>
                  <w:vMerge w:val="continue"/>
                  <w:vAlign w:val="center"/>
                </w:tcPr>
                <w:p w14:paraId="7853F541">
                  <w:pPr>
                    <w:pStyle w:val="28"/>
                    <w:spacing w:line="240" w:lineRule="exact"/>
                    <w:rPr>
                      <w:sz w:val="21"/>
                    </w:rPr>
                  </w:pPr>
                </w:p>
              </w:tc>
              <w:tc>
                <w:tcPr>
                  <w:tcW w:w="407" w:type="pct"/>
                  <w:vMerge w:val="continue"/>
                  <w:vAlign w:val="center"/>
                </w:tcPr>
                <w:p w14:paraId="0ECF194C">
                  <w:pPr>
                    <w:spacing w:line="240" w:lineRule="exact"/>
                    <w:jc w:val="center"/>
                    <w:rPr>
                      <w:kern w:val="0"/>
                      <w:sz w:val="21"/>
                      <w:szCs w:val="21"/>
                    </w:rPr>
                  </w:pPr>
                </w:p>
              </w:tc>
              <w:tc>
                <w:tcPr>
                  <w:tcW w:w="280" w:type="pct"/>
                  <w:vMerge w:val="continue"/>
                  <w:vAlign w:val="center"/>
                </w:tcPr>
                <w:p w14:paraId="3F47CD69">
                  <w:pPr>
                    <w:spacing w:line="240" w:lineRule="exact"/>
                    <w:jc w:val="center"/>
                    <w:rPr>
                      <w:sz w:val="21"/>
                      <w:szCs w:val="21"/>
                    </w:rPr>
                  </w:pPr>
                </w:p>
              </w:tc>
              <w:tc>
                <w:tcPr>
                  <w:tcW w:w="319" w:type="pct"/>
                  <w:vMerge w:val="continue"/>
                  <w:vAlign w:val="center"/>
                </w:tcPr>
                <w:p w14:paraId="4C856D0B">
                  <w:pPr>
                    <w:spacing w:line="240" w:lineRule="exact"/>
                    <w:jc w:val="center"/>
                    <w:rPr>
                      <w:sz w:val="21"/>
                      <w:szCs w:val="21"/>
                    </w:rPr>
                  </w:pPr>
                </w:p>
              </w:tc>
              <w:tc>
                <w:tcPr>
                  <w:tcW w:w="263" w:type="pct"/>
                  <w:vMerge w:val="continue"/>
                  <w:vAlign w:val="center"/>
                </w:tcPr>
                <w:p w14:paraId="553B416D">
                  <w:pPr>
                    <w:spacing w:line="240" w:lineRule="exact"/>
                    <w:jc w:val="center"/>
                    <w:rPr>
                      <w:sz w:val="21"/>
                      <w:szCs w:val="21"/>
                    </w:rPr>
                  </w:pPr>
                </w:p>
              </w:tc>
              <w:tc>
                <w:tcPr>
                  <w:tcW w:w="368" w:type="dxa"/>
                  <w:vAlign w:val="center"/>
                </w:tcPr>
                <w:p w14:paraId="3D09AB96">
                  <w:pPr>
                    <w:spacing w:line="240" w:lineRule="exact"/>
                    <w:jc w:val="center"/>
                    <w:rPr>
                      <w:sz w:val="21"/>
                      <w:szCs w:val="21"/>
                    </w:rPr>
                  </w:pPr>
                  <w:r>
                    <w:rPr>
                      <w:sz w:val="21"/>
                      <w:szCs w:val="21"/>
                    </w:rPr>
                    <w:t>南</w:t>
                  </w:r>
                </w:p>
              </w:tc>
              <w:tc>
                <w:tcPr>
                  <w:tcW w:w="356" w:type="pct"/>
                  <w:vAlign w:val="center"/>
                </w:tcPr>
                <w:p w14:paraId="35BA6CFF">
                  <w:pPr>
                    <w:spacing w:line="240" w:lineRule="exact"/>
                    <w:jc w:val="center"/>
                    <w:rPr>
                      <w:sz w:val="21"/>
                      <w:szCs w:val="21"/>
                    </w:rPr>
                  </w:pPr>
                  <w:r>
                    <w:rPr>
                      <w:sz w:val="21"/>
                      <w:szCs w:val="21"/>
                    </w:rPr>
                    <w:t>5.5</w:t>
                  </w:r>
                </w:p>
              </w:tc>
              <w:tc>
                <w:tcPr>
                  <w:tcW w:w="695" w:type="dxa"/>
                  <w:vAlign w:val="center"/>
                </w:tcPr>
                <w:p w14:paraId="1728FA56">
                  <w:pPr>
                    <w:widowControl/>
                    <w:jc w:val="right"/>
                    <w:textAlignment w:val="center"/>
                    <w:rPr>
                      <w:sz w:val="21"/>
                      <w:szCs w:val="21"/>
                    </w:rPr>
                  </w:pPr>
                  <w:r>
                    <w:rPr>
                      <w:color w:val="000000"/>
                      <w:kern w:val="0"/>
                      <w:sz w:val="21"/>
                      <w:szCs w:val="21"/>
                      <w:lang w:bidi="ar"/>
                    </w:rPr>
                    <w:t xml:space="preserve">68.2 </w:t>
                  </w:r>
                </w:p>
              </w:tc>
              <w:tc>
                <w:tcPr>
                  <w:tcW w:w="295" w:type="pct"/>
                  <w:vMerge w:val="continue"/>
                  <w:vAlign w:val="center"/>
                </w:tcPr>
                <w:p w14:paraId="4C783EA5">
                  <w:pPr>
                    <w:pStyle w:val="28"/>
                    <w:spacing w:line="240" w:lineRule="exact"/>
                    <w:rPr>
                      <w:kern w:val="2"/>
                      <w:sz w:val="21"/>
                    </w:rPr>
                  </w:pPr>
                </w:p>
              </w:tc>
              <w:tc>
                <w:tcPr>
                  <w:tcW w:w="695" w:type="dxa"/>
                  <w:vAlign w:val="center"/>
                </w:tcPr>
                <w:p w14:paraId="5AA7CBF6">
                  <w:pPr>
                    <w:spacing w:line="240" w:lineRule="exact"/>
                    <w:jc w:val="center"/>
                    <w:rPr>
                      <w:sz w:val="21"/>
                      <w:szCs w:val="21"/>
                    </w:rPr>
                  </w:pPr>
                  <w:r>
                    <w:rPr>
                      <w:sz w:val="21"/>
                      <w:szCs w:val="21"/>
                    </w:rPr>
                    <w:t>25</w:t>
                  </w:r>
                </w:p>
              </w:tc>
              <w:tc>
                <w:tcPr>
                  <w:tcW w:w="713" w:type="dxa"/>
                  <w:vAlign w:val="center"/>
                </w:tcPr>
                <w:p w14:paraId="7DFB99B1">
                  <w:pPr>
                    <w:widowControl/>
                    <w:jc w:val="right"/>
                    <w:textAlignment w:val="center"/>
                    <w:rPr>
                      <w:sz w:val="21"/>
                      <w:szCs w:val="21"/>
                    </w:rPr>
                  </w:pPr>
                  <w:r>
                    <w:rPr>
                      <w:color w:val="000000"/>
                      <w:kern w:val="0"/>
                      <w:sz w:val="21"/>
                      <w:szCs w:val="21"/>
                      <w:lang w:bidi="ar"/>
                    </w:rPr>
                    <w:t xml:space="preserve">43.2 </w:t>
                  </w:r>
                </w:p>
              </w:tc>
              <w:tc>
                <w:tcPr>
                  <w:tcW w:w="630" w:type="dxa"/>
                  <w:vAlign w:val="center"/>
                </w:tcPr>
                <w:p w14:paraId="225941B2">
                  <w:pPr>
                    <w:spacing w:line="240" w:lineRule="exact"/>
                    <w:jc w:val="center"/>
                    <w:rPr>
                      <w:sz w:val="21"/>
                      <w:szCs w:val="21"/>
                    </w:rPr>
                  </w:pPr>
                  <w:r>
                    <w:rPr>
                      <w:sz w:val="21"/>
                      <w:szCs w:val="21"/>
                    </w:rPr>
                    <w:t>1m</w:t>
                  </w:r>
                </w:p>
              </w:tc>
            </w:tr>
            <w:tr w14:paraId="65AE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64BF8DC5">
                  <w:pPr>
                    <w:pStyle w:val="28"/>
                    <w:spacing w:line="240" w:lineRule="exact"/>
                    <w:rPr>
                      <w:sz w:val="21"/>
                    </w:rPr>
                  </w:pPr>
                </w:p>
              </w:tc>
              <w:tc>
                <w:tcPr>
                  <w:tcW w:w="430" w:type="pct"/>
                  <w:vMerge w:val="continue"/>
                  <w:vAlign w:val="center"/>
                </w:tcPr>
                <w:p w14:paraId="122488E0">
                  <w:pPr>
                    <w:pStyle w:val="28"/>
                    <w:spacing w:line="240" w:lineRule="exact"/>
                    <w:rPr>
                      <w:sz w:val="21"/>
                    </w:rPr>
                  </w:pPr>
                </w:p>
              </w:tc>
              <w:tc>
                <w:tcPr>
                  <w:tcW w:w="365" w:type="pct"/>
                  <w:vMerge w:val="continue"/>
                  <w:vAlign w:val="center"/>
                </w:tcPr>
                <w:p w14:paraId="311E2632">
                  <w:pPr>
                    <w:pStyle w:val="28"/>
                    <w:spacing w:line="240" w:lineRule="exact"/>
                    <w:rPr>
                      <w:sz w:val="21"/>
                    </w:rPr>
                  </w:pPr>
                </w:p>
              </w:tc>
              <w:tc>
                <w:tcPr>
                  <w:tcW w:w="275" w:type="pct"/>
                  <w:vMerge w:val="continue"/>
                  <w:vAlign w:val="center"/>
                </w:tcPr>
                <w:p w14:paraId="2749CBD4">
                  <w:pPr>
                    <w:pStyle w:val="28"/>
                    <w:spacing w:line="240" w:lineRule="exact"/>
                    <w:rPr>
                      <w:sz w:val="21"/>
                    </w:rPr>
                  </w:pPr>
                </w:p>
              </w:tc>
              <w:tc>
                <w:tcPr>
                  <w:tcW w:w="407" w:type="pct"/>
                  <w:vMerge w:val="continue"/>
                  <w:vAlign w:val="center"/>
                </w:tcPr>
                <w:p w14:paraId="51D3FEEE">
                  <w:pPr>
                    <w:spacing w:line="240" w:lineRule="exact"/>
                    <w:jc w:val="center"/>
                    <w:rPr>
                      <w:kern w:val="0"/>
                      <w:sz w:val="21"/>
                      <w:szCs w:val="21"/>
                    </w:rPr>
                  </w:pPr>
                </w:p>
              </w:tc>
              <w:tc>
                <w:tcPr>
                  <w:tcW w:w="280" w:type="pct"/>
                  <w:vMerge w:val="continue"/>
                  <w:vAlign w:val="center"/>
                </w:tcPr>
                <w:p w14:paraId="71D2179B">
                  <w:pPr>
                    <w:spacing w:line="240" w:lineRule="exact"/>
                    <w:jc w:val="center"/>
                    <w:rPr>
                      <w:sz w:val="21"/>
                      <w:szCs w:val="21"/>
                    </w:rPr>
                  </w:pPr>
                </w:p>
              </w:tc>
              <w:tc>
                <w:tcPr>
                  <w:tcW w:w="319" w:type="pct"/>
                  <w:vMerge w:val="continue"/>
                  <w:vAlign w:val="center"/>
                </w:tcPr>
                <w:p w14:paraId="2F079436">
                  <w:pPr>
                    <w:spacing w:line="240" w:lineRule="exact"/>
                    <w:jc w:val="center"/>
                    <w:rPr>
                      <w:sz w:val="21"/>
                      <w:szCs w:val="21"/>
                    </w:rPr>
                  </w:pPr>
                </w:p>
              </w:tc>
              <w:tc>
                <w:tcPr>
                  <w:tcW w:w="263" w:type="pct"/>
                  <w:vMerge w:val="continue"/>
                  <w:vAlign w:val="center"/>
                </w:tcPr>
                <w:p w14:paraId="6AA938AA">
                  <w:pPr>
                    <w:spacing w:line="240" w:lineRule="exact"/>
                    <w:jc w:val="center"/>
                    <w:rPr>
                      <w:sz w:val="21"/>
                      <w:szCs w:val="21"/>
                    </w:rPr>
                  </w:pPr>
                </w:p>
              </w:tc>
              <w:tc>
                <w:tcPr>
                  <w:tcW w:w="368" w:type="dxa"/>
                  <w:vAlign w:val="center"/>
                </w:tcPr>
                <w:p w14:paraId="3C27E1B4">
                  <w:pPr>
                    <w:spacing w:line="240" w:lineRule="exact"/>
                    <w:jc w:val="center"/>
                    <w:rPr>
                      <w:sz w:val="21"/>
                      <w:szCs w:val="21"/>
                    </w:rPr>
                  </w:pPr>
                  <w:r>
                    <w:rPr>
                      <w:sz w:val="21"/>
                      <w:szCs w:val="21"/>
                    </w:rPr>
                    <w:t>北</w:t>
                  </w:r>
                </w:p>
              </w:tc>
              <w:tc>
                <w:tcPr>
                  <w:tcW w:w="356" w:type="pct"/>
                  <w:vAlign w:val="center"/>
                </w:tcPr>
                <w:p w14:paraId="64358745">
                  <w:pPr>
                    <w:spacing w:line="240" w:lineRule="exact"/>
                    <w:jc w:val="center"/>
                    <w:rPr>
                      <w:sz w:val="21"/>
                      <w:szCs w:val="21"/>
                    </w:rPr>
                  </w:pPr>
                  <w:r>
                    <w:rPr>
                      <w:sz w:val="21"/>
                      <w:szCs w:val="21"/>
                    </w:rPr>
                    <w:t>24</w:t>
                  </w:r>
                </w:p>
              </w:tc>
              <w:tc>
                <w:tcPr>
                  <w:tcW w:w="695" w:type="dxa"/>
                  <w:vAlign w:val="center"/>
                </w:tcPr>
                <w:p w14:paraId="15EF8416">
                  <w:pPr>
                    <w:widowControl/>
                    <w:jc w:val="right"/>
                    <w:textAlignment w:val="center"/>
                    <w:rPr>
                      <w:sz w:val="21"/>
                      <w:szCs w:val="21"/>
                    </w:rPr>
                  </w:pPr>
                  <w:r>
                    <w:rPr>
                      <w:color w:val="000000"/>
                      <w:kern w:val="0"/>
                      <w:sz w:val="21"/>
                      <w:szCs w:val="21"/>
                      <w:lang w:bidi="ar"/>
                    </w:rPr>
                    <w:t xml:space="preserve">62.2 </w:t>
                  </w:r>
                </w:p>
              </w:tc>
              <w:tc>
                <w:tcPr>
                  <w:tcW w:w="295" w:type="pct"/>
                  <w:vMerge w:val="continue"/>
                  <w:vAlign w:val="center"/>
                </w:tcPr>
                <w:p w14:paraId="471FF876">
                  <w:pPr>
                    <w:pStyle w:val="28"/>
                    <w:spacing w:line="240" w:lineRule="exact"/>
                    <w:rPr>
                      <w:kern w:val="2"/>
                      <w:sz w:val="21"/>
                    </w:rPr>
                  </w:pPr>
                </w:p>
              </w:tc>
              <w:tc>
                <w:tcPr>
                  <w:tcW w:w="695" w:type="dxa"/>
                  <w:vAlign w:val="center"/>
                </w:tcPr>
                <w:p w14:paraId="3606054E">
                  <w:pPr>
                    <w:spacing w:line="240" w:lineRule="exact"/>
                    <w:jc w:val="center"/>
                    <w:rPr>
                      <w:sz w:val="21"/>
                      <w:szCs w:val="21"/>
                    </w:rPr>
                  </w:pPr>
                  <w:r>
                    <w:rPr>
                      <w:sz w:val="21"/>
                      <w:szCs w:val="21"/>
                    </w:rPr>
                    <w:t>25</w:t>
                  </w:r>
                </w:p>
              </w:tc>
              <w:tc>
                <w:tcPr>
                  <w:tcW w:w="713" w:type="dxa"/>
                  <w:vAlign w:val="center"/>
                </w:tcPr>
                <w:p w14:paraId="676C3061">
                  <w:pPr>
                    <w:widowControl/>
                    <w:jc w:val="right"/>
                    <w:textAlignment w:val="center"/>
                    <w:rPr>
                      <w:sz w:val="21"/>
                      <w:szCs w:val="21"/>
                    </w:rPr>
                  </w:pPr>
                  <w:r>
                    <w:rPr>
                      <w:color w:val="000000"/>
                      <w:kern w:val="0"/>
                      <w:sz w:val="21"/>
                      <w:szCs w:val="21"/>
                      <w:lang w:bidi="ar"/>
                    </w:rPr>
                    <w:t xml:space="preserve">37.2 </w:t>
                  </w:r>
                </w:p>
              </w:tc>
              <w:tc>
                <w:tcPr>
                  <w:tcW w:w="630" w:type="dxa"/>
                  <w:vAlign w:val="center"/>
                </w:tcPr>
                <w:p w14:paraId="4122A942">
                  <w:pPr>
                    <w:spacing w:line="240" w:lineRule="exact"/>
                    <w:jc w:val="center"/>
                    <w:rPr>
                      <w:sz w:val="21"/>
                      <w:szCs w:val="21"/>
                    </w:rPr>
                  </w:pPr>
                  <w:r>
                    <w:rPr>
                      <w:sz w:val="21"/>
                      <w:szCs w:val="21"/>
                    </w:rPr>
                    <w:t>1m</w:t>
                  </w:r>
                </w:p>
              </w:tc>
            </w:tr>
            <w:tr w14:paraId="4B12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41" w:type="pct"/>
                  <w:vMerge w:val="continue"/>
                  <w:vAlign w:val="center"/>
                </w:tcPr>
                <w:p w14:paraId="395B0B0D">
                  <w:pPr>
                    <w:pStyle w:val="28"/>
                    <w:spacing w:line="240" w:lineRule="exact"/>
                    <w:rPr>
                      <w:sz w:val="21"/>
                    </w:rPr>
                  </w:pPr>
                </w:p>
              </w:tc>
              <w:tc>
                <w:tcPr>
                  <w:tcW w:w="430" w:type="pct"/>
                  <w:vMerge w:val="restart"/>
                  <w:vAlign w:val="center"/>
                </w:tcPr>
                <w:p w14:paraId="03842465">
                  <w:pPr>
                    <w:pStyle w:val="28"/>
                    <w:spacing w:line="240" w:lineRule="exact"/>
                    <w:rPr>
                      <w:sz w:val="21"/>
                    </w:rPr>
                  </w:pPr>
                  <w:r>
                    <w:rPr>
                      <w:sz w:val="21"/>
                    </w:rPr>
                    <w:t>空压机3</w:t>
                  </w:r>
                </w:p>
              </w:tc>
              <w:tc>
                <w:tcPr>
                  <w:tcW w:w="365" w:type="pct"/>
                  <w:vMerge w:val="restart"/>
                  <w:vAlign w:val="center"/>
                </w:tcPr>
                <w:p w14:paraId="5EABFC83">
                  <w:pPr>
                    <w:pStyle w:val="28"/>
                    <w:spacing w:line="240" w:lineRule="exact"/>
                    <w:rPr>
                      <w:sz w:val="21"/>
                    </w:rPr>
                  </w:pPr>
                  <w:r>
                    <w:rPr>
                      <w:sz w:val="21"/>
                    </w:rPr>
                    <w:t>90</w:t>
                  </w:r>
                </w:p>
              </w:tc>
              <w:tc>
                <w:tcPr>
                  <w:tcW w:w="275" w:type="pct"/>
                  <w:vMerge w:val="restart"/>
                  <w:vAlign w:val="center"/>
                </w:tcPr>
                <w:p w14:paraId="5790D45E">
                  <w:pPr>
                    <w:pStyle w:val="28"/>
                    <w:spacing w:line="240" w:lineRule="exact"/>
                    <w:rPr>
                      <w:sz w:val="21"/>
                    </w:rPr>
                  </w:pPr>
                  <w:r>
                    <w:rPr>
                      <w:sz w:val="21"/>
                    </w:rPr>
                    <w:t>1</w:t>
                  </w:r>
                </w:p>
              </w:tc>
              <w:tc>
                <w:tcPr>
                  <w:tcW w:w="407" w:type="pct"/>
                  <w:vMerge w:val="restart"/>
                  <w:vAlign w:val="center"/>
                </w:tcPr>
                <w:p w14:paraId="35F87F82">
                  <w:pPr>
                    <w:spacing w:line="240" w:lineRule="exact"/>
                    <w:jc w:val="center"/>
                    <w:rPr>
                      <w:kern w:val="0"/>
                      <w:sz w:val="21"/>
                      <w:szCs w:val="21"/>
                    </w:rPr>
                  </w:pPr>
                  <w:r>
                    <w:rPr>
                      <w:kern w:val="0"/>
                      <w:sz w:val="21"/>
                      <w:szCs w:val="21"/>
                    </w:rPr>
                    <w:t>基础减振、厂房隔声</w:t>
                  </w:r>
                </w:p>
              </w:tc>
              <w:tc>
                <w:tcPr>
                  <w:tcW w:w="280" w:type="pct"/>
                  <w:vMerge w:val="restart"/>
                  <w:vAlign w:val="center"/>
                </w:tcPr>
                <w:p w14:paraId="781D88D2">
                  <w:pPr>
                    <w:spacing w:line="240" w:lineRule="exact"/>
                    <w:jc w:val="center"/>
                    <w:rPr>
                      <w:sz w:val="21"/>
                      <w:szCs w:val="21"/>
                    </w:rPr>
                  </w:pPr>
                  <w:r>
                    <w:rPr>
                      <w:sz w:val="21"/>
                      <w:szCs w:val="21"/>
                    </w:rPr>
                    <w:t>23</w:t>
                  </w:r>
                </w:p>
              </w:tc>
              <w:tc>
                <w:tcPr>
                  <w:tcW w:w="319" w:type="pct"/>
                  <w:vMerge w:val="restart"/>
                  <w:vAlign w:val="center"/>
                </w:tcPr>
                <w:p w14:paraId="5CDE6804">
                  <w:pPr>
                    <w:spacing w:line="240" w:lineRule="exact"/>
                    <w:jc w:val="center"/>
                    <w:rPr>
                      <w:sz w:val="21"/>
                      <w:szCs w:val="21"/>
                    </w:rPr>
                  </w:pPr>
                  <w:r>
                    <w:rPr>
                      <w:sz w:val="21"/>
                      <w:szCs w:val="21"/>
                    </w:rPr>
                    <w:t>2</w:t>
                  </w:r>
                </w:p>
              </w:tc>
              <w:tc>
                <w:tcPr>
                  <w:tcW w:w="263" w:type="pct"/>
                  <w:vMerge w:val="restart"/>
                  <w:vAlign w:val="center"/>
                </w:tcPr>
                <w:p w14:paraId="57256AA2">
                  <w:pPr>
                    <w:spacing w:line="240" w:lineRule="exact"/>
                    <w:jc w:val="center"/>
                    <w:rPr>
                      <w:sz w:val="21"/>
                      <w:szCs w:val="21"/>
                    </w:rPr>
                  </w:pPr>
                  <w:r>
                    <w:rPr>
                      <w:sz w:val="21"/>
                      <w:szCs w:val="21"/>
                    </w:rPr>
                    <w:t>1</w:t>
                  </w:r>
                </w:p>
              </w:tc>
              <w:tc>
                <w:tcPr>
                  <w:tcW w:w="209" w:type="pct"/>
                  <w:vAlign w:val="center"/>
                </w:tcPr>
                <w:p w14:paraId="32F72ED7">
                  <w:pPr>
                    <w:spacing w:line="240" w:lineRule="exact"/>
                    <w:jc w:val="center"/>
                    <w:rPr>
                      <w:sz w:val="21"/>
                      <w:szCs w:val="21"/>
                    </w:rPr>
                  </w:pPr>
                  <w:r>
                    <w:rPr>
                      <w:sz w:val="21"/>
                      <w:szCs w:val="21"/>
                    </w:rPr>
                    <w:t>东</w:t>
                  </w:r>
                </w:p>
              </w:tc>
              <w:tc>
                <w:tcPr>
                  <w:tcW w:w="356" w:type="pct"/>
                  <w:vAlign w:val="center"/>
                </w:tcPr>
                <w:p w14:paraId="5E161DDE">
                  <w:pPr>
                    <w:spacing w:line="240" w:lineRule="exact"/>
                    <w:jc w:val="center"/>
                    <w:rPr>
                      <w:sz w:val="21"/>
                      <w:szCs w:val="21"/>
                    </w:rPr>
                  </w:pPr>
                  <w:r>
                    <w:rPr>
                      <w:sz w:val="21"/>
                      <w:szCs w:val="21"/>
                    </w:rPr>
                    <w:t>1.5</w:t>
                  </w:r>
                </w:p>
              </w:tc>
              <w:tc>
                <w:tcPr>
                  <w:tcW w:w="695" w:type="dxa"/>
                  <w:vAlign w:val="center"/>
                </w:tcPr>
                <w:p w14:paraId="77A803FB">
                  <w:pPr>
                    <w:widowControl/>
                    <w:jc w:val="right"/>
                    <w:textAlignment w:val="center"/>
                    <w:rPr>
                      <w:sz w:val="21"/>
                      <w:szCs w:val="21"/>
                    </w:rPr>
                  </w:pPr>
                  <w:r>
                    <w:rPr>
                      <w:color w:val="000000"/>
                      <w:kern w:val="0"/>
                      <w:sz w:val="21"/>
                      <w:szCs w:val="21"/>
                      <w:lang w:bidi="ar"/>
                    </w:rPr>
                    <w:t xml:space="preserve">78.6 </w:t>
                  </w:r>
                </w:p>
              </w:tc>
              <w:tc>
                <w:tcPr>
                  <w:tcW w:w="295" w:type="pct"/>
                  <w:vMerge w:val="continue"/>
                  <w:vAlign w:val="center"/>
                </w:tcPr>
                <w:p w14:paraId="6A25029C">
                  <w:pPr>
                    <w:pStyle w:val="28"/>
                    <w:spacing w:line="240" w:lineRule="exact"/>
                    <w:rPr>
                      <w:kern w:val="2"/>
                      <w:sz w:val="21"/>
                    </w:rPr>
                  </w:pPr>
                </w:p>
              </w:tc>
              <w:tc>
                <w:tcPr>
                  <w:tcW w:w="695" w:type="dxa"/>
                  <w:vAlign w:val="center"/>
                </w:tcPr>
                <w:p w14:paraId="0BFC855F">
                  <w:pPr>
                    <w:spacing w:line="240" w:lineRule="exact"/>
                    <w:jc w:val="center"/>
                    <w:rPr>
                      <w:sz w:val="21"/>
                      <w:szCs w:val="21"/>
                    </w:rPr>
                  </w:pPr>
                  <w:r>
                    <w:rPr>
                      <w:sz w:val="21"/>
                      <w:szCs w:val="21"/>
                    </w:rPr>
                    <w:t>25</w:t>
                  </w:r>
                </w:p>
              </w:tc>
              <w:tc>
                <w:tcPr>
                  <w:tcW w:w="713" w:type="dxa"/>
                  <w:vAlign w:val="center"/>
                </w:tcPr>
                <w:p w14:paraId="725DFBEC">
                  <w:pPr>
                    <w:widowControl/>
                    <w:jc w:val="right"/>
                    <w:textAlignment w:val="center"/>
                    <w:rPr>
                      <w:sz w:val="21"/>
                      <w:szCs w:val="21"/>
                    </w:rPr>
                  </w:pPr>
                  <w:r>
                    <w:rPr>
                      <w:color w:val="000000"/>
                      <w:kern w:val="0"/>
                      <w:sz w:val="21"/>
                      <w:szCs w:val="21"/>
                      <w:lang w:bidi="ar"/>
                    </w:rPr>
                    <w:t xml:space="preserve">53.6 </w:t>
                  </w:r>
                </w:p>
              </w:tc>
              <w:tc>
                <w:tcPr>
                  <w:tcW w:w="358" w:type="pct"/>
                  <w:vAlign w:val="center"/>
                </w:tcPr>
                <w:p w14:paraId="6D80777F">
                  <w:pPr>
                    <w:spacing w:line="240" w:lineRule="exact"/>
                    <w:jc w:val="center"/>
                    <w:rPr>
                      <w:sz w:val="21"/>
                      <w:szCs w:val="21"/>
                    </w:rPr>
                  </w:pPr>
                  <w:r>
                    <w:rPr>
                      <w:sz w:val="21"/>
                      <w:szCs w:val="21"/>
                    </w:rPr>
                    <w:t>1m</w:t>
                  </w:r>
                </w:p>
              </w:tc>
            </w:tr>
            <w:tr w14:paraId="165B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0A46D86F">
                  <w:pPr>
                    <w:pStyle w:val="28"/>
                    <w:spacing w:line="240" w:lineRule="exact"/>
                    <w:rPr>
                      <w:sz w:val="21"/>
                    </w:rPr>
                  </w:pPr>
                </w:p>
              </w:tc>
              <w:tc>
                <w:tcPr>
                  <w:tcW w:w="430" w:type="pct"/>
                  <w:vMerge w:val="continue"/>
                  <w:vAlign w:val="center"/>
                </w:tcPr>
                <w:p w14:paraId="3FDE9047">
                  <w:pPr>
                    <w:pStyle w:val="28"/>
                    <w:spacing w:line="240" w:lineRule="exact"/>
                    <w:rPr>
                      <w:sz w:val="21"/>
                    </w:rPr>
                  </w:pPr>
                </w:p>
              </w:tc>
              <w:tc>
                <w:tcPr>
                  <w:tcW w:w="365" w:type="pct"/>
                  <w:vMerge w:val="continue"/>
                  <w:vAlign w:val="center"/>
                </w:tcPr>
                <w:p w14:paraId="3E01C995">
                  <w:pPr>
                    <w:pStyle w:val="28"/>
                    <w:spacing w:line="240" w:lineRule="exact"/>
                    <w:rPr>
                      <w:sz w:val="21"/>
                    </w:rPr>
                  </w:pPr>
                </w:p>
              </w:tc>
              <w:tc>
                <w:tcPr>
                  <w:tcW w:w="275" w:type="pct"/>
                  <w:vMerge w:val="continue"/>
                  <w:vAlign w:val="center"/>
                </w:tcPr>
                <w:p w14:paraId="7F4DFCB8">
                  <w:pPr>
                    <w:pStyle w:val="28"/>
                    <w:spacing w:line="240" w:lineRule="exact"/>
                    <w:rPr>
                      <w:sz w:val="21"/>
                    </w:rPr>
                  </w:pPr>
                </w:p>
              </w:tc>
              <w:tc>
                <w:tcPr>
                  <w:tcW w:w="407" w:type="pct"/>
                  <w:vMerge w:val="continue"/>
                  <w:vAlign w:val="center"/>
                </w:tcPr>
                <w:p w14:paraId="11737A64">
                  <w:pPr>
                    <w:spacing w:line="240" w:lineRule="exact"/>
                    <w:jc w:val="center"/>
                    <w:rPr>
                      <w:kern w:val="0"/>
                      <w:sz w:val="21"/>
                      <w:szCs w:val="21"/>
                    </w:rPr>
                  </w:pPr>
                </w:p>
              </w:tc>
              <w:tc>
                <w:tcPr>
                  <w:tcW w:w="280" w:type="pct"/>
                  <w:vMerge w:val="continue"/>
                  <w:vAlign w:val="center"/>
                </w:tcPr>
                <w:p w14:paraId="38DB064E">
                  <w:pPr>
                    <w:spacing w:line="240" w:lineRule="exact"/>
                    <w:jc w:val="center"/>
                    <w:rPr>
                      <w:sz w:val="21"/>
                      <w:szCs w:val="21"/>
                    </w:rPr>
                  </w:pPr>
                </w:p>
              </w:tc>
              <w:tc>
                <w:tcPr>
                  <w:tcW w:w="319" w:type="pct"/>
                  <w:vMerge w:val="continue"/>
                  <w:vAlign w:val="center"/>
                </w:tcPr>
                <w:p w14:paraId="4D3524F8">
                  <w:pPr>
                    <w:spacing w:line="240" w:lineRule="exact"/>
                    <w:jc w:val="center"/>
                    <w:rPr>
                      <w:sz w:val="21"/>
                      <w:szCs w:val="21"/>
                    </w:rPr>
                  </w:pPr>
                </w:p>
              </w:tc>
              <w:tc>
                <w:tcPr>
                  <w:tcW w:w="263" w:type="pct"/>
                  <w:vMerge w:val="continue"/>
                  <w:vAlign w:val="center"/>
                </w:tcPr>
                <w:p w14:paraId="542A179F">
                  <w:pPr>
                    <w:spacing w:line="240" w:lineRule="exact"/>
                    <w:jc w:val="center"/>
                    <w:rPr>
                      <w:sz w:val="21"/>
                      <w:szCs w:val="21"/>
                    </w:rPr>
                  </w:pPr>
                </w:p>
              </w:tc>
              <w:tc>
                <w:tcPr>
                  <w:tcW w:w="209" w:type="pct"/>
                  <w:vAlign w:val="center"/>
                </w:tcPr>
                <w:p w14:paraId="0E480BC7">
                  <w:pPr>
                    <w:spacing w:line="240" w:lineRule="exact"/>
                    <w:jc w:val="center"/>
                    <w:rPr>
                      <w:sz w:val="21"/>
                      <w:szCs w:val="21"/>
                    </w:rPr>
                  </w:pPr>
                  <w:r>
                    <w:rPr>
                      <w:sz w:val="21"/>
                      <w:szCs w:val="21"/>
                    </w:rPr>
                    <w:t>西</w:t>
                  </w:r>
                </w:p>
              </w:tc>
              <w:tc>
                <w:tcPr>
                  <w:tcW w:w="356" w:type="pct"/>
                  <w:vAlign w:val="center"/>
                </w:tcPr>
                <w:p w14:paraId="1B65DB3E">
                  <w:pPr>
                    <w:spacing w:line="240" w:lineRule="exact"/>
                    <w:jc w:val="center"/>
                    <w:rPr>
                      <w:sz w:val="21"/>
                      <w:szCs w:val="21"/>
                    </w:rPr>
                  </w:pPr>
                  <w:r>
                    <w:rPr>
                      <w:sz w:val="21"/>
                      <w:szCs w:val="21"/>
                    </w:rPr>
                    <w:t>28</w:t>
                  </w:r>
                </w:p>
              </w:tc>
              <w:tc>
                <w:tcPr>
                  <w:tcW w:w="695" w:type="dxa"/>
                  <w:vAlign w:val="center"/>
                </w:tcPr>
                <w:p w14:paraId="2C9B2C6C">
                  <w:pPr>
                    <w:widowControl/>
                    <w:jc w:val="right"/>
                    <w:textAlignment w:val="center"/>
                    <w:rPr>
                      <w:sz w:val="21"/>
                      <w:szCs w:val="21"/>
                    </w:rPr>
                  </w:pPr>
                  <w:r>
                    <w:rPr>
                      <w:color w:val="000000"/>
                      <w:kern w:val="0"/>
                      <w:sz w:val="21"/>
                      <w:szCs w:val="21"/>
                      <w:lang w:bidi="ar"/>
                    </w:rPr>
                    <w:t xml:space="preserve">62.1 </w:t>
                  </w:r>
                </w:p>
              </w:tc>
              <w:tc>
                <w:tcPr>
                  <w:tcW w:w="295" w:type="pct"/>
                  <w:vMerge w:val="continue"/>
                  <w:vAlign w:val="center"/>
                </w:tcPr>
                <w:p w14:paraId="501E9879">
                  <w:pPr>
                    <w:pStyle w:val="28"/>
                    <w:spacing w:line="240" w:lineRule="exact"/>
                    <w:rPr>
                      <w:kern w:val="2"/>
                      <w:sz w:val="21"/>
                    </w:rPr>
                  </w:pPr>
                </w:p>
              </w:tc>
              <w:tc>
                <w:tcPr>
                  <w:tcW w:w="695" w:type="dxa"/>
                  <w:vAlign w:val="center"/>
                </w:tcPr>
                <w:p w14:paraId="6C69F677">
                  <w:pPr>
                    <w:spacing w:line="240" w:lineRule="exact"/>
                    <w:jc w:val="center"/>
                    <w:rPr>
                      <w:sz w:val="21"/>
                      <w:szCs w:val="21"/>
                    </w:rPr>
                  </w:pPr>
                  <w:r>
                    <w:rPr>
                      <w:sz w:val="21"/>
                      <w:szCs w:val="21"/>
                    </w:rPr>
                    <w:t>25</w:t>
                  </w:r>
                </w:p>
              </w:tc>
              <w:tc>
                <w:tcPr>
                  <w:tcW w:w="713" w:type="dxa"/>
                  <w:vAlign w:val="center"/>
                </w:tcPr>
                <w:p w14:paraId="00BA2D46">
                  <w:pPr>
                    <w:widowControl/>
                    <w:jc w:val="right"/>
                    <w:textAlignment w:val="center"/>
                    <w:rPr>
                      <w:sz w:val="21"/>
                      <w:szCs w:val="21"/>
                    </w:rPr>
                  </w:pPr>
                  <w:r>
                    <w:rPr>
                      <w:color w:val="000000"/>
                      <w:kern w:val="0"/>
                      <w:sz w:val="21"/>
                      <w:szCs w:val="21"/>
                      <w:lang w:bidi="ar"/>
                    </w:rPr>
                    <w:t xml:space="preserve">37.1 </w:t>
                  </w:r>
                </w:p>
              </w:tc>
              <w:tc>
                <w:tcPr>
                  <w:tcW w:w="358" w:type="pct"/>
                  <w:vAlign w:val="center"/>
                </w:tcPr>
                <w:p w14:paraId="18A14083">
                  <w:pPr>
                    <w:spacing w:line="240" w:lineRule="exact"/>
                    <w:jc w:val="center"/>
                    <w:rPr>
                      <w:sz w:val="21"/>
                      <w:szCs w:val="21"/>
                    </w:rPr>
                  </w:pPr>
                  <w:r>
                    <w:rPr>
                      <w:sz w:val="21"/>
                      <w:szCs w:val="21"/>
                    </w:rPr>
                    <w:t>1m</w:t>
                  </w:r>
                </w:p>
              </w:tc>
            </w:tr>
            <w:tr w14:paraId="7DD1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22DADD08">
                  <w:pPr>
                    <w:pStyle w:val="28"/>
                    <w:spacing w:line="240" w:lineRule="exact"/>
                    <w:rPr>
                      <w:sz w:val="21"/>
                    </w:rPr>
                  </w:pPr>
                </w:p>
              </w:tc>
              <w:tc>
                <w:tcPr>
                  <w:tcW w:w="430" w:type="pct"/>
                  <w:vMerge w:val="continue"/>
                  <w:vAlign w:val="center"/>
                </w:tcPr>
                <w:p w14:paraId="080EC448">
                  <w:pPr>
                    <w:pStyle w:val="28"/>
                    <w:spacing w:line="240" w:lineRule="exact"/>
                    <w:rPr>
                      <w:sz w:val="21"/>
                    </w:rPr>
                  </w:pPr>
                </w:p>
              </w:tc>
              <w:tc>
                <w:tcPr>
                  <w:tcW w:w="365" w:type="pct"/>
                  <w:vMerge w:val="continue"/>
                  <w:vAlign w:val="center"/>
                </w:tcPr>
                <w:p w14:paraId="5180E80C">
                  <w:pPr>
                    <w:pStyle w:val="28"/>
                    <w:spacing w:line="240" w:lineRule="exact"/>
                    <w:rPr>
                      <w:sz w:val="21"/>
                    </w:rPr>
                  </w:pPr>
                </w:p>
              </w:tc>
              <w:tc>
                <w:tcPr>
                  <w:tcW w:w="275" w:type="pct"/>
                  <w:vMerge w:val="continue"/>
                  <w:vAlign w:val="center"/>
                </w:tcPr>
                <w:p w14:paraId="4E36C735">
                  <w:pPr>
                    <w:pStyle w:val="28"/>
                    <w:spacing w:line="240" w:lineRule="exact"/>
                    <w:rPr>
                      <w:sz w:val="21"/>
                    </w:rPr>
                  </w:pPr>
                </w:p>
              </w:tc>
              <w:tc>
                <w:tcPr>
                  <w:tcW w:w="407" w:type="pct"/>
                  <w:vMerge w:val="continue"/>
                  <w:vAlign w:val="center"/>
                </w:tcPr>
                <w:p w14:paraId="69B80DF7">
                  <w:pPr>
                    <w:spacing w:line="240" w:lineRule="exact"/>
                    <w:jc w:val="center"/>
                    <w:rPr>
                      <w:kern w:val="0"/>
                      <w:sz w:val="21"/>
                      <w:szCs w:val="21"/>
                    </w:rPr>
                  </w:pPr>
                </w:p>
              </w:tc>
              <w:tc>
                <w:tcPr>
                  <w:tcW w:w="280" w:type="pct"/>
                  <w:vMerge w:val="continue"/>
                  <w:vAlign w:val="center"/>
                </w:tcPr>
                <w:p w14:paraId="43FC554F">
                  <w:pPr>
                    <w:spacing w:line="240" w:lineRule="exact"/>
                    <w:jc w:val="center"/>
                    <w:rPr>
                      <w:sz w:val="21"/>
                      <w:szCs w:val="21"/>
                    </w:rPr>
                  </w:pPr>
                </w:p>
              </w:tc>
              <w:tc>
                <w:tcPr>
                  <w:tcW w:w="319" w:type="pct"/>
                  <w:vMerge w:val="continue"/>
                  <w:vAlign w:val="center"/>
                </w:tcPr>
                <w:p w14:paraId="5623EAE6">
                  <w:pPr>
                    <w:spacing w:line="240" w:lineRule="exact"/>
                    <w:jc w:val="center"/>
                    <w:rPr>
                      <w:sz w:val="21"/>
                      <w:szCs w:val="21"/>
                    </w:rPr>
                  </w:pPr>
                </w:p>
              </w:tc>
              <w:tc>
                <w:tcPr>
                  <w:tcW w:w="263" w:type="pct"/>
                  <w:vMerge w:val="continue"/>
                  <w:vAlign w:val="center"/>
                </w:tcPr>
                <w:p w14:paraId="495A0C97">
                  <w:pPr>
                    <w:spacing w:line="240" w:lineRule="exact"/>
                    <w:jc w:val="center"/>
                    <w:rPr>
                      <w:sz w:val="21"/>
                      <w:szCs w:val="21"/>
                    </w:rPr>
                  </w:pPr>
                </w:p>
              </w:tc>
              <w:tc>
                <w:tcPr>
                  <w:tcW w:w="209" w:type="pct"/>
                  <w:vAlign w:val="center"/>
                </w:tcPr>
                <w:p w14:paraId="1D13383D">
                  <w:pPr>
                    <w:spacing w:line="240" w:lineRule="exact"/>
                    <w:jc w:val="center"/>
                    <w:rPr>
                      <w:sz w:val="21"/>
                      <w:szCs w:val="21"/>
                    </w:rPr>
                  </w:pPr>
                  <w:r>
                    <w:rPr>
                      <w:sz w:val="21"/>
                      <w:szCs w:val="21"/>
                    </w:rPr>
                    <w:t>南</w:t>
                  </w:r>
                </w:p>
              </w:tc>
              <w:tc>
                <w:tcPr>
                  <w:tcW w:w="356" w:type="pct"/>
                  <w:vAlign w:val="center"/>
                </w:tcPr>
                <w:p w14:paraId="7748BE67">
                  <w:pPr>
                    <w:spacing w:line="240" w:lineRule="exact"/>
                    <w:jc w:val="center"/>
                    <w:rPr>
                      <w:sz w:val="21"/>
                      <w:szCs w:val="21"/>
                    </w:rPr>
                  </w:pPr>
                  <w:r>
                    <w:rPr>
                      <w:sz w:val="21"/>
                      <w:szCs w:val="21"/>
                    </w:rPr>
                    <w:t>13</w:t>
                  </w:r>
                </w:p>
              </w:tc>
              <w:tc>
                <w:tcPr>
                  <w:tcW w:w="695" w:type="dxa"/>
                  <w:vAlign w:val="center"/>
                </w:tcPr>
                <w:p w14:paraId="6AD0BA9B">
                  <w:pPr>
                    <w:widowControl/>
                    <w:jc w:val="right"/>
                    <w:textAlignment w:val="center"/>
                    <w:rPr>
                      <w:sz w:val="21"/>
                      <w:szCs w:val="21"/>
                    </w:rPr>
                  </w:pPr>
                  <w:r>
                    <w:rPr>
                      <w:color w:val="000000"/>
                      <w:kern w:val="0"/>
                      <w:sz w:val="21"/>
                      <w:szCs w:val="21"/>
                      <w:lang w:bidi="ar"/>
                    </w:rPr>
                    <w:t xml:space="preserve">63.7 </w:t>
                  </w:r>
                </w:p>
              </w:tc>
              <w:tc>
                <w:tcPr>
                  <w:tcW w:w="295" w:type="pct"/>
                  <w:vMerge w:val="continue"/>
                  <w:vAlign w:val="center"/>
                </w:tcPr>
                <w:p w14:paraId="125E53F0">
                  <w:pPr>
                    <w:pStyle w:val="28"/>
                    <w:spacing w:line="240" w:lineRule="exact"/>
                    <w:rPr>
                      <w:kern w:val="2"/>
                      <w:sz w:val="21"/>
                    </w:rPr>
                  </w:pPr>
                </w:p>
              </w:tc>
              <w:tc>
                <w:tcPr>
                  <w:tcW w:w="695" w:type="dxa"/>
                  <w:vAlign w:val="center"/>
                </w:tcPr>
                <w:p w14:paraId="67AF3123">
                  <w:pPr>
                    <w:spacing w:line="240" w:lineRule="exact"/>
                    <w:jc w:val="center"/>
                    <w:rPr>
                      <w:sz w:val="21"/>
                      <w:szCs w:val="21"/>
                    </w:rPr>
                  </w:pPr>
                  <w:r>
                    <w:rPr>
                      <w:sz w:val="21"/>
                      <w:szCs w:val="21"/>
                    </w:rPr>
                    <w:t>25</w:t>
                  </w:r>
                </w:p>
              </w:tc>
              <w:tc>
                <w:tcPr>
                  <w:tcW w:w="713" w:type="dxa"/>
                  <w:vAlign w:val="center"/>
                </w:tcPr>
                <w:p w14:paraId="3678F034">
                  <w:pPr>
                    <w:widowControl/>
                    <w:jc w:val="right"/>
                    <w:textAlignment w:val="center"/>
                    <w:rPr>
                      <w:sz w:val="21"/>
                      <w:szCs w:val="21"/>
                    </w:rPr>
                  </w:pPr>
                  <w:r>
                    <w:rPr>
                      <w:color w:val="000000"/>
                      <w:kern w:val="0"/>
                      <w:sz w:val="21"/>
                      <w:szCs w:val="21"/>
                      <w:lang w:bidi="ar"/>
                    </w:rPr>
                    <w:t xml:space="preserve">38.7 </w:t>
                  </w:r>
                </w:p>
              </w:tc>
              <w:tc>
                <w:tcPr>
                  <w:tcW w:w="358" w:type="pct"/>
                  <w:vAlign w:val="center"/>
                </w:tcPr>
                <w:p w14:paraId="6861416D">
                  <w:pPr>
                    <w:spacing w:line="240" w:lineRule="exact"/>
                    <w:jc w:val="center"/>
                    <w:rPr>
                      <w:sz w:val="21"/>
                      <w:szCs w:val="21"/>
                    </w:rPr>
                  </w:pPr>
                  <w:r>
                    <w:rPr>
                      <w:sz w:val="21"/>
                      <w:szCs w:val="21"/>
                    </w:rPr>
                    <w:t>1m</w:t>
                  </w:r>
                </w:p>
              </w:tc>
            </w:tr>
            <w:tr w14:paraId="55FA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0FA7A092">
                  <w:pPr>
                    <w:pStyle w:val="28"/>
                    <w:spacing w:line="240" w:lineRule="exact"/>
                    <w:rPr>
                      <w:sz w:val="21"/>
                    </w:rPr>
                  </w:pPr>
                </w:p>
              </w:tc>
              <w:tc>
                <w:tcPr>
                  <w:tcW w:w="430" w:type="pct"/>
                  <w:vMerge w:val="continue"/>
                  <w:vAlign w:val="center"/>
                </w:tcPr>
                <w:p w14:paraId="1E37B6F8">
                  <w:pPr>
                    <w:pStyle w:val="28"/>
                    <w:spacing w:line="240" w:lineRule="exact"/>
                    <w:rPr>
                      <w:sz w:val="21"/>
                    </w:rPr>
                  </w:pPr>
                </w:p>
              </w:tc>
              <w:tc>
                <w:tcPr>
                  <w:tcW w:w="365" w:type="pct"/>
                  <w:vMerge w:val="continue"/>
                  <w:vAlign w:val="center"/>
                </w:tcPr>
                <w:p w14:paraId="0A5AA430">
                  <w:pPr>
                    <w:pStyle w:val="28"/>
                    <w:spacing w:line="240" w:lineRule="exact"/>
                    <w:rPr>
                      <w:sz w:val="21"/>
                    </w:rPr>
                  </w:pPr>
                </w:p>
              </w:tc>
              <w:tc>
                <w:tcPr>
                  <w:tcW w:w="275" w:type="pct"/>
                  <w:vMerge w:val="continue"/>
                  <w:vAlign w:val="center"/>
                </w:tcPr>
                <w:p w14:paraId="31AF6F45">
                  <w:pPr>
                    <w:pStyle w:val="28"/>
                    <w:spacing w:line="240" w:lineRule="exact"/>
                    <w:rPr>
                      <w:sz w:val="21"/>
                    </w:rPr>
                  </w:pPr>
                </w:p>
              </w:tc>
              <w:tc>
                <w:tcPr>
                  <w:tcW w:w="407" w:type="pct"/>
                  <w:vMerge w:val="continue"/>
                  <w:vAlign w:val="center"/>
                </w:tcPr>
                <w:p w14:paraId="59C37161">
                  <w:pPr>
                    <w:spacing w:line="240" w:lineRule="exact"/>
                    <w:jc w:val="center"/>
                    <w:rPr>
                      <w:kern w:val="0"/>
                      <w:sz w:val="21"/>
                      <w:szCs w:val="21"/>
                    </w:rPr>
                  </w:pPr>
                </w:p>
              </w:tc>
              <w:tc>
                <w:tcPr>
                  <w:tcW w:w="280" w:type="pct"/>
                  <w:vMerge w:val="continue"/>
                  <w:vAlign w:val="center"/>
                </w:tcPr>
                <w:p w14:paraId="763B1DBE">
                  <w:pPr>
                    <w:spacing w:line="240" w:lineRule="exact"/>
                    <w:jc w:val="center"/>
                    <w:rPr>
                      <w:sz w:val="21"/>
                      <w:szCs w:val="21"/>
                    </w:rPr>
                  </w:pPr>
                </w:p>
              </w:tc>
              <w:tc>
                <w:tcPr>
                  <w:tcW w:w="319" w:type="pct"/>
                  <w:vMerge w:val="continue"/>
                  <w:vAlign w:val="center"/>
                </w:tcPr>
                <w:p w14:paraId="157CCB2C">
                  <w:pPr>
                    <w:spacing w:line="240" w:lineRule="exact"/>
                    <w:jc w:val="center"/>
                    <w:rPr>
                      <w:sz w:val="21"/>
                      <w:szCs w:val="21"/>
                    </w:rPr>
                  </w:pPr>
                </w:p>
              </w:tc>
              <w:tc>
                <w:tcPr>
                  <w:tcW w:w="263" w:type="pct"/>
                  <w:vMerge w:val="continue"/>
                  <w:vAlign w:val="center"/>
                </w:tcPr>
                <w:p w14:paraId="56766AB7">
                  <w:pPr>
                    <w:spacing w:line="240" w:lineRule="exact"/>
                    <w:jc w:val="center"/>
                    <w:rPr>
                      <w:sz w:val="21"/>
                      <w:szCs w:val="21"/>
                    </w:rPr>
                  </w:pPr>
                </w:p>
              </w:tc>
              <w:tc>
                <w:tcPr>
                  <w:tcW w:w="209" w:type="pct"/>
                  <w:vAlign w:val="center"/>
                </w:tcPr>
                <w:p w14:paraId="7433CDF6">
                  <w:pPr>
                    <w:spacing w:line="240" w:lineRule="exact"/>
                    <w:jc w:val="center"/>
                    <w:rPr>
                      <w:sz w:val="21"/>
                      <w:szCs w:val="21"/>
                    </w:rPr>
                  </w:pPr>
                  <w:r>
                    <w:rPr>
                      <w:sz w:val="21"/>
                      <w:szCs w:val="21"/>
                    </w:rPr>
                    <w:t>北</w:t>
                  </w:r>
                </w:p>
              </w:tc>
              <w:tc>
                <w:tcPr>
                  <w:tcW w:w="356" w:type="pct"/>
                  <w:vAlign w:val="center"/>
                </w:tcPr>
                <w:p w14:paraId="39DC35CD">
                  <w:pPr>
                    <w:spacing w:line="240" w:lineRule="exact"/>
                    <w:jc w:val="center"/>
                    <w:rPr>
                      <w:sz w:val="21"/>
                      <w:szCs w:val="21"/>
                    </w:rPr>
                  </w:pPr>
                  <w:r>
                    <w:rPr>
                      <w:sz w:val="21"/>
                      <w:szCs w:val="21"/>
                    </w:rPr>
                    <w:t>16</w:t>
                  </w:r>
                </w:p>
              </w:tc>
              <w:tc>
                <w:tcPr>
                  <w:tcW w:w="695" w:type="dxa"/>
                  <w:vAlign w:val="center"/>
                </w:tcPr>
                <w:p w14:paraId="27E9D53E">
                  <w:pPr>
                    <w:widowControl/>
                    <w:jc w:val="right"/>
                    <w:textAlignment w:val="center"/>
                    <w:rPr>
                      <w:sz w:val="21"/>
                      <w:szCs w:val="21"/>
                    </w:rPr>
                  </w:pPr>
                  <w:r>
                    <w:rPr>
                      <w:color w:val="000000"/>
                      <w:kern w:val="0"/>
                      <w:sz w:val="21"/>
                      <w:szCs w:val="21"/>
                      <w:lang w:bidi="ar"/>
                    </w:rPr>
                    <w:t xml:space="preserve">63.1 </w:t>
                  </w:r>
                </w:p>
              </w:tc>
              <w:tc>
                <w:tcPr>
                  <w:tcW w:w="295" w:type="pct"/>
                  <w:vMerge w:val="continue"/>
                  <w:vAlign w:val="center"/>
                </w:tcPr>
                <w:p w14:paraId="03760B11">
                  <w:pPr>
                    <w:pStyle w:val="28"/>
                    <w:spacing w:line="240" w:lineRule="exact"/>
                    <w:rPr>
                      <w:kern w:val="2"/>
                      <w:sz w:val="21"/>
                    </w:rPr>
                  </w:pPr>
                </w:p>
              </w:tc>
              <w:tc>
                <w:tcPr>
                  <w:tcW w:w="695" w:type="dxa"/>
                  <w:vAlign w:val="center"/>
                </w:tcPr>
                <w:p w14:paraId="3581909C">
                  <w:pPr>
                    <w:spacing w:line="240" w:lineRule="exact"/>
                    <w:jc w:val="center"/>
                    <w:rPr>
                      <w:sz w:val="21"/>
                      <w:szCs w:val="21"/>
                    </w:rPr>
                  </w:pPr>
                  <w:r>
                    <w:rPr>
                      <w:sz w:val="21"/>
                      <w:szCs w:val="21"/>
                    </w:rPr>
                    <w:t>25</w:t>
                  </w:r>
                </w:p>
              </w:tc>
              <w:tc>
                <w:tcPr>
                  <w:tcW w:w="713" w:type="dxa"/>
                  <w:vAlign w:val="center"/>
                </w:tcPr>
                <w:p w14:paraId="4723A4C4">
                  <w:pPr>
                    <w:widowControl/>
                    <w:jc w:val="right"/>
                    <w:textAlignment w:val="center"/>
                    <w:rPr>
                      <w:sz w:val="21"/>
                      <w:szCs w:val="21"/>
                    </w:rPr>
                  </w:pPr>
                  <w:r>
                    <w:rPr>
                      <w:color w:val="000000"/>
                      <w:kern w:val="0"/>
                      <w:sz w:val="21"/>
                      <w:szCs w:val="21"/>
                      <w:lang w:bidi="ar"/>
                    </w:rPr>
                    <w:t xml:space="preserve">38.1 </w:t>
                  </w:r>
                </w:p>
              </w:tc>
              <w:tc>
                <w:tcPr>
                  <w:tcW w:w="358" w:type="pct"/>
                  <w:vAlign w:val="center"/>
                </w:tcPr>
                <w:p w14:paraId="38C9B839">
                  <w:pPr>
                    <w:spacing w:line="240" w:lineRule="exact"/>
                    <w:jc w:val="center"/>
                    <w:rPr>
                      <w:sz w:val="21"/>
                      <w:szCs w:val="21"/>
                    </w:rPr>
                  </w:pPr>
                  <w:r>
                    <w:rPr>
                      <w:sz w:val="21"/>
                      <w:szCs w:val="21"/>
                    </w:rPr>
                    <w:t>1m</w:t>
                  </w:r>
                </w:p>
              </w:tc>
            </w:tr>
            <w:tr w14:paraId="6EDF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2200EADC">
                  <w:pPr>
                    <w:pStyle w:val="28"/>
                    <w:spacing w:line="240" w:lineRule="exact"/>
                    <w:rPr>
                      <w:kern w:val="2"/>
                      <w:sz w:val="21"/>
                    </w:rPr>
                  </w:pPr>
                </w:p>
              </w:tc>
              <w:tc>
                <w:tcPr>
                  <w:tcW w:w="430" w:type="pct"/>
                  <w:vMerge w:val="restart"/>
                  <w:vAlign w:val="center"/>
                </w:tcPr>
                <w:p w14:paraId="4788FA0C">
                  <w:pPr>
                    <w:pStyle w:val="28"/>
                    <w:spacing w:line="240" w:lineRule="exact"/>
                    <w:rPr>
                      <w:sz w:val="21"/>
                    </w:rPr>
                  </w:pPr>
                  <w:r>
                    <w:rPr>
                      <w:sz w:val="21"/>
                    </w:rPr>
                    <w:t>切菜机1</w:t>
                  </w:r>
                </w:p>
              </w:tc>
              <w:tc>
                <w:tcPr>
                  <w:tcW w:w="365" w:type="pct"/>
                  <w:vMerge w:val="restart"/>
                  <w:vAlign w:val="center"/>
                </w:tcPr>
                <w:p w14:paraId="012487F3">
                  <w:pPr>
                    <w:pStyle w:val="28"/>
                    <w:spacing w:line="240" w:lineRule="exact"/>
                    <w:rPr>
                      <w:kern w:val="2"/>
                      <w:sz w:val="21"/>
                    </w:rPr>
                  </w:pPr>
                  <w:r>
                    <w:rPr>
                      <w:kern w:val="2"/>
                      <w:sz w:val="21"/>
                    </w:rPr>
                    <w:t>75</w:t>
                  </w:r>
                </w:p>
              </w:tc>
              <w:tc>
                <w:tcPr>
                  <w:tcW w:w="275" w:type="pct"/>
                  <w:vMerge w:val="restart"/>
                  <w:vAlign w:val="center"/>
                </w:tcPr>
                <w:p w14:paraId="639AE661">
                  <w:pPr>
                    <w:pStyle w:val="28"/>
                    <w:spacing w:line="240" w:lineRule="exact"/>
                    <w:rPr>
                      <w:kern w:val="2"/>
                      <w:sz w:val="21"/>
                    </w:rPr>
                  </w:pPr>
                  <w:r>
                    <w:rPr>
                      <w:sz w:val="21"/>
                    </w:rPr>
                    <w:t>1</w:t>
                  </w:r>
                </w:p>
              </w:tc>
              <w:tc>
                <w:tcPr>
                  <w:tcW w:w="407" w:type="pct"/>
                  <w:vMerge w:val="restart"/>
                  <w:vAlign w:val="center"/>
                </w:tcPr>
                <w:p w14:paraId="576552AF">
                  <w:pPr>
                    <w:spacing w:line="240" w:lineRule="exact"/>
                    <w:jc w:val="center"/>
                    <w:rPr>
                      <w:sz w:val="21"/>
                      <w:szCs w:val="21"/>
                    </w:rPr>
                  </w:pPr>
                  <w:r>
                    <w:rPr>
                      <w:kern w:val="0"/>
                      <w:sz w:val="21"/>
                      <w:szCs w:val="21"/>
                    </w:rPr>
                    <w:t>基础减振、厂房隔声</w:t>
                  </w:r>
                </w:p>
              </w:tc>
              <w:tc>
                <w:tcPr>
                  <w:tcW w:w="280" w:type="pct"/>
                  <w:vMerge w:val="restart"/>
                  <w:vAlign w:val="center"/>
                </w:tcPr>
                <w:p w14:paraId="353EE44A">
                  <w:pPr>
                    <w:spacing w:line="240" w:lineRule="exact"/>
                    <w:jc w:val="center"/>
                    <w:rPr>
                      <w:sz w:val="21"/>
                      <w:szCs w:val="21"/>
                    </w:rPr>
                  </w:pPr>
                  <w:r>
                    <w:rPr>
                      <w:sz w:val="21"/>
                      <w:szCs w:val="21"/>
                    </w:rPr>
                    <w:t>-8</w:t>
                  </w:r>
                </w:p>
              </w:tc>
              <w:tc>
                <w:tcPr>
                  <w:tcW w:w="319" w:type="pct"/>
                  <w:vMerge w:val="restart"/>
                  <w:vAlign w:val="center"/>
                </w:tcPr>
                <w:p w14:paraId="78CC02F2">
                  <w:pPr>
                    <w:spacing w:line="240" w:lineRule="exact"/>
                    <w:jc w:val="center"/>
                    <w:rPr>
                      <w:sz w:val="21"/>
                      <w:szCs w:val="21"/>
                    </w:rPr>
                  </w:pPr>
                  <w:r>
                    <w:rPr>
                      <w:sz w:val="21"/>
                      <w:szCs w:val="21"/>
                    </w:rPr>
                    <w:t>3.5</w:t>
                  </w:r>
                </w:p>
              </w:tc>
              <w:tc>
                <w:tcPr>
                  <w:tcW w:w="263" w:type="pct"/>
                  <w:vMerge w:val="restart"/>
                  <w:vAlign w:val="center"/>
                </w:tcPr>
                <w:p w14:paraId="5D700BF3">
                  <w:pPr>
                    <w:spacing w:line="240" w:lineRule="exact"/>
                    <w:jc w:val="center"/>
                    <w:rPr>
                      <w:sz w:val="21"/>
                      <w:szCs w:val="21"/>
                    </w:rPr>
                  </w:pPr>
                  <w:r>
                    <w:rPr>
                      <w:sz w:val="21"/>
                      <w:szCs w:val="21"/>
                    </w:rPr>
                    <w:t>1</w:t>
                  </w:r>
                </w:p>
              </w:tc>
              <w:tc>
                <w:tcPr>
                  <w:tcW w:w="209" w:type="pct"/>
                  <w:vAlign w:val="center"/>
                </w:tcPr>
                <w:p w14:paraId="5D4E5809">
                  <w:pPr>
                    <w:spacing w:line="240" w:lineRule="exact"/>
                    <w:jc w:val="center"/>
                    <w:rPr>
                      <w:sz w:val="21"/>
                      <w:szCs w:val="21"/>
                    </w:rPr>
                  </w:pPr>
                  <w:r>
                    <w:rPr>
                      <w:sz w:val="21"/>
                      <w:szCs w:val="21"/>
                    </w:rPr>
                    <w:t>东</w:t>
                  </w:r>
                </w:p>
              </w:tc>
              <w:tc>
                <w:tcPr>
                  <w:tcW w:w="356" w:type="pct"/>
                  <w:vAlign w:val="center"/>
                </w:tcPr>
                <w:p w14:paraId="5DF619B5">
                  <w:pPr>
                    <w:spacing w:line="240" w:lineRule="exact"/>
                    <w:jc w:val="center"/>
                    <w:rPr>
                      <w:sz w:val="21"/>
                      <w:szCs w:val="21"/>
                    </w:rPr>
                  </w:pPr>
                  <w:r>
                    <w:rPr>
                      <w:sz w:val="21"/>
                      <w:szCs w:val="21"/>
                    </w:rPr>
                    <w:t>37</w:t>
                  </w:r>
                </w:p>
              </w:tc>
              <w:tc>
                <w:tcPr>
                  <w:tcW w:w="695" w:type="dxa"/>
                  <w:vAlign w:val="center"/>
                </w:tcPr>
                <w:p w14:paraId="0B80D485">
                  <w:pPr>
                    <w:widowControl/>
                    <w:jc w:val="right"/>
                    <w:textAlignment w:val="center"/>
                    <w:rPr>
                      <w:sz w:val="21"/>
                      <w:szCs w:val="21"/>
                    </w:rPr>
                  </w:pPr>
                  <w:r>
                    <w:rPr>
                      <w:color w:val="000000"/>
                      <w:kern w:val="0"/>
                      <w:sz w:val="21"/>
                      <w:szCs w:val="21"/>
                      <w:lang w:bidi="ar"/>
                    </w:rPr>
                    <w:t xml:space="preserve">46.8 </w:t>
                  </w:r>
                </w:p>
              </w:tc>
              <w:tc>
                <w:tcPr>
                  <w:tcW w:w="295" w:type="pct"/>
                  <w:vMerge w:val="continue"/>
                  <w:vAlign w:val="center"/>
                </w:tcPr>
                <w:p w14:paraId="5DE6EDDA">
                  <w:pPr>
                    <w:pStyle w:val="28"/>
                    <w:spacing w:line="240" w:lineRule="exact"/>
                    <w:rPr>
                      <w:kern w:val="2"/>
                      <w:sz w:val="21"/>
                    </w:rPr>
                  </w:pPr>
                </w:p>
              </w:tc>
              <w:tc>
                <w:tcPr>
                  <w:tcW w:w="695" w:type="dxa"/>
                  <w:vAlign w:val="center"/>
                </w:tcPr>
                <w:p w14:paraId="04BA61A4">
                  <w:pPr>
                    <w:spacing w:line="240" w:lineRule="exact"/>
                    <w:jc w:val="center"/>
                    <w:rPr>
                      <w:sz w:val="21"/>
                      <w:szCs w:val="21"/>
                    </w:rPr>
                  </w:pPr>
                  <w:r>
                    <w:rPr>
                      <w:sz w:val="21"/>
                      <w:szCs w:val="21"/>
                    </w:rPr>
                    <w:t>25</w:t>
                  </w:r>
                </w:p>
              </w:tc>
              <w:tc>
                <w:tcPr>
                  <w:tcW w:w="713" w:type="dxa"/>
                  <w:vAlign w:val="center"/>
                </w:tcPr>
                <w:p w14:paraId="567D7028">
                  <w:pPr>
                    <w:widowControl/>
                    <w:jc w:val="right"/>
                    <w:textAlignment w:val="center"/>
                    <w:rPr>
                      <w:sz w:val="21"/>
                      <w:szCs w:val="21"/>
                    </w:rPr>
                  </w:pPr>
                  <w:r>
                    <w:rPr>
                      <w:color w:val="000000"/>
                      <w:kern w:val="0"/>
                      <w:sz w:val="21"/>
                      <w:szCs w:val="21"/>
                      <w:lang w:bidi="ar"/>
                    </w:rPr>
                    <w:t xml:space="preserve">21.8 </w:t>
                  </w:r>
                </w:p>
              </w:tc>
              <w:tc>
                <w:tcPr>
                  <w:tcW w:w="358" w:type="pct"/>
                  <w:vAlign w:val="center"/>
                </w:tcPr>
                <w:p w14:paraId="62A97F9C">
                  <w:pPr>
                    <w:spacing w:line="240" w:lineRule="exact"/>
                    <w:jc w:val="center"/>
                    <w:rPr>
                      <w:sz w:val="21"/>
                      <w:szCs w:val="21"/>
                    </w:rPr>
                  </w:pPr>
                  <w:r>
                    <w:rPr>
                      <w:sz w:val="21"/>
                      <w:szCs w:val="21"/>
                    </w:rPr>
                    <w:t>1m</w:t>
                  </w:r>
                </w:p>
              </w:tc>
            </w:tr>
            <w:tr w14:paraId="118C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3F166B46">
                  <w:pPr>
                    <w:pStyle w:val="28"/>
                    <w:spacing w:line="240" w:lineRule="exact"/>
                    <w:rPr>
                      <w:kern w:val="2"/>
                      <w:sz w:val="21"/>
                    </w:rPr>
                  </w:pPr>
                </w:p>
              </w:tc>
              <w:tc>
                <w:tcPr>
                  <w:tcW w:w="430" w:type="pct"/>
                  <w:vMerge w:val="continue"/>
                  <w:vAlign w:val="center"/>
                </w:tcPr>
                <w:p w14:paraId="3481E070">
                  <w:pPr>
                    <w:pStyle w:val="28"/>
                    <w:spacing w:line="240" w:lineRule="exact"/>
                    <w:rPr>
                      <w:kern w:val="2"/>
                      <w:sz w:val="21"/>
                    </w:rPr>
                  </w:pPr>
                </w:p>
              </w:tc>
              <w:tc>
                <w:tcPr>
                  <w:tcW w:w="365" w:type="pct"/>
                  <w:vMerge w:val="continue"/>
                  <w:vAlign w:val="center"/>
                </w:tcPr>
                <w:p w14:paraId="6B93A145">
                  <w:pPr>
                    <w:pStyle w:val="28"/>
                    <w:spacing w:line="240" w:lineRule="exact"/>
                    <w:rPr>
                      <w:kern w:val="2"/>
                      <w:sz w:val="21"/>
                    </w:rPr>
                  </w:pPr>
                </w:p>
              </w:tc>
              <w:tc>
                <w:tcPr>
                  <w:tcW w:w="275" w:type="pct"/>
                  <w:vMerge w:val="continue"/>
                  <w:vAlign w:val="center"/>
                </w:tcPr>
                <w:p w14:paraId="1E1CD1CC">
                  <w:pPr>
                    <w:pStyle w:val="28"/>
                    <w:spacing w:line="240" w:lineRule="exact"/>
                    <w:rPr>
                      <w:kern w:val="2"/>
                      <w:sz w:val="21"/>
                    </w:rPr>
                  </w:pPr>
                </w:p>
              </w:tc>
              <w:tc>
                <w:tcPr>
                  <w:tcW w:w="407" w:type="pct"/>
                  <w:vMerge w:val="continue"/>
                  <w:vAlign w:val="center"/>
                </w:tcPr>
                <w:p w14:paraId="5786749A">
                  <w:pPr>
                    <w:pStyle w:val="28"/>
                    <w:spacing w:line="240" w:lineRule="exact"/>
                    <w:rPr>
                      <w:kern w:val="2"/>
                      <w:sz w:val="21"/>
                    </w:rPr>
                  </w:pPr>
                </w:p>
              </w:tc>
              <w:tc>
                <w:tcPr>
                  <w:tcW w:w="280" w:type="pct"/>
                  <w:vMerge w:val="continue"/>
                  <w:vAlign w:val="center"/>
                </w:tcPr>
                <w:p w14:paraId="741F392A">
                  <w:pPr>
                    <w:spacing w:line="240" w:lineRule="exact"/>
                    <w:jc w:val="center"/>
                    <w:rPr>
                      <w:sz w:val="21"/>
                      <w:szCs w:val="21"/>
                    </w:rPr>
                  </w:pPr>
                </w:p>
              </w:tc>
              <w:tc>
                <w:tcPr>
                  <w:tcW w:w="319" w:type="pct"/>
                  <w:vMerge w:val="continue"/>
                  <w:vAlign w:val="center"/>
                </w:tcPr>
                <w:p w14:paraId="4F6884D3">
                  <w:pPr>
                    <w:spacing w:line="240" w:lineRule="exact"/>
                    <w:jc w:val="center"/>
                    <w:rPr>
                      <w:sz w:val="21"/>
                      <w:szCs w:val="21"/>
                    </w:rPr>
                  </w:pPr>
                </w:p>
              </w:tc>
              <w:tc>
                <w:tcPr>
                  <w:tcW w:w="263" w:type="pct"/>
                  <w:vMerge w:val="continue"/>
                  <w:vAlign w:val="center"/>
                </w:tcPr>
                <w:p w14:paraId="02BA913C">
                  <w:pPr>
                    <w:spacing w:line="240" w:lineRule="exact"/>
                    <w:jc w:val="center"/>
                    <w:rPr>
                      <w:sz w:val="21"/>
                      <w:szCs w:val="21"/>
                    </w:rPr>
                  </w:pPr>
                </w:p>
              </w:tc>
              <w:tc>
                <w:tcPr>
                  <w:tcW w:w="209" w:type="pct"/>
                  <w:vAlign w:val="center"/>
                </w:tcPr>
                <w:p w14:paraId="66E29076">
                  <w:pPr>
                    <w:spacing w:line="240" w:lineRule="exact"/>
                    <w:jc w:val="center"/>
                    <w:rPr>
                      <w:sz w:val="21"/>
                      <w:szCs w:val="21"/>
                    </w:rPr>
                  </w:pPr>
                  <w:r>
                    <w:rPr>
                      <w:sz w:val="21"/>
                      <w:szCs w:val="21"/>
                    </w:rPr>
                    <w:t>西</w:t>
                  </w:r>
                </w:p>
              </w:tc>
              <w:tc>
                <w:tcPr>
                  <w:tcW w:w="356" w:type="pct"/>
                  <w:vAlign w:val="center"/>
                </w:tcPr>
                <w:p w14:paraId="3E9D132A">
                  <w:pPr>
                    <w:spacing w:line="240" w:lineRule="exact"/>
                    <w:jc w:val="center"/>
                    <w:rPr>
                      <w:sz w:val="21"/>
                      <w:szCs w:val="21"/>
                    </w:rPr>
                  </w:pPr>
                  <w:r>
                    <w:rPr>
                      <w:sz w:val="21"/>
                      <w:szCs w:val="21"/>
                    </w:rPr>
                    <w:t>3</w:t>
                  </w:r>
                </w:p>
              </w:tc>
              <w:tc>
                <w:tcPr>
                  <w:tcW w:w="695" w:type="dxa"/>
                  <w:vAlign w:val="center"/>
                </w:tcPr>
                <w:p w14:paraId="3E422A51">
                  <w:pPr>
                    <w:widowControl/>
                    <w:jc w:val="right"/>
                    <w:textAlignment w:val="center"/>
                    <w:rPr>
                      <w:sz w:val="21"/>
                      <w:szCs w:val="21"/>
                    </w:rPr>
                  </w:pPr>
                  <w:r>
                    <w:rPr>
                      <w:color w:val="000000"/>
                      <w:kern w:val="0"/>
                      <w:sz w:val="21"/>
                      <w:szCs w:val="21"/>
                      <w:lang w:bidi="ar"/>
                    </w:rPr>
                    <w:t xml:space="preserve">57.8 </w:t>
                  </w:r>
                </w:p>
              </w:tc>
              <w:tc>
                <w:tcPr>
                  <w:tcW w:w="295" w:type="pct"/>
                  <w:vMerge w:val="continue"/>
                  <w:vAlign w:val="center"/>
                </w:tcPr>
                <w:p w14:paraId="3AC33BD3">
                  <w:pPr>
                    <w:pStyle w:val="28"/>
                    <w:spacing w:line="240" w:lineRule="exact"/>
                    <w:rPr>
                      <w:kern w:val="2"/>
                      <w:sz w:val="21"/>
                    </w:rPr>
                  </w:pPr>
                </w:p>
              </w:tc>
              <w:tc>
                <w:tcPr>
                  <w:tcW w:w="695" w:type="dxa"/>
                  <w:vAlign w:val="center"/>
                </w:tcPr>
                <w:p w14:paraId="4B2E0BE4">
                  <w:pPr>
                    <w:spacing w:line="240" w:lineRule="exact"/>
                    <w:jc w:val="center"/>
                    <w:rPr>
                      <w:sz w:val="21"/>
                      <w:szCs w:val="21"/>
                    </w:rPr>
                  </w:pPr>
                  <w:r>
                    <w:rPr>
                      <w:sz w:val="21"/>
                      <w:szCs w:val="21"/>
                    </w:rPr>
                    <w:t>25</w:t>
                  </w:r>
                </w:p>
              </w:tc>
              <w:tc>
                <w:tcPr>
                  <w:tcW w:w="713" w:type="dxa"/>
                  <w:vAlign w:val="center"/>
                </w:tcPr>
                <w:p w14:paraId="44749350">
                  <w:pPr>
                    <w:widowControl/>
                    <w:jc w:val="right"/>
                    <w:textAlignment w:val="center"/>
                    <w:rPr>
                      <w:sz w:val="21"/>
                      <w:szCs w:val="21"/>
                    </w:rPr>
                  </w:pPr>
                  <w:r>
                    <w:rPr>
                      <w:color w:val="000000"/>
                      <w:kern w:val="0"/>
                      <w:sz w:val="21"/>
                      <w:szCs w:val="21"/>
                      <w:lang w:bidi="ar"/>
                    </w:rPr>
                    <w:t xml:space="preserve">32.8 </w:t>
                  </w:r>
                </w:p>
              </w:tc>
              <w:tc>
                <w:tcPr>
                  <w:tcW w:w="358" w:type="pct"/>
                  <w:vAlign w:val="center"/>
                </w:tcPr>
                <w:p w14:paraId="55561AB8">
                  <w:pPr>
                    <w:spacing w:line="240" w:lineRule="exact"/>
                    <w:jc w:val="center"/>
                    <w:rPr>
                      <w:sz w:val="21"/>
                      <w:szCs w:val="21"/>
                    </w:rPr>
                  </w:pPr>
                  <w:r>
                    <w:rPr>
                      <w:sz w:val="21"/>
                      <w:szCs w:val="21"/>
                    </w:rPr>
                    <w:t>1m</w:t>
                  </w:r>
                </w:p>
              </w:tc>
            </w:tr>
            <w:tr w14:paraId="1F82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739AA3D0">
                  <w:pPr>
                    <w:pStyle w:val="28"/>
                    <w:spacing w:line="240" w:lineRule="exact"/>
                    <w:rPr>
                      <w:kern w:val="2"/>
                      <w:sz w:val="21"/>
                    </w:rPr>
                  </w:pPr>
                </w:p>
              </w:tc>
              <w:tc>
                <w:tcPr>
                  <w:tcW w:w="430" w:type="pct"/>
                  <w:vMerge w:val="continue"/>
                  <w:vAlign w:val="center"/>
                </w:tcPr>
                <w:p w14:paraId="09B07010">
                  <w:pPr>
                    <w:pStyle w:val="28"/>
                    <w:spacing w:line="240" w:lineRule="exact"/>
                    <w:rPr>
                      <w:kern w:val="2"/>
                      <w:sz w:val="21"/>
                    </w:rPr>
                  </w:pPr>
                </w:p>
              </w:tc>
              <w:tc>
                <w:tcPr>
                  <w:tcW w:w="365" w:type="pct"/>
                  <w:vMerge w:val="continue"/>
                  <w:vAlign w:val="center"/>
                </w:tcPr>
                <w:p w14:paraId="775F4161">
                  <w:pPr>
                    <w:pStyle w:val="28"/>
                    <w:spacing w:line="240" w:lineRule="exact"/>
                    <w:rPr>
                      <w:kern w:val="2"/>
                      <w:sz w:val="21"/>
                    </w:rPr>
                  </w:pPr>
                </w:p>
              </w:tc>
              <w:tc>
                <w:tcPr>
                  <w:tcW w:w="275" w:type="pct"/>
                  <w:vMerge w:val="continue"/>
                  <w:vAlign w:val="center"/>
                </w:tcPr>
                <w:p w14:paraId="66B7F7E9">
                  <w:pPr>
                    <w:pStyle w:val="28"/>
                    <w:spacing w:line="240" w:lineRule="exact"/>
                    <w:rPr>
                      <w:kern w:val="2"/>
                      <w:sz w:val="21"/>
                    </w:rPr>
                  </w:pPr>
                </w:p>
              </w:tc>
              <w:tc>
                <w:tcPr>
                  <w:tcW w:w="407" w:type="pct"/>
                  <w:vMerge w:val="continue"/>
                  <w:vAlign w:val="center"/>
                </w:tcPr>
                <w:p w14:paraId="0B5B7A11">
                  <w:pPr>
                    <w:pStyle w:val="28"/>
                    <w:spacing w:line="240" w:lineRule="exact"/>
                    <w:rPr>
                      <w:kern w:val="2"/>
                      <w:sz w:val="21"/>
                    </w:rPr>
                  </w:pPr>
                </w:p>
              </w:tc>
              <w:tc>
                <w:tcPr>
                  <w:tcW w:w="280" w:type="pct"/>
                  <w:vMerge w:val="continue"/>
                  <w:vAlign w:val="center"/>
                </w:tcPr>
                <w:p w14:paraId="3AABB81B">
                  <w:pPr>
                    <w:spacing w:line="240" w:lineRule="exact"/>
                    <w:jc w:val="center"/>
                    <w:rPr>
                      <w:sz w:val="21"/>
                      <w:szCs w:val="21"/>
                    </w:rPr>
                  </w:pPr>
                </w:p>
              </w:tc>
              <w:tc>
                <w:tcPr>
                  <w:tcW w:w="319" w:type="pct"/>
                  <w:vMerge w:val="continue"/>
                  <w:vAlign w:val="center"/>
                </w:tcPr>
                <w:p w14:paraId="6B16F90A">
                  <w:pPr>
                    <w:spacing w:line="240" w:lineRule="exact"/>
                    <w:jc w:val="center"/>
                    <w:rPr>
                      <w:sz w:val="21"/>
                      <w:szCs w:val="21"/>
                    </w:rPr>
                  </w:pPr>
                </w:p>
              </w:tc>
              <w:tc>
                <w:tcPr>
                  <w:tcW w:w="263" w:type="pct"/>
                  <w:vMerge w:val="continue"/>
                  <w:vAlign w:val="center"/>
                </w:tcPr>
                <w:p w14:paraId="53A3A7AF">
                  <w:pPr>
                    <w:spacing w:line="240" w:lineRule="exact"/>
                    <w:jc w:val="center"/>
                    <w:rPr>
                      <w:sz w:val="21"/>
                      <w:szCs w:val="21"/>
                    </w:rPr>
                  </w:pPr>
                </w:p>
              </w:tc>
              <w:tc>
                <w:tcPr>
                  <w:tcW w:w="209" w:type="pct"/>
                  <w:vAlign w:val="center"/>
                </w:tcPr>
                <w:p w14:paraId="6B9DC597">
                  <w:pPr>
                    <w:spacing w:line="240" w:lineRule="exact"/>
                    <w:jc w:val="center"/>
                    <w:rPr>
                      <w:sz w:val="21"/>
                      <w:szCs w:val="21"/>
                    </w:rPr>
                  </w:pPr>
                  <w:r>
                    <w:rPr>
                      <w:sz w:val="21"/>
                      <w:szCs w:val="21"/>
                    </w:rPr>
                    <w:t>南</w:t>
                  </w:r>
                </w:p>
              </w:tc>
              <w:tc>
                <w:tcPr>
                  <w:tcW w:w="356" w:type="pct"/>
                  <w:vAlign w:val="center"/>
                </w:tcPr>
                <w:p w14:paraId="22DD2DAD">
                  <w:pPr>
                    <w:spacing w:line="240" w:lineRule="exact"/>
                    <w:jc w:val="center"/>
                    <w:rPr>
                      <w:sz w:val="21"/>
                      <w:szCs w:val="21"/>
                    </w:rPr>
                  </w:pPr>
                  <w:r>
                    <w:rPr>
                      <w:sz w:val="21"/>
                      <w:szCs w:val="21"/>
                    </w:rPr>
                    <w:t>16</w:t>
                  </w:r>
                </w:p>
              </w:tc>
              <w:tc>
                <w:tcPr>
                  <w:tcW w:w="695" w:type="dxa"/>
                  <w:vAlign w:val="center"/>
                </w:tcPr>
                <w:p w14:paraId="7F613559">
                  <w:pPr>
                    <w:widowControl/>
                    <w:jc w:val="right"/>
                    <w:textAlignment w:val="center"/>
                    <w:rPr>
                      <w:sz w:val="21"/>
                      <w:szCs w:val="21"/>
                    </w:rPr>
                  </w:pPr>
                  <w:r>
                    <w:rPr>
                      <w:color w:val="000000"/>
                      <w:kern w:val="0"/>
                      <w:sz w:val="21"/>
                      <w:szCs w:val="21"/>
                      <w:lang w:bidi="ar"/>
                    </w:rPr>
                    <w:t xml:space="preserve">48.1 </w:t>
                  </w:r>
                </w:p>
              </w:tc>
              <w:tc>
                <w:tcPr>
                  <w:tcW w:w="295" w:type="pct"/>
                  <w:vMerge w:val="continue"/>
                  <w:vAlign w:val="center"/>
                </w:tcPr>
                <w:p w14:paraId="0F27B93B">
                  <w:pPr>
                    <w:pStyle w:val="28"/>
                    <w:spacing w:line="240" w:lineRule="exact"/>
                    <w:rPr>
                      <w:kern w:val="2"/>
                      <w:sz w:val="21"/>
                    </w:rPr>
                  </w:pPr>
                </w:p>
              </w:tc>
              <w:tc>
                <w:tcPr>
                  <w:tcW w:w="695" w:type="dxa"/>
                  <w:vAlign w:val="center"/>
                </w:tcPr>
                <w:p w14:paraId="78F7B617">
                  <w:pPr>
                    <w:spacing w:line="240" w:lineRule="exact"/>
                    <w:jc w:val="center"/>
                    <w:rPr>
                      <w:sz w:val="21"/>
                      <w:szCs w:val="21"/>
                    </w:rPr>
                  </w:pPr>
                  <w:r>
                    <w:rPr>
                      <w:sz w:val="21"/>
                      <w:szCs w:val="21"/>
                    </w:rPr>
                    <w:t>25</w:t>
                  </w:r>
                </w:p>
              </w:tc>
              <w:tc>
                <w:tcPr>
                  <w:tcW w:w="713" w:type="dxa"/>
                  <w:vAlign w:val="center"/>
                </w:tcPr>
                <w:p w14:paraId="3D549DA6">
                  <w:pPr>
                    <w:widowControl/>
                    <w:jc w:val="right"/>
                    <w:textAlignment w:val="center"/>
                    <w:rPr>
                      <w:sz w:val="21"/>
                      <w:szCs w:val="21"/>
                    </w:rPr>
                  </w:pPr>
                  <w:r>
                    <w:rPr>
                      <w:color w:val="000000"/>
                      <w:kern w:val="0"/>
                      <w:sz w:val="21"/>
                      <w:szCs w:val="21"/>
                      <w:lang w:bidi="ar"/>
                    </w:rPr>
                    <w:t xml:space="preserve">23.1 </w:t>
                  </w:r>
                </w:p>
              </w:tc>
              <w:tc>
                <w:tcPr>
                  <w:tcW w:w="358" w:type="pct"/>
                  <w:vAlign w:val="center"/>
                </w:tcPr>
                <w:p w14:paraId="1C882313">
                  <w:pPr>
                    <w:spacing w:line="240" w:lineRule="exact"/>
                    <w:jc w:val="center"/>
                    <w:rPr>
                      <w:sz w:val="21"/>
                      <w:szCs w:val="21"/>
                    </w:rPr>
                  </w:pPr>
                  <w:r>
                    <w:rPr>
                      <w:sz w:val="21"/>
                      <w:szCs w:val="21"/>
                    </w:rPr>
                    <w:t>1m</w:t>
                  </w:r>
                </w:p>
              </w:tc>
            </w:tr>
            <w:tr w14:paraId="6E59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4E31D163">
                  <w:pPr>
                    <w:pStyle w:val="28"/>
                    <w:spacing w:line="240" w:lineRule="exact"/>
                    <w:rPr>
                      <w:kern w:val="2"/>
                      <w:sz w:val="21"/>
                    </w:rPr>
                  </w:pPr>
                </w:p>
              </w:tc>
              <w:tc>
                <w:tcPr>
                  <w:tcW w:w="430" w:type="pct"/>
                  <w:vMerge w:val="continue"/>
                  <w:vAlign w:val="center"/>
                </w:tcPr>
                <w:p w14:paraId="0E7B32D4">
                  <w:pPr>
                    <w:spacing w:line="240" w:lineRule="exact"/>
                    <w:jc w:val="center"/>
                    <w:rPr>
                      <w:sz w:val="21"/>
                      <w:szCs w:val="21"/>
                    </w:rPr>
                  </w:pPr>
                </w:p>
              </w:tc>
              <w:tc>
                <w:tcPr>
                  <w:tcW w:w="365" w:type="pct"/>
                  <w:vMerge w:val="continue"/>
                  <w:vAlign w:val="center"/>
                </w:tcPr>
                <w:p w14:paraId="1CE0FA5D">
                  <w:pPr>
                    <w:pStyle w:val="28"/>
                    <w:spacing w:line="240" w:lineRule="exact"/>
                    <w:rPr>
                      <w:kern w:val="2"/>
                      <w:sz w:val="21"/>
                    </w:rPr>
                  </w:pPr>
                </w:p>
              </w:tc>
              <w:tc>
                <w:tcPr>
                  <w:tcW w:w="275" w:type="pct"/>
                  <w:vMerge w:val="continue"/>
                  <w:vAlign w:val="center"/>
                </w:tcPr>
                <w:p w14:paraId="247FF5E4">
                  <w:pPr>
                    <w:pStyle w:val="28"/>
                    <w:spacing w:line="240" w:lineRule="exact"/>
                    <w:rPr>
                      <w:kern w:val="2"/>
                      <w:sz w:val="21"/>
                    </w:rPr>
                  </w:pPr>
                </w:p>
              </w:tc>
              <w:tc>
                <w:tcPr>
                  <w:tcW w:w="407" w:type="pct"/>
                  <w:vMerge w:val="continue"/>
                  <w:vAlign w:val="center"/>
                </w:tcPr>
                <w:p w14:paraId="421899A0">
                  <w:pPr>
                    <w:pStyle w:val="28"/>
                    <w:spacing w:line="240" w:lineRule="exact"/>
                    <w:rPr>
                      <w:kern w:val="2"/>
                      <w:sz w:val="21"/>
                    </w:rPr>
                  </w:pPr>
                </w:p>
              </w:tc>
              <w:tc>
                <w:tcPr>
                  <w:tcW w:w="280" w:type="pct"/>
                  <w:vMerge w:val="continue"/>
                  <w:vAlign w:val="center"/>
                </w:tcPr>
                <w:p w14:paraId="56BB31A9">
                  <w:pPr>
                    <w:spacing w:line="240" w:lineRule="exact"/>
                    <w:jc w:val="center"/>
                    <w:rPr>
                      <w:sz w:val="21"/>
                      <w:szCs w:val="21"/>
                    </w:rPr>
                  </w:pPr>
                </w:p>
              </w:tc>
              <w:tc>
                <w:tcPr>
                  <w:tcW w:w="319" w:type="pct"/>
                  <w:vMerge w:val="continue"/>
                  <w:vAlign w:val="center"/>
                </w:tcPr>
                <w:p w14:paraId="70C7CA49">
                  <w:pPr>
                    <w:spacing w:line="240" w:lineRule="exact"/>
                    <w:jc w:val="center"/>
                    <w:rPr>
                      <w:sz w:val="21"/>
                      <w:szCs w:val="21"/>
                    </w:rPr>
                  </w:pPr>
                </w:p>
              </w:tc>
              <w:tc>
                <w:tcPr>
                  <w:tcW w:w="263" w:type="pct"/>
                  <w:vMerge w:val="continue"/>
                  <w:vAlign w:val="center"/>
                </w:tcPr>
                <w:p w14:paraId="073D0229">
                  <w:pPr>
                    <w:spacing w:line="240" w:lineRule="exact"/>
                    <w:jc w:val="center"/>
                    <w:rPr>
                      <w:sz w:val="21"/>
                      <w:szCs w:val="21"/>
                    </w:rPr>
                  </w:pPr>
                </w:p>
              </w:tc>
              <w:tc>
                <w:tcPr>
                  <w:tcW w:w="209" w:type="pct"/>
                  <w:vAlign w:val="center"/>
                </w:tcPr>
                <w:p w14:paraId="4413BA23">
                  <w:pPr>
                    <w:spacing w:line="240" w:lineRule="exact"/>
                    <w:jc w:val="center"/>
                    <w:rPr>
                      <w:sz w:val="21"/>
                      <w:szCs w:val="21"/>
                    </w:rPr>
                  </w:pPr>
                  <w:r>
                    <w:rPr>
                      <w:sz w:val="21"/>
                      <w:szCs w:val="21"/>
                    </w:rPr>
                    <w:t>北</w:t>
                  </w:r>
                </w:p>
              </w:tc>
              <w:tc>
                <w:tcPr>
                  <w:tcW w:w="356" w:type="pct"/>
                  <w:vAlign w:val="center"/>
                </w:tcPr>
                <w:p w14:paraId="19808B14">
                  <w:pPr>
                    <w:spacing w:line="240" w:lineRule="exact"/>
                    <w:jc w:val="center"/>
                    <w:rPr>
                      <w:sz w:val="21"/>
                      <w:szCs w:val="21"/>
                    </w:rPr>
                  </w:pPr>
                  <w:r>
                    <w:rPr>
                      <w:sz w:val="21"/>
                      <w:szCs w:val="21"/>
                    </w:rPr>
                    <w:t>13</w:t>
                  </w:r>
                </w:p>
              </w:tc>
              <w:tc>
                <w:tcPr>
                  <w:tcW w:w="695" w:type="dxa"/>
                  <w:vAlign w:val="center"/>
                </w:tcPr>
                <w:p w14:paraId="38229412">
                  <w:pPr>
                    <w:widowControl/>
                    <w:jc w:val="right"/>
                    <w:textAlignment w:val="center"/>
                    <w:rPr>
                      <w:sz w:val="21"/>
                      <w:szCs w:val="21"/>
                    </w:rPr>
                  </w:pPr>
                  <w:r>
                    <w:rPr>
                      <w:color w:val="000000"/>
                      <w:kern w:val="0"/>
                      <w:sz w:val="21"/>
                      <w:szCs w:val="21"/>
                      <w:lang w:bidi="ar"/>
                    </w:rPr>
                    <w:t xml:space="preserve">48.7 </w:t>
                  </w:r>
                </w:p>
              </w:tc>
              <w:tc>
                <w:tcPr>
                  <w:tcW w:w="295" w:type="pct"/>
                  <w:vMerge w:val="continue"/>
                  <w:vAlign w:val="center"/>
                </w:tcPr>
                <w:p w14:paraId="6C88F153">
                  <w:pPr>
                    <w:pStyle w:val="28"/>
                    <w:spacing w:line="240" w:lineRule="exact"/>
                    <w:rPr>
                      <w:kern w:val="2"/>
                      <w:sz w:val="21"/>
                    </w:rPr>
                  </w:pPr>
                </w:p>
              </w:tc>
              <w:tc>
                <w:tcPr>
                  <w:tcW w:w="695" w:type="dxa"/>
                  <w:vAlign w:val="center"/>
                </w:tcPr>
                <w:p w14:paraId="532035C1">
                  <w:pPr>
                    <w:spacing w:line="240" w:lineRule="exact"/>
                    <w:jc w:val="center"/>
                    <w:rPr>
                      <w:sz w:val="21"/>
                      <w:szCs w:val="21"/>
                    </w:rPr>
                  </w:pPr>
                  <w:r>
                    <w:rPr>
                      <w:sz w:val="21"/>
                      <w:szCs w:val="21"/>
                    </w:rPr>
                    <w:t>25</w:t>
                  </w:r>
                </w:p>
              </w:tc>
              <w:tc>
                <w:tcPr>
                  <w:tcW w:w="713" w:type="dxa"/>
                  <w:vAlign w:val="center"/>
                </w:tcPr>
                <w:p w14:paraId="036D186D">
                  <w:pPr>
                    <w:widowControl/>
                    <w:jc w:val="right"/>
                    <w:textAlignment w:val="center"/>
                    <w:rPr>
                      <w:sz w:val="21"/>
                      <w:szCs w:val="21"/>
                    </w:rPr>
                  </w:pPr>
                  <w:r>
                    <w:rPr>
                      <w:color w:val="000000"/>
                      <w:kern w:val="0"/>
                      <w:sz w:val="21"/>
                      <w:szCs w:val="21"/>
                      <w:lang w:bidi="ar"/>
                    </w:rPr>
                    <w:t xml:space="preserve">23.7 </w:t>
                  </w:r>
                </w:p>
              </w:tc>
              <w:tc>
                <w:tcPr>
                  <w:tcW w:w="358" w:type="pct"/>
                  <w:vAlign w:val="center"/>
                </w:tcPr>
                <w:p w14:paraId="19BEE101">
                  <w:pPr>
                    <w:spacing w:line="240" w:lineRule="exact"/>
                    <w:jc w:val="center"/>
                    <w:rPr>
                      <w:sz w:val="21"/>
                      <w:szCs w:val="21"/>
                    </w:rPr>
                  </w:pPr>
                  <w:r>
                    <w:rPr>
                      <w:sz w:val="21"/>
                      <w:szCs w:val="21"/>
                    </w:rPr>
                    <w:t>1m</w:t>
                  </w:r>
                </w:p>
              </w:tc>
            </w:tr>
            <w:tr w14:paraId="5B6B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2D00058A">
                  <w:pPr>
                    <w:pStyle w:val="28"/>
                    <w:spacing w:line="240" w:lineRule="exact"/>
                    <w:rPr>
                      <w:sz w:val="21"/>
                    </w:rPr>
                  </w:pPr>
                </w:p>
              </w:tc>
              <w:tc>
                <w:tcPr>
                  <w:tcW w:w="430" w:type="pct"/>
                  <w:vMerge w:val="restart"/>
                  <w:vAlign w:val="center"/>
                </w:tcPr>
                <w:p w14:paraId="34146D55">
                  <w:pPr>
                    <w:pStyle w:val="28"/>
                    <w:spacing w:line="240" w:lineRule="exact"/>
                    <w:rPr>
                      <w:sz w:val="21"/>
                    </w:rPr>
                  </w:pPr>
                  <w:r>
                    <w:rPr>
                      <w:sz w:val="21"/>
                    </w:rPr>
                    <w:t>切菜机2</w:t>
                  </w:r>
                </w:p>
              </w:tc>
              <w:tc>
                <w:tcPr>
                  <w:tcW w:w="365" w:type="pct"/>
                  <w:vMerge w:val="restart"/>
                  <w:vAlign w:val="center"/>
                </w:tcPr>
                <w:p w14:paraId="65804DA7">
                  <w:pPr>
                    <w:pStyle w:val="28"/>
                    <w:spacing w:line="240" w:lineRule="exact"/>
                    <w:rPr>
                      <w:kern w:val="2"/>
                      <w:sz w:val="21"/>
                    </w:rPr>
                  </w:pPr>
                  <w:r>
                    <w:rPr>
                      <w:kern w:val="2"/>
                      <w:sz w:val="21"/>
                    </w:rPr>
                    <w:t>75</w:t>
                  </w:r>
                </w:p>
              </w:tc>
              <w:tc>
                <w:tcPr>
                  <w:tcW w:w="275" w:type="pct"/>
                  <w:vMerge w:val="restart"/>
                  <w:vAlign w:val="center"/>
                </w:tcPr>
                <w:p w14:paraId="2099900D">
                  <w:pPr>
                    <w:pStyle w:val="28"/>
                    <w:spacing w:line="240" w:lineRule="exact"/>
                    <w:rPr>
                      <w:kern w:val="2"/>
                      <w:sz w:val="21"/>
                    </w:rPr>
                  </w:pPr>
                  <w:r>
                    <w:rPr>
                      <w:sz w:val="21"/>
                    </w:rPr>
                    <w:t>1</w:t>
                  </w:r>
                </w:p>
              </w:tc>
              <w:tc>
                <w:tcPr>
                  <w:tcW w:w="407" w:type="pct"/>
                  <w:vMerge w:val="restart"/>
                  <w:vAlign w:val="center"/>
                </w:tcPr>
                <w:p w14:paraId="5D849B7A">
                  <w:pPr>
                    <w:spacing w:line="240" w:lineRule="exact"/>
                    <w:jc w:val="center"/>
                    <w:rPr>
                      <w:sz w:val="21"/>
                      <w:szCs w:val="21"/>
                    </w:rPr>
                  </w:pPr>
                  <w:r>
                    <w:rPr>
                      <w:kern w:val="0"/>
                      <w:sz w:val="21"/>
                      <w:szCs w:val="21"/>
                    </w:rPr>
                    <w:t>基础减振、厂房隔声</w:t>
                  </w:r>
                </w:p>
              </w:tc>
              <w:tc>
                <w:tcPr>
                  <w:tcW w:w="280" w:type="pct"/>
                  <w:vMerge w:val="restart"/>
                  <w:vAlign w:val="center"/>
                </w:tcPr>
                <w:p w14:paraId="5F8414E7">
                  <w:pPr>
                    <w:spacing w:line="240" w:lineRule="exact"/>
                    <w:jc w:val="center"/>
                    <w:rPr>
                      <w:sz w:val="21"/>
                      <w:szCs w:val="21"/>
                    </w:rPr>
                  </w:pPr>
                  <w:r>
                    <w:rPr>
                      <w:sz w:val="21"/>
                      <w:szCs w:val="21"/>
                    </w:rPr>
                    <w:t>-9</w:t>
                  </w:r>
                </w:p>
              </w:tc>
              <w:tc>
                <w:tcPr>
                  <w:tcW w:w="319" w:type="pct"/>
                  <w:vMerge w:val="restart"/>
                  <w:vAlign w:val="center"/>
                </w:tcPr>
                <w:p w14:paraId="102E83FF">
                  <w:pPr>
                    <w:spacing w:line="240" w:lineRule="exact"/>
                    <w:jc w:val="center"/>
                    <w:rPr>
                      <w:sz w:val="21"/>
                      <w:szCs w:val="21"/>
                    </w:rPr>
                  </w:pPr>
                  <w:r>
                    <w:rPr>
                      <w:sz w:val="21"/>
                      <w:szCs w:val="21"/>
                    </w:rPr>
                    <w:t>-1.5</w:t>
                  </w:r>
                </w:p>
              </w:tc>
              <w:tc>
                <w:tcPr>
                  <w:tcW w:w="263" w:type="pct"/>
                  <w:vMerge w:val="restart"/>
                  <w:vAlign w:val="center"/>
                </w:tcPr>
                <w:p w14:paraId="7AC7A600">
                  <w:pPr>
                    <w:spacing w:line="240" w:lineRule="exact"/>
                    <w:jc w:val="center"/>
                    <w:rPr>
                      <w:sz w:val="21"/>
                      <w:szCs w:val="21"/>
                    </w:rPr>
                  </w:pPr>
                  <w:r>
                    <w:rPr>
                      <w:sz w:val="21"/>
                      <w:szCs w:val="21"/>
                    </w:rPr>
                    <w:t>1</w:t>
                  </w:r>
                </w:p>
              </w:tc>
              <w:tc>
                <w:tcPr>
                  <w:tcW w:w="209" w:type="pct"/>
                  <w:vAlign w:val="center"/>
                </w:tcPr>
                <w:p w14:paraId="048386F6">
                  <w:pPr>
                    <w:spacing w:line="240" w:lineRule="exact"/>
                    <w:jc w:val="center"/>
                    <w:rPr>
                      <w:sz w:val="21"/>
                      <w:szCs w:val="21"/>
                    </w:rPr>
                  </w:pPr>
                  <w:r>
                    <w:rPr>
                      <w:sz w:val="21"/>
                      <w:szCs w:val="21"/>
                    </w:rPr>
                    <w:t>东</w:t>
                  </w:r>
                </w:p>
              </w:tc>
              <w:tc>
                <w:tcPr>
                  <w:tcW w:w="356" w:type="pct"/>
                  <w:vAlign w:val="center"/>
                </w:tcPr>
                <w:p w14:paraId="0ABAEE93">
                  <w:pPr>
                    <w:spacing w:line="240" w:lineRule="exact"/>
                    <w:jc w:val="center"/>
                    <w:rPr>
                      <w:sz w:val="21"/>
                      <w:szCs w:val="21"/>
                    </w:rPr>
                  </w:pPr>
                  <w:r>
                    <w:rPr>
                      <w:sz w:val="21"/>
                      <w:szCs w:val="21"/>
                    </w:rPr>
                    <w:t>41</w:t>
                  </w:r>
                </w:p>
              </w:tc>
              <w:tc>
                <w:tcPr>
                  <w:tcW w:w="695" w:type="dxa"/>
                  <w:vAlign w:val="center"/>
                </w:tcPr>
                <w:p w14:paraId="32F68D1B">
                  <w:pPr>
                    <w:widowControl/>
                    <w:jc w:val="right"/>
                    <w:textAlignment w:val="center"/>
                    <w:rPr>
                      <w:sz w:val="21"/>
                      <w:szCs w:val="21"/>
                    </w:rPr>
                  </w:pPr>
                  <w:r>
                    <w:rPr>
                      <w:color w:val="000000"/>
                      <w:kern w:val="0"/>
                      <w:sz w:val="21"/>
                      <w:szCs w:val="21"/>
                      <w:lang w:bidi="ar"/>
                    </w:rPr>
                    <w:t xml:space="preserve">46.8 </w:t>
                  </w:r>
                </w:p>
              </w:tc>
              <w:tc>
                <w:tcPr>
                  <w:tcW w:w="295" w:type="pct"/>
                  <w:vMerge w:val="continue"/>
                  <w:vAlign w:val="center"/>
                </w:tcPr>
                <w:p w14:paraId="539826FA">
                  <w:pPr>
                    <w:pStyle w:val="28"/>
                    <w:spacing w:line="240" w:lineRule="exact"/>
                    <w:rPr>
                      <w:kern w:val="2"/>
                      <w:sz w:val="21"/>
                    </w:rPr>
                  </w:pPr>
                </w:p>
              </w:tc>
              <w:tc>
                <w:tcPr>
                  <w:tcW w:w="695" w:type="dxa"/>
                  <w:vAlign w:val="center"/>
                </w:tcPr>
                <w:p w14:paraId="01966569">
                  <w:pPr>
                    <w:spacing w:line="240" w:lineRule="exact"/>
                    <w:jc w:val="center"/>
                    <w:rPr>
                      <w:sz w:val="21"/>
                      <w:szCs w:val="21"/>
                    </w:rPr>
                  </w:pPr>
                  <w:r>
                    <w:rPr>
                      <w:sz w:val="21"/>
                      <w:szCs w:val="21"/>
                    </w:rPr>
                    <w:t>25</w:t>
                  </w:r>
                </w:p>
              </w:tc>
              <w:tc>
                <w:tcPr>
                  <w:tcW w:w="713" w:type="dxa"/>
                  <w:vAlign w:val="center"/>
                </w:tcPr>
                <w:p w14:paraId="313F87B4">
                  <w:pPr>
                    <w:widowControl/>
                    <w:jc w:val="right"/>
                    <w:textAlignment w:val="center"/>
                    <w:rPr>
                      <w:sz w:val="21"/>
                      <w:szCs w:val="21"/>
                    </w:rPr>
                  </w:pPr>
                  <w:r>
                    <w:rPr>
                      <w:color w:val="000000"/>
                      <w:kern w:val="0"/>
                      <w:sz w:val="21"/>
                      <w:szCs w:val="21"/>
                      <w:lang w:bidi="ar"/>
                    </w:rPr>
                    <w:t xml:space="preserve">21.8 </w:t>
                  </w:r>
                </w:p>
              </w:tc>
              <w:tc>
                <w:tcPr>
                  <w:tcW w:w="358" w:type="pct"/>
                  <w:vAlign w:val="center"/>
                </w:tcPr>
                <w:p w14:paraId="19634AD6">
                  <w:pPr>
                    <w:spacing w:line="240" w:lineRule="exact"/>
                    <w:jc w:val="center"/>
                    <w:rPr>
                      <w:sz w:val="21"/>
                      <w:szCs w:val="21"/>
                    </w:rPr>
                  </w:pPr>
                  <w:r>
                    <w:rPr>
                      <w:sz w:val="21"/>
                      <w:szCs w:val="21"/>
                    </w:rPr>
                    <w:t>1m</w:t>
                  </w:r>
                </w:p>
              </w:tc>
            </w:tr>
            <w:tr w14:paraId="0AE6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297B5350">
                  <w:pPr>
                    <w:pStyle w:val="28"/>
                    <w:spacing w:line="240" w:lineRule="exact"/>
                    <w:rPr>
                      <w:sz w:val="21"/>
                    </w:rPr>
                  </w:pPr>
                </w:p>
              </w:tc>
              <w:tc>
                <w:tcPr>
                  <w:tcW w:w="430" w:type="pct"/>
                  <w:vMerge w:val="continue"/>
                  <w:vAlign w:val="center"/>
                </w:tcPr>
                <w:p w14:paraId="289FFEBE">
                  <w:pPr>
                    <w:pStyle w:val="28"/>
                    <w:spacing w:line="240" w:lineRule="exact"/>
                    <w:rPr>
                      <w:kern w:val="2"/>
                      <w:sz w:val="21"/>
                    </w:rPr>
                  </w:pPr>
                </w:p>
              </w:tc>
              <w:tc>
                <w:tcPr>
                  <w:tcW w:w="365" w:type="pct"/>
                  <w:vMerge w:val="continue"/>
                  <w:vAlign w:val="center"/>
                </w:tcPr>
                <w:p w14:paraId="52C9A3F7">
                  <w:pPr>
                    <w:pStyle w:val="28"/>
                    <w:spacing w:line="240" w:lineRule="exact"/>
                    <w:rPr>
                      <w:kern w:val="2"/>
                      <w:sz w:val="21"/>
                    </w:rPr>
                  </w:pPr>
                </w:p>
              </w:tc>
              <w:tc>
                <w:tcPr>
                  <w:tcW w:w="275" w:type="pct"/>
                  <w:vMerge w:val="continue"/>
                  <w:vAlign w:val="center"/>
                </w:tcPr>
                <w:p w14:paraId="7B3FF8B5">
                  <w:pPr>
                    <w:pStyle w:val="28"/>
                    <w:spacing w:line="240" w:lineRule="exact"/>
                    <w:rPr>
                      <w:kern w:val="2"/>
                      <w:sz w:val="21"/>
                    </w:rPr>
                  </w:pPr>
                </w:p>
              </w:tc>
              <w:tc>
                <w:tcPr>
                  <w:tcW w:w="407" w:type="pct"/>
                  <w:vMerge w:val="continue"/>
                  <w:vAlign w:val="center"/>
                </w:tcPr>
                <w:p w14:paraId="1161A499">
                  <w:pPr>
                    <w:spacing w:line="240" w:lineRule="exact"/>
                    <w:jc w:val="center"/>
                    <w:rPr>
                      <w:sz w:val="21"/>
                      <w:szCs w:val="21"/>
                    </w:rPr>
                  </w:pPr>
                </w:p>
              </w:tc>
              <w:tc>
                <w:tcPr>
                  <w:tcW w:w="280" w:type="pct"/>
                  <w:vMerge w:val="continue"/>
                  <w:vAlign w:val="center"/>
                </w:tcPr>
                <w:p w14:paraId="07375F55">
                  <w:pPr>
                    <w:spacing w:line="240" w:lineRule="exact"/>
                    <w:jc w:val="center"/>
                    <w:rPr>
                      <w:sz w:val="21"/>
                      <w:szCs w:val="21"/>
                    </w:rPr>
                  </w:pPr>
                </w:p>
              </w:tc>
              <w:tc>
                <w:tcPr>
                  <w:tcW w:w="319" w:type="pct"/>
                  <w:vMerge w:val="continue"/>
                  <w:vAlign w:val="center"/>
                </w:tcPr>
                <w:p w14:paraId="4D1AC9F7">
                  <w:pPr>
                    <w:spacing w:line="240" w:lineRule="exact"/>
                    <w:jc w:val="center"/>
                    <w:rPr>
                      <w:sz w:val="21"/>
                      <w:szCs w:val="21"/>
                    </w:rPr>
                  </w:pPr>
                </w:p>
              </w:tc>
              <w:tc>
                <w:tcPr>
                  <w:tcW w:w="263" w:type="pct"/>
                  <w:vMerge w:val="continue"/>
                  <w:vAlign w:val="center"/>
                </w:tcPr>
                <w:p w14:paraId="52A27122">
                  <w:pPr>
                    <w:spacing w:line="240" w:lineRule="exact"/>
                    <w:jc w:val="center"/>
                    <w:rPr>
                      <w:sz w:val="21"/>
                      <w:szCs w:val="21"/>
                    </w:rPr>
                  </w:pPr>
                </w:p>
              </w:tc>
              <w:tc>
                <w:tcPr>
                  <w:tcW w:w="209" w:type="pct"/>
                  <w:vAlign w:val="center"/>
                </w:tcPr>
                <w:p w14:paraId="0045294C">
                  <w:pPr>
                    <w:spacing w:line="240" w:lineRule="exact"/>
                    <w:jc w:val="center"/>
                    <w:rPr>
                      <w:sz w:val="21"/>
                      <w:szCs w:val="21"/>
                    </w:rPr>
                  </w:pPr>
                  <w:r>
                    <w:rPr>
                      <w:sz w:val="21"/>
                      <w:szCs w:val="21"/>
                    </w:rPr>
                    <w:t>西</w:t>
                  </w:r>
                </w:p>
              </w:tc>
              <w:tc>
                <w:tcPr>
                  <w:tcW w:w="356" w:type="pct"/>
                  <w:vAlign w:val="center"/>
                </w:tcPr>
                <w:p w14:paraId="765C727D">
                  <w:pPr>
                    <w:spacing w:line="240" w:lineRule="exact"/>
                    <w:jc w:val="center"/>
                    <w:rPr>
                      <w:sz w:val="21"/>
                      <w:szCs w:val="21"/>
                    </w:rPr>
                  </w:pPr>
                  <w:r>
                    <w:rPr>
                      <w:sz w:val="21"/>
                      <w:szCs w:val="21"/>
                    </w:rPr>
                    <w:t>3.5</w:t>
                  </w:r>
                </w:p>
              </w:tc>
              <w:tc>
                <w:tcPr>
                  <w:tcW w:w="695" w:type="dxa"/>
                  <w:vAlign w:val="center"/>
                </w:tcPr>
                <w:p w14:paraId="45AE9B45">
                  <w:pPr>
                    <w:widowControl/>
                    <w:jc w:val="right"/>
                    <w:textAlignment w:val="center"/>
                    <w:rPr>
                      <w:sz w:val="21"/>
                      <w:szCs w:val="21"/>
                    </w:rPr>
                  </w:pPr>
                  <w:r>
                    <w:rPr>
                      <w:color w:val="000000"/>
                      <w:kern w:val="0"/>
                      <w:sz w:val="21"/>
                      <w:szCs w:val="21"/>
                      <w:lang w:bidi="ar"/>
                    </w:rPr>
                    <w:t xml:space="preserve">56.6 </w:t>
                  </w:r>
                </w:p>
              </w:tc>
              <w:tc>
                <w:tcPr>
                  <w:tcW w:w="295" w:type="pct"/>
                  <w:vMerge w:val="continue"/>
                  <w:vAlign w:val="center"/>
                </w:tcPr>
                <w:p w14:paraId="11040299">
                  <w:pPr>
                    <w:pStyle w:val="28"/>
                    <w:spacing w:line="240" w:lineRule="exact"/>
                    <w:rPr>
                      <w:kern w:val="2"/>
                      <w:sz w:val="21"/>
                    </w:rPr>
                  </w:pPr>
                </w:p>
              </w:tc>
              <w:tc>
                <w:tcPr>
                  <w:tcW w:w="695" w:type="dxa"/>
                  <w:vAlign w:val="center"/>
                </w:tcPr>
                <w:p w14:paraId="2BC76DA3">
                  <w:pPr>
                    <w:spacing w:line="240" w:lineRule="exact"/>
                    <w:jc w:val="center"/>
                    <w:rPr>
                      <w:sz w:val="21"/>
                      <w:szCs w:val="21"/>
                    </w:rPr>
                  </w:pPr>
                  <w:r>
                    <w:rPr>
                      <w:sz w:val="21"/>
                      <w:szCs w:val="21"/>
                    </w:rPr>
                    <w:t>25</w:t>
                  </w:r>
                </w:p>
              </w:tc>
              <w:tc>
                <w:tcPr>
                  <w:tcW w:w="713" w:type="dxa"/>
                  <w:vAlign w:val="center"/>
                </w:tcPr>
                <w:p w14:paraId="064B9DF1">
                  <w:pPr>
                    <w:widowControl/>
                    <w:jc w:val="right"/>
                    <w:textAlignment w:val="center"/>
                    <w:rPr>
                      <w:sz w:val="21"/>
                      <w:szCs w:val="21"/>
                    </w:rPr>
                  </w:pPr>
                  <w:r>
                    <w:rPr>
                      <w:color w:val="000000"/>
                      <w:kern w:val="0"/>
                      <w:sz w:val="21"/>
                      <w:szCs w:val="21"/>
                      <w:lang w:bidi="ar"/>
                    </w:rPr>
                    <w:t xml:space="preserve">31.6 </w:t>
                  </w:r>
                </w:p>
              </w:tc>
              <w:tc>
                <w:tcPr>
                  <w:tcW w:w="358" w:type="pct"/>
                  <w:vAlign w:val="center"/>
                </w:tcPr>
                <w:p w14:paraId="2D2A3CDF">
                  <w:pPr>
                    <w:spacing w:line="240" w:lineRule="exact"/>
                    <w:jc w:val="center"/>
                    <w:rPr>
                      <w:sz w:val="21"/>
                      <w:szCs w:val="21"/>
                    </w:rPr>
                  </w:pPr>
                  <w:r>
                    <w:rPr>
                      <w:sz w:val="21"/>
                      <w:szCs w:val="21"/>
                    </w:rPr>
                    <w:t>1m</w:t>
                  </w:r>
                </w:p>
              </w:tc>
            </w:tr>
            <w:tr w14:paraId="0ED3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47B7274B">
                  <w:pPr>
                    <w:pStyle w:val="28"/>
                    <w:spacing w:line="240" w:lineRule="exact"/>
                    <w:rPr>
                      <w:sz w:val="21"/>
                    </w:rPr>
                  </w:pPr>
                </w:p>
              </w:tc>
              <w:tc>
                <w:tcPr>
                  <w:tcW w:w="430" w:type="pct"/>
                  <w:vMerge w:val="continue"/>
                  <w:vAlign w:val="center"/>
                </w:tcPr>
                <w:p w14:paraId="7F4BAED2">
                  <w:pPr>
                    <w:pStyle w:val="28"/>
                    <w:spacing w:line="240" w:lineRule="exact"/>
                    <w:rPr>
                      <w:kern w:val="2"/>
                      <w:sz w:val="21"/>
                    </w:rPr>
                  </w:pPr>
                </w:p>
              </w:tc>
              <w:tc>
                <w:tcPr>
                  <w:tcW w:w="365" w:type="pct"/>
                  <w:vMerge w:val="continue"/>
                  <w:vAlign w:val="center"/>
                </w:tcPr>
                <w:p w14:paraId="2A3D9D85">
                  <w:pPr>
                    <w:pStyle w:val="28"/>
                    <w:spacing w:line="240" w:lineRule="exact"/>
                    <w:rPr>
                      <w:kern w:val="2"/>
                      <w:sz w:val="21"/>
                    </w:rPr>
                  </w:pPr>
                </w:p>
              </w:tc>
              <w:tc>
                <w:tcPr>
                  <w:tcW w:w="275" w:type="pct"/>
                  <w:vMerge w:val="continue"/>
                  <w:vAlign w:val="center"/>
                </w:tcPr>
                <w:p w14:paraId="1146BB02">
                  <w:pPr>
                    <w:pStyle w:val="28"/>
                    <w:spacing w:line="240" w:lineRule="exact"/>
                    <w:rPr>
                      <w:kern w:val="2"/>
                      <w:sz w:val="21"/>
                    </w:rPr>
                  </w:pPr>
                </w:p>
              </w:tc>
              <w:tc>
                <w:tcPr>
                  <w:tcW w:w="407" w:type="pct"/>
                  <w:vMerge w:val="continue"/>
                  <w:vAlign w:val="center"/>
                </w:tcPr>
                <w:p w14:paraId="5C5D05C9">
                  <w:pPr>
                    <w:spacing w:line="240" w:lineRule="exact"/>
                    <w:jc w:val="center"/>
                    <w:rPr>
                      <w:sz w:val="21"/>
                      <w:szCs w:val="21"/>
                    </w:rPr>
                  </w:pPr>
                </w:p>
              </w:tc>
              <w:tc>
                <w:tcPr>
                  <w:tcW w:w="280" w:type="pct"/>
                  <w:vMerge w:val="continue"/>
                  <w:vAlign w:val="center"/>
                </w:tcPr>
                <w:p w14:paraId="6A8A1D1E">
                  <w:pPr>
                    <w:spacing w:line="240" w:lineRule="exact"/>
                    <w:jc w:val="center"/>
                    <w:rPr>
                      <w:sz w:val="21"/>
                      <w:szCs w:val="21"/>
                    </w:rPr>
                  </w:pPr>
                </w:p>
              </w:tc>
              <w:tc>
                <w:tcPr>
                  <w:tcW w:w="319" w:type="pct"/>
                  <w:vMerge w:val="continue"/>
                  <w:vAlign w:val="center"/>
                </w:tcPr>
                <w:p w14:paraId="202F27B0">
                  <w:pPr>
                    <w:spacing w:line="240" w:lineRule="exact"/>
                    <w:jc w:val="center"/>
                    <w:rPr>
                      <w:sz w:val="21"/>
                      <w:szCs w:val="21"/>
                    </w:rPr>
                  </w:pPr>
                </w:p>
              </w:tc>
              <w:tc>
                <w:tcPr>
                  <w:tcW w:w="263" w:type="pct"/>
                  <w:vMerge w:val="continue"/>
                  <w:vAlign w:val="center"/>
                </w:tcPr>
                <w:p w14:paraId="6F190CE9">
                  <w:pPr>
                    <w:spacing w:line="240" w:lineRule="exact"/>
                    <w:jc w:val="center"/>
                    <w:rPr>
                      <w:sz w:val="21"/>
                      <w:szCs w:val="21"/>
                    </w:rPr>
                  </w:pPr>
                </w:p>
              </w:tc>
              <w:tc>
                <w:tcPr>
                  <w:tcW w:w="209" w:type="pct"/>
                  <w:vAlign w:val="center"/>
                </w:tcPr>
                <w:p w14:paraId="706EC519">
                  <w:pPr>
                    <w:spacing w:line="240" w:lineRule="exact"/>
                    <w:jc w:val="center"/>
                    <w:rPr>
                      <w:sz w:val="21"/>
                      <w:szCs w:val="21"/>
                    </w:rPr>
                  </w:pPr>
                  <w:r>
                    <w:rPr>
                      <w:sz w:val="21"/>
                      <w:szCs w:val="21"/>
                    </w:rPr>
                    <w:t>南</w:t>
                  </w:r>
                </w:p>
              </w:tc>
              <w:tc>
                <w:tcPr>
                  <w:tcW w:w="356" w:type="pct"/>
                  <w:vAlign w:val="center"/>
                </w:tcPr>
                <w:p w14:paraId="00F1FE2A">
                  <w:pPr>
                    <w:spacing w:line="240" w:lineRule="exact"/>
                    <w:jc w:val="center"/>
                    <w:rPr>
                      <w:sz w:val="21"/>
                      <w:szCs w:val="21"/>
                    </w:rPr>
                  </w:pPr>
                  <w:r>
                    <w:rPr>
                      <w:sz w:val="21"/>
                      <w:szCs w:val="21"/>
                    </w:rPr>
                    <w:t>13</w:t>
                  </w:r>
                </w:p>
              </w:tc>
              <w:tc>
                <w:tcPr>
                  <w:tcW w:w="695" w:type="dxa"/>
                  <w:vAlign w:val="center"/>
                </w:tcPr>
                <w:p w14:paraId="1E7F6050">
                  <w:pPr>
                    <w:widowControl/>
                    <w:jc w:val="right"/>
                    <w:textAlignment w:val="center"/>
                    <w:rPr>
                      <w:sz w:val="21"/>
                      <w:szCs w:val="21"/>
                    </w:rPr>
                  </w:pPr>
                  <w:r>
                    <w:rPr>
                      <w:color w:val="000000"/>
                      <w:kern w:val="0"/>
                      <w:sz w:val="21"/>
                      <w:szCs w:val="21"/>
                      <w:lang w:bidi="ar"/>
                    </w:rPr>
                    <w:t xml:space="preserve">48.7 </w:t>
                  </w:r>
                </w:p>
              </w:tc>
              <w:tc>
                <w:tcPr>
                  <w:tcW w:w="295" w:type="pct"/>
                  <w:vMerge w:val="continue"/>
                  <w:vAlign w:val="center"/>
                </w:tcPr>
                <w:p w14:paraId="241B840D">
                  <w:pPr>
                    <w:pStyle w:val="28"/>
                    <w:spacing w:line="240" w:lineRule="exact"/>
                    <w:rPr>
                      <w:kern w:val="2"/>
                      <w:sz w:val="21"/>
                    </w:rPr>
                  </w:pPr>
                </w:p>
              </w:tc>
              <w:tc>
                <w:tcPr>
                  <w:tcW w:w="695" w:type="dxa"/>
                  <w:vAlign w:val="center"/>
                </w:tcPr>
                <w:p w14:paraId="66B4B341">
                  <w:pPr>
                    <w:spacing w:line="240" w:lineRule="exact"/>
                    <w:jc w:val="center"/>
                    <w:rPr>
                      <w:sz w:val="21"/>
                      <w:szCs w:val="21"/>
                    </w:rPr>
                  </w:pPr>
                  <w:r>
                    <w:rPr>
                      <w:sz w:val="21"/>
                      <w:szCs w:val="21"/>
                    </w:rPr>
                    <w:t>25</w:t>
                  </w:r>
                </w:p>
              </w:tc>
              <w:tc>
                <w:tcPr>
                  <w:tcW w:w="713" w:type="dxa"/>
                  <w:vAlign w:val="center"/>
                </w:tcPr>
                <w:p w14:paraId="2B86102C">
                  <w:pPr>
                    <w:widowControl/>
                    <w:jc w:val="right"/>
                    <w:textAlignment w:val="center"/>
                    <w:rPr>
                      <w:sz w:val="21"/>
                      <w:szCs w:val="21"/>
                    </w:rPr>
                  </w:pPr>
                  <w:r>
                    <w:rPr>
                      <w:color w:val="000000"/>
                      <w:kern w:val="0"/>
                      <w:sz w:val="21"/>
                      <w:szCs w:val="21"/>
                      <w:lang w:bidi="ar"/>
                    </w:rPr>
                    <w:t xml:space="preserve">23.7 </w:t>
                  </w:r>
                </w:p>
              </w:tc>
              <w:tc>
                <w:tcPr>
                  <w:tcW w:w="358" w:type="pct"/>
                  <w:vAlign w:val="center"/>
                </w:tcPr>
                <w:p w14:paraId="37CCFA92">
                  <w:pPr>
                    <w:spacing w:line="240" w:lineRule="exact"/>
                    <w:jc w:val="center"/>
                    <w:rPr>
                      <w:sz w:val="21"/>
                      <w:szCs w:val="21"/>
                    </w:rPr>
                  </w:pPr>
                  <w:r>
                    <w:rPr>
                      <w:sz w:val="21"/>
                      <w:szCs w:val="21"/>
                    </w:rPr>
                    <w:t>1m</w:t>
                  </w:r>
                </w:p>
              </w:tc>
            </w:tr>
            <w:tr w14:paraId="4F8E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5E1F6F81">
                  <w:pPr>
                    <w:pStyle w:val="28"/>
                    <w:spacing w:line="240" w:lineRule="exact"/>
                    <w:rPr>
                      <w:sz w:val="21"/>
                    </w:rPr>
                  </w:pPr>
                </w:p>
              </w:tc>
              <w:tc>
                <w:tcPr>
                  <w:tcW w:w="430" w:type="pct"/>
                  <w:vMerge w:val="continue"/>
                  <w:vAlign w:val="center"/>
                </w:tcPr>
                <w:p w14:paraId="2A444B79">
                  <w:pPr>
                    <w:pStyle w:val="28"/>
                    <w:spacing w:line="240" w:lineRule="exact"/>
                    <w:rPr>
                      <w:kern w:val="2"/>
                      <w:sz w:val="21"/>
                    </w:rPr>
                  </w:pPr>
                </w:p>
              </w:tc>
              <w:tc>
                <w:tcPr>
                  <w:tcW w:w="365" w:type="pct"/>
                  <w:vMerge w:val="continue"/>
                  <w:vAlign w:val="center"/>
                </w:tcPr>
                <w:p w14:paraId="2AC64EC6">
                  <w:pPr>
                    <w:pStyle w:val="28"/>
                    <w:spacing w:line="240" w:lineRule="exact"/>
                    <w:rPr>
                      <w:kern w:val="2"/>
                      <w:sz w:val="21"/>
                    </w:rPr>
                  </w:pPr>
                </w:p>
              </w:tc>
              <w:tc>
                <w:tcPr>
                  <w:tcW w:w="275" w:type="pct"/>
                  <w:vMerge w:val="continue"/>
                  <w:vAlign w:val="center"/>
                </w:tcPr>
                <w:p w14:paraId="79133320">
                  <w:pPr>
                    <w:pStyle w:val="28"/>
                    <w:spacing w:line="240" w:lineRule="exact"/>
                    <w:rPr>
                      <w:kern w:val="2"/>
                      <w:sz w:val="21"/>
                    </w:rPr>
                  </w:pPr>
                </w:p>
              </w:tc>
              <w:tc>
                <w:tcPr>
                  <w:tcW w:w="407" w:type="pct"/>
                  <w:vMerge w:val="continue"/>
                  <w:vAlign w:val="center"/>
                </w:tcPr>
                <w:p w14:paraId="2D8F24E2">
                  <w:pPr>
                    <w:spacing w:line="240" w:lineRule="exact"/>
                    <w:jc w:val="center"/>
                    <w:rPr>
                      <w:sz w:val="21"/>
                      <w:szCs w:val="21"/>
                    </w:rPr>
                  </w:pPr>
                </w:p>
              </w:tc>
              <w:tc>
                <w:tcPr>
                  <w:tcW w:w="280" w:type="pct"/>
                  <w:vMerge w:val="continue"/>
                  <w:vAlign w:val="center"/>
                </w:tcPr>
                <w:p w14:paraId="05FC3825">
                  <w:pPr>
                    <w:spacing w:line="240" w:lineRule="exact"/>
                    <w:jc w:val="center"/>
                    <w:rPr>
                      <w:sz w:val="21"/>
                      <w:szCs w:val="21"/>
                    </w:rPr>
                  </w:pPr>
                </w:p>
              </w:tc>
              <w:tc>
                <w:tcPr>
                  <w:tcW w:w="319" w:type="pct"/>
                  <w:vMerge w:val="continue"/>
                  <w:vAlign w:val="center"/>
                </w:tcPr>
                <w:p w14:paraId="03353786">
                  <w:pPr>
                    <w:spacing w:line="240" w:lineRule="exact"/>
                    <w:jc w:val="center"/>
                    <w:rPr>
                      <w:sz w:val="21"/>
                      <w:szCs w:val="21"/>
                    </w:rPr>
                  </w:pPr>
                </w:p>
              </w:tc>
              <w:tc>
                <w:tcPr>
                  <w:tcW w:w="263" w:type="pct"/>
                  <w:vMerge w:val="continue"/>
                  <w:vAlign w:val="center"/>
                </w:tcPr>
                <w:p w14:paraId="34661B3B">
                  <w:pPr>
                    <w:spacing w:line="240" w:lineRule="exact"/>
                    <w:jc w:val="center"/>
                    <w:rPr>
                      <w:sz w:val="21"/>
                      <w:szCs w:val="21"/>
                    </w:rPr>
                  </w:pPr>
                </w:p>
              </w:tc>
              <w:tc>
                <w:tcPr>
                  <w:tcW w:w="209" w:type="pct"/>
                  <w:vAlign w:val="center"/>
                </w:tcPr>
                <w:p w14:paraId="0C6193B5">
                  <w:pPr>
                    <w:spacing w:line="240" w:lineRule="exact"/>
                    <w:jc w:val="center"/>
                    <w:rPr>
                      <w:sz w:val="21"/>
                      <w:szCs w:val="21"/>
                    </w:rPr>
                  </w:pPr>
                  <w:r>
                    <w:rPr>
                      <w:sz w:val="21"/>
                      <w:szCs w:val="21"/>
                    </w:rPr>
                    <w:t>北</w:t>
                  </w:r>
                </w:p>
              </w:tc>
              <w:tc>
                <w:tcPr>
                  <w:tcW w:w="356" w:type="pct"/>
                  <w:vAlign w:val="center"/>
                </w:tcPr>
                <w:p w14:paraId="070B6C35">
                  <w:pPr>
                    <w:spacing w:line="240" w:lineRule="exact"/>
                    <w:jc w:val="center"/>
                    <w:rPr>
                      <w:sz w:val="21"/>
                      <w:szCs w:val="21"/>
                    </w:rPr>
                  </w:pPr>
                  <w:r>
                    <w:rPr>
                      <w:sz w:val="21"/>
                      <w:szCs w:val="21"/>
                    </w:rPr>
                    <w:t>17</w:t>
                  </w:r>
                </w:p>
              </w:tc>
              <w:tc>
                <w:tcPr>
                  <w:tcW w:w="695" w:type="dxa"/>
                  <w:vAlign w:val="center"/>
                </w:tcPr>
                <w:p w14:paraId="78FB95E5">
                  <w:pPr>
                    <w:widowControl/>
                    <w:jc w:val="right"/>
                    <w:textAlignment w:val="center"/>
                    <w:rPr>
                      <w:sz w:val="21"/>
                      <w:szCs w:val="21"/>
                    </w:rPr>
                  </w:pPr>
                  <w:r>
                    <w:rPr>
                      <w:color w:val="000000"/>
                      <w:kern w:val="0"/>
                      <w:sz w:val="21"/>
                      <w:szCs w:val="21"/>
                      <w:lang w:bidi="ar"/>
                    </w:rPr>
                    <w:t xml:space="preserve">47.9 </w:t>
                  </w:r>
                </w:p>
              </w:tc>
              <w:tc>
                <w:tcPr>
                  <w:tcW w:w="295" w:type="pct"/>
                  <w:vMerge w:val="continue"/>
                  <w:vAlign w:val="center"/>
                </w:tcPr>
                <w:p w14:paraId="36291E9A">
                  <w:pPr>
                    <w:pStyle w:val="28"/>
                    <w:spacing w:line="240" w:lineRule="exact"/>
                    <w:rPr>
                      <w:kern w:val="2"/>
                      <w:sz w:val="21"/>
                    </w:rPr>
                  </w:pPr>
                </w:p>
              </w:tc>
              <w:tc>
                <w:tcPr>
                  <w:tcW w:w="695" w:type="dxa"/>
                  <w:vAlign w:val="center"/>
                </w:tcPr>
                <w:p w14:paraId="393FE25A">
                  <w:pPr>
                    <w:spacing w:line="240" w:lineRule="exact"/>
                    <w:jc w:val="center"/>
                    <w:rPr>
                      <w:sz w:val="21"/>
                      <w:szCs w:val="21"/>
                    </w:rPr>
                  </w:pPr>
                  <w:r>
                    <w:rPr>
                      <w:sz w:val="21"/>
                      <w:szCs w:val="21"/>
                    </w:rPr>
                    <w:t>25</w:t>
                  </w:r>
                </w:p>
              </w:tc>
              <w:tc>
                <w:tcPr>
                  <w:tcW w:w="713" w:type="dxa"/>
                  <w:vAlign w:val="center"/>
                </w:tcPr>
                <w:p w14:paraId="26EC1D6D">
                  <w:pPr>
                    <w:widowControl/>
                    <w:jc w:val="right"/>
                    <w:textAlignment w:val="center"/>
                    <w:rPr>
                      <w:sz w:val="21"/>
                      <w:szCs w:val="21"/>
                    </w:rPr>
                  </w:pPr>
                  <w:r>
                    <w:rPr>
                      <w:color w:val="000000"/>
                      <w:kern w:val="0"/>
                      <w:sz w:val="21"/>
                      <w:szCs w:val="21"/>
                      <w:lang w:bidi="ar"/>
                    </w:rPr>
                    <w:t xml:space="preserve">22.9 </w:t>
                  </w:r>
                </w:p>
              </w:tc>
              <w:tc>
                <w:tcPr>
                  <w:tcW w:w="358" w:type="pct"/>
                  <w:vAlign w:val="center"/>
                </w:tcPr>
                <w:p w14:paraId="3D144A1F">
                  <w:pPr>
                    <w:spacing w:line="240" w:lineRule="exact"/>
                    <w:jc w:val="center"/>
                    <w:rPr>
                      <w:sz w:val="21"/>
                      <w:szCs w:val="21"/>
                    </w:rPr>
                  </w:pPr>
                  <w:r>
                    <w:rPr>
                      <w:sz w:val="21"/>
                      <w:szCs w:val="21"/>
                    </w:rPr>
                    <w:t>1m</w:t>
                  </w:r>
                </w:p>
              </w:tc>
            </w:tr>
            <w:tr w14:paraId="71E8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00534762">
                  <w:pPr>
                    <w:pStyle w:val="28"/>
                    <w:spacing w:line="240" w:lineRule="exact"/>
                    <w:rPr>
                      <w:kern w:val="2"/>
                      <w:sz w:val="21"/>
                    </w:rPr>
                  </w:pPr>
                </w:p>
              </w:tc>
              <w:tc>
                <w:tcPr>
                  <w:tcW w:w="430" w:type="pct"/>
                  <w:vMerge w:val="restart"/>
                  <w:vAlign w:val="center"/>
                </w:tcPr>
                <w:p w14:paraId="61677E58">
                  <w:pPr>
                    <w:pStyle w:val="28"/>
                    <w:spacing w:line="240" w:lineRule="exact"/>
                    <w:rPr>
                      <w:sz w:val="21"/>
                    </w:rPr>
                  </w:pPr>
                  <w:r>
                    <w:rPr>
                      <w:sz w:val="21"/>
                    </w:rPr>
                    <w:t>真空包装袋清洗风干机</w:t>
                  </w:r>
                </w:p>
              </w:tc>
              <w:tc>
                <w:tcPr>
                  <w:tcW w:w="365" w:type="pct"/>
                  <w:vMerge w:val="restart"/>
                  <w:vAlign w:val="center"/>
                </w:tcPr>
                <w:p w14:paraId="61E0A860">
                  <w:pPr>
                    <w:spacing w:line="240" w:lineRule="exact"/>
                    <w:jc w:val="center"/>
                    <w:rPr>
                      <w:sz w:val="21"/>
                      <w:szCs w:val="21"/>
                    </w:rPr>
                  </w:pPr>
                  <w:r>
                    <w:rPr>
                      <w:sz w:val="21"/>
                      <w:szCs w:val="21"/>
                    </w:rPr>
                    <w:t>80</w:t>
                  </w:r>
                </w:p>
              </w:tc>
              <w:tc>
                <w:tcPr>
                  <w:tcW w:w="275" w:type="pct"/>
                  <w:vMerge w:val="restart"/>
                  <w:vAlign w:val="center"/>
                </w:tcPr>
                <w:p w14:paraId="34D053BF">
                  <w:pPr>
                    <w:spacing w:line="240" w:lineRule="exact"/>
                    <w:jc w:val="center"/>
                    <w:rPr>
                      <w:sz w:val="21"/>
                      <w:szCs w:val="21"/>
                    </w:rPr>
                  </w:pPr>
                  <w:r>
                    <w:rPr>
                      <w:sz w:val="21"/>
                      <w:szCs w:val="21"/>
                    </w:rPr>
                    <w:t>1</w:t>
                  </w:r>
                </w:p>
              </w:tc>
              <w:tc>
                <w:tcPr>
                  <w:tcW w:w="407" w:type="pct"/>
                  <w:vMerge w:val="restart"/>
                  <w:vAlign w:val="center"/>
                </w:tcPr>
                <w:p w14:paraId="75709D30">
                  <w:pPr>
                    <w:spacing w:line="240" w:lineRule="exact"/>
                    <w:jc w:val="center"/>
                    <w:rPr>
                      <w:kern w:val="0"/>
                      <w:sz w:val="21"/>
                      <w:szCs w:val="21"/>
                    </w:rPr>
                  </w:pPr>
                  <w:r>
                    <w:rPr>
                      <w:kern w:val="0"/>
                      <w:sz w:val="21"/>
                      <w:szCs w:val="21"/>
                    </w:rPr>
                    <w:t>基础减振、厂房隔声</w:t>
                  </w:r>
                </w:p>
              </w:tc>
              <w:tc>
                <w:tcPr>
                  <w:tcW w:w="280" w:type="pct"/>
                  <w:vMerge w:val="restart"/>
                  <w:vAlign w:val="center"/>
                </w:tcPr>
                <w:p w14:paraId="343BCBAB">
                  <w:pPr>
                    <w:spacing w:line="240" w:lineRule="exact"/>
                    <w:jc w:val="center"/>
                    <w:rPr>
                      <w:sz w:val="21"/>
                      <w:szCs w:val="21"/>
                    </w:rPr>
                  </w:pPr>
                  <w:r>
                    <w:rPr>
                      <w:sz w:val="21"/>
                      <w:szCs w:val="21"/>
                    </w:rPr>
                    <w:t>16</w:t>
                  </w:r>
                </w:p>
              </w:tc>
              <w:tc>
                <w:tcPr>
                  <w:tcW w:w="319" w:type="pct"/>
                  <w:vMerge w:val="restart"/>
                  <w:vAlign w:val="center"/>
                </w:tcPr>
                <w:p w14:paraId="251EB243">
                  <w:pPr>
                    <w:spacing w:line="240" w:lineRule="exact"/>
                    <w:jc w:val="center"/>
                    <w:rPr>
                      <w:sz w:val="21"/>
                      <w:szCs w:val="21"/>
                    </w:rPr>
                  </w:pPr>
                  <w:r>
                    <w:rPr>
                      <w:sz w:val="21"/>
                      <w:szCs w:val="21"/>
                    </w:rPr>
                    <w:t>2.5</w:t>
                  </w:r>
                </w:p>
              </w:tc>
              <w:tc>
                <w:tcPr>
                  <w:tcW w:w="263" w:type="pct"/>
                  <w:vMerge w:val="restart"/>
                  <w:vAlign w:val="center"/>
                </w:tcPr>
                <w:p w14:paraId="6AB9223D">
                  <w:pPr>
                    <w:spacing w:line="240" w:lineRule="exact"/>
                    <w:jc w:val="center"/>
                    <w:rPr>
                      <w:sz w:val="21"/>
                      <w:szCs w:val="21"/>
                    </w:rPr>
                  </w:pPr>
                  <w:r>
                    <w:rPr>
                      <w:sz w:val="21"/>
                      <w:szCs w:val="21"/>
                    </w:rPr>
                    <w:t>1</w:t>
                  </w:r>
                </w:p>
              </w:tc>
              <w:tc>
                <w:tcPr>
                  <w:tcW w:w="209" w:type="pct"/>
                  <w:vAlign w:val="center"/>
                </w:tcPr>
                <w:p w14:paraId="692554EA">
                  <w:pPr>
                    <w:spacing w:line="240" w:lineRule="exact"/>
                    <w:jc w:val="center"/>
                    <w:rPr>
                      <w:sz w:val="21"/>
                      <w:szCs w:val="21"/>
                    </w:rPr>
                  </w:pPr>
                  <w:r>
                    <w:rPr>
                      <w:sz w:val="21"/>
                      <w:szCs w:val="21"/>
                    </w:rPr>
                    <w:t>东</w:t>
                  </w:r>
                </w:p>
              </w:tc>
              <w:tc>
                <w:tcPr>
                  <w:tcW w:w="356" w:type="pct"/>
                  <w:vAlign w:val="center"/>
                </w:tcPr>
                <w:p w14:paraId="50303A80">
                  <w:pPr>
                    <w:spacing w:line="240" w:lineRule="exact"/>
                    <w:jc w:val="center"/>
                    <w:rPr>
                      <w:sz w:val="21"/>
                      <w:szCs w:val="21"/>
                    </w:rPr>
                  </w:pPr>
                  <w:r>
                    <w:rPr>
                      <w:sz w:val="21"/>
                      <w:szCs w:val="21"/>
                    </w:rPr>
                    <w:t>7</w:t>
                  </w:r>
                </w:p>
              </w:tc>
              <w:tc>
                <w:tcPr>
                  <w:tcW w:w="695" w:type="dxa"/>
                  <w:vAlign w:val="center"/>
                </w:tcPr>
                <w:p w14:paraId="70A39ABF">
                  <w:pPr>
                    <w:widowControl/>
                    <w:jc w:val="right"/>
                    <w:textAlignment w:val="center"/>
                    <w:rPr>
                      <w:sz w:val="21"/>
                      <w:szCs w:val="21"/>
                    </w:rPr>
                  </w:pPr>
                  <w:r>
                    <w:rPr>
                      <w:color w:val="000000"/>
                      <w:kern w:val="0"/>
                      <w:sz w:val="21"/>
                      <w:szCs w:val="21"/>
                      <w:lang w:bidi="ar"/>
                    </w:rPr>
                    <w:t xml:space="preserve">56.7 </w:t>
                  </w:r>
                </w:p>
              </w:tc>
              <w:tc>
                <w:tcPr>
                  <w:tcW w:w="295" w:type="pct"/>
                  <w:vMerge w:val="continue"/>
                  <w:vAlign w:val="center"/>
                </w:tcPr>
                <w:p w14:paraId="2CF756DC">
                  <w:pPr>
                    <w:pStyle w:val="28"/>
                    <w:spacing w:line="240" w:lineRule="exact"/>
                    <w:rPr>
                      <w:kern w:val="2"/>
                      <w:sz w:val="21"/>
                    </w:rPr>
                  </w:pPr>
                </w:p>
              </w:tc>
              <w:tc>
                <w:tcPr>
                  <w:tcW w:w="695" w:type="dxa"/>
                  <w:vAlign w:val="center"/>
                </w:tcPr>
                <w:p w14:paraId="43505C89">
                  <w:pPr>
                    <w:spacing w:line="240" w:lineRule="exact"/>
                    <w:jc w:val="center"/>
                    <w:rPr>
                      <w:sz w:val="21"/>
                      <w:szCs w:val="21"/>
                    </w:rPr>
                  </w:pPr>
                  <w:r>
                    <w:rPr>
                      <w:sz w:val="21"/>
                      <w:szCs w:val="21"/>
                    </w:rPr>
                    <w:t>25</w:t>
                  </w:r>
                </w:p>
              </w:tc>
              <w:tc>
                <w:tcPr>
                  <w:tcW w:w="713" w:type="dxa"/>
                  <w:vAlign w:val="center"/>
                </w:tcPr>
                <w:p w14:paraId="44C7AE76">
                  <w:pPr>
                    <w:widowControl/>
                    <w:jc w:val="right"/>
                    <w:textAlignment w:val="center"/>
                    <w:rPr>
                      <w:sz w:val="21"/>
                      <w:szCs w:val="21"/>
                    </w:rPr>
                  </w:pPr>
                  <w:r>
                    <w:rPr>
                      <w:color w:val="000000"/>
                      <w:kern w:val="0"/>
                      <w:sz w:val="21"/>
                      <w:szCs w:val="21"/>
                      <w:lang w:bidi="ar"/>
                    </w:rPr>
                    <w:t xml:space="preserve">31.7 </w:t>
                  </w:r>
                </w:p>
              </w:tc>
              <w:tc>
                <w:tcPr>
                  <w:tcW w:w="358" w:type="pct"/>
                  <w:vAlign w:val="center"/>
                </w:tcPr>
                <w:p w14:paraId="68219EF3">
                  <w:pPr>
                    <w:spacing w:line="240" w:lineRule="exact"/>
                    <w:jc w:val="center"/>
                    <w:rPr>
                      <w:sz w:val="21"/>
                      <w:szCs w:val="21"/>
                    </w:rPr>
                  </w:pPr>
                  <w:r>
                    <w:rPr>
                      <w:sz w:val="21"/>
                      <w:szCs w:val="21"/>
                    </w:rPr>
                    <w:t>1m</w:t>
                  </w:r>
                </w:p>
              </w:tc>
            </w:tr>
            <w:tr w14:paraId="5764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3D3A9066">
                  <w:pPr>
                    <w:pStyle w:val="28"/>
                    <w:spacing w:line="240" w:lineRule="exact"/>
                    <w:rPr>
                      <w:kern w:val="2"/>
                      <w:sz w:val="21"/>
                    </w:rPr>
                  </w:pPr>
                </w:p>
              </w:tc>
              <w:tc>
                <w:tcPr>
                  <w:tcW w:w="430" w:type="pct"/>
                  <w:vMerge w:val="continue"/>
                  <w:vAlign w:val="center"/>
                </w:tcPr>
                <w:p w14:paraId="2D4B1778">
                  <w:pPr>
                    <w:pStyle w:val="28"/>
                    <w:spacing w:line="240" w:lineRule="exact"/>
                    <w:rPr>
                      <w:sz w:val="21"/>
                    </w:rPr>
                  </w:pPr>
                </w:p>
              </w:tc>
              <w:tc>
                <w:tcPr>
                  <w:tcW w:w="365" w:type="pct"/>
                  <w:vMerge w:val="continue"/>
                  <w:vAlign w:val="center"/>
                </w:tcPr>
                <w:p w14:paraId="3F1A9A51">
                  <w:pPr>
                    <w:pStyle w:val="28"/>
                    <w:spacing w:line="240" w:lineRule="exact"/>
                    <w:rPr>
                      <w:sz w:val="21"/>
                    </w:rPr>
                  </w:pPr>
                </w:p>
              </w:tc>
              <w:tc>
                <w:tcPr>
                  <w:tcW w:w="275" w:type="pct"/>
                  <w:vMerge w:val="continue"/>
                  <w:vAlign w:val="center"/>
                </w:tcPr>
                <w:p w14:paraId="124A4106">
                  <w:pPr>
                    <w:pStyle w:val="28"/>
                    <w:spacing w:line="240" w:lineRule="exact"/>
                    <w:rPr>
                      <w:kern w:val="2"/>
                      <w:sz w:val="21"/>
                    </w:rPr>
                  </w:pPr>
                </w:p>
              </w:tc>
              <w:tc>
                <w:tcPr>
                  <w:tcW w:w="407" w:type="pct"/>
                  <w:vMerge w:val="continue"/>
                  <w:vAlign w:val="center"/>
                </w:tcPr>
                <w:p w14:paraId="2632A3E6">
                  <w:pPr>
                    <w:spacing w:line="240" w:lineRule="exact"/>
                    <w:jc w:val="center"/>
                    <w:rPr>
                      <w:kern w:val="0"/>
                      <w:sz w:val="21"/>
                      <w:szCs w:val="21"/>
                    </w:rPr>
                  </w:pPr>
                </w:p>
              </w:tc>
              <w:tc>
                <w:tcPr>
                  <w:tcW w:w="280" w:type="pct"/>
                  <w:vMerge w:val="continue"/>
                  <w:vAlign w:val="center"/>
                </w:tcPr>
                <w:p w14:paraId="2B02BB2E">
                  <w:pPr>
                    <w:spacing w:line="240" w:lineRule="exact"/>
                    <w:jc w:val="center"/>
                    <w:rPr>
                      <w:sz w:val="21"/>
                      <w:szCs w:val="21"/>
                    </w:rPr>
                  </w:pPr>
                </w:p>
              </w:tc>
              <w:tc>
                <w:tcPr>
                  <w:tcW w:w="319" w:type="pct"/>
                  <w:vMerge w:val="continue"/>
                  <w:vAlign w:val="center"/>
                </w:tcPr>
                <w:p w14:paraId="1A908572">
                  <w:pPr>
                    <w:spacing w:line="240" w:lineRule="exact"/>
                    <w:jc w:val="center"/>
                    <w:rPr>
                      <w:sz w:val="21"/>
                      <w:szCs w:val="21"/>
                    </w:rPr>
                  </w:pPr>
                </w:p>
              </w:tc>
              <w:tc>
                <w:tcPr>
                  <w:tcW w:w="263" w:type="pct"/>
                  <w:vMerge w:val="continue"/>
                  <w:vAlign w:val="center"/>
                </w:tcPr>
                <w:p w14:paraId="095E8F79">
                  <w:pPr>
                    <w:spacing w:line="240" w:lineRule="exact"/>
                    <w:jc w:val="center"/>
                    <w:rPr>
                      <w:sz w:val="21"/>
                      <w:szCs w:val="21"/>
                    </w:rPr>
                  </w:pPr>
                </w:p>
              </w:tc>
              <w:tc>
                <w:tcPr>
                  <w:tcW w:w="209" w:type="pct"/>
                  <w:vAlign w:val="center"/>
                </w:tcPr>
                <w:p w14:paraId="033B7E8E">
                  <w:pPr>
                    <w:spacing w:line="240" w:lineRule="exact"/>
                    <w:jc w:val="center"/>
                    <w:rPr>
                      <w:sz w:val="21"/>
                      <w:szCs w:val="21"/>
                    </w:rPr>
                  </w:pPr>
                  <w:r>
                    <w:rPr>
                      <w:sz w:val="21"/>
                      <w:szCs w:val="21"/>
                    </w:rPr>
                    <w:t>西</w:t>
                  </w:r>
                </w:p>
              </w:tc>
              <w:tc>
                <w:tcPr>
                  <w:tcW w:w="356" w:type="pct"/>
                  <w:vAlign w:val="center"/>
                </w:tcPr>
                <w:p w14:paraId="332BD50D">
                  <w:pPr>
                    <w:spacing w:line="240" w:lineRule="exact"/>
                    <w:jc w:val="center"/>
                    <w:rPr>
                      <w:sz w:val="21"/>
                      <w:szCs w:val="21"/>
                    </w:rPr>
                  </w:pPr>
                  <w:r>
                    <w:rPr>
                      <w:sz w:val="21"/>
                      <w:szCs w:val="21"/>
                    </w:rPr>
                    <w:t>21</w:t>
                  </w:r>
                </w:p>
              </w:tc>
              <w:tc>
                <w:tcPr>
                  <w:tcW w:w="695" w:type="dxa"/>
                  <w:vAlign w:val="center"/>
                </w:tcPr>
                <w:p w14:paraId="6BEB3EF7">
                  <w:pPr>
                    <w:widowControl/>
                    <w:jc w:val="right"/>
                    <w:textAlignment w:val="center"/>
                    <w:rPr>
                      <w:sz w:val="21"/>
                      <w:szCs w:val="21"/>
                    </w:rPr>
                  </w:pPr>
                  <w:r>
                    <w:rPr>
                      <w:color w:val="000000"/>
                      <w:kern w:val="0"/>
                      <w:sz w:val="21"/>
                      <w:szCs w:val="21"/>
                      <w:lang w:bidi="ar"/>
                    </w:rPr>
                    <w:t xml:space="preserve">52.5 </w:t>
                  </w:r>
                </w:p>
              </w:tc>
              <w:tc>
                <w:tcPr>
                  <w:tcW w:w="295" w:type="pct"/>
                  <w:vMerge w:val="continue"/>
                  <w:vAlign w:val="center"/>
                </w:tcPr>
                <w:p w14:paraId="5FF43524">
                  <w:pPr>
                    <w:pStyle w:val="28"/>
                    <w:spacing w:line="240" w:lineRule="exact"/>
                    <w:rPr>
                      <w:kern w:val="2"/>
                      <w:sz w:val="21"/>
                    </w:rPr>
                  </w:pPr>
                </w:p>
              </w:tc>
              <w:tc>
                <w:tcPr>
                  <w:tcW w:w="695" w:type="dxa"/>
                  <w:vAlign w:val="center"/>
                </w:tcPr>
                <w:p w14:paraId="1C82FB01">
                  <w:pPr>
                    <w:spacing w:line="240" w:lineRule="exact"/>
                    <w:jc w:val="center"/>
                    <w:rPr>
                      <w:sz w:val="21"/>
                      <w:szCs w:val="21"/>
                    </w:rPr>
                  </w:pPr>
                  <w:r>
                    <w:rPr>
                      <w:sz w:val="21"/>
                      <w:szCs w:val="21"/>
                    </w:rPr>
                    <w:t>25</w:t>
                  </w:r>
                </w:p>
              </w:tc>
              <w:tc>
                <w:tcPr>
                  <w:tcW w:w="713" w:type="dxa"/>
                  <w:vAlign w:val="center"/>
                </w:tcPr>
                <w:p w14:paraId="0B6B39A4">
                  <w:pPr>
                    <w:widowControl/>
                    <w:jc w:val="right"/>
                    <w:textAlignment w:val="center"/>
                    <w:rPr>
                      <w:sz w:val="21"/>
                      <w:szCs w:val="21"/>
                    </w:rPr>
                  </w:pPr>
                  <w:r>
                    <w:rPr>
                      <w:color w:val="000000"/>
                      <w:kern w:val="0"/>
                      <w:sz w:val="21"/>
                      <w:szCs w:val="21"/>
                      <w:lang w:bidi="ar"/>
                    </w:rPr>
                    <w:t xml:space="preserve">27.5 </w:t>
                  </w:r>
                </w:p>
              </w:tc>
              <w:tc>
                <w:tcPr>
                  <w:tcW w:w="358" w:type="pct"/>
                  <w:vAlign w:val="center"/>
                </w:tcPr>
                <w:p w14:paraId="6C7C45CD">
                  <w:pPr>
                    <w:spacing w:line="240" w:lineRule="exact"/>
                    <w:jc w:val="center"/>
                    <w:rPr>
                      <w:sz w:val="21"/>
                      <w:szCs w:val="21"/>
                    </w:rPr>
                  </w:pPr>
                  <w:r>
                    <w:rPr>
                      <w:sz w:val="21"/>
                      <w:szCs w:val="21"/>
                    </w:rPr>
                    <w:t>1m</w:t>
                  </w:r>
                </w:p>
              </w:tc>
            </w:tr>
            <w:tr w14:paraId="164E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74036A65">
                  <w:pPr>
                    <w:pStyle w:val="28"/>
                    <w:spacing w:line="240" w:lineRule="exact"/>
                    <w:rPr>
                      <w:kern w:val="2"/>
                      <w:sz w:val="21"/>
                    </w:rPr>
                  </w:pPr>
                </w:p>
              </w:tc>
              <w:tc>
                <w:tcPr>
                  <w:tcW w:w="430" w:type="pct"/>
                  <w:vMerge w:val="continue"/>
                  <w:vAlign w:val="center"/>
                </w:tcPr>
                <w:p w14:paraId="338E7D23">
                  <w:pPr>
                    <w:pStyle w:val="28"/>
                    <w:spacing w:line="240" w:lineRule="exact"/>
                    <w:rPr>
                      <w:sz w:val="21"/>
                    </w:rPr>
                  </w:pPr>
                </w:p>
              </w:tc>
              <w:tc>
                <w:tcPr>
                  <w:tcW w:w="365" w:type="pct"/>
                  <w:vMerge w:val="continue"/>
                  <w:vAlign w:val="center"/>
                </w:tcPr>
                <w:p w14:paraId="50683AD4">
                  <w:pPr>
                    <w:pStyle w:val="28"/>
                    <w:spacing w:line="240" w:lineRule="exact"/>
                    <w:rPr>
                      <w:sz w:val="21"/>
                    </w:rPr>
                  </w:pPr>
                </w:p>
              </w:tc>
              <w:tc>
                <w:tcPr>
                  <w:tcW w:w="275" w:type="pct"/>
                  <w:vMerge w:val="continue"/>
                  <w:vAlign w:val="center"/>
                </w:tcPr>
                <w:p w14:paraId="4DF3A961">
                  <w:pPr>
                    <w:pStyle w:val="28"/>
                    <w:spacing w:line="240" w:lineRule="exact"/>
                    <w:rPr>
                      <w:kern w:val="2"/>
                      <w:sz w:val="21"/>
                    </w:rPr>
                  </w:pPr>
                </w:p>
              </w:tc>
              <w:tc>
                <w:tcPr>
                  <w:tcW w:w="407" w:type="pct"/>
                  <w:vMerge w:val="continue"/>
                  <w:vAlign w:val="center"/>
                </w:tcPr>
                <w:p w14:paraId="5FB2B2B4">
                  <w:pPr>
                    <w:spacing w:line="240" w:lineRule="exact"/>
                    <w:jc w:val="center"/>
                    <w:rPr>
                      <w:kern w:val="0"/>
                      <w:sz w:val="21"/>
                      <w:szCs w:val="21"/>
                    </w:rPr>
                  </w:pPr>
                </w:p>
              </w:tc>
              <w:tc>
                <w:tcPr>
                  <w:tcW w:w="280" w:type="pct"/>
                  <w:vMerge w:val="continue"/>
                  <w:vAlign w:val="center"/>
                </w:tcPr>
                <w:p w14:paraId="04176912">
                  <w:pPr>
                    <w:spacing w:line="240" w:lineRule="exact"/>
                    <w:jc w:val="center"/>
                    <w:rPr>
                      <w:sz w:val="21"/>
                      <w:szCs w:val="21"/>
                    </w:rPr>
                  </w:pPr>
                </w:p>
              </w:tc>
              <w:tc>
                <w:tcPr>
                  <w:tcW w:w="319" w:type="pct"/>
                  <w:vMerge w:val="continue"/>
                  <w:vAlign w:val="center"/>
                </w:tcPr>
                <w:p w14:paraId="6A63FC7C">
                  <w:pPr>
                    <w:spacing w:line="240" w:lineRule="exact"/>
                    <w:jc w:val="center"/>
                    <w:rPr>
                      <w:sz w:val="21"/>
                      <w:szCs w:val="21"/>
                    </w:rPr>
                  </w:pPr>
                </w:p>
              </w:tc>
              <w:tc>
                <w:tcPr>
                  <w:tcW w:w="263" w:type="pct"/>
                  <w:vMerge w:val="continue"/>
                  <w:vAlign w:val="center"/>
                </w:tcPr>
                <w:p w14:paraId="6686C04D">
                  <w:pPr>
                    <w:spacing w:line="240" w:lineRule="exact"/>
                    <w:jc w:val="center"/>
                    <w:rPr>
                      <w:sz w:val="21"/>
                      <w:szCs w:val="21"/>
                    </w:rPr>
                  </w:pPr>
                </w:p>
              </w:tc>
              <w:tc>
                <w:tcPr>
                  <w:tcW w:w="209" w:type="pct"/>
                  <w:vAlign w:val="center"/>
                </w:tcPr>
                <w:p w14:paraId="1CE55667">
                  <w:pPr>
                    <w:spacing w:line="240" w:lineRule="exact"/>
                    <w:jc w:val="center"/>
                    <w:rPr>
                      <w:sz w:val="21"/>
                      <w:szCs w:val="21"/>
                    </w:rPr>
                  </w:pPr>
                  <w:r>
                    <w:rPr>
                      <w:sz w:val="21"/>
                      <w:szCs w:val="21"/>
                    </w:rPr>
                    <w:t>南</w:t>
                  </w:r>
                </w:p>
              </w:tc>
              <w:tc>
                <w:tcPr>
                  <w:tcW w:w="356" w:type="pct"/>
                  <w:vAlign w:val="center"/>
                </w:tcPr>
                <w:p w14:paraId="1D558650">
                  <w:pPr>
                    <w:spacing w:line="240" w:lineRule="exact"/>
                    <w:jc w:val="center"/>
                    <w:rPr>
                      <w:sz w:val="21"/>
                      <w:szCs w:val="21"/>
                    </w:rPr>
                  </w:pPr>
                  <w:r>
                    <w:rPr>
                      <w:sz w:val="21"/>
                      <w:szCs w:val="21"/>
                    </w:rPr>
                    <w:t>25</w:t>
                  </w:r>
                </w:p>
              </w:tc>
              <w:tc>
                <w:tcPr>
                  <w:tcW w:w="695" w:type="dxa"/>
                  <w:vAlign w:val="center"/>
                </w:tcPr>
                <w:p w14:paraId="2DAFDB7F">
                  <w:pPr>
                    <w:widowControl/>
                    <w:jc w:val="right"/>
                    <w:textAlignment w:val="center"/>
                    <w:rPr>
                      <w:sz w:val="21"/>
                      <w:szCs w:val="21"/>
                    </w:rPr>
                  </w:pPr>
                  <w:r>
                    <w:rPr>
                      <w:color w:val="000000"/>
                      <w:kern w:val="0"/>
                      <w:sz w:val="21"/>
                      <w:szCs w:val="21"/>
                      <w:lang w:bidi="ar"/>
                    </w:rPr>
                    <w:t xml:space="preserve">52.2 </w:t>
                  </w:r>
                </w:p>
              </w:tc>
              <w:tc>
                <w:tcPr>
                  <w:tcW w:w="295" w:type="pct"/>
                  <w:vMerge w:val="continue"/>
                  <w:vAlign w:val="center"/>
                </w:tcPr>
                <w:p w14:paraId="0FB67B70">
                  <w:pPr>
                    <w:pStyle w:val="28"/>
                    <w:spacing w:line="240" w:lineRule="exact"/>
                    <w:rPr>
                      <w:kern w:val="2"/>
                      <w:sz w:val="21"/>
                    </w:rPr>
                  </w:pPr>
                </w:p>
              </w:tc>
              <w:tc>
                <w:tcPr>
                  <w:tcW w:w="695" w:type="dxa"/>
                  <w:vAlign w:val="center"/>
                </w:tcPr>
                <w:p w14:paraId="3222608D">
                  <w:pPr>
                    <w:spacing w:line="240" w:lineRule="exact"/>
                    <w:jc w:val="center"/>
                    <w:rPr>
                      <w:sz w:val="21"/>
                      <w:szCs w:val="21"/>
                    </w:rPr>
                  </w:pPr>
                  <w:r>
                    <w:rPr>
                      <w:sz w:val="21"/>
                      <w:szCs w:val="21"/>
                    </w:rPr>
                    <w:t>25</w:t>
                  </w:r>
                </w:p>
              </w:tc>
              <w:tc>
                <w:tcPr>
                  <w:tcW w:w="713" w:type="dxa"/>
                  <w:vAlign w:val="center"/>
                </w:tcPr>
                <w:p w14:paraId="030ABD99">
                  <w:pPr>
                    <w:widowControl/>
                    <w:jc w:val="right"/>
                    <w:textAlignment w:val="center"/>
                    <w:rPr>
                      <w:sz w:val="21"/>
                      <w:szCs w:val="21"/>
                    </w:rPr>
                  </w:pPr>
                  <w:r>
                    <w:rPr>
                      <w:color w:val="000000"/>
                      <w:kern w:val="0"/>
                      <w:sz w:val="21"/>
                      <w:szCs w:val="21"/>
                      <w:lang w:bidi="ar"/>
                    </w:rPr>
                    <w:t xml:space="preserve">27.2 </w:t>
                  </w:r>
                </w:p>
              </w:tc>
              <w:tc>
                <w:tcPr>
                  <w:tcW w:w="358" w:type="pct"/>
                  <w:vAlign w:val="center"/>
                </w:tcPr>
                <w:p w14:paraId="2AA7756F">
                  <w:pPr>
                    <w:spacing w:line="240" w:lineRule="exact"/>
                    <w:jc w:val="center"/>
                    <w:rPr>
                      <w:sz w:val="21"/>
                      <w:szCs w:val="21"/>
                    </w:rPr>
                  </w:pPr>
                  <w:r>
                    <w:rPr>
                      <w:sz w:val="21"/>
                      <w:szCs w:val="21"/>
                    </w:rPr>
                    <w:t>1m</w:t>
                  </w:r>
                </w:p>
              </w:tc>
            </w:tr>
            <w:tr w14:paraId="49AB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3E0DE8FA">
                  <w:pPr>
                    <w:pStyle w:val="28"/>
                    <w:spacing w:line="240" w:lineRule="exact"/>
                    <w:rPr>
                      <w:kern w:val="2"/>
                      <w:sz w:val="21"/>
                    </w:rPr>
                  </w:pPr>
                </w:p>
              </w:tc>
              <w:tc>
                <w:tcPr>
                  <w:tcW w:w="430" w:type="pct"/>
                  <w:vMerge w:val="continue"/>
                  <w:vAlign w:val="center"/>
                </w:tcPr>
                <w:p w14:paraId="7C278760">
                  <w:pPr>
                    <w:pStyle w:val="28"/>
                    <w:spacing w:line="240" w:lineRule="exact"/>
                    <w:rPr>
                      <w:sz w:val="21"/>
                    </w:rPr>
                  </w:pPr>
                </w:p>
              </w:tc>
              <w:tc>
                <w:tcPr>
                  <w:tcW w:w="365" w:type="pct"/>
                  <w:vMerge w:val="continue"/>
                  <w:vAlign w:val="center"/>
                </w:tcPr>
                <w:p w14:paraId="3F83A66E">
                  <w:pPr>
                    <w:pStyle w:val="28"/>
                    <w:spacing w:line="240" w:lineRule="exact"/>
                    <w:rPr>
                      <w:sz w:val="21"/>
                    </w:rPr>
                  </w:pPr>
                </w:p>
              </w:tc>
              <w:tc>
                <w:tcPr>
                  <w:tcW w:w="275" w:type="pct"/>
                  <w:vMerge w:val="continue"/>
                  <w:vAlign w:val="center"/>
                </w:tcPr>
                <w:p w14:paraId="3B3209CB">
                  <w:pPr>
                    <w:pStyle w:val="28"/>
                    <w:spacing w:line="240" w:lineRule="exact"/>
                    <w:rPr>
                      <w:kern w:val="2"/>
                      <w:sz w:val="21"/>
                    </w:rPr>
                  </w:pPr>
                </w:p>
              </w:tc>
              <w:tc>
                <w:tcPr>
                  <w:tcW w:w="407" w:type="pct"/>
                  <w:vMerge w:val="continue"/>
                  <w:vAlign w:val="center"/>
                </w:tcPr>
                <w:p w14:paraId="5BC0F2AA">
                  <w:pPr>
                    <w:spacing w:line="240" w:lineRule="exact"/>
                    <w:jc w:val="center"/>
                    <w:rPr>
                      <w:kern w:val="0"/>
                      <w:sz w:val="21"/>
                      <w:szCs w:val="21"/>
                    </w:rPr>
                  </w:pPr>
                </w:p>
              </w:tc>
              <w:tc>
                <w:tcPr>
                  <w:tcW w:w="280" w:type="pct"/>
                  <w:vMerge w:val="continue"/>
                  <w:vAlign w:val="center"/>
                </w:tcPr>
                <w:p w14:paraId="04BD13A5">
                  <w:pPr>
                    <w:spacing w:line="240" w:lineRule="exact"/>
                    <w:jc w:val="center"/>
                    <w:rPr>
                      <w:sz w:val="21"/>
                      <w:szCs w:val="21"/>
                    </w:rPr>
                  </w:pPr>
                </w:p>
              </w:tc>
              <w:tc>
                <w:tcPr>
                  <w:tcW w:w="319" w:type="pct"/>
                  <w:vMerge w:val="continue"/>
                  <w:vAlign w:val="center"/>
                </w:tcPr>
                <w:p w14:paraId="1D523045">
                  <w:pPr>
                    <w:spacing w:line="240" w:lineRule="exact"/>
                    <w:jc w:val="center"/>
                    <w:rPr>
                      <w:sz w:val="21"/>
                      <w:szCs w:val="21"/>
                    </w:rPr>
                  </w:pPr>
                </w:p>
              </w:tc>
              <w:tc>
                <w:tcPr>
                  <w:tcW w:w="263" w:type="pct"/>
                  <w:vMerge w:val="continue"/>
                  <w:vAlign w:val="center"/>
                </w:tcPr>
                <w:p w14:paraId="2A3CF168">
                  <w:pPr>
                    <w:spacing w:line="240" w:lineRule="exact"/>
                    <w:jc w:val="center"/>
                    <w:rPr>
                      <w:sz w:val="21"/>
                      <w:szCs w:val="21"/>
                    </w:rPr>
                  </w:pPr>
                </w:p>
              </w:tc>
              <w:tc>
                <w:tcPr>
                  <w:tcW w:w="209" w:type="pct"/>
                  <w:vAlign w:val="center"/>
                </w:tcPr>
                <w:p w14:paraId="3470DE4A">
                  <w:pPr>
                    <w:spacing w:line="240" w:lineRule="exact"/>
                    <w:jc w:val="center"/>
                    <w:rPr>
                      <w:sz w:val="21"/>
                      <w:szCs w:val="21"/>
                    </w:rPr>
                  </w:pPr>
                  <w:r>
                    <w:rPr>
                      <w:sz w:val="21"/>
                      <w:szCs w:val="21"/>
                    </w:rPr>
                    <w:t>北</w:t>
                  </w:r>
                </w:p>
              </w:tc>
              <w:tc>
                <w:tcPr>
                  <w:tcW w:w="356" w:type="pct"/>
                  <w:vAlign w:val="center"/>
                </w:tcPr>
                <w:p w14:paraId="3374793E">
                  <w:pPr>
                    <w:spacing w:line="240" w:lineRule="exact"/>
                    <w:jc w:val="center"/>
                    <w:rPr>
                      <w:sz w:val="21"/>
                      <w:szCs w:val="21"/>
                    </w:rPr>
                  </w:pPr>
                  <w:r>
                    <w:rPr>
                      <w:sz w:val="21"/>
                      <w:szCs w:val="21"/>
                    </w:rPr>
                    <w:t>22</w:t>
                  </w:r>
                </w:p>
              </w:tc>
              <w:tc>
                <w:tcPr>
                  <w:tcW w:w="695" w:type="dxa"/>
                  <w:vAlign w:val="center"/>
                </w:tcPr>
                <w:p w14:paraId="171D7D25">
                  <w:pPr>
                    <w:widowControl/>
                    <w:jc w:val="right"/>
                    <w:textAlignment w:val="center"/>
                    <w:rPr>
                      <w:sz w:val="21"/>
                      <w:szCs w:val="21"/>
                    </w:rPr>
                  </w:pPr>
                  <w:r>
                    <w:rPr>
                      <w:color w:val="000000"/>
                      <w:kern w:val="0"/>
                      <w:sz w:val="21"/>
                      <w:szCs w:val="21"/>
                      <w:lang w:bidi="ar"/>
                    </w:rPr>
                    <w:t xml:space="preserve">52.4 </w:t>
                  </w:r>
                </w:p>
              </w:tc>
              <w:tc>
                <w:tcPr>
                  <w:tcW w:w="295" w:type="pct"/>
                  <w:vMerge w:val="continue"/>
                  <w:vAlign w:val="center"/>
                </w:tcPr>
                <w:p w14:paraId="244AB0F7">
                  <w:pPr>
                    <w:pStyle w:val="28"/>
                    <w:spacing w:line="240" w:lineRule="exact"/>
                    <w:rPr>
                      <w:kern w:val="2"/>
                      <w:sz w:val="21"/>
                    </w:rPr>
                  </w:pPr>
                </w:p>
              </w:tc>
              <w:tc>
                <w:tcPr>
                  <w:tcW w:w="695" w:type="dxa"/>
                  <w:vAlign w:val="center"/>
                </w:tcPr>
                <w:p w14:paraId="66EDE1D9">
                  <w:pPr>
                    <w:spacing w:line="240" w:lineRule="exact"/>
                    <w:jc w:val="center"/>
                    <w:rPr>
                      <w:sz w:val="21"/>
                      <w:szCs w:val="21"/>
                    </w:rPr>
                  </w:pPr>
                  <w:r>
                    <w:rPr>
                      <w:sz w:val="21"/>
                      <w:szCs w:val="21"/>
                    </w:rPr>
                    <w:t>25</w:t>
                  </w:r>
                </w:p>
              </w:tc>
              <w:tc>
                <w:tcPr>
                  <w:tcW w:w="713" w:type="dxa"/>
                  <w:vAlign w:val="center"/>
                </w:tcPr>
                <w:p w14:paraId="02D79593">
                  <w:pPr>
                    <w:widowControl/>
                    <w:jc w:val="right"/>
                    <w:textAlignment w:val="center"/>
                    <w:rPr>
                      <w:sz w:val="21"/>
                      <w:szCs w:val="21"/>
                    </w:rPr>
                  </w:pPr>
                  <w:r>
                    <w:rPr>
                      <w:color w:val="000000"/>
                      <w:kern w:val="0"/>
                      <w:sz w:val="21"/>
                      <w:szCs w:val="21"/>
                      <w:lang w:bidi="ar"/>
                    </w:rPr>
                    <w:t xml:space="preserve">27.4 </w:t>
                  </w:r>
                </w:p>
              </w:tc>
              <w:tc>
                <w:tcPr>
                  <w:tcW w:w="358" w:type="pct"/>
                  <w:vAlign w:val="center"/>
                </w:tcPr>
                <w:p w14:paraId="15B7D1B9">
                  <w:pPr>
                    <w:spacing w:line="240" w:lineRule="exact"/>
                    <w:jc w:val="center"/>
                    <w:rPr>
                      <w:sz w:val="21"/>
                      <w:szCs w:val="21"/>
                    </w:rPr>
                  </w:pPr>
                  <w:r>
                    <w:rPr>
                      <w:sz w:val="21"/>
                      <w:szCs w:val="21"/>
                    </w:rPr>
                    <w:t>1m</w:t>
                  </w:r>
                </w:p>
              </w:tc>
            </w:tr>
            <w:tr w14:paraId="77E8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6CDAC9DD">
                  <w:pPr>
                    <w:pStyle w:val="28"/>
                    <w:spacing w:line="240" w:lineRule="exact"/>
                    <w:rPr>
                      <w:kern w:val="2"/>
                      <w:sz w:val="21"/>
                    </w:rPr>
                  </w:pPr>
                </w:p>
              </w:tc>
              <w:tc>
                <w:tcPr>
                  <w:tcW w:w="430" w:type="pct"/>
                  <w:vMerge w:val="restart"/>
                  <w:vAlign w:val="center"/>
                </w:tcPr>
                <w:p w14:paraId="40DEF575">
                  <w:pPr>
                    <w:pStyle w:val="28"/>
                    <w:spacing w:line="240" w:lineRule="exact"/>
                    <w:rPr>
                      <w:sz w:val="21"/>
                    </w:rPr>
                  </w:pPr>
                  <w:r>
                    <w:rPr>
                      <w:sz w:val="21"/>
                    </w:rPr>
                    <w:t>振动筛</w:t>
                  </w:r>
                </w:p>
              </w:tc>
              <w:tc>
                <w:tcPr>
                  <w:tcW w:w="365" w:type="pct"/>
                  <w:vMerge w:val="restart"/>
                  <w:vAlign w:val="center"/>
                </w:tcPr>
                <w:p w14:paraId="4A5D1976">
                  <w:pPr>
                    <w:spacing w:line="240" w:lineRule="exact"/>
                    <w:jc w:val="center"/>
                    <w:rPr>
                      <w:sz w:val="21"/>
                      <w:szCs w:val="21"/>
                    </w:rPr>
                  </w:pPr>
                  <w:r>
                    <w:rPr>
                      <w:sz w:val="21"/>
                      <w:szCs w:val="21"/>
                    </w:rPr>
                    <w:t>90</w:t>
                  </w:r>
                </w:p>
              </w:tc>
              <w:tc>
                <w:tcPr>
                  <w:tcW w:w="275" w:type="pct"/>
                  <w:vMerge w:val="restart"/>
                  <w:vAlign w:val="center"/>
                </w:tcPr>
                <w:p w14:paraId="77807E5F">
                  <w:pPr>
                    <w:spacing w:line="240" w:lineRule="exact"/>
                    <w:jc w:val="center"/>
                    <w:rPr>
                      <w:sz w:val="21"/>
                      <w:szCs w:val="21"/>
                    </w:rPr>
                  </w:pPr>
                  <w:r>
                    <w:rPr>
                      <w:sz w:val="21"/>
                      <w:szCs w:val="21"/>
                    </w:rPr>
                    <w:t>1</w:t>
                  </w:r>
                </w:p>
              </w:tc>
              <w:tc>
                <w:tcPr>
                  <w:tcW w:w="407" w:type="pct"/>
                  <w:vMerge w:val="restart"/>
                  <w:vAlign w:val="center"/>
                </w:tcPr>
                <w:p w14:paraId="6AB92831">
                  <w:pPr>
                    <w:spacing w:line="240" w:lineRule="exact"/>
                    <w:jc w:val="center"/>
                    <w:rPr>
                      <w:kern w:val="0"/>
                      <w:sz w:val="21"/>
                      <w:szCs w:val="21"/>
                    </w:rPr>
                  </w:pPr>
                  <w:r>
                    <w:rPr>
                      <w:kern w:val="0"/>
                      <w:sz w:val="21"/>
                      <w:szCs w:val="21"/>
                    </w:rPr>
                    <w:t>基础减振、厂房隔声</w:t>
                  </w:r>
                </w:p>
              </w:tc>
              <w:tc>
                <w:tcPr>
                  <w:tcW w:w="280" w:type="pct"/>
                  <w:vMerge w:val="restart"/>
                  <w:vAlign w:val="center"/>
                </w:tcPr>
                <w:p w14:paraId="4DA8F647">
                  <w:pPr>
                    <w:spacing w:line="240" w:lineRule="exact"/>
                    <w:jc w:val="center"/>
                    <w:rPr>
                      <w:sz w:val="21"/>
                      <w:szCs w:val="21"/>
                    </w:rPr>
                  </w:pPr>
                  <w:r>
                    <w:rPr>
                      <w:sz w:val="21"/>
                      <w:szCs w:val="21"/>
                    </w:rPr>
                    <w:t>9</w:t>
                  </w:r>
                </w:p>
              </w:tc>
              <w:tc>
                <w:tcPr>
                  <w:tcW w:w="319" w:type="pct"/>
                  <w:vMerge w:val="restart"/>
                  <w:vAlign w:val="center"/>
                </w:tcPr>
                <w:p w14:paraId="225A5475">
                  <w:pPr>
                    <w:spacing w:line="240" w:lineRule="exact"/>
                    <w:jc w:val="center"/>
                    <w:rPr>
                      <w:sz w:val="21"/>
                      <w:szCs w:val="21"/>
                    </w:rPr>
                  </w:pPr>
                  <w:r>
                    <w:rPr>
                      <w:sz w:val="21"/>
                      <w:szCs w:val="21"/>
                    </w:rPr>
                    <w:t>3.5</w:t>
                  </w:r>
                </w:p>
              </w:tc>
              <w:tc>
                <w:tcPr>
                  <w:tcW w:w="263" w:type="pct"/>
                  <w:vMerge w:val="restart"/>
                  <w:vAlign w:val="center"/>
                </w:tcPr>
                <w:p w14:paraId="1EB531A3">
                  <w:pPr>
                    <w:spacing w:line="240" w:lineRule="exact"/>
                    <w:jc w:val="center"/>
                    <w:rPr>
                      <w:sz w:val="21"/>
                      <w:szCs w:val="21"/>
                    </w:rPr>
                  </w:pPr>
                  <w:r>
                    <w:rPr>
                      <w:sz w:val="21"/>
                      <w:szCs w:val="21"/>
                    </w:rPr>
                    <w:t>1</w:t>
                  </w:r>
                </w:p>
              </w:tc>
              <w:tc>
                <w:tcPr>
                  <w:tcW w:w="209" w:type="pct"/>
                  <w:vAlign w:val="center"/>
                </w:tcPr>
                <w:p w14:paraId="179978CB">
                  <w:pPr>
                    <w:spacing w:line="240" w:lineRule="exact"/>
                    <w:jc w:val="center"/>
                    <w:rPr>
                      <w:sz w:val="21"/>
                      <w:szCs w:val="21"/>
                    </w:rPr>
                  </w:pPr>
                  <w:r>
                    <w:rPr>
                      <w:sz w:val="21"/>
                      <w:szCs w:val="21"/>
                    </w:rPr>
                    <w:t>东</w:t>
                  </w:r>
                </w:p>
              </w:tc>
              <w:tc>
                <w:tcPr>
                  <w:tcW w:w="356" w:type="pct"/>
                  <w:vAlign w:val="center"/>
                </w:tcPr>
                <w:p w14:paraId="543551B8">
                  <w:pPr>
                    <w:spacing w:line="240" w:lineRule="exact"/>
                    <w:jc w:val="center"/>
                    <w:rPr>
                      <w:sz w:val="21"/>
                      <w:szCs w:val="21"/>
                    </w:rPr>
                  </w:pPr>
                  <w:r>
                    <w:rPr>
                      <w:sz w:val="21"/>
                      <w:szCs w:val="21"/>
                    </w:rPr>
                    <w:t>25</w:t>
                  </w:r>
                </w:p>
              </w:tc>
              <w:tc>
                <w:tcPr>
                  <w:tcW w:w="695" w:type="dxa"/>
                  <w:vAlign w:val="center"/>
                </w:tcPr>
                <w:p w14:paraId="6A8DA549">
                  <w:pPr>
                    <w:widowControl/>
                    <w:jc w:val="right"/>
                    <w:textAlignment w:val="center"/>
                    <w:rPr>
                      <w:sz w:val="21"/>
                      <w:szCs w:val="21"/>
                    </w:rPr>
                  </w:pPr>
                  <w:r>
                    <w:rPr>
                      <w:color w:val="000000"/>
                      <w:kern w:val="0"/>
                      <w:sz w:val="21"/>
                      <w:szCs w:val="21"/>
                      <w:lang w:bidi="ar"/>
                    </w:rPr>
                    <w:t xml:space="preserve">62.2 </w:t>
                  </w:r>
                </w:p>
              </w:tc>
              <w:tc>
                <w:tcPr>
                  <w:tcW w:w="295" w:type="pct"/>
                  <w:vMerge w:val="continue"/>
                  <w:vAlign w:val="center"/>
                </w:tcPr>
                <w:p w14:paraId="2BB801B5">
                  <w:pPr>
                    <w:pStyle w:val="28"/>
                    <w:spacing w:line="240" w:lineRule="exact"/>
                    <w:rPr>
                      <w:kern w:val="2"/>
                      <w:sz w:val="21"/>
                    </w:rPr>
                  </w:pPr>
                </w:p>
              </w:tc>
              <w:tc>
                <w:tcPr>
                  <w:tcW w:w="695" w:type="dxa"/>
                  <w:vAlign w:val="center"/>
                </w:tcPr>
                <w:p w14:paraId="08FE05BD">
                  <w:pPr>
                    <w:spacing w:line="240" w:lineRule="exact"/>
                    <w:jc w:val="center"/>
                    <w:rPr>
                      <w:sz w:val="21"/>
                      <w:szCs w:val="21"/>
                    </w:rPr>
                  </w:pPr>
                  <w:r>
                    <w:rPr>
                      <w:sz w:val="21"/>
                      <w:szCs w:val="21"/>
                    </w:rPr>
                    <w:t>25</w:t>
                  </w:r>
                </w:p>
              </w:tc>
              <w:tc>
                <w:tcPr>
                  <w:tcW w:w="713" w:type="dxa"/>
                  <w:vAlign w:val="center"/>
                </w:tcPr>
                <w:p w14:paraId="3B5DCB22">
                  <w:pPr>
                    <w:widowControl/>
                    <w:jc w:val="right"/>
                    <w:textAlignment w:val="center"/>
                    <w:rPr>
                      <w:sz w:val="21"/>
                      <w:szCs w:val="21"/>
                    </w:rPr>
                  </w:pPr>
                  <w:r>
                    <w:rPr>
                      <w:color w:val="000000"/>
                      <w:kern w:val="0"/>
                      <w:sz w:val="21"/>
                      <w:szCs w:val="21"/>
                      <w:lang w:bidi="ar"/>
                    </w:rPr>
                    <w:t xml:space="preserve">37.2 </w:t>
                  </w:r>
                </w:p>
              </w:tc>
              <w:tc>
                <w:tcPr>
                  <w:tcW w:w="358" w:type="pct"/>
                  <w:vAlign w:val="center"/>
                </w:tcPr>
                <w:p w14:paraId="327D9988">
                  <w:pPr>
                    <w:spacing w:line="240" w:lineRule="exact"/>
                    <w:jc w:val="center"/>
                    <w:rPr>
                      <w:sz w:val="21"/>
                      <w:szCs w:val="21"/>
                    </w:rPr>
                  </w:pPr>
                  <w:r>
                    <w:rPr>
                      <w:sz w:val="21"/>
                      <w:szCs w:val="21"/>
                    </w:rPr>
                    <w:t>1m</w:t>
                  </w:r>
                </w:p>
              </w:tc>
            </w:tr>
            <w:tr w14:paraId="5F21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32821A57">
                  <w:pPr>
                    <w:pStyle w:val="28"/>
                    <w:spacing w:line="240" w:lineRule="exact"/>
                    <w:rPr>
                      <w:kern w:val="2"/>
                      <w:sz w:val="21"/>
                    </w:rPr>
                  </w:pPr>
                </w:p>
              </w:tc>
              <w:tc>
                <w:tcPr>
                  <w:tcW w:w="430" w:type="pct"/>
                  <w:vMerge w:val="continue"/>
                  <w:vAlign w:val="center"/>
                </w:tcPr>
                <w:p w14:paraId="39AA4FA2">
                  <w:pPr>
                    <w:pStyle w:val="28"/>
                    <w:spacing w:line="240" w:lineRule="exact"/>
                    <w:rPr>
                      <w:sz w:val="21"/>
                    </w:rPr>
                  </w:pPr>
                </w:p>
              </w:tc>
              <w:tc>
                <w:tcPr>
                  <w:tcW w:w="365" w:type="pct"/>
                  <w:vMerge w:val="continue"/>
                  <w:vAlign w:val="center"/>
                </w:tcPr>
                <w:p w14:paraId="068521FD">
                  <w:pPr>
                    <w:pStyle w:val="28"/>
                    <w:spacing w:line="240" w:lineRule="exact"/>
                    <w:rPr>
                      <w:sz w:val="21"/>
                    </w:rPr>
                  </w:pPr>
                </w:p>
              </w:tc>
              <w:tc>
                <w:tcPr>
                  <w:tcW w:w="275" w:type="pct"/>
                  <w:vMerge w:val="continue"/>
                  <w:vAlign w:val="center"/>
                </w:tcPr>
                <w:p w14:paraId="119F84E8">
                  <w:pPr>
                    <w:pStyle w:val="28"/>
                    <w:spacing w:line="240" w:lineRule="exact"/>
                    <w:rPr>
                      <w:kern w:val="2"/>
                      <w:sz w:val="21"/>
                    </w:rPr>
                  </w:pPr>
                </w:p>
              </w:tc>
              <w:tc>
                <w:tcPr>
                  <w:tcW w:w="407" w:type="pct"/>
                  <w:vMerge w:val="continue"/>
                  <w:vAlign w:val="center"/>
                </w:tcPr>
                <w:p w14:paraId="509DD8D7">
                  <w:pPr>
                    <w:spacing w:line="240" w:lineRule="exact"/>
                    <w:jc w:val="center"/>
                    <w:rPr>
                      <w:kern w:val="0"/>
                      <w:sz w:val="21"/>
                      <w:szCs w:val="21"/>
                    </w:rPr>
                  </w:pPr>
                </w:p>
              </w:tc>
              <w:tc>
                <w:tcPr>
                  <w:tcW w:w="280" w:type="pct"/>
                  <w:vMerge w:val="continue"/>
                  <w:vAlign w:val="center"/>
                </w:tcPr>
                <w:p w14:paraId="4B876099">
                  <w:pPr>
                    <w:spacing w:line="240" w:lineRule="exact"/>
                    <w:jc w:val="center"/>
                    <w:rPr>
                      <w:sz w:val="21"/>
                      <w:szCs w:val="21"/>
                    </w:rPr>
                  </w:pPr>
                </w:p>
              </w:tc>
              <w:tc>
                <w:tcPr>
                  <w:tcW w:w="319" w:type="pct"/>
                  <w:vMerge w:val="continue"/>
                  <w:vAlign w:val="center"/>
                </w:tcPr>
                <w:p w14:paraId="0AFADD36">
                  <w:pPr>
                    <w:spacing w:line="240" w:lineRule="exact"/>
                    <w:jc w:val="center"/>
                    <w:rPr>
                      <w:sz w:val="21"/>
                      <w:szCs w:val="21"/>
                    </w:rPr>
                  </w:pPr>
                </w:p>
              </w:tc>
              <w:tc>
                <w:tcPr>
                  <w:tcW w:w="263" w:type="pct"/>
                  <w:vMerge w:val="continue"/>
                  <w:vAlign w:val="center"/>
                </w:tcPr>
                <w:p w14:paraId="6D1C98E2">
                  <w:pPr>
                    <w:spacing w:line="240" w:lineRule="exact"/>
                    <w:jc w:val="center"/>
                    <w:rPr>
                      <w:sz w:val="21"/>
                      <w:szCs w:val="21"/>
                    </w:rPr>
                  </w:pPr>
                </w:p>
              </w:tc>
              <w:tc>
                <w:tcPr>
                  <w:tcW w:w="209" w:type="pct"/>
                  <w:vAlign w:val="center"/>
                </w:tcPr>
                <w:p w14:paraId="030518C6">
                  <w:pPr>
                    <w:spacing w:line="240" w:lineRule="exact"/>
                    <w:jc w:val="center"/>
                    <w:rPr>
                      <w:sz w:val="21"/>
                      <w:szCs w:val="21"/>
                    </w:rPr>
                  </w:pPr>
                  <w:r>
                    <w:rPr>
                      <w:sz w:val="21"/>
                      <w:szCs w:val="21"/>
                    </w:rPr>
                    <w:t>西</w:t>
                  </w:r>
                </w:p>
              </w:tc>
              <w:tc>
                <w:tcPr>
                  <w:tcW w:w="356" w:type="pct"/>
                  <w:vAlign w:val="center"/>
                </w:tcPr>
                <w:p w14:paraId="60A6FF6E">
                  <w:pPr>
                    <w:spacing w:line="240" w:lineRule="exact"/>
                    <w:jc w:val="center"/>
                    <w:rPr>
                      <w:sz w:val="21"/>
                      <w:szCs w:val="21"/>
                    </w:rPr>
                  </w:pPr>
                  <w:r>
                    <w:rPr>
                      <w:sz w:val="21"/>
                      <w:szCs w:val="21"/>
                    </w:rPr>
                    <w:t>23</w:t>
                  </w:r>
                </w:p>
              </w:tc>
              <w:tc>
                <w:tcPr>
                  <w:tcW w:w="695" w:type="dxa"/>
                  <w:vAlign w:val="center"/>
                </w:tcPr>
                <w:p w14:paraId="6A5D486B">
                  <w:pPr>
                    <w:widowControl/>
                    <w:jc w:val="right"/>
                    <w:textAlignment w:val="center"/>
                    <w:rPr>
                      <w:sz w:val="21"/>
                      <w:szCs w:val="21"/>
                    </w:rPr>
                  </w:pPr>
                  <w:r>
                    <w:rPr>
                      <w:color w:val="000000"/>
                      <w:kern w:val="0"/>
                      <w:sz w:val="21"/>
                      <w:szCs w:val="21"/>
                      <w:lang w:bidi="ar"/>
                    </w:rPr>
                    <w:t xml:space="preserve">62.3 </w:t>
                  </w:r>
                </w:p>
              </w:tc>
              <w:tc>
                <w:tcPr>
                  <w:tcW w:w="295" w:type="pct"/>
                  <w:vMerge w:val="continue"/>
                  <w:vAlign w:val="center"/>
                </w:tcPr>
                <w:p w14:paraId="1DCB9CA9">
                  <w:pPr>
                    <w:pStyle w:val="28"/>
                    <w:spacing w:line="240" w:lineRule="exact"/>
                    <w:rPr>
                      <w:kern w:val="2"/>
                      <w:sz w:val="21"/>
                    </w:rPr>
                  </w:pPr>
                </w:p>
              </w:tc>
              <w:tc>
                <w:tcPr>
                  <w:tcW w:w="695" w:type="dxa"/>
                  <w:vAlign w:val="center"/>
                </w:tcPr>
                <w:p w14:paraId="150F14B1">
                  <w:pPr>
                    <w:spacing w:line="240" w:lineRule="exact"/>
                    <w:jc w:val="center"/>
                    <w:rPr>
                      <w:sz w:val="21"/>
                      <w:szCs w:val="21"/>
                    </w:rPr>
                  </w:pPr>
                  <w:r>
                    <w:rPr>
                      <w:sz w:val="21"/>
                      <w:szCs w:val="21"/>
                    </w:rPr>
                    <w:t>25</w:t>
                  </w:r>
                </w:p>
              </w:tc>
              <w:tc>
                <w:tcPr>
                  <w:tcW w:w="713" w:type="dxa"/>
                  <w:vAlign w:val="center"/>
                </w:tcPr>
                <w:p w14:paraId="44706CBD">
                  <w:pPr>
                    <w:widowControl/>
                    <w:jc w:val="right"/>
                    <w:textAlignment w:val="center"/>
                    <w:rPr>
                      <w:sz w:val="21"/>
                      <w:szCs w:val="21"/>
                    </w:rPr>
                  </w:pPr>
                  <w:r>
                    <w:rPr>
                      <w:color w:val="000000"/>
                      <w:kern w:val="0"/>
                      <w:sz w:val="21"/>
                      <w:szCs w:val="21"/>
                      <w:lang w:bidi="ar"/>
                    </w:rPr>
                    <w:t xml:space="preserve">37.3 </w:t>
                  </w:r>
                </w:p>
              </w:tc>
              <w:tc>
                <w:tcPr>
                  <w:tcW w:w="358" w:type="pct"/>
                  <w:vAlign w:val="center"/>
                </w:tcPr>
                <w:p w14:paraId="26542B26">
                  <w:pPr>
                    <w:spacing w:line="240" w:lineRule="exact"/>
                    <w:jc w:val="center"/>
                    <w:rPr>
                      <w:sz w:val="21"/>
                      <w:szCs w:val="21"/>
                    </w:rPr>
                  </w:pPr>
                  <w:r>
                    <w:rPr>
                      <w:sz w:val="21"/>
                      <w:szCs w:val="21"/>
                    </w:rPr>
                    <w:t>1m</w:t>
                  </w:r>
                </w:p>
              </w:tc>
            </w:tr>
            <w:tr w14:paraId="11FC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26D5CBF6">
                  <w:pPr>
                    <w:pStyle w:val="28"/>
                    <w:spacing w:line="240" w:lineRule="exact"/>
                    <w:rPr>
                      <w:kern w:val="2"/>
                      <w:sz w:val="21"/>
                    </w:rPr>
                  </w:pPr>
                </w:p>
              </w:tc>
              <w:tc>
                <w:tcPr>
                  <w:tcW w:w="430" w:type="pct"/>
                  <w:vMerge w:val="continue"/>
                  <w:vAlign w:val="center"/>
                </w:tcPr>
                <w:p w14:paraId="0E4F72EE">
                  <w:pPr>
                    <w:pStyle w:val="28"/>
                    <w:spacing w:line="240" w:lineRule="exact"/>
                    <w:rPr>
                      <w:sz w:val="21"/>
                    </w:rPr>
                  </w:pPr>
                </w:p>
              </w:tc>
              <w:tc>
                <w:tcPr>
                  <w:tcW w:w="365" w:type="pct"/>
                  <w:vMerge w:val="continue"/>
                  <w:vAlign w:val="center"/>
                </w:tcPr>
                <w:p w14:paraId="01A4256C">
                  <w:pPr>
                    <w:pStyle w:val="28"/>
                    <w:spacing w:line="240" w:lineRule="exact"/>
                    <w:rPr>
                      <w:sz w:val="21"/>
                    </w:rPr>
                  </w:pPr>
                </w:p>
              </w:tc>
              <w:tc>
                <w:tcPr>
                  <w:tcW w:w="275" w:type="pct"/>
                  <w:vMerge w:val="continue"/>
                  <w:vAlign w:val="center"/>
                </w:tcPr>
                <w:p w14:paraId="58BA8D8F">
                  <w:pPr>
                    <w:pStyle w:val="28"/>
                    <w:spacing w:line="240" w:lineRule="exact"/>
                    <w:rPr>
                      <w:kern w:val="2"/>
                      <w:sz w:val="21"/>
                    </w:rPr>
                  </w:pPr>
                </w:p>
              </w:tc>
              <w:tc>
                <w:tcPr>
                  <w:tcW w:w="407" w:type="pct"/>
                  <w:vMerge w:val="continue"/>
                  <w:vAlign w:val="center"/>
                </w:tcPr>
                <w:p w14:paraId="04F6DA91">
                  <w:pPr>
                    <w:spacing w:line="240" w:lineRule="exact"/>
                    <w:jc w:val="center"/>
                    <w:rPr>
                      <w:kern w:val="0"/>
                      <w:sz w:val="21"/>
                      <w:szCs w:val="21"/>
                    </w:rPr>
                  </w:pPr>
                </w:p>
              </w:tc>
              <w:tc>
                <w:tcPr>
                  <w:tcW w:w="280" w:type="pct"/>
                  <w:vMerge w:val="continue"/>
                  <w:vAlign w:val="center"/>
                </w:tcPr>
                <w:p w14:paraId="0A42CB8A">
                  <w:pPr>
                    <w:spacing w:line="240" w:lineRule="exact"/>
                    <w:jc w:val="center"/>
                    <w:rPr>
                      <w:sz w:val="21"/>
                      <w:szCs w:val="21"/>
                    </w:rPr>
                  </w:pPr>
                </w:p>
              </w:tc>
              <w:tc>
                <w:tcPr>
                  <w:tcW w:w="319" w:type="pct"/>
                  <w:vMerge w:val="continue"/>
                  <w:vAlign w:val="center"/>
                </w:tcPr>
                <w:p w14:paraId="6D392B81">
                  <w:pPr>
                    <w:spacing w:line="240" w:lineRule="exact"/>
                    <w:jc w:val="center"/>
                    <w:rPr>
                      <w:sz w:val="21"/>
                      <w:szCs w:val="21"/>
                    </w:rPr>
                  </w:pPr>
                </w:p>
              </w:tc>
              <w:tc>
                <w:tcPr>
                  <w:tcW w:w="263" w:type="pct"/>
                  <w:vMerge w:val="continue"/>
                  <w:vAlign w:val="center"/>
                </w:tcPr>
                <w:p w14:paraId="32FBB9EE">
                  <w:pPr>
                    <w:spacing w:line="240" w:lineRule="exact"/>
                    <w:jc w:val="center"/>
                    <w:rPr>
                      <w:sz w:val="21"/>
                      <w:szCs w:val="21"/>
                    </w:rPr>
                  </w:pPr>
                </w:p>
              </w:tc>
              <w:tc>
                <w:tcPr>
                  <w:tcW w:w="209" w:type="pct"/>
                  <w:vAlign w:val="center"/>
                </w:tcPr>
                <w:p w14:paraId="2A44A0F6">
                  <w:pPr>
                    <w:spacing w:line="240" w:lineRule="exact"/>
                    <w:jc w:val="center"/>
                    <w:rPr>
                      <w:sz w:val="21"/>
                      <w:szCs w:val="21"/>
                    </w:rPr>
                  </w:pPr>
                  <w:r>
                    <w:rPr>
                      <w:sz w:val="21"/>
                      <w:szCs w:val="21"/>
                    </w:rPr>
                    <w:t>南</w:t>
                  </w:r>
                </w:p>
              </w:tc>
              <w:tc>
                <w:tcPr>
                  <w:tcW w:w="356" w:type="pct"/>
                  <w:vAlign w:val="center"/>
                </w:tcPr>
                <w:p w14:paraId="28B24685">
                  <w:pPr>
                    <w:spacing w:line="240" w:lineRule="exact"/>
                    <w:jc w:val="center"/>
                    <w:rPr>
                      <w:sz w:val="21"/>
                      <w:szCs w:val="21"/>
                    </w:rPr>
                  </w:pPr>
                  <w:r>
                    <w:rPr>
                      <w:sz w:val="21"/>
                      <w:szCs w:val="21"/>
                    </w:rPr>
                    <w:t>14</w:t>
                  </w:r>
                </w:p>
              </w:tc>
              <w:tc>
                <w:tcPr>
                  <w:tcW w:w="695" w:type="dxa"/>
                  <w:vAlign w:val="center"/>
                </w:tcPr>
                <w:p w14:paraId="372C1B0B">
                  <w:pPr>
                    <w:widowControl/>
                    <w:jc w:val="right"/>
                    <w:textAlignment w:val="center"/>
                    <w:rPr>
                      <w:sz w:val="21"/>
                      <w:szCs w:val="21"/>
                    </w:rPr>
                  </w:pPr>
                  <w:r>
                    <w:rPr>
                      <w:color w:val="000000"/>
                      <w:kern w:val="0"/>
                      <w:sz w:val="21"/>
                      <w:szCs w:val="21"/>
                      <w:lang w:bidi="ar"/>
                    </w:rPr>
                    <w:t xml:space="preserve">63.5 </w:t>
                  </w:r>
                </w:p>
              </w:tc>
              <w:tc>
                <w:tcPr>
                  <w:tcW w:w="295" w:type="pct"/>
                  <w:vMerge w:val="continue"/>
                  <w:vAlign w:val="center"/>
                </w:tcPr>
                <w:p w14:paraId="78B67C9A">
                  <w:pPr>
                    <w:pStyle w:val="28"/>
                    <w:spacing w:line="240" w:lineRule="exact"/>
                    <w:rPr>
                      <w:kern w:val="2"/>
                      <w:sz w:val="21"/>
                    </w:rPr>
                  </w:pPr>
                </w:p>
              </w:tc>
              <w:tc>
                <w:tcPr>
                  <w:tcW w:w="695" w:type="dxa"/>
                  <w:vAlign w:val="center"/>
                </w:tcPr>
                <w:p w14:paraId="270A9075">
                  <w:pPr>
                    <w:spacing w:line="240" w:lineRule="exact"/>
                    <w:jc w:val="center"/>
                    <w:rPr>
                      <w:sz w:val="21"/>
                      <w:szCs w:val="21"/>
                    </w:rPr>
                  </w:pPr>
                  <w:r>
                    <w:rPr>
                      <w:sz w:val="21"/>
                      <w:szCs w:val="21"/>
                    </w:rPr>
                    <w:t>25</w:t>
                  </w:r>
                </w:p>
              </w:tc>
              <w:tc>
                <w:tcPr>
                  <w:tcW w:w="713" w:type="dxa"/>
                  <w:vAlign w:val="center"/>
                </w:tcPr>
                <w:p w14:paraId="5256A1CB">
                  <w:pPr>
                    <w:widowControl/>
                    <w:jc w:val="right"/>
                    <w:textAlignment w:val="center"/>
                    <w:rPr>
                      <w:sz w:val="21"/>
                      <w:szCs w:val="21"/>
                    </w:rPr>
                  </w:pPr>
                  <w:r>
                    <w:rPr>
                      <w:color w:val="000000"/>
                      <w:kern w:val="0"/>
                      <w:sz w:val="21"/>
                      <w:szCs w:val="21"/>
                      <w:lang w:bidi="ar"/>
                    </w:rPr>
                    <w:t xml:space="preserve">38.5 </w:t>
                  </w:r>
                </w:p>
              </w:tc>
              <w:tc>
                <w:tcPr>
                  <w:tcW w:w="358" w:type="pct"/>
                  <w:vAlign w:val="center"/>
                </w:tcPr>
                <w:p w14:paraId="28886BA6">
                  <w:pPr>
                    <w:spacing w:line="240" w:lineRule="exact"/>
                    <w:jc w:val="center"/>
                    <w:rPr>
                      <w:sz w:val="21"/>
                      <w:szCs w:val="21"/>
                    </w:rPr>
                  </w:pPr>
                  <w:r>
                    <w:rPr>
                      <w:sz w:val="21"/>
                      <w:szCs w:val="21"/>
                    </w:rPr>
                    <w:t>1m</w:t>
                  </w:r>
                </w:p>
              </w:tc>
            </w:tr>
            <w:tr w14:paraId="2215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14C70C04">
                  <w:pPr>
                    <w:pStyle w:val="28"/>
                    <w:spacing w:line="240" w:lineRule="exact"/>
                    <w:rPr>
                      <w:kern w:val="2"/>
                      <w:sz w:val="21"/>
                    </w:rPr>
                  </w:pPr>
                </w:p>
              </w:tc>
              <w:tc>
                <w:tcPr>
                  <w:tcW w:w="430" w:type="pct"/>
                  <w:vMerge w:val="continue"/>
                  <w:vAlign w:val="center"/>
                </w:tcPr>
                <w:p w14:paraId="3C10E37F">
                  <w:pPr>
                    <w:pStyle w:val="28"/>
                    <w:spacing w:line="240" w:lineRule="exact"/>
                    <w:rPr>
                      <w:sz w:val="21"/>
                    </w:rPr>
                  </w:pPr>
                </w:p>
              </w:tc>
              <w:tc>
                <w:tcPr>
                  <w:tcW w:w="365" w:type="pct"/>
                  <w:vMerge w:val="continue"/>
                  <w:vAlign w:val="center"/>
                </w:tcPr>
                <w:p w14:paraId="1630F78B">
                  <w:pPr>
                    <w:pStyle w:val="28"/>
                    <w:spacing w:line="240" w:lineRule="exact"/>
                    <w:rPr>
                      <w:sz w:val="21"/>
                    </w:rPr>
                  </w:pPr>
                </w:p>
              </w:tc>
              <w:tc>
                <w:tcPr>
                  <w:tcW w:w="275" w:type="pct"/>
                  <w:vMerge w:val="continue"/>
                  <w:vAlign w:val="center"/>
                </w:tcPr>
                <w:p w14:paraId="21B99E7E">
                  <w:pPr>
                    <w:pStyle w:val="28"/>
                    <w:spacing w:line="240" w:lineRule="exact"/>
                    <w:rPr>
                      <w:kern w:val="2"/>
                      <w:sz w:val="21"/>
                    </w:rPr>
                  </w:pPr>
                </w:p>
              </w:tc>
              <w:tc>
                <w:tcPr>
                  <w:tcW w:w="407" w:type="pct"/>
                  <w:vMerge w:val="continue"/>
                  <w:vAlign w:val="center"/>
                </w:tcPr>
                <w:p w14:paraId="42A33A98">
                  <w:pPr>
                    <w:spacing w:line="240" w:lineRule="exact"/>
                    <w:jc w:val="center"/>
                    <w:rPr>
                      <w:kern w:val="0"/>
                      <w:sz w:val="21"/>
                      <w:szCs w:val="21"/>
                    </w:rPr>
                  </w:pPr>
                </w:p>
              </w:tc>
              <w:tc>
                <w:tcPr>
                  <w:tcW w:w="280" w:type="pct"/>
                  <w:vMerge w:val="continue"/>
                  <w:vAlign w:val="center"/>
                </w:tcPr>
                <w:p w14:paraId="06B0E760">
                  <w:pPr>
                    <w:spacing w:line="240" w:lineRule="exact"/>
                    <w:jc w:val="center"/>
                    <w:rPr>
                      <w:sz w:val="21"/>
                      <w:szCs w:val="21"/>
                    </w:rPr>
                  </w:pPr>
                </w:p>
              </w:tc>
              <w:tc>
                <w:tcPr>
                  <w:tcW w:w="319" w:type="pct"/>
                  <w:vMerge w:val="continue"/>
                  <w:vAlign w:val="center"/>
                </w:tcPr>
                <w:p w14:paraId="72CAAA9B">
                  <w:pPr>
                    <w:spacing w:line="240" w:lineRule="exact"/>
                    <w:jc w:val="center"/>
                    <w:rPr>
                      <w:sz w:val="21"/>
                      <w:szCs w:val="21"/>
                    </w:rPr>
                  </w:pPr>
                </w:p>
              </w:tc>
              <w:tc>
                <w:tcPr>
                  <w:tcW w:w="263" w:type="pct"/>
                  <w:vMerge w:val="continue"/>
                  <w:vAlign w:val="center"/>
                </w:tcPr>
                <w:p w14:paraId="46ABE61A">
                  <w:pPr>
                    <w:spacing w:line="240" w:lineRule="exact"/>
                    <w:jc w:val="center"/>
                    <w:rPr>
                      <w:sz w:val="21"/>
                      <w:szCs w:val="21"/>
                    </w:rPr>
                  </w:pPr>
                </w:p>
              </w:tc>
              <w:tc>
                <w:tcPr>
                  <w:tcW w:w="209" w:type="pct"/>
                  <w:vAlign w:val="center"/>
                </w:tcPr>
                <w:p w14:paraId="70DB7EB8">
                  <w:pPr>
                    <w:spacing w:line="240" w:lineRule="exact"/>
                    <w:jc w:val="center"/>
                    <w:rPr>
                      <w:sz w:val="21"/>
                      <w:szCs w:val="21"/>
                    </w:rPr>
                  </w:pPr>
                  <w:r>
                    <w:rPr>
                      <w:sz w:val="21"/>
                      <w:szCs w:val="21"/>
                    </w:rPr>
                    <w:t>北</w:t>
                  </w:r>
                </w:p>
              </w:tc>
              <w:tc>
                <w:tcPr>
                  <w:tcW w:w="356" w:type="pct"/>
                  <w:vAlign w:val="center"/>
                </w:tcPr>
                <w:p w14:paraId="11C5A47B">
                  <w:pPr>
                    <w:spacing w:line="240" w:lineRule="exact"/>
                    <w:jc w:val="center"/>
                    <w:rPr>
                      <w:sz w:val="21"/>
                      <w:szCs w:val="21"/>
                    </w:rPr>
                  </w:pPr>
                  <w:r>
                    <w:rPr>
                      <w:sz w:val="21"/>
                      <w:szCs w:val="21"/>
                    </w:rPr>
                    <w:t>13.5</w:t>
                  </w:r>
                </w:p>
              </w:tc>
              <w:tc>
                <w:tcPr>
                  <w:tcW w:w="695" w:type="dxa"/>
                  <w:vAlign w:val="center"/>
                </w:tcPr>
                <w:p w14:paraId="42BBE111">
                  <w:pPr>
                    <w:widowControl/>
                    <w:jc w:val="right"/>
                    <w:textAlignment w:val="center"/>
                    <w:rPr>
                      <w:sz w:val="21"/>
                      <w:szCs w:val="21"/>
                    </w:rPr>
                  </w:pPr>
                  <w:r>
                    <w:rPr>
                      <w:color w:val="000000"/>
                      <w:kern w:val="0"/>
                      <w:sz w:val="21"/>
                      <w:szCs w:val="21"/>
                      <w:lang w:bidi="ar"/>
                    </w:rPr>
                    <w:t xml:space="preserve">63.6 </w:t>
                  </w:r>
                </w:p>
              </w:tc>
              <w:tc>
                <w:tcPr>
                  <w:tcW w:w="295" w:type="pct"/>
                  <w:vMerge w:val="continue"/>
                  <w:vAlign w:val="center"/>
                </w:tcPr>
                <w:p w14:paraId="4C62F9F9">
                  <w:pPr>
                    <w:pStyle w:val="28"/>
                    <w:spacing w:line="240" w:lineRule="exact"/>
                    <w:rPr>
                      <w:kern w:val="2"/>
                      <w:sz w:val="21"/>
                    </w:rPr>
                  </w:pPr>
                </w:p>
              </w:tc>
              <w:tc>
                <w:tcPr>
                  <w:tcW w:w="695" w:type="dxa"/>
                  <w:vAlign w:val="center"/>
                </w:tcPr>
                <w:p w14:paraId="73FED33C">
                  <w:pPr>
                    <w:spacing w:line="240" w:lineRule="exact"/>
                    <w:jc w:val="center"/>
                    <w:rPr>
                      <w:sz w:val="21"/>
                      <w:szCs w:val="21"/>
                    </w:rPr>
                  </w:pPr>
                  <w:r>
                    <w:rPr>
                      <w:sz w:val="21"/>
                      <w:szCs w:val="21"/>
                    </w:rPr>
                    <w:t>25</w:t>
                  </w:r>
                </w:p>
              </w:tc>
              <w:tc>
                <w:tcPr>
                  <w:tcW w:w="713" w:type="dxa"/>
                  <w:vAlign w:val="center"/>
                </w:tcPr>
                <w:p w14:paraId="349E6669">
                  <w:pPr>
                    <w:widowControl/>
                    <w:jc w:val="right"/>
                    <w:textAlignment w:val="center"/>
                    <w:rPr>
                      <w:sz w:val="21"/>
                      <w:szCs w:val="21"/>
                    </w:rPr>
                  </w:pPr>
                  <w:r>
                    <w:rPr>
                      <w:color w:val="000000"/>
                      <w:kern w:val="0"/>
                      <w:sz w:val="21"/>
                      <w:szCs w:val="21"/>
                      <w:lang w:bidi="ar"/>
                    </w:rPr>
                    <w:t xml:space="preserve">38.6 </w:t>
                  </w:r>
                </w:p>
              </w:tc>
              <w:tc>
                <w:tcPr>
                  <w:tcW w:w="358" w:type="pct"/>
                  <w:vAlign w:val="center"/>
                </w:tcPr>
                <w:p w14:paraId="57EC6F33">
                  <w:pPr>
                    <w:spacing w:line="240" w:lineRule="exact"/>
                    <w:jc w:val="center"/>
                    <w:rPr>
                      <w:sz w:val="21"/>
                      <w:szCs w:val="21"/>
                    </w:rPr>
                  </w:pPr>
                  <w:r>
                    <w:rPr>
                      <w:sz w:val="21"/>
                      <w:szCs w:val="21"/>
                    </w:rPr>
                    <w:t>1m</w:t>
                  </w:r>
                </w:p>
              </w:tc>
            </w:tr>
            <w:tr w14:paraId="32AA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201AEA60">
                  <w:pPr>
                    <w:pStyle w:val="28"/>
                    <w:spacing w:line="240" w:lineRule="exact"/>
                    <w:rPr>
                      <w:sz w:val="21"/>
                    </w:rPr>
                  </w:pPr>
                </w:p>
              </w:tc>
              <w:tc>
                <w:tcPr>
                  <w:tcW w:w="430" w:type="pct"/>
                  <w:vMerge w:val="restart"/>
                  <w:vAlign w:val="center"/>
                </w:tcPr>
                <w:p w14:paraId="33573030">
                  <w:pPr>
                    <w:pStyle w:val="28"/>
                    <w:spacing w:line="240" w:lineRule="exact"/>
                    <w:rPr>
                      <w:sz w:val="21"/>
                    </w:rPr>
                  </w:pPr>
                  <w:r>
                    <w:rPr>
                      <w:sz w:val="21"/>
                    </w:rPr>
                    <w:t>风干机</w:t>
                  </w:r>
                </w:p>
              </w:tc>
              <w:tc>
                <w:tcPr>
                  <w:tcW w:w="365" w:type="pct"/>
                  <w:vMerge w:val="restart"/>
                  <w:vAlign w:val="center"/>
                </w:tcPr>
                <w:p w14:paraId="674CE76E">
                  <w:pPr>
                    <w:pStyle w:val="28"/>
                    <w:spacing w:line="240" w:lineRule="exact"/>
                    <w:rPr>
                      <w:kern w:val="2"/>
                      <w:sz w:val="21"/>
                    </w:rPr>
                  </w:pPr>
                  <w:r>
                    <w:rPr>
                      <w:kern w:val="2"/>
                      <w:sz w:val="21"/>
                    </w:rPr>
                    <w:t>85</w:t>
                  </w:r>
                </w:p>
              </w:tc>
              <w:tc>
                <w:tcPr>
                  <w:tcW w:w="275" w:type="pct"/>
                  <w:vMerge w:val="restart"/>
                  <w:vAlign w:val="center"/>
                </w:tcPr>
                <w:p w14:paraId="1A598ACE">
                  <w:pPr>
                    <w:pStyle w:val="28"/>
                    <w:spacing w:line="240" w:lineRule="exact"/>
                    <w:rPr>
                      <w:kern w:val="2"/>
                      <w:sz w:val="21"/>
                    </w:rPr>
                  </w:pPr>
                  <w:r>
                    <w:rPr>
                      <w:sz w:val="21"/>
                    </w:rPr>
                    <w:t>1</w:t>
                  </w:r>
                </w:p>
              </w:tc>
              <w:tc>
                <w:tcPr>
                  <w:tcW w:w="407" w:type="pct"/>
                  <w:vMerge w:val="restart"/>
                  <w:vAlign w:val="center"/>
                </w:tcPr>
                <w:p w14:paraId="62622C13">
                  <w:pPr>
                    <w:spacing w:line="240" w:lineRule="exact"/>
                    <w:jc w:val="center"/>
                    <w:rPr>
                      <w:sz w:val="21"/>
                      <w:szCs w:val="21"/>
                    </w:rPr>
                  </w:pPr>
                  <w:r>
                    <w:rPr>
                      <w:kern w:val="0"/>
                      <w:sz w:val="21"/>
                      <w:szCs w:val="21"/>
                    </w:rPr>
                    <w:t>基础减振、厂房隔声</w:t>
                  </w:r>
                </w:p>
              </w:tc>
              <w:tc>
                <w:tcPr>
                  <w:tcW w:w="280" w:type="pct"/>
                  <w:vMerge w:val="restart"/>
                  <w:vAlign w:val="center"/>
                </w:tcPr>
                <w:p w14:paraId="3914EFAD">
                  <w:pPr>
                    <w:spacing w:line="240" w:lineRule="exact"/>
                    <w:jc w:val="center"/>
                    <w:rPr>
                      <w:sz w:val="21"/>
                      <w:szCs w:val="21"/>
                    </w:rPr>
                  </w:pPr>
                  <w:r>
                    <w:rPr>
                      <w:sz w:val="21"/>
                      <w:szCs w:val="21"/>
                    </w:rPr>
                    <w:t>10</w:t>
                  </w:r>
                </w:p>
              </w:tc>
              <w:tc>
                <w:tcPr>
                  <w:tcW w:w="319" w:type="pct"/>
                  <w:vMerge w:val="restart"/>
                  <w:vAlign w:val="center"/>
                </w:tcPr>
                <w:p w14:paraId="47CE5BF4">
                  <w:pPr>
                    <w:spacing w:line="240" w:lineRule="exact"/>
                    <w:jc w:val="center"/>
                    <w:rPr>
                      <w:sz w:val="21"/>
                      <w:szCs w:val="21"/>
                    </w:rPr>
                  </w:pPr>
                  <w:r>
                    <w:rPr>
                      <w:sz w:val="21"/>
                      <w:szCs w:val="21"/>
                    </w:rPr>
                    <w:t>-1.5</w:t>
                  </w:r>
                </w:p>
              </w:tc>
              <w:tc>
                <w:tcPr>
                  <w:tcW w:w="263" w:type="pct"/>
                  <w:vMerge w:val="restart"/>
                  <w:vAlign w:val="center"/>
                </w:tcPr>
                <w:p w14:paraId="35D02497">
                  <w:pPr>
                    <w:spacing w:line="240" w:lineRule="exact"/>
                    <w:jc w:val="center"/>
                    <w:rPr>
                      <w:sz w:val="21"/>
                      <w:szCs w:val="21"/>
                    </w:rPr>
                  </w:pPr>
                  <w:r>
                    <w:rPr>
                      <w:sz w:val="21"/>
                      <w:szCs w:val="21"/>
                    </w:rPr>
                    <w:t>1</w:t>
                  </w:r>
                </w:p>
              </w:tc>
              <w:tc>
                <w:tcPr>
                  <w:tcW w:w="209" w:type="pct"/>
                  <w:vAlign w:val="center"/>
                </w:tcPr>
                <w:p w14:paraId="37C868C4">
                  <w:pPr>
                    <w:spacing w:line="240" w:lineRule="exact"/>
                    <w:jc w:val="center"/>
                    <w:rPr>
                      <w:sz w:val="21"/>
                      <w:szCs w:val="21"/>
                    </w:rPr>
                  </w:pPr>
                  <w:r>
                    <w:rPr>
                      <w:sz w:val="21"/>
                      <w:szCs w:val="21"/>
                    </w:rPr>
                    <w:t>东</w:t>
                  </w:r>
                </w:p>
              </w:tc>
              <w:tc>
                <w:tcPr>
                  <w:tcW w:w="356" w:type="pct"/>
                  <w:vAlign w:val="center"/>
                </w:tcPr>
                <w:p w14:paraId="3CB4ECE4">
                  <w:pPr>
                    <w:spacing w:line="240" w:lineRule="exact"/>
                    <w:jc w:val="center"/>
                    <w:rPr>
                      <w:sz w:val="21"/>
                      <w:szCs w:val="21"/>
                    </w:rPr>
                  </w:pPr>
                  <w:r>
                    <w:rPr>
                      <w:sz w:val="21"/>
                      <w:szCs w:val="21"/>
                    </w:rPr>
                    <w:t>24</w:t>
                  </w:r>
                </w:p>
              </w:tc>
              <w:tc>
                <w:tcPr>
                  <w:tcW w:w="695" w:type="dxa"/>
                  <w:vAlign w:val="center"/>
                </w:tcPr>
                <w:p w14:paraId="68D79618">
                  <w:pPr>
                    <w:widowControl/>
                    <w:jc w:val="right"/>
                    <w:textAlignment w:val="center"/>
                    <w:rPr>
                      <w:sz w:val="21"/>
                      <w:szCs w:val="21"/>
                    </w:rPr>
                  </w:pPr>
                  <w:r>
                    <w:rPr>
                      <w:color w:val="000000"/>
                      <w:kern w:val="0"/>
                      <w:sz w:val="21"/>
                      <w:szCs w:val="21"/>
                      <w:lang w:bidi="ar"/>
                    </w:rPr>
                    <w:t xml:space="preserve">57.2 </w:t>
                  </w:r>
                </w:p>
              </w:tc>
              <w:tc>
                <w:tcPr>
                  <w:tcW w:w="295" w:type="pct"/>
                  <w:vMerge w:val="continue"/>
                  <w:vAlign w:val="center"/>
                </w:tcPr>
                <w:p w14:paraId="6C519311">
                  <w:pPr>
                    <w:pStyle w:val="28"/>
                    <w:spacing w:line="240" w:lineRule="exact"/>
                    <w:rPr>
                      <w:kern w:val="2"/>
                      <w:sz w:val="21"/>
                    </w:rPr>
                  </w:pPr>
                </w:p>
              </w:tc>
              <w:tc>
                <w:tcPr>
                  <w:tcW w:w="695" w:type="dxa"/>
                  <w:vAlign w:val="center"/>
                </w:tcPr>
                <w:p w14:paraId="45EEC2D2">
                  <w:pPr>
                    <w:spacing w:line="240" w:lineRule="exact"/>
                    <w:jc w:val="center"/>
                    <w:rPr>
                      <w:sz w:val="21"/>
                      <w:szCs w:val="21"/>
                    </w:rPr>
                  </w:pPr>
                  <w:r>
                    <w:rPr>
                      <w:sz w:val="21"/>
                      <w:szCs w:val="21"/>
                    </w:rPr>
                    <w:t>25</w:t>
                  </w:r>
                </w:p>
              </w:tc>
              <w:tc>
                <w:tcPr>
                  <w:tcW w:w="713" w:type="dxa"/>
                  <w:vAlign w:val="center"/>
                </w:tcPr>
                <w:p w14:paraId="5832F6A9">
                  <w:pPr>
                    <w:widowControl/>
                    <w:jc w:val="right"/>
                    <w:textAlignment w:val="center"/>
                    <w:rPr>
                      <w:sz w:val="21"/>
                      <w:szCs w:val="21"/>
                    </w:rPr>
                  </w:pPr>
                  <w:r>
                    <w:rPr>
                      <w:color w:val="000000"/>
                      <w:kern w:val="0"/>
                      <w:sz w:val="21"/>
                      <w:szCs w:val="21"/>
                      <w:lang w:bidi="ar"/>
                    </w:rPr>
                    <w:t xml:space="preserve">32.2 </w:t>
                  </w:r>
                </w:p>
              </w:tc>
              <w:tc>
                <w:tcPr>
                  <w:tcW w:w="358" w:type="pct"/>
                  <w:vAlign w:val="center"/>
                </w:tcPr>
                <w:p w14:paraId="1AA1676C">
                  <w:pPr>
                    <w:spacing w:line="240" w:lineRule="exact"/>
                    <w:jc w:val="center"/>
                    <w:rPr>
                      <w:sz w:val="21"/>
                      <w:szCs w:val="21"/>
                    </w:rPr>
                  </w:pPr>
                  <w:r>
                    <w:rPr>
                      <w:sz w:val="21"/>
                      <w:szCs w:val="21"/>
                    </w:rPr>
                    <w:t>1m</w:t>
                  </w:r>
                </w:p>
              </w:tc>
            </w:tr>
            <w:tr w14:paraId="643F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65D543FB">
                  <w:pPr>
                    <w:pStyle w:val="28"/>
                    <w:spacing w:line="240" w:lineRule="exact"/>
                    <w:rPr>
                      <w:sz w:val="21"/>
                    </w:rPr>
                  </w:pPr>
                </w:p>
              </w:tc>
              <w:tc>
                <w:tcPr>
                  <w:tcW w:w="430" w:type="pct"/>
                  <w:vMerge w:val="continue"/>
                  <w:vAlign w:val="center"/>
                </w:tcPr>
                <w:p w14:paraId="2776DDDD">
                  <w:pPr>
                    <w:pStyle w:val="28"/>
                    <w:spacing w:line="240" w:lineRule="exact"/>
                    <w:rPr>
                      <w:kern w:val="2"/>
                      <w:sz w:val="21"/>
                    </w:rPr>
                  </w:pPr>
                </w:p>
              </w:tc>
              <w:tc>
                <w:tcPr>
                  <w:tcW w:w="365" w:type="pct"/>
                  <w:vMerge w:val="continue"/>
                  <w:vAlign w:val="center"/>
                </w:tcPr>
                <w:p w14:paraId="19B915A9">
                  <w:pPr>
                    <w:pStyle w:val="28"/>
                    <w:spacing w:line="240" w:lineRule="exact"/>
                    <w:rPr>
                      <w:kern w:val="2"/>
                      <w:sz w:val="21"/>
                    </w:rPr>
                  </w:pPr>
                </w:p>
              </w:tc>
              <w:tc>
                <w:tcPr>
                  <w:tcW w:w="275" w:type="pct"/>
                  <w:vMerge w:val="continue"/>
                  <w:vAlign w:val="center"/>
                </w:tcPr>
                <w:p w14:paraId="2EF5EA1F">
                  <w:pPr>
                    <w:pStyle w:val="28"/>
                    <w:spacing w:line="240" w:lineRule="exact"/>
                    <w:rPr>
                      <w:kern w:val="2"/>
                      <w:sz w:val="21"/>
                    </w:rPr>
                  </w:pPr>
                </w:p>
              </w:tc>
              <w:tc>
                <w:tcPr>
                  <w:tcW w:w="407" w:type="pct"/>
                  <w:vMerge w:val="continue"/>
                  <w:vAlign w:val="center"/>
                </w:tcPr>
                <w:p w14:paraId="2688DE5D">
                  <w:pPr>
                    <w:spacing w:line="240" w:lineRule="exact"/>
                    <w:jc w:val="center"/>
                    <w:rPr>
                      <w:sz w:val="21"/>
                      <w:szCs w:val="21"/>
                    </w:rPr>
                  </w:pPr>
                </w:p>
              </w:tc>
              <w:tc>
                <w:tcPr>
                  <w:tcW w:w="280" w:type="pct"/>
                  <w:vMerge w:val="continue"/>
                  <w:vAlign w:val="center"/>
                </w:tcPr>
                <w:p w14:paraId="51FDDAE7">
                  <w:pPr>
                    <w:spacing w:line="240" w:lineRule="exact"/>
                    <w:jc w:val="center"/>
                    <w:rPr>
                      <w:sz w:val="21"/>
                      <w:szCs w:val="21"/>
                    </w:rPr>
                  </w:pPr>
                </w:p>
              </w:tc>
              <w:tc>
                <w:tcPr>
                  <w:tcW w:w="319" w:type="pct"/>
                  <w:vMerge w:val="continue"/>
                  <w:vAlign w:val="center"/>
                </w:tcPr>
                <w:p w14:paraId="359556D1">
                  <w:pPr>
                    <w:spacing w:line="240" w:lineRule="exact"/>
                    <w:jc w:val="center"/>
                    <w:rPr>
                      <w:sz w:val="21"/>
                      <w:szCs w:val="21"/>
                    </w:rPr>
                  </w:pPr>
                </w:p>
              </w:tc>
              <w:tc>
                <w:tcPr>
                  <w:tcW w:w="263" w:type="pct"/>
                  <w:vMerge w:val="continue"/>
                  <w:vAlign w:val="center"/>
                </w:tcPr>
                <w:p w14:paraId="47B7B868">
                  <w:pPr>
                    <w:spacing w:line="240" w:lineRule="exact"/>
                    <w:jc w:val="center"/>
                    <w:rPr>
                      <w:sz w:val="21"/>
                      <w:szCs w:val="21"/>
                    </w:rPr>
                  </w:pPr>
                </w:p>
              </w:tc>
              <w:tc>
                <w:tcPr>
                  <w:tcW w:w="209" w:type="pct"/>
                  <w:vAlign w:val="center"/>
                </w:tcPr>
                <w:p w14:paraId="663BA155">
                  <w:pPr>
                    <w:spacing w:line="240" w:lineRule="exact"/>
                    <w:jc w:val="center"/>
                    <w:rPr>
                      <w:sz w:val="21"/>
                      <w:szCs w:val="21"/>
                    </w:rPr>
                  </w:pPr>
                  <w:r>
                    <w:rPr>
                      <w:sz w:val="21"/>
                      <w:szCs w:val="21"/>
                    </w:rPr>
                    <w:t>西</w:t>
                  </w:r>
                </w:p>
              </w:tc>
              <w:tc>
                <w:tcPr>
                  <w:tcW w:w="356" w:type="pct"/>
                  <w:vAlign w:val="center"/>
                </w:tcPr>
                <w:p w14:paraId="3DC01CF2">
                  <w:pPr>
                    <w:spacing w:line="240" w:lineRule="exact"/>
                    <w:jc w:val="center"/>
                    <w:rPr>
                      <w:sz w:val="21"/>
                      <w:szCs w:val="21"/>
                    </w:rPr>
                  </w:pPr>
                  <w:r>
                    <w:rPr>
                      <w:sz w:val="21"/>
                      <w:szCs w:val="21"/>
                    </w:rPr>
                    <w:t>25</w:t>
                  </w:r>
                </w:p>
              </w:tc>
              <w:tc>
                <w:tcPr>
                  <w:tcW w:w="695" w:type="dxa"/>
                  <w:vAlign w:val="center"/>
                </w:tcPr>
                <w:p w14:paraId="09EB0A41">
                  <w:pPr>
                    <w:widowControl/>
                    <w:jc w:val="right"/>
                    <w:textAlignment w:val="center"/>
                    <w:rPr>
                      <w:sz w:val="21"/>
                      <w:szCs w:val="21"/>
                    </w:rPr>
                  </w:pPr>
                  <w:r>
                    <w:rPr>
                      <w:color w:val="000000"/>
                      <w:kern w:val="0"/>
                      <w:sz w:val="21"/>
                      <w:szCs w:val="21"/>
                      <w:lang w:bidi="ar"/>
                    </w:rPr>
                    <w:t xml:space="preserve">57.2 </w:t>
                  </w:r>
                </w:p>
              </w:tc>
              <w:tc>
                <w:tcPr>
                  <w:tcW w:w="295" w:type="pct"/>
                  <w:vMerge w:val="continue"/>
                  <w:vAlign w:val="center"/>
                </w:tcPr>
                <w:p w14:paraId="46DA1775">
                  <w:pPr>
                    <w:pStyle w:val="28"/>
                    <w:spacing w:line="240" w:lineRule="exact"/>
                    <w:rPr>
                      <w:kern w:val="2"/>
                      <w:sz w:val="21"/>
                    </w:rPr>
                  </w:pPr>
                </w:p>
              </w:tc>
              <w:tc>
                <w:tcPr>
                  <w:tcW w:w="695" w:type="dxa"/>
                  <w:vAlign w:val="center"/>
                </w:tcPr>
                <w:p w14:paraId="16BD0BFB">
                  <w:pPr>
                    <w:spacing w:line="240" w:lineRule="exact"/>
                    <w:jc w:val="center"/>
                    <w:rPr>
                      <w:sz w:val="21"/>
                      <w:szCs w:val="21"/>
                    </w:rPr>
                  </w:pPr>
                  <w:r>
                    <w:rPr>
                      <w:sz w:val="21"/>
                      <w:szCs w:val="21"/>
                    </w:rPr>
                    <w:t>25</w:t>
                  </w:r>
                </w:p>
              </w:tc>
              <w:tc>
                <w:tcPr>
                  <w:tcW w:w="713" w:type="dxa"/>
                  <w:vAlign w:val="center"/>
                </w:tcPr>
                <w:p w14:paraId="56E3B05B">
                  <w:pPr>
                    <w:widowControl/>
                    <w:jc w:val="right"/>
                    <w:textAlignment w:val="center"/>
                    <w:rPr>
                      <w:sz w:val="21"/>
                      <w:szCs w:val="21"/>
                    </w:rPr>
                  </w:pPr>
                  <w:r>
                    <w:rPr>
                      <w:color w:val="000000"/>
                      <w:kern w:val="0"/>
                      <w:sz w:val="21"/>
                      <w:szCs w:val="21"/>
                      <w:lang w:bidi="ar"/>
                    </w:rPr>
                    <w:t xml:space="preserve">32.2 </w:t>
                  </w:r>
                </w:p>
              </w:tc>
              <w:tc>
                <w:tcPr>
                  <w:tcW w:w="358" w:type="pct"/>
                  <w:vAlign w:val="center"/>
                </w:tcPr>
                <w:p w14:paraId="4C52E3DB">
                  <w:pPr>
                    <w:spacing w:line="240" w:lineRule="exact"/>
                    <w:jc w:val="center"/>
                    <w:rPr>
                      <w:sz w:val="21"/>
                      <w:szCs w:val="21"/>
                    </w:rPr>
                  </w:pPr>
                  <w:r>
                    <w:rPr>
                      <w:sz w:val="21"/>
                      <w:szCs w:val="21"/>
                    </w:rPr>
                    <w:t>1m</w:t>
                  </w:r>
                </w:p>
              </w:tc>
            </w:tr>
            <w:tr w14:paraId="2165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73D93F07">
                  <w:pPr>
                    <w:pStyle w:val="28"/>
                    <w:spacing w:line="240" w:lineRule="exact"/>
                    <w:rPr>
                      <w:sz w:val="21"/>
                    </w:rPr>
                  </w:pPr>
                </w:p>
              </w:tc>
              <w:tc>
                <w:tcPr>
                  <w:tcW w:w="430" w:type="pct"/>
                  <w:vMerge w:val="continue"/>
                  <w:vAlign w:val="center"/>
                </w:tcPr>
                <w:p w14:paraId="111E0FD9">
                  <w:pPr>
                    <w:pStyle w:val="28"/>
                    <w:spacing w:line="240" w:lineRule="exact"/>
                    <w:rPr>
                      <w:kern w:val="2"/>
                      <w:sz w:val="21"/>
                    </w:rPr>
                  </w:pPr>
                </w:p>
              </w:tc>
              <w:tc>
                <w:tcPr>
                  <w:tcW w:w="365" w:type="pct"/>
                  <w:vMerge w:val="continue"/>
                  <w:vAlign w:val="center"/>
                </w:tcPr>
                <w:p w14:paraId="1E469B43">
                  <w:pPr>
                    <w:pStyle w:val="28"/>
                    <w:spacing w:line="240" w:lineRule="exact"/>
                    <w:rPr>
                      <w:kern w:val="2"/>
                      <w:sz w:val="21"/>
                    </w:rPr>
                  </w:pPr>
                </w:p>
              </w:tc>
              <w:tc>
                <w:tcPr>
                  <w:tcW w:w="275" w:type="pct"/>
                  <w:vMerge w:val="continue"/>
                  <w:vAlign w:val="center"/>
                </w:tcPr>
                <w:p w14:paraId="3B7DD7DE">
                  <w:pPr>
                    <w:pStyle w:val="28"/>
                    <w:spacing w:line="240" w:lineRule="exact"/>
                    <w:rPr>
                      <w:kern w:val="2"/>
                      <w:sz w:val="21"/>
                    </w:rPr>
                  </w:pPr>
                </w:p>
              </w:tc>
              <w:tc>
                <w:tcPr>
                  <w:tcW w:w="407" w:type="pct"/>
                  <w:vMerge w:val="continue"/>
                  <w:vAlign w:val="center"/>
                </w:tcPr>
                <w:p w14:paraId="63861243">
                  <w:pPr>
                    <w:spacing w:line="240" w:lineRule="exact"/>
                    <w:jc w:val="center"/>
                    <w:rPr>
                      <w:sz w:val="21"/>
                      <w:szCs w:val="21"/>
                    </w:rPr>
                  </w:pPr>
                </w:p>
              </w:tc>
              <w:tc>
                <w:tcPr>
                  <w:tcW w:w="280" w:type="pct"/>
                  <w:vMerge w:val="continue"/>
                  <w:vAlign w:val="center"/>
                </w:tcPr>
                <w:p w14:paraId="36234E6A">
                  <w:pPr>
                    <w:spacing w:line="240" w:lineRule="exact"/>
                    <w:jc w:val="center"/>
                    <w:rPr>
                      <w:sz w:val="21"/>
                      <w:szCs w:val="21"/>
                    </w:rPr>
                  </w:pPr>
                </w:p>
              </w:tc>
              <w:tc>
                <w:tcPr>
                  <w:tcW w:w="319" w:type="pct"/>
                  <w:vMerge w:val="continue"/>
                  <w:vAlign w:val="center"/>
                </w:tcPr>
                <w:p w14:paraId="071FC19E">
                  <w:pPr>
                    <w:spacing w:line="240" w:lineRule="exact"/>
                    <w:jc w:val="center"/>
                    <w:rPr>
                      <w:sz w:val="21"/>
                      <w:szCs w:val="21"/>
                    </w:rPr>
                  </w:pPr>
                </w:p>
              </w:tc>
              <w:tc>
                <w:tcPr>
                  <w:tcW w:w="263" w:type="pct"/>
                  <w:vMerge w:val="continue"/>
                  <w:vAlign w:val="center"/>
                </w:tcPr>
                <w:p w14:paraId="5FCBAD85">
                  <w:pPr>
                    <w:spacing w:line="240" w:lineRule="exact"/>
                    <w:jc w:val="center"/>
                    <w:rPr>
                      <w:sz w:val="21"/>
                      <w:szCs w:val="21"/>
                    </w:rPr>
                  </w:pPr>
                </w:p>
              </w:tc>
              <w:tc>
                <w:tcPr>
                  <w:tcW w:w="209" w:type="pct"/>
                  <w:vAlign w:val="center"/>
                </w:tcPr>
                <w:p w14:paraId="73DF1AA5">
                  <w:pPr>
                    <w:spacing w:line="240" w:lineRule="exact"/>
                    <w:jc w:val="center"/>
                    <w:rPr>
                      <w:sz w:val="21"/>
                      <w:szCs w:val="21"/>
                    </w:rPr>
                  </w:pPr>
                  <w:r>
                    <w:rPr>
                      <w:sz w:val="21"/>
                      <w:szCs w:val="21"/>
                    </w:rPr>
                    <w:t>南</w:t>
                  </w:r>
                </w:p>
              </w:tc>
              <w:tc>
                <w:tcPr>
                  <w:tcW w:w="356" w:type="pct"/>
                  <w:vAlign w:val="center"/>
                </w:tcPr>
                <w:p w14:paraId="2B111374">
                  <w:pPr>
                    <w:spacing w:line="240" w:lineRule="exact"/>
                    <w:jc w:val="center"/>
                    <w:rPr>
                      <w:sz w:val="21"/>
                      <w:szCs w:val="21"/>
                    </w:rPr>
                  </w:pPr>
                  <w:r>
                    <w:rPr>
                      <w:sz w:val="21"/>
                      <w:szCs w:val="21"/>
                    </w:rPr>
                    <w:t>8.5</w:t>
                  </w:r>
                </w:p>
              </w:tc>
              <w:tc>
                <w:tcPr>
                  <w:tcW w:w="695" w:type="dxa"/>
                  <w:vAlign w:val="center"/>
                </w:tcPr>
                <w:p w14:paraId="105774F7">
                  <w:pPr>
                    <w:widowControl/>
                    <w:jc w:val="right"/>
                    <w:textAlignment w:val="center"/>
                    <w:rPr>
                      <w:sz w:val="21"/>
                      <w:szCs w:val="21"/>
                    </w:rPr>
                  </w:pPr>
                  <w:r>
                    <w:rPr>
                      <w:color w:val="000000"/>
                      <w:kern w:val="0"/>
                      <w:sz w:val="21"/>
                      <w:szCs w:val="21"/>
                      <w:lang w:bidi="ar"/>
                    </w:rPr>
                    <w:t xml:space="preserve">60.6 </w:t>
                  </w:r>
                </w:p>
              </w:tc>
              <w:tc>
                <w:tcPr>
                  <w:tcW w:w="295" w:type="pct"/>
                  <w:vMerge w:val="continue"/>
                  <w:vAlign w:val="center"/>
                </w:tcPr>
                <w:p w14:paraId="46FD9A28">
                  <w:pPr>
                    <w:pStyle w:val="28"/>
                    <w:spacing w:line="240" w:lineRule="exact"/>
                    <w:rPr>
                      <w:kern w:val="2"/>
                      <w:sz w:val="21"/>
                    </w:rPr>
                  </w:pPr>
                </w:p>
              </w:tc>
              <w:tc>
                <w:tcPr>
                  <w:tcW w:w="695" w:type="dxa"/>
                  <w:vAlign w:val="center"/>
                </w:tcPr>
                <w:p w14:paraId="0C6870BC">
                  <w:pPr>
                    <w:spacing w:line="240" w:lineRule="exact"/>
                    <w:jc w:val="center"/>
                    <w:rPr>
                      <w:sz w:val="21"/>
                      <w:szCs w:val="21"/>
                    </w:rPr>
                  </w:pPr>
                  <w:r>
                    <w:rPr>
                      <w:sz w:val="21"/>
                      <w:szCs w:val="21"/>
                    </w:rPr>
                    <w:t>25</w:t>
                  </w:r>
                </w:p>
              </w:tc>
              <w:tc>
                <w:tcPr>
                  <w:tcW w:w="713" w:type="dxa"/>
                  <w:vAlign w:val="center"/>
                </w:tcPr>
                <w:p w14:paraId="57D0EF5B">
                  <w:pPr>
                    <w:widowControl/>
                    <w:jc w:val="right"/>
                    <w:textAlignment w:val="center"/>
                    <w:rPr>
                      <w:sz w:val="21"/>
                      <w:szCs w:val="21"/>
                    </w:rPr>
                  </w:pPr>
                  <w:r>
                    <w:rPr>
                      <w:color w:val="000000"/>
                      <w:kern w:val="0"/>
                      <w:sz w:val="21"/>
                      <w:szCs w:val="21"/>
                      <w:lang w:bidi="ar"/>
                    </w:rPr>
                    <w:t xml:space="preserve">35.6 </w:t>
                  </w:r>
                </w:p>
              </w:tc>
              <w:tc>
                <w:tcPr>
                  <w:tcW w:w="358" w:type="pct"/>
                  <w:vAlign w:val="center"/>
                </w:tcPr>
                <w:p w14:paraId="593C37E4">
                  <w:pPr>
                    <w:spacing w:line="240" w:lineRule="exact"/>
                    <w:jc w:val="center"/>
                    <w:rPr>
                      <w:sz w:val="21"/>
                      <w:szCs w:val="21"/>
                    </w:rPr>
                  </w:pPr>
                  <w:r>
                    <w:rPr>
                      <w:sz w:val="21"/>
                      <w:szCs w:val="21"/>
                    </w:rPr>
                    <w:t>1m</w:t>
                  </w:r>
                </w:p>
              </w:tc>
            </w:tr>
            <w:tr w14:paraId="399F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1" w:type="pct"/>
                  <w:vMerge w:val="continue"/>
                  <w:vAlign w:val="center"/>
                </w:tcPr>
                <w:p w14:paraId="387098DE">
                  <w:pPr>
                    <w:pStyle w:val="28"/>
                    <w:spacing w:line="240" w:lineRule="exact"/>
                    <w:rPr>
                      <w:sz w:val="21"/>
                    </w:rPr>
                  </w:pPr>
                </w:p>
              </w:tc>
              <w:tc>
                <w:tcPr>
                  <w:tcW w:w="430" w:type="pct"/>
                  <w:vMerge w:val="continue"/>
                  <w:vAlign w:val="center"/>
                </w:tcPr>
                <w:p w14:paraId="73715869">
                  <w:pPr>
                    <w:pStyle w:val="28"/>
                    <w:spacing w:line="240" w:lineRule="exact"/>
                    <w:rPr>
                      <w:kern w:val="2"/>
                      <w:sz w:val="21"/>
                    </w:rPr>
                  </w:pPr>
                </w:p>
              </w:tc>
              <w:tc>
                <w:tcPr>
                  <w:tcW w:w="365" w:type="pct"/>
                  <w:vMerge w:val="continue"/>
                  <w:vAlign w:val="center"/>
                </w:tcPr>
                <w:p w14:paraId="0B8D7E16">
                  <w:pPr>
                    <w:pStyle w:val="28"/>
                    <w:spacing w:line="240" w:lineRule="exact"/>
                    <w:rPr>
                      <w:kern w:val="2"/>
                      <w:sz w:val="21"/>
                    </w:rPr>
                  </w:pPr>
                </w:p>
              </w:tc>
              <w:tc>
                <w:tcPr>
                  <w:tcW w:w="275" w:type="pct"/>
                  <w:vMerge w:val="continue"/>
                  <w:vAlign w:val="center"/>
                </w:tcPr>
                <w:p w14:paraId="31AF97A3">
                  <w:pPr>
                    <w:pStyle w:val="28"/>
                    <w:spacing w:line="240" w:lineRule="exact"/>
                    <w:rPr>
                      <w:kern w:val="2"/>
                      <w:sz w:val="21"/>
                    </w:rPr>
                  </w:pPr>
                </w:p>
              </w:tc>
              <w:tc>
                <w:tcPr>
                  <w:tcW w:w="407" w:type="pct"/>
                  <w:vMerge w:val="continue"/>
                  <w:vAlign w:val="center"/>
                </w:tcPr>
                <w:p w14:paraId="0BF56516">
                  <w:pPr>
                    <w:spacing w:line="240" w:lineRule="exact"/>
                    <w:jc w:val="center"/>
                    <w:rPr>
                      <w:sz w:val="21"/>
                      <w:szCs w:val="21"/>
                    </w:rPr>
                  </w:pPr>
                </w:p>
              </w:tc>
              <w:tc>
                <w:tcPr>
                  <w:tcW w:w="280" w:type="pct"/>
                  <w:vMerge w:val="continue"/>
                  <w:vAlign w:val="center"/>
                </w:tcPr>
                <w:p w14:paraId="165B8351">
                  <w:pPr>
                    <w:spacing w:line="240" w:lineRule="exact"/>
                    <w:jc w:val="center"/>
                    <w:rPr>
                      <w:sz w:val="21"/>
                      <w:szCs w:val="21"/>
                    </w:rPr>
                  </w:pPr>
                </w:p>
              </w:tc>
              <w:tc>
                <w:tcPr>
                  <w:tcW w:w="319" w:type="pct"/>
                  <w:vMerge w:val="continue"/>
                  <w:vAlign w:val="center"/>
                </w:tcPr>
                <w:p w14:paraId="0DE28B10">
                  <w:pPr>
                    <w:spacing w:line="240" w:lineRule="exact"/>
                    <w:jc w:val="center"/>
                    <w:rPr>
                      <w:sz w:val="21"/>
                      <w:szCs w:val="21"/>
                    </w:rPr>
                  </w:pPr>
                </w:p>
              </w:tc>
              <w:tc>
                <w:tcPr>
                  <w:tcW w:w="263" w:type="pct"/>
                  <w:vMerge w:val="continue"/>
                  <w:vAlign w:val="center"/>
                </w:tcPr>
                <w:p w14:paraId="6FD7150D">
                  <w:pPr>
                    <w:spacing w:line="240" w:lineRule="exact"/>
                    <w:jc w:val="center"/>
                    <w:rPr>
                      <w:sz w:val="21"/>
                      <w:szCs w:val="21"/>
                    </w:rPr>
                  </w:pPr>
                </w:p>
              </w:tc>
              <w:tc>
                <w:tcPr>
                  <w:tcW w:w="209" w:type="pct"/>
                  <w:vAlign w:val="center"/>
                </w:tcPr>
                <w:p w14:paraId="4BDE0EA3">
                  <w:pPr>
                    <w:spacing w:line="240" w:lineRule="exact"/>
                    <w:jc w:val="center"/>
                    <w:rPr>
                      <w:sz w:val="21"/>
                      <w:szCs w:val="21"/>
                    </w:rPr>
                  </w:pPr>
                  <w:r>
                    <w:rPr>
                      <w:sz w:val="21"/>
                      <w:szCs w:val="21"/>
                    </w:rPr>
                    <w:t>北</w:t>
                  </w:r>
                </w:p>
              </w:tc>
              <w:tc>
                <w:tcPr>
                  <w:tcW w:w="356" w:type="pct"/>
                  <w:vAlign w:val="center"/>
                </w:tcPr>
                <w:p w14:paraId="7E8563DE">
                  <w:pPr>
                    <w:spacing w:line="240" w:lineRule="exact"/>
                    <w:jc w:val="center"/>
                    <w:rPr>
                      <w:sz w:val="21"/>
                      <w:szCs w:val="21"/>
                    </w:rPr>
                  </w:pPr>
                  <w:r>
                    <w:rPr>
                      <w:sz w:val="21"/>
                      <w:szCs w:val="21"/>
                    </w:rPr>
                    <w:t>17</w:t>
                  </w:r>
                </w:p>
              </w:tc>
              <w:tc>
                <w:tcPr>
                  <w:tcW w:w="695" w:type="dxa"/>
                  <w:vAlign w:val="center"/>
                </w:tcPr>
                <w:p w14:paraId="566495E2">
                  <w:pPr>
                    <w:widowControl/>
                    <w:jc w:val="right"/>
                    <w:textAlignment w:val="center"/>
                    <w:rPr>
                      <w:sz w:val="21"/>
                      <w:szCs w:val="21"/>
                    </w:rPr>
                  </w:pPr>
                  <w:r>
                    <w:rPr>
                      <w:color w:val="000000"/>
                      <w:kern w:val="0"/>
                      <w:sz w:val="21"/>
                      <w:szCs w:val="21"/>
                      <w:lang w:bidi="ar"/>
                    </w:rPr>
                    <w:t xml:space="preserve">57.9 </w:t>
                  </w:r>
                </w:p>
              </w:tc>
              <w:tc>
                <w:tcPr>
                  <w:tcW w:w="295" w:type="pct"/>
                  <w:vMerge w:val="continue"/>
                  <w:vAlign w:val="center"/>
                </w:tcPr>
                <w:p w14:paraId="138C81DE">
                  <w:pPr>
                    <w:pStyle w:val="28"/>
                    <w:spacing w:line="240" w:lineRule="exact"/>
                    <w:rPr>
                      <w:kern w:val="2"/>
                      <w:sz w:val="21"/>
                    </w:rPr>
                  </w:pPr>
                </w:p>
              </w:tc>
              <w:tc>
                <w:tcPr>
                  <w:tcW w:w="695" w:type="dxa"/>
                  <w:vAlign w:val="center"/>
                </w:tcPr>
                <w:p w14:paraId="36D90471">
                  <w:pPr>
                    <w:spacing w:line="240" w:lineRule="exact"/>
                    <w:jc w:val="center"/>
                    <w:rPr>
                      <w:sz w:val="21"/>
                      <w:szCs w:val="21"/>
                    </w:rPr>
                  </w:pPr>
                  <w:r>
                    <w:rPr>
                      <w:sz w:val="21"/>
                      <w:szCs w:val="21"/>
                    </w:rPr>
                    <w:t>25</w:t>
                  </w:r>
                </w:p>
              </w:tc>
              <w:tc>
                <w:tcPr>
                  <w:tcW w:w="713" w:type="dxa"/>
                  <w:vAlign w:val="center"/>
                </w:tcPr>
                <w:p w14:paraId="7200EFF2">
                  <w:pPr>
                    <w:widowControl/>
                    <w:jc w:val="right"/>
                    <w:textAlignment w:val="center"/>
                    <w:rPr>
                      <w:sz w:val="21"/>
                      <w:szCs w:val="21"/>
                    </w:rPr>
                  </w:pPr>
                  <w:r>
                    <w:rPr>
                      <w:color w:val="000000"/>
                      <w:kern w:val="0"/>
                      <w:sz w:val="21"/>
                      <w:szCs w:val="21"/>
                      <w:lang w:bidi="ar"/>
                    </w:rPr>
                    <w:t xml:space="preserve">32.9 </w:t>
                  </w:r>
                </w:p>
              </w:tc>
              <w:tc>
                <w:tcPr>
                  <w:tcW w:w="358" w:type="pct"/>
                  <w:vAlign w:val="center"/>
                </w:tcPr>
                <w:p w14:paraId="15351053">
                  <w:pPr>
                    <w:spacing w:line="240" w:lineRule="exact"/>
                    <w:jc w:val="center"/>
                    <w:rPr>
                      <w:sz w:val="21"/>
                      <w:szCs w:val="21"/>
                    </w:rPr>
                  </w:pPr>
                  <w:r>
                    <w:rPr>
                      <w:sz w:val="21"/>
                      <w:szCs w:val="21"/>
                    </w:rPr>
                    <w:t>1m</w:t>
                  </w:r>
                </w:p>
              </w:tc>
            </w:tr>
            <w:tr w14:paraId="7048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5000" w:type="pct"/>
                  <w:gridSpan w:val="15"/>
                  <w:vAlign w:val="center"/>
                </w:tcPr>
                <w:p w14:paraId="7ABFCCA4">
                  <w:pPr>
                    <w:spacing w:line="240" w:lineRule="exact"/>
                    <w:jc w:val="center"/>
                    <w:rPr>
                      <w:sz w:val="21"/>
                      <w:szCs w:val="21"/>
                    </w:rPr>
                  </w:pPr>
                  <w:r>
                    <w:rPr>
                      <w:sz w:val="21"/>
                      <w:szCs w:val="21"/>
                    </w:rPr>
                    <w:t>注：距室内边界距离依次为东、南、西、北</w:t>
                  </w:r>
                </w:p>
              </w:tc>
            </w:tr>
          </w:tbl>
          <w:p w14:paraId="43F869A9">
            <w:pPr>
              <w:tabs>
                <w:tab w:val="left" w:pos="8370"/>
                <w:tab w:val="left" w:pos="8600"/>
              </w:tabs>
              <w:spacing w:line="520" w:lineRule="exact"/>
              <w:ind w:firstLine="482" w:firstLineChars="200"/>
              <w:rPr>
                <w:b/>
                <w:bCs/>
              </w:rPr>
            </w:pPr>
            <w:r>
              <w:rPr>
                <w:rFonts w:hint="eastAsia"/>
                <w:b/>
                <w:bCs/>
              </w:rPr>
              <w:t>2</w:t>
            </w:r>
            <w:r>
              <w:rPr>
                <w:b/>
                <w:bCs/>
              </w:rPr>
              <w:t>、厂界噪声达标情况</w:t>
            </w:r>
          </w:p>
          <w:p w14:paraId="1E3C07C7">
            <w:pPr>
              <w:tabs>
                <w:tab w:val="left" w:pos="8370"/>
                <w:tab w:val="left" w:pos="8600"/>
              </w:tabs>
              <w:spacing w:line="520" w:lineRule="exact"/>
              <w:ind w:firstLine="480" w:firstLineChars="200"/>
            </w:pPr>
            <w:r>
              <w:t>根据本工程噪声源在厂区的分布和源强，以及其与四周厂界的距离及建筑物的衰减状况，计算出各声源对四周厂界的噪声贡献值。本项目为</w:t>
            </w:r>
            <w:r>
              <w:rPr>
                <w:rFonts w:hint="eastAsia"/>
              </w:rPr>
              <w:t>改建</w:t>
            </w:r>
            <w:r>
              <w:t>项目，以本次工程噪声贡献值作为评价量，结果见下表。</w:t>
            </w:r>
          </w:p>
          <w:p w14:paraId="28C32B6B">
            <w:pPr>
              <w:adjustRightInd w:val="0"/>
              <w:snapToGrid w:val="0"/>
              <w:spacing w:line="520" w:lineRule="exact"/>
              <w:ind w:firstLine="480" w:firstLineChars="200"/>
              <w:rPr>
                <w:rFonts w:eastAsia="黑体"/>
                <w:szCs w:val="21"/>
              </w:rPr>
            </w:pPr>
            <w:r>
              <w:rPr>
                <w:rFonts w:eastAsia="黑体"/>
                <w:szCs w:val="21"/>
              </w:rPr>
              <w:t>表</w:t>
            </w:r>
            <w:r>
              <w:rPr>
                <w:rFonts w:hint="eastAsia" w:eastAsia="黑体"/>
                <w:szCs w:val="21"/>
              </w:rPr>
              <w:t>4-1</w:t>
            </w:r>
            <w:r>
              <w:rPr>
                <w:rFonts w:hint="eastAsia" w:eastAsia="黑体"/>
                <w:szCs w:val="21"/>
                <w:lang w:val="en-US" w:eastAsia="zh-CN"/>
              </w:rPr>
              <w:t>4</w:t>
            </w:r>
            <w:r>
              <w:rPr>
                <w:rFonts w:eastAsia="黑体"/>
                <w:szCs w:val="21"/>
              </w:rPr>
              <w:t xml:space="preserve">         </w:t>
            </w:r>
            <w:r>
              <w:rPr>
                <w:rFonts w:hint="eastAsia" w:eastAsia="黑体"/>
                <w:szCs w:val="21"/>
              </w:rPr>
              <w:t xml:space="preserve"> </w:t>
            </w:r>
            <w:r>
              <w:rPr>
                <w:rFonts w:eastAsia="黑体"/>
                <w:szCs w:val="21"/>
              </w:rPr>
              <w:t xml:space="preserve"> </w:t>
            </w:r>
            <w:r>
              <w:rPr>
                <w:rFonts w:hint="eastAsia" w:eastAsia="黑体"/>
                <w:szCs w:val="21"/>
              </w:rPr>
              <w:t xml:space="preserve"> </w:t>
            </w:r>
            <w:r>
              <w:rPr>
                <w:rFonts w:eastAsia="黑体"/>
                <w:szCs w:val="21"/>
              </w:rPr>
              <w:t xml:space="preserve"> </w:t>
            </w:r>
            <w:r>
              <w:rPr>
                <w:rFonts w:hint="eastAsia" w:eastAsia="黑体"/>
                <w:szCs w:val="21"/>
              </w:rPr>
              <w:t>室内外</w:t>
            </w:r>
            <w:r>
              <w:rPr>
                <w:rFonts w:eastAsia="黑体"/>
                <w:szCs w:val="21"/>
              </w:rPr>
              <w:t>噪声</w:t>
            </w:r>
            <w:r>
              <w:rPr>
                <w:rFonts w:hint="eastAsia" w:eastAsia="黑体"/>
                <w:szCs w:val="21"/>
              </w:rPr>
              <w:t>源贡献值预测</w:t>
            </w:r>
            <w:r>
              <w:rPr>
                <w:rFonts w:eastAsia="黑体"/>
                <w:szCs w:val="21"/>
              </w:rPr>
              <w:t>结果         单位：dB（A）</w:t>
            </w:r>
          </w:p>
          <w:tbl>
            <w:tblPr>
              <w:tblStyle w:val="1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2026"/>
              <w:gridCol w:w="1497"/>
              <w:gridCol w:w="1499"/>
              <w:gridCol w:w="1827"/>
              <w:gridCol w:w="1252"/>
            </w:tblGrid>
            <w:tr w14:paraId="0B46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Align w:val="center"/>
                </w:tcPr>
                <w:p w14:paraId="0FD12ADE">
                  <w:pPr>
                    <w:spacing w:line="240" w:lineRule="exact"/>
                    <w:jc w:val="center"/>
                    <w:rPr>
                      <w:b/>
                      <w:bCs/>
                      <w:kern w:val="0"/>
                      <w:sz w:val="21"/>
                      <w:szCs w:val="21"/>
                    </w:rPr>
                  </w:pPr>
                  <w:r>
                    <w:rPr>
                      <w:b/>
                      <w:bCs/>
                      <w:kern w:val="0"/>
                      <w:sz w:val="21"/>
                      <w:szCs w:val="21"/>
                    </w:rPr>
                    <w:t>位置</w:t>
                  </w:r>
                </w:p>
              </w:tc>
              <w:tc>
                <w:tcPr>
                  <w:tcW w:w="1157" w:type="pct"/>
                  <w:vAlign w:val="center"/>
                </w:tcPr>
                <w:p w14:paraId="117C5047">
                  <w:pPr>
                    <w:spacing w:line="240" w:lineRule="exact"/>
                    <w:jc w:val="center"/>
                    <w:rPr>
                      <w:b/>
                      <w:bCs/>
                      <w:kern w:val="0"/>
                      <w:sz w:val="21"/>
                      <w:szCs w:val="21"/>
                    </w:rPr>
                  </w:pPr>
                  <w:r>
                    <w:rPr>
                      <w:b/>
                      <w:bCs/>
                      <w:kern w:val="0"/>
                      <w:sz w:val="21"/>
                      <w:szCs w:val="21"/>
                    </w:rPr>
                    <w:t>主要噪声源</w:t>
                  </w:r>
                </w:p>
              </w:tc>
              <w:tc>
                <w:tcPr>
                  <w:tcW w:w="855" w:type="pct"/>
                  <w:vAlign w:val="center"/>
                </w:tcPr>
                <w:p w14:paraId="4B869D1A">
                  <w:pPr>
                    <w:spacing w:line="240" w:lineRule="exact"/>
                    <w:jc w:val="center"/>
                    <w:rPr>
                      <w:b/>
                      <w:bCs/>
                      <w:kern w:val="0"/>
                      <w:sz w:val="21"/>
                      <w:szCs w:val="21"/>
                    </w:rPr>
                  </w:pPr>
                  <w:r>
                    <w:rPr>
                      <w:b/>
                      <w:bCs/>
                      <w:kern w:val="0"/>
                      <w:sz w:val="21"/>
                      <w:szCs w:val="21"/>
                    </w:rPr>
                    <w:t>叠加值</w:t>
                  </w:r>
                </w:p>
              </w:tc>
              <w:tc>
                <w:tcPr>
                  <w:tcW w:w="856" w:type="pct"/>
                  <w:vAlign w:val="center"/>
                </w:tcPr>
                <w:p w14:paraId="00336C27">
                  <w:pPr>
                    <w:spacing w:line="240" w:lineRule="exact"/>
                    <w:jc w:val="center"/>
                    <w:rPr>
                      <w:b/>
                      <w:bCs/>
                      <w:kern w:val="0"/>
                      <w:sz w:val="21"/>
                      <w:szCs w:val="21"/>
                    </w:rPr>
                  </w:pPr>
                  <w:r>
                    <w:rPr>
                      <w:b/>
                      <w:bCs/>
                      <w:kern w:val="0"/>
                      <w:sz w:val="21"/>
                      <w:szCs w:val="21"/>
                    </w:rPr>
                    <w:t>厂界方位</w:t>
                  </w:r>
                </w:p>
              </w:tc>
              <w:tc>
                <w:tcPr>
                  <w:tcW w:w="1043" w:type="pct"/>
                  <w:vAlign w:val="center"/>
                </w:tcPr>
                <w:p w14:paraId="3610A101">
                  <w:pPr>
                    <w:spacing w:line="240" w:lineRule="exact"/>
                    <w:jc w:val="center"/>
                    <w:rPr>
                      <w:b/>
                      <w:bCs/>
                      <w:kern w:val="0"/>
                      <w:sz w:val="21"/>
                      <w:szCs w:val="21"/>
                    </w:rPr>
                  </w:pPr>
                  <w:r>
                    <w:rPr>
                      <w:b/>
                      <w:bCs/>
                      <w:kern w:val="0"/>
                      <w:sz w:val="21"/>
                      <w:szCs w:val="21"/>
                    </w:rPr>
                    <w:t>距厂界的距离m</w:t>
                  </w:r>
                </w:p>
              </w:tc>
              <w:tc>
                <w:tcPr>
                  <w:tcW w:w="715" w:type="pct"/>
                  <w:vAlign w:val="center"/>
                </w:tcPr>
                <w:p w14:paraId="5EE86FFE">
                  <w:pPr>
                    <w:spacing w:line="240" w:lineRule="exact"/>
                    <w:jc w:val="center"/>
                    <w:rPr>
                      <w:b/>
                      <w:bCs/>
                      <w:kern w:val="0"/>
                      <w:sz w:val="21"/>
                      <w:szCs w:val="21"/>
                    </w:rPr>
                  </w:pPr>
                  <w:r>
                    <w:rPr>
                      <w:b/>
                      <w:bCs/>
                      <w:kern w:val="0"/>
                      <w:sz w:val="21"/>
                      <w:szCs w:val="21"/>
                    </w:rPr>
                    <w:t>贡献值</w:t>
                  </w:r>
                </w:p>
              </w:tc>
            </w:tr>
            <w:tr w14:paraId="7F62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restart"/>
                  <w:vAlign w:val="center"/>
                </w:tcPr>
                <w:p w14:paraId="0591793C">
                  <w:pPr>
                    <w:spacing w:line="240" w:lineRule="exact"/>
                    <w:jc w:val="center"/>
                    <w:rPr>
                      <w:kern w:val="0"/>
                      <w:sz w:val="21"/>
                      <w:szCs w:val="21"/>
                    </w:rPr>
                  </w:pPr>
                  <w:r>
                    <w:rPr>
                      <w:rFonts w:hint="eastAsia"/>
                      <w:kern w:val="0"/>
                      <w:sz w:val="21"/>
                      <w:szCs w:val="21"/>
                    </w:rPr>
                    <w:t>生产车间</w:t>
                  </w:r>
                </w:p>
              </w:tc>
              <w:tc>
                <w:tcPr>
                  <w:tcW w:w="1157" w:type="pct"/>
                  <w:vMerge w:val="restart"/>
                  <w:vAlign w:val="center"/>
                </w:tcPr>
                <w:p w14:paraId="04D3099A">
                  <w:pPr>
                    <w:spacing w:line="240" w:lineRule="exact"/>
                    <w:jc w:val="center"/>
                    <w:rPr>
                      <w:kern w:val="0"/>
                      <w:sz w:val="21"/>
                      <w:szCs w:val="21"/>
                    </w:rPr>
                  </w:pPr>
                  <w:r>
                    <w:rPr>
                      <w:rFonts w:hint="eastAsia"/>
                      <w:kern w:val="0"/>
                      <w:sz w:val="21"/>
                      <w:szCs w:val="21"/>
                    </w:rPr>
                    <w:t>空压机、切菜机、</w:t>
                  </w:r>
                  <w:r>
                    <w:rPr>
                      <w:rFonts w:hint="eastAsia"/>
                      <w:sz w:val="21"/>
                      <w:szCs w:val="21"/>
                    </w:rPr>
                    <w:t>真空包装袋清洗风干机、振动筛、风干机</w:t>
                  </w:r>
                </w:p>
              </w:tc>
              <w:tc>
                <w:tcPr>
                  <w:tcW w:w="855" w:type="pct"/>
                  <w:vAlign w:val="center"/>
                </w:tcPr>
                <w:p w14:paraId="2DF460F0">
                  <w:pPr>
                    <w:spacing w:line="240" w:lineRule="exact"/>
                    <w:jc w:val="center"/>
                    <w:rPr>
                      <w:kern w:val="0"/>
                      <w:sz w:val="21"/>
                      <w:szCs w:val="21"/>
                    </w:rPr>
                  </w:pPr>
                  <w:r>
                    <w:rPr>
                      <w:rFonts w:hint="eastAsia"/>
                      <w:kern w:val="0"/>
                      <w:sz w:val="21"/>
                      <w:szCs w:val="21"/>
                    </w:rPr>
                    <w:t>56.08</w:t>
                  </w:r>
                </w:p>
              </w:tc>
              <w:tc>
                <w:tcPr>
                  <w:tcW w:w="856" w:type="pct"/>
                  <w:vAlign w:val="center"/>
                </w:tcPr>
                <w:p w14:paraId="383D2EBB">
                  <w:pPr>
                    <w:spacing w:line="240" w:lineRule="exact"/>
                    <w:jc w:val="center"/>
                    <w:rPr>
                      <w:kern w:val="0"/>
                      <w:sz w:val="21"/>
                      <w:szCs w:val="21"/>
                    </w:rPr>
                  </w:pPr>
                  <w:r>
                    <w:rPr>
                      <w:kern w:val="0"/>
                      <w:sz w:val="21"/>
                      <w:szCs w:val="21"/>
                    </w:rPr>
                    <w:t>东</w:t>
                  </w:r>
                </w:p>
              </w:tc>
              <w:tc>
                <w:tcPr>
                  <w:tcW w:w="1043" w:type="pct"/>
                  <w:vAlign w:val="center"/>
                </w:tcPr>
                <w:p w14:paraId="1E584358">
                  <w:pPr>
                    <w:spacing w:line="240" w:lineRule="exact"/>
                    <w:jc w:val="center"/>
                    <w:rPr>
                      <w:kern w:val="0"/>
                      <w:sz w:val="21"/>
                      <w:szCs w:val="21"/>
                    </w:rPr>
                  </w:pPr>
                  <w:r>
                    <w:rPr>
                      <w:rFonts w:hint="eastAsia"/>
                      <w:kern w:val="0"/>
                      <w:sz w:val="21"/>
                      <w:szCs w:val="21"/>
                    </w:rPr>
                    <w:t>10</w:t>
                  </w:r>
                </w:p>
              </w:tc>
              <w:tc>
                <w:tcPr>
                  <w:tcW w:w="715" w:type="pct"/>
                  <w:vAlign w:val="center"/>
                </w:tcPr>
                <w:p w14:paraId="0BB85B44">
                  <w:pPr>
                    <w:spacing w:line="240" w:lineRule="exact"/>
                    <w:jc w:val="center"/>
                    <w:rPr>
                      <w:kern w:val="0"/>
                      <w:sz w:val="21"/>
                      <w:szCs w:val="21"/>
                    </w:rPr>
                  </w:pPr>
                  <w:r>
                    <w:rPr>
                      <w:rFonts w:hint="eastAsia"/>
                      <w:kern w:val="0"/>
                      <w:sz w:val="21"/>
                      <w:szCs w:val="21"/>
                    </w:rPr>
                    <w:t>36</w:t>
                  </w:r>
                </w:p>
              </w:tc>
            </w:tr>
            <w:tr w14:paraId="1F29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5C9E93BD">
                  <w:pPr>
                    <w:spacing w:line="240" w:lineRule="exact"/>
                    <w:jc w:val="center"/>
                    <w:rPr>
                      <w:kern w:val="0"/>
                      <w:sz w:val="21"/>
                      <w:szCs w:val="21"/>
                    </w:rPr>
                  </w:pPr>
                </w:p>
              </w:tc>
              <w:tc>
                <w:tcPr>
                  <w:tcW w:w="1157" w:type="pct"/>
                  <w:vMerge w:val="continue"/>
                  <w:vAlign w:val="center"/>
                </w:tcPr>
                <w:p w14:paraId="73C204C0">
                  <w:pPr>
                    <w:spacing w:line="240" w:lineRule="exact"/>
                    <w:jc w:val="center"/>
                    <w:rPr>
                      <w:kern w:val="0"/>
                      <w:sz w:val="21"/>
                      <w:szCs w:val="21"/>
                    </w:rPr>
                  </w:pPr>
                </w:p>
              </w:tc>
              <w:tc>
                <w:tcPr>
                  <w:tcW w:w="855" w:type="pct"/>
                  <w:vAlign w:val="center"/>
                </w:tcPr>
                <w:p w14:paraId="75F36904">
                  <w:pPr>
                    <w:spacing w:line="240" w:lineRule="exact"/>
                    <w:jc w:val="center"/>
                    <w:rPr>
                      <w:kern w:val="0"/>
                      <w:sz w:val="21"/>
                      <w:szCs w:val="21"/>
                    </w:rPr>
                  </w:pPr>
                  <w:r>
                    <w:rPr>
                      <w:rFonts w:hint="eastAsia"/>
                      <w:kern w:val="0"/>
                      <w:sz w:val="21"/>
                      <w:szCs w:val="21"/>
                    </w:rPr>
                    <w:t>48.42</w:t>
                  </w:r>
                </w:p>
              </w:tc>
              <w:tc>
                <w:tcPr>
                  <w:tcW w:w="856" w:type="pct"/>
                  <w:vAlign w:val="center"/>
                </w:tcPr>
                <w:p w14:paraId="09C1AD1C">
                  <w:pPr>
                    <w:spacing w:line="240" w:lineRule="exact"/>
                    <w:jc w:val="center"/>
                    <w:rPr>
                      <w:kern w:val="0"/>
                      <w:sz w:val="21"/>
                      <w:szCs w:val="21"/>
                    </w:rPr>
                  </w:pPr>
                  <w:r>
                    <w:rPr>
                      <w:rFonts w:hint="eastAsia"/>
                      <w:kern w:val="0"/>
                      <w:sz w:val="21"/>
                      <w:szCs w:val="21"/>
                    </w:rPr>
                    <w:t>西</w:t>
                  </w:r>
                </w:p>
              </w:tc>
              <w:tc>
                <w:tcPr>
                  <w:tcW w:w="1043" w:type="pct"/>
                  <w:vAlign w:val="center"/>
                </w:tcPr>
                <w:p w14:paraId="6AAC5C08">
                  <w:pPr>
                    <w:spacing w:line="240" w:lineRule="exact"/>
                    <w:jc w:val="center"/>
                    <w:rPr>
                      <w:kern w:val="0"/>
                      <w:sz w:val="21"/>
                      <w:szCs w:val="21"/>
                    </w:rPr>
                  </w:pPr>
                  <w:r>
                    <w:rPr>
                      <w:rFonts w:hint="eastAsia"/>
                      <w:kern w:val="0"/>
                      <w:sz w:val="21"/>
                      <w:szCs w:val="21"/>
                    </w:rPr>
                    <w:t>8</w:t>
                  </w:r>
                </w:p>
              </w:tc>
              <w:tc>
                <w:tcPr>
                  <w:tcW w:w="715" w:type="pct"/>
                  <w:vAlign w:val="center"/>
                </w:tcPr>
                <w:p w14:paraId="70B77B62">
                  <w:pPr>
                    <w:spacing w:line="240" w:lineRule="exact"/>
                    <w:jc w:val="center"/>
                    <w:rPr>
                      <w:kern w:val="0"/>
                      <w:sz w:val="21"/>
                      <w:szCs w:val="21"/>
                    </w:rPr>
                  </w:pPr>
                  <w:r>
                    <w:rPr>
                      <w:rFonts w:hint="eastAsia"/>
                      <w:kern w:val="0"/>
                      <w:sz w:val="21"/>
                      <w:szCs w:val="21"/>
                    </w:rPr>
                    <w:t>30</w:t>
                  </w:r>
                </w:p>
              </w:tc>
            </w:tr>
            <w:tr w14:paraId="5D2C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3A4FDC20">
                  <w:pPr>
                    <w:spacing w:line="240" w:lineRule="exact"/>
                    <w:jc w:val="center"/>
                    <w:rPr>
                      <w:kern w:val="0"/>
                      <w:sz w:val="21"/>
                      <w:szCs w:val="21"/>
                    </w:rPr>
                  </w:pPr>
                </w:p>
              </w:tc>
              <w:tc>
                <w:tcPr>
                  <w:tcW w:w="1157" w:type="pct"/>
                  <w:vMerge w:val="continue"/>
                  <w:vAlign w:val="center"/>
                </w:tcPr>
                <w:p w14:paraId="3576F0F8">
                  <w:pPr>
                    <w:spacing w:line="240" w:lineRule="exact"/>
                    <w:jc w:val="center"/>
                    <w:rPr>
                      <w:kern w:val="0"/>
                      <w:sz w:val="21"/>
                      <w:szCs w:val="21"/>
                    </w:rPr>
                  </w:pPr>
                </w:p>
              </w:tc>
              <w:tc>
                <w:tcPr>
                  <w:tcW w:w="855" w:type="pct"/>
                  <w:vAlign w:val="center"/>
                </w:tcPr>
                <w:p w14:paraId="01926E99">
                  <w:pPr>
                    <w:spacing w:line="240" w:lineRule="exact"/>
                    <w:jc w:val="center"/>
                    <w:rPr>
                      <w:kern w:val="0"/>
                      <w:sz w:val="21"/>
                      <w:szCs w:val="21"/>
                    </w:rPr>
                  </w:pPr>
                  <w:r>
                    <w:rPr>
                      <w:rFonts w:hint="eastAsia"/>
                      <w:kern w:val="0"/>
                      <w:sz w:val="21"/>
                      <w:szCs w:val="21"/>
                    </w:rPr>
                    <w:t>44.26</w:t>
                  </w:r>
                </w:p>
              </w:tc>
              <w:tc>
                <w:tcPr>
                  <w:tcW w:w="856" w:type="pct"/>
                  <w:vAlign w:val="center"/>
                </w:tcPr>
                <w:p w14:paraId="7E265C2B">
                  <w:pPr>
                    <w:spacing w:line="240" w:lineRule="exact"/>
                    <w:jc w:val="center"/>
                    <w:rPr>
                      <w:kern w:val="0"/>
                      <w:sz w:val="21"/>
                      <w:szCs w:val="21"/>
                    </w:rPr>
                  </w:pPr>
                  <w:r>
                    <w:rPr>
                      <w:rFonts w:hint="eastAsia"/>
                      <w:kern w:val="0"/>
                      <w:sz w:val="21"/>
                      <w:szCs w:val="21"/>
                    </w:rPr>
                    <w:t>南</w:t>
                  </w:r>
                </w:p>
              </w:tc>
              <w:tc>
                <w:tcPr>
                  <w:tcW w:w="1043" w:type="pct"/>
                  <w:vAlign w:val="center"/>
                </w:tcPr>
                <w:p w14:paraId="02D1E5A0">
                  <w:pPr>
                    <w:spacing w:line="240" w:lineRule="exact"/>
                    <w:jc w:val="center"/>
                    <w:rPr>
                      <w:kern w:val="0"/>
                      <w:sz w:val="21"/>
                      <w:szCs w:val="21"/>
                    </w:rPr>
                  </w:pPr>
                  <w:r>
                    <w:rPr>
                      <w:rFonts w:hint="eastAsia"/>
                      <w:kern w:val="0"/>
                      <w:sz w:val="21"/>
                      <w:szCs w:val="21"/>
                    </w:rPr>
                    <w:t>100</w:t>
                  </w:r>
                </w:p>
              </w:tc>
              <w:tc>
                <w:tcPr>
                  <w:tcW w:w="715" w:type="pct"/>
                  <w:vAlign w:val="center"/>
                </w:tcPr>
                <w:p w14:paraId="38713379">
                  <w:pPr>
                    <w:spacing w:line="240" w:lineRule="exact"/>
                    <w:jc w:val="center"/>
                    <w:rPr>
                      <w:kern w:val="0"/>
                      <w:sz w:val="21"/>
                      <w:szCs w:val="21"/>
                    </w:rPr>
                  </w:pPr>
                  <w:r>
                    <w:rPr>
                      <w:rFonts w:hint="eastAsia"/>
                      <w:kern w:val="0"/>
                      <w:sz w:val="21"/>
                      <w:szCs w:val="21"/>
                    </w:rPr>
                    <w:t>4</w:t>
                  </w:r>
                </w:p>
              </w:tc>
            </w:tr>
            <w:tr w14:paraId="179B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19C874E5">
                  <w:pPr>
                    <w:spacing w:line="240" w:lineRule="exact"/>
                    <w:jc w:val="center"/>
                    <w:rPr>
                      <w:kern w:val="0"/>
                      <w:sz w:val="21"/>
                      <w:szCs w:val="21"/>
                    </w:rPr>
                  </w:pPr>
                </w:p>
              </w:tc>
              <w:tc>
                <w:tcPr>
                  <w:tcW w:w="1157" w:type="pct"/>
                  <w:vMerge w:val="continue"/>
                  <w:vAlign w:val="center"/>
                </w:tcPr>
                <w:p w14:paraId="717A9374">
                  <w:pPr>
                    <w:spacing w:line="240" w:lineRule="exact"/>
                    <w:jc w:val="center"/>
                    <w:rPr>
                      <w:kern w:val="0"/>
                      <w:sz w:val="21"/>
                      <w:szCs w:val="21"/>
                    </w:rPr>
                  </w:pPr>
                </w:p>
              </w:tc>
              <w:tc>
                <w:tcPr>
                  <w:tcW w:w="855" w:type="pct"/>
                  <w:vAlign w:val="center"/>
                </w:tcPr>
                <w:p w14:paraId="65E5DF6D">
                  <w:pPr>
                    <w:spacing w:line="240" w:lineRule="exact"/>
                    <w:jc w:val="center"/>
                    <w:rPr>
                      <w:kern w:val="0"/>
                      <w:sz w:val="21"/>
                      <w:szCs w:val="21"/>
                    </w:rPr>
                  </w:pPr>
                  <w:r>
                    <w:rPr>
                      <w:rFonts w:hint="eastAsia"/>
                      <w:kern w:val="0"/>
                      <w:sz w:val="21"/>
                      <w:szCs w:val="21"/>
                    </w:rPr>
                    <w:t>44.33</w:t>
                  </w:r>
                </w:p>
              </w:tc>
              <w:tc>
                <w:tcPr>
                  <w:tcW w:w="856" w:type="pct"/>
                  <w:vAlign w:val="center"/>
                </w:tcPr>
                <w:p w14:paraId="3A4C6407">
                  <w:pPr>
                    <w:spacing w:line="240" w:lineRule="exact"/>
                    <w:jc w:val="center"/>
                    <w:rPr>
                      <w:kern w:val="0"/>
                      <w:sz w:val="21"/>
                      <w:szCs w:val="21"/>
                    </w:rPr>
                  </w:pPr>
                  <w:r>
                    <w:rPr>
                      <w:kern w:val="0"/>
                      <w:sz w:val="21"/>
                      <w:szCs w:val="21"/>
                    </w:rPr>
                    <w:t>北</w:t>
                  </w:r>
                </w:p>
              </w:tc>
              <w:tc>
                <w:tcPr>
                  <w:tcW w:w="1043" w:type="pct"/>
                  <w:vAlign w:val="center"/>
                </w:tcPr>
                <w:p w14:paraId="00DAF50E">
                  <w:pPr>
                    <w:spacing w:line="240" w:lineRule="exact"/>
                    <w:jc w:val="center"/>
                    <w:rPr>
                      <w:kern w:val="0"/>
                      <w:sz w:val="21"/>
                      <w:szCs w:val="21"/>
                    </w:rPr>
                  </w:pPr>
                  <w:r>
                    <w:rPr>
                      <w:rFonts w:hint="eastAsia"/>
                      <w:kern w:val="0"/>
                      <w:sz w:val="21"/>
                      <w:szCs w:val="21"/>
                    </w:rPr>
                    <w:t>15</w:t>
                  </w:r>
                </w:p>
              </w:tc>
              <w:tc>
                <w:tcPr>
                  <w:tcW w:w="715" w:type="pct"/>
                  <w:vAlign w:val="center"/>
                </w:tcPr>
                <w:p w14:paraId="68840199">
                  <w:pPr>
                    <w:spacing w:line="240" w:lineRule="exact"/>
                    <w:jc w:val="center"/>
                    <w:rPr>
                      <w:kern w:val="0"/>
                      <w:sz w:val="21"/>
                      <w:szCs w:val="21"/>
                    </w:rPr>
                  </w:pPr>
                  <w:r>
                    <w:rPr>
                      <w:rFonts w:hint="eastAsia"/>
                      <w:kern w:val="0"/>
                      <w:sz w:val="21"/>
                      <w:szCs w:val="21"/>
                    </w:rPr>
                    <w:t>21</w:t>
                  </w:r>
                </w:p>
              </w:tc>
            </w:tr>
            <w:tr w14:paraId="3FCC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restart"/>
                  <w:vAlign w:val="center"/>
                </w:tcPr>
                <w:p w14:paraId="0F7D3FFE">
                  <w:pPr>
                    <w:spacing w:line="240" w:lineRule="exact"/>
                    <w:jc w:val="center"/>
                    <w:rPr>
                      <w:kern w:val="0"/>
                      <w:sz w:val="21"/>
                      <w:szCs w:val="21"/>
                    </w:rPr>
                  </w:pPr>
                  <w:r>
                    <w:rPr>
                      <w:kern w:val="0"/>
                      <w:sz w:val="21"/>
                      <w:szCs w:val="21"/>
                    </w:rPr>
                    <w:t>室外</w:t>
                  </w:r>
                </w:p>
              </w:tc>
              <w:tc>
                <w:tcPr>
                  <w:tcW w:w="1157" w:type="pct"/>
                  <w:vMerge w:val="restart"/>
                  <w:vAlign w:val="center"/>
                </w:tcPr>
                <w:p w14:paraId="295B1311">
                  <w:pPr>
                    <w:spacing w:line="240" w:lineRule="exact"/>
                    <w:jc w:val="center"/>
                    <w:rPr>
                      <w:kern w:val="0"/>
                      <w:sz w:val="21"/>
                      <w:szCs w:val="21"/>
                    </w:rPr>
                  </w:pPr>
                  <w:r>
                    <w:rPr>
                      <w:kern w:val="0"/>
                      <w:sz w:val="21"/>
                      <w:szCs w:val="21"/>
                    </w:rPr>
                    <w:t>风机</w:t>
                  </w:r>
                  <w:r>
                    <w:rPr>
                      <w:rFonts w:hint="eastAsia"/>
                      <w:kern w:val="0"/>
                      <w:sz w:val="21"/>
                      <w:szCs w:val="21"/>
                    </w:rPr>
                    <w:t>1</w:t>
                  </w:r>
                </w:p>
              </w:tc>
              <w:tc>
                <w:tcPr>
                  <w:tcW w:w="855" w:type="pct"/>
                  <w:vMerge w:val="restart"/>
                  <w:vAlign w:val="center"/>
                </w:tcPr>
                <w:p w14:paraId="621AEDAF">
                  <w:pPr>
                    <w:spacing w:line="240" w:lineRule="exact"/>
                    <w:jc w:val="center"/>
                    <w:rPr>
                      <w:kern w:val="0"/>
                      <w:sz w:val="21"/>
                      <w:szCs w:val="21"/>
                    </w:rPr>
                  </w:pPr>
                  <w:r>
                    <w:rPr>
                      <w:rFonts w:hint="eastAsia"/>
                      <w:kern w:val="0"/>
                      <w:sz w:val="21"/>
                      <w:szCs w:val="21"/>
                    </w:rPr>
                    <w:t>43</w:t>
                  </w:r>
                </w:p>
              </w:tc>
              <w:tc>
                <w:tcPr>
                  <w:tcW w:w="856" w:type="pct"/>
                  <w:vAlign w:val="center"/>
                </w:tcPr>
                <w:p w14:paraId="695B8326">
                  <w:pPr>
                    <w:spacing w:line="240" w:lineRule="exact"/>
                    <w:jc w:val="center"/>
                    <w:rPr>
                      <w:kern w:val="0"/>
                      <w:sz w:val="21"/>
                      <w:szCs w:val="21"/>
                    </w:rPr>
                  </w:pPr>
                  <w:r>
                    <w:rPr>
                      <w:kern w:val="0"/>
                      <w:sz w:val="21"/>
                      <w:szCs w:val="21"/>
                    </w:rPr>
                    <w:t>东</w:t>
                  </w:r>
                </w:p>
              </w:tc>
              <w:tc>
                <w:tcPr>
                  <w:tcW w:w="1043" w:type="pct"/>
                  <w:vAlign w:val="center"/>
                </w:tcPr>
                <w:p w14:paraId="7BB7259E">
                  <w:pPr>
                    <w:spacing w:line="240" w:lineRule="exact"/>
                    <w:jc w:val="center"/>
                    <w:rPr>
                      <w:kern w:val="0"/>
                      <w:sz w:val="21"/>
                      <w:szCs w:val="21"/>
                    </w:rPr>
                  </w:pPr>
                  <w:r>
                    <w:rPr>
                      <w:rFonts w:hint="eastAsia"/>
                      <w:kern w:val="0"/>
                      <w:sz w:val="21"/>
                      <w:szCs w:val="21"/>
                    </w:rPr>
                    <w:t>18</w:t>
                  </w:r>
                </w:p>
              </w:tc>
              <w:tc>
                <w:tcPr>
                  <w:tcW w:w="715" w:type="pct"/>
                  <w:vAlign w:val="center"/>
                </w:tcPr>
                <w:p w14:paraId="121F6173">
                  <w:pPr>
                    <w:spacing w:line="240" w:lineRule="exact"/>
                    <w:jc w:val="center"/>
                    <w:rPr>
                      <w:kern w:val="0"/>
                      <w:sz w:val="21"/>
                      <w:szCs w:val="21"/>
                    </w:rPr>
                  </w:pPr>
                  <w:r>
                    <w:rPr>
                      <w:rFonts w:hint="eastAsia"/>
                      <w:kern w:val="0"/>
                      <w:sz w:val="21"/>
                      <w:szCs w:val="21"/>
                    </w:rPr>
                    <w:t>18</w:t>
                  </w:r>
                </w:p>
              </w:tc>
            </w:tr>
            <w:tr w14:paraId="75C6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28F3A327">
                  <w:pPr>
                    <w:spacing w:line="240" w:lineRule="exact"/>
                    <w:jc w:val="center"/>
                    <w:rPr>
                      <w:kern w:val="0"/>
                      <w:sz w:val="21"/>
                      <w:szCs w:val="21"/>
                    </w:rPr>
                  </w:pPr>
                </w:p>
              </w:tc>
              <w:tc>
                <w:tcPr>
                  <w:tcW w:w="1157" w:type="pct"/>
                  <w:vMerge w:val="continue"/>
                  <w:vAlign w:val="center"/>
                </w:tcPr>
                <w:p w14:paraId="38D7EC72">
                  <w:pPr>
                    <w:spacing w:line="240" w:lineRule="exact"/>
                    <w:jc w:val="center"/>
                    <w:rPr>
                      <w:kern w:val="0"/>
                      <w:sz w:val="21"/>
                      <w:szCs w:val="21"/>
                    </w:rPr>
                  </w:pPr>
                </w:p>
              </w:tc>
              <w:tc>
                <w:tcPr>
                  <w:tcW w:w="855" w:type="pct"/>
                  <w:vMerge w:val="continue"/>
                  <w:vAlign w:val="center"/>
                </w:tcPr>
                <w:p w14:paraId="53D06815">
                  <w:pPr>
                    <w:spacing w:line="240" w:lineRule="exact"/>
                    <w:jc w:val="center"/>
                    <w:rPr>
                      <w:kern w:val="0"/>
                      <w:sz w:val="21"/>
                      <w:szCs w:val="21"/>
                    </w:rPr>
                  </w:pPr>
                </w:p>
              </w:tc>
              <w:tc>
                <w:tcPr>
                  <w:tcW w:w="856" w:type="pct"/>
                  <w:vAlign w:val="center"/>
                </w:tcPr>
                <w:p w14:paraId="2FBDCB35">
                  <w:pPr>
                    <w:spacing w:line="240" w:lineRule="exact"/>
                    <w:jc w:val="center"/>
                    <w:rPr>
                      <w:kern w:val="0"/>
                      <w:sz w:val="21"/>
                      <w:szCs w:val="21"/>
                    </w:rPr>
                  </w:pPr>
                  <w:r>
                    <w:rPr>
                      <w:rFonts w:hint="eastAsia"/>
                      <w:kern w:val="0"/>
                      <w:sz w:val="21"/>
                      <w:szCs w:val="21"/>
                    </w:rPr>
                    <w:t>西</w:t>
                  </w:r>
                </w:p>
              </w:tc>
              <w:tc>
                <w:tcPr>
                  <w:tcW w:w="1043" w:type="pct"/>
                  <w:vAlign w:val="center"/>
                </w:tcPr>
                <w:p w14:paraId="5608C336">
                  <w:pPr>
                    <w:spacing w:line="240" w:lineRule="exact"/>
                    <w:jc w:val="center"/>
                    <w:rPr>
                      <w:kern w:val="0"/>
                      <w:sz w:val="21"/>
                      <w:szCs w:val="21"/>
                    </w:rPr>
                  </w:pPr>
                  <w:r>
                    <w:rPr>
                      <w:rFonts w:hint="eastAsia"/>
                      <w:kern w:val="0"/>
                      <w:sz w:val="21"/>
                      <w:szCs w:val="21"/>
                    </w:rPr>
                    <w:t>11</w:t>
                  </w:r>
                </w:p>
              </w:tc>
              <w:tc>
                <w:tcPr>
                  <w:tcW w:w="715" w:type="pct"/>
                  <w:vAlign w:val="center"/>
                </w:tcPr>
                <w:p w14:paraId="474FDB4F">
                  <w:pPr>
                    <w:spacing w:line="240" w:lineRule="exact"/>
                    <w:jc w:val="center"/>
                    <w:rPr>
                      <w:kern w:val="0"/>
                      <w:sz w:val="21"/>
                      <w:szCs w:val="21"/>
                    </w:rPr>
                  </w:pPr>
                  <w:r>
                    <w:rPr>
                      <w:rFonts w:hint="eastAsia"/>
                      <w:kern w:val="0"/>
                      <w:sz w:val="21"/>
                      <w:szCs w:val="21"/>
                    </w:rPr>
                    <w:t>22</w:t>
                  </w:r>
                </w:p>
              </w:tc>
            </w:tr>
            <w:tr w14:paraId="2FBF5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164FB191">
                  <w:pPr>
                    <w:spacing w:line="240" w:lineRule="exact"/>
                    <w:jc w:val="center"/>
                    <w:rPr>
                      <w:kern w:val="0"/>
                      <w:sz w:val="21"/>
                      <w:szCs w:val="21"/>
                    </w:rPr>
                  </w:pPr>
                </w:p>
              </w:tc>
              <w:tc>
                <w:tcPr>
                  <w:tcW w:w="1157" w:type="pct"/>
                  <w:vMerge w:val="continue"/>
                  <w:vAlign w:val="center"/>
                </w:tcPr>
                <w:p w14:paraId="4B87F777">
                  <w:pPr>
                    <w:spacing w:line="240" w:lineRule="exact"/>
                    <w:jc w:val="center"/>
                    <w:rPr>
                      <w:kern w:val="0"/>
                      <w:sz w:val="21"/>
                      <w:szCs w:val="21"/>
                    </w:rPr>
                  </w:pPr>
                </w:p>
              </w:tc>
              <w:tc>
                <w:tcPr>
                  <w:tcW w:w="855" w:type="pct"/>
                  <w:vMerge w:val="continue"/>
                  <w:vAlign w:val="center"/>
                </w:tcPr>
                <w:p w14:paraId="00F09057">
                  <w:pPr>
                    <w:spacing w:line="240" w:lineRule="exact"/>
                    <w:jc w:val="center"/>
                    <w:rPr>
                      <w:kern w:val="0"/>
                      <w:sz w:val="21"/>
                      <w:szCs w:val="21"/>
                    </w:rPr>
                  </w:pPr>
                </w:p>
              </w:tc>
              <w:tc>
                <w:tcPr>
                  <w:tcW w:w="856" w:type="pct"/>
                  <w:vAlign w:val="center"/>
                </w:tcPr>
                <w:p w14:paraId="5BFEC3FA">
                  <w:pPr>
                    <w:spacing w:line="240" w:lineRule="exact"/>
                    <w:jc w:val="center"/>
                    <w:rPr>
                      <w:kern w:val="0"/>
                      <w:sz w:val="21"/>
                      <w:szCs w:val="21"/>
                    </w:rPr>
                  </w:pPr>
                  <w:r>
                    <w:rPr>
                      <w:rFonts w:hint="eastAsia"/>
                      <w:kern w:val="0"/>
                      <w:sz w:val="21"/>
                      <w:szCs w:val="21"/>
                    </w:rPr>
                    <w:t>南</w:t>
                  </w:r>
                </w:p>
              </w:tc>
              <w:tc>
                <w:tcPr>
                  <w:tcW w:w="1043" w:type="pct"/>
                  <w:vAlign w:val="center"/>
                </w:tcPr>
                <w:p w14:paraId="7485D1F7">
                  <w:pPr>
                    <w:spacing w:line="240" w:lineRule="exact"/>
                    <w:jc w:val="center"/>
                    <w:rPr>
                      <w:kern w:val="0"/>
                      <w:sz w:val="21"/>
                      <w:szCs w:val="21"/>
                    </w:rPr>
                  </w:pPr>
                  <w:r>
                    <w:rPr>
                      <w:rFonts w:hint="eastAsia"/>
                      <w:kern w:val="0"/>
                      <w:sz w:val="21"/>
                      <w:szCs w:val="21"/>
                    </w:rPr>
                    <w:t>98</w:t>
                  </w:r>
                </w:p>
              </w:tc>
              <w:tc>
                <w:tcPr>
                  <w:tcW w:w="715" w:type="pct"/>
                  <w:vAlign w:val="center"/>
                </w:tcPr>
                <w:p w14:paraId="73CC1B78">
                  <w:pPr>
                    <w:spacing w:line="240" w:lineRule="exact"/>
                    <w:jc w:val="center"/>
                    <w:rPr>
                      <w:kern w:val="0"/>
                      <w:sz w:val="21"/>
                      <w:szCs w:val="21"/>
                    </w:rPr>
                  </w:pPr>
                  <w:r>
                    <w:rPr>
                      <w:rFonts w:hint="eastAsia"/>
                      <w:kern w:val="0"/>
                      <w:sz w:val="21"/>
                      <w:szCs w:val="21"/>
                    </w:rPr>
                    <w:t>3</w:t>
                  </w:r>
                </w:p>
              </w:tc>
            </w:tr>
            <w:tr w14:paraId="66C2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220D3177">
                  <w:pPr>
                    <w:spacing w:line="240" w:lineRule="exact"/>
                    <w:jc w:val="center"/>
                    <w:rPr>
                      <w:kern w:val="0"/>
                      <w:sz w:val="21"/>
                      <w:szCs w:val="21"/>
                    </w:rPr>
                  </w:pPr>
                </w:p>
              </w:tc>
              <w:tc>
                <w:tcPr>
                  <w:tcW w:w="1157" w:type="pct"/>
                  <w:vMerge w:val="continue"/>
                  <w:vAlign w:val="center"/>
                </w:tcPr>
                <w:p w14:paraId="19818723">
                  <w:pPr>
                    <w:spacing w:line="240" w:lineRule="exact"/>
                    <w:jc w:val="center"/>
                    <w:rPr>
                      <w:kern w:val="0"/>
                      <w:sz w:val="21"/>
                      <w:szCs w:val="21"/>
                    </w:rPr>
                  </w:pPr>
                </w:p>
              </w:tc>
              <w:tc>
                <w:tcPr>
                  <w:tcW w:w="855" w:type="pct"/>
                  <w:vMerge w:val="continue"/>
                  <w:vAlign w:val="center"/>
                </w:tcPr>
                <w:p w14:paraId="244BBC9E">
                  <w:pPr>
                    <w:spacing w:line="240" w:lineRule="exact"/>
                    <w:jc w:val="center"/>
                    <w:rPr>
                      <w:kern w:val="0"/>
                      <w:sz w:val="21"/>
                      <w:szCs w:val="21"/>
                    </w:rPr>
                  </w:pPr>
                </w:p>
              </w:tc>
              <w:tc>
                <w:tcPr>
                  <w:tcW w:w="856" w:type="pct"/>
                  <w:vAlign w:val="center"/>
                </w:tcPr>
                <w:p w14:paraId="5C1E7F10">
                  <w:pPr>
                    <w:spacing w:line="240" w:lineRule="exact"/>
                    <w:jc w:val="center"/>
                    <w:rPr>
                      <w:kern w:val="0"/>
                      <w:sz w:val="21"/>
                      <w:szCs w:val="21"/>
                    </w:rPr>
                  </w:pPr>
                  <w:r>
                    <w:rPr>
                      <w:kern w:val="0"/>
                      <w:sz w:val="21"/>
                      <w:szCs w:val="21"/>
                    </w:rPr>
                    <w:t>北</w:t>
                  </w:r>
                </w:p>
              </w:tc>
              <w:tc>
                <w:tcPr>
                  <w:tcW w:w="1043" w:type="pct"/>
                  <w:vAlign w:val="center"/>
                </w:tcPr>
                <w:p w14:paraId="4A25D0A1">
                  <w:pPr>
                    <w:spacing w:line="240" w:lineRule="exact"/>
                    <w:jc w:val="center"/>
                    <w:rPr>
                      <w:kern w:val="0"/>
                      <w:sz w:val="21"/>
                      <w:szCs w:val="21"/>
                    </w:rPr>
                  </w:pPr>
                  <w:r>
                    <w:rPr>
                      <w:rFonts w:hint="eastAsia"/>
                      <w:kern w:val="0"/>
                      <w:sz w:val="21"/>
                      <w:szCs w:val="21"/>
                    </w:rPr>
                    <w:t>4.5</w:t>
                  </w:r>
                </w:p>
              </w:tc>
              <w:tc>
                <w:tcPr>
                  <w:tcW w:w="715" w:type="pct"/>
                  <w:vAlign w:val="center"/>
                </w:tcPr>
                <w:p w14:paraId="0BF0CDEC">
                  <w:pPr>
                    <w:spacing w:line="240" w:lineRule="exact"/>
                    <w:jc w:val="center"/>
                    <w:rPr>
                      <w:kern w:val="0"/>
                      <w:sz w:val="21"/>
                      <w:szCs w:val="21"/>
                    </w:rPr>
                  </w:pPr>
                  <w:r>
                    <w:rPr>
                      <w:rFonts w:hint="eastAsia"/>
                      <w:kern w:val="0"/>
                      <w:sz w:val="21"/>
                      <w:szCs w:val="21"/>
                    </w:rPr>
                    <w:t>30</w:t>
                  </w:r>
                </w:p>
              </w:tc>
            </w:tr>
            <w:tr w14:paraId="42F5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1EC4CF1E">
                  <w:pPr>
                    <w:spacing w:line="240" w:lineRule="exact"/>
                    <w:jc w:val="center"/>
                    <w:rPr>
                      <w:kern w:val="0"/>
                      <w:sz w:val="21"/>
                      <w:szCs w:val="21"/>
                    </w:rPr>
                  </w:pPr>
                </w:p>
              </w:tc>
              <w:tc>
                <w:tcPr>
                  <w:tcW w:w="1157" w:type="pct"/>
                  <w:vMerge w:val="restart"/>
                  <w:vAlign w:val="center"/>
                </w:tcPr>
                <w:p w14:paraId="205363BD">
                  <w:pPr>
                    <w:spacing w:line="240" w:lineRule="exact"/>
                    <w:jc w:val="center"/>
                    <w:rPr>
                      <w:kern w:val="0"/>
                      <w:sz w:val="21"/>
                      <w:szCs w:val="21"/>
                    </w:rPr>
                  </w:pPr>
                  <w:r>
                    <w:rPr>
                      <w:kern w:val="0"/>
                      <w:sz w:val="21"/>
                      <w:szCs w:val="21"/>
                    </w:rPr>
                    <w:t>风机</w:t>
                  </w:r>
                  <w:r>
                    <w:rPr>
                      <w:rFonts w:hint="eastAsia"/>
                      <w:kern w:val="0"/>
                      <w:sz w:val="21"/>
                      <w:szCs w:val="21"/>
                    </w:rPr>
                    <w:t>2</w:t>
                  </w:r>
                </w:p>
              </w:tc>
              <w:tc>
                <w:tcPr>
                  <w:tcW w:w="855" w:type="pct"/>
                  <w:vMerge w:val="restart"/>
                  <w:vAlign w:val="center"/>
                </w:tcPr>
                <w:p w14:paraId="0C7297B3">
                  <w:pPr>
                    <w:spacing w:line="240" w:lineRule="exact"/>
                    <w:jc w:val="center"/>
                    <w:rPr>
                      <w:kern w:val="0"/>
                      <w:sz w:val="21"/>
                      <w:szCs w:val="21"/>
                    </w:rPr>
                  </w:pPr>
                  <w:r>
                    <w:rPr>
                      <w:rFonts w:hint="eastAsia"/>
                      <w:kern w:val="0"/>
                      <w:sz w:val="21"/>
                      <w:szCs w:val="21"/>
                    </w:rPr>
                    <w:t>41</w:t>
                  </w:r>
                </w:p>
              </w:tc>
              <w:tc>
                <w:tcPr>
                  <w:tcW w:w="856" w:type="pct"/>
                  <w:vAlign w:val="center"/>
                </w:tcPr>
                <w:p w14:paraId="139657F7">
                  <w:pPr>
                    <w:spacing w:line="240" w:lineRule="exact"/>
                    <w:jc w:val="center"/>
                    <w:rPr>
                      <w:kern w:val="0"/>
                      <w:sz w:val="21"/>
                      <w:szCs w:val="21"/>
                    </w:rPr>
                  </w:pPr>
                  <w:r>
                    <w:rPr>
                      <w:kern w:val="0"/>
                      <w:sz w:val="21"/>
                      <w:szCs w:val="21"/>
                    </w:rPr>
                    <w:t>东</w:t>
                  </w:r>
                </w:p>
              </w:tc>
              <w:tc>
                <w:tcPr>
                  <w:tcW w:w="1043" w:type="pct"/>
                  <w:vAlign w:val="center"/>
                </w:tcPr>
                <w:p w14:paraId="09C2C82F">
                  <w:pPr>
                    <w:spacing w:line="240" w:lineRule="exact"/>
                    <w:jc w:val="center"/>
                    <w:rPr>
                      <w:kern w:val="0"/>
                      <w:sz w:val="21"/>
                      <w:szCs w:val="21"/>
                    </w:rPr>
                  </w:pPr>
                  <w:r>
                    <w:rPr>
                      <w:rFonts w:hint="eastAsia"/>
                      <w:kern w:val="0"/>
                      <w:sz w:val="21"/>
                      <w:szCs w:val="21"/>
                    </w:rPr>
                    <w:t>21</w:t>
                  </w:r>
                </w:p>
              </w:tc>
              <w:tc>
                <w:tcPr>
                  <w:tcW w:w="715" w:type="pct"/>
                  <w:vAlign w:val="center"/>
                </w:tcPr>
                <w:p w14:paraId="732D1D02">
                  <w:pPr>
                    <w:spacing w:line="240" w:lineRule="exact"/>
                    <w:jc w:val="center"/>
                    <w:rPr>
                      <w:kern w:val="0"/>
                      <w:sz w:val="21"/>
                      <w:szCs w:val="21"/>
                    </w:rPr>
                  </w:pPr>
                  <w:r>
                    <w:rPr>
                      <w:rFonts w:hint="eastAsia"/>
                      <w:kern w:val="0"/>
                      <w:sz w:val="21"/>
                      <w:szCs w:val="21"/>
                    </w:rPr>
                    <w:t>15</w:t>
                  </w:r>
                </w:p>
              </w:tc>
            </w:tr>
            <w:tr w14:paraId="7DDEC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1F1CD3C3">
                  <w:pPr>
                    <w:spacing w:line="240" w:lineRule="exact"/>
                    <w:jc w:val="center"/>
                    <w:rPr>
                      <w:kern w:val="0"/>
                      <w:sz w:val="21"/>
                      <w:szCs w:val="21"/>
                    </w:rPr>
                  </w:pPr>
                </w:p>
              </w:tc>
              <w:tc>
                <w:tcPr>
                  <w:tcW w:w="1157" w:type="pct"/>
                  <w:vMerge w:val="continue"/>
                  <w:vAlign w:val="center"/>
                </w:tcPr>
                <w:p w14:paraId="218F8FDD">
                  <w:pPr>
                    <w:spacing w:line="240" w:lineRule="exact"/>
                    <w:jc w:val="center"/>
                    <w:rPr>
                      <w:kern w:val="0"/>
                      <w:sz w:val="21"/>
                      <w:szCs w:val="21"/>
                    </w:rPr>
                  </w:pPr>
                </w:p>
              </w:tc>
              <w:tc>
                <w:tcPr>
                  <w:tcW w:w="855" w:type="pct"/>
                  <w:vMerge w:val="continue"/>
                  <w:vAlign w:val="center"/>
                </w:tcPr>
                <w:p w14:paraId="753EC6FF">
                  <w:pPr>
                    <w:spacing w:line="240" w:lineRule="exact"/>
                    <w:jc w:val="center"/>
                    <w:rPr>
                      <w:kern w:val="0"/>
                      <w:sz w:val="21"/>
                      <w:szCs w:val="21"/>
                    </w:rPr>
                  </w:pPr>
                </w:p>
              </w:tc>
              <w:tc>
                <w:tcPr>
                  <w:tcW w:w="856" w:type="pct"/>
                  <w:vAlign w:val="center"/>
                </w:tcPr>
                <w:p w14:paraId="74F3C201">
                  <w:pPr>
                    <w:spacing w:line="240" w:lineRule="exact"/>
                    <w:jc w:val="center"/>
                    <w:rPr>
                      <w:kern w:val="0"/>
                      <w:sz w:val="21"/>
                      <w:szCs w:val="21"/>
                    </w:rPr>
                  </w:pPr>
                  <w:r>
                    <w:rPr>
                      <w:rFonts w:hint="eastAsia"/>
                      <w:kern w:val="0"/>
                      <w:sz w:val="21"/>
                      <w:szCs w:val="21"/>
                    </w:rPr>
                    <w:t>西</w:t>
                  </w:r>
                </w:p>
              </w:tc>
              <w:tc>
                <w:tcPr>
                  <w:tcW w:w="1043" w:type="pct"/>
                  <w:vAlign w:val="center"/>
                </w:tcPr>
                <w:p w14:paraId="0D43FF89">
                  <w:pPr>
                    <w:spacing w:line="240" w:lineRule="exact"/>
                    <w:jc w:val="center"/>
                    <w:rPr>
                      <w:kern w:val="0"/>
                      <w:sz w:val="21"/>
                      <w:szCs w:val="21"/>
                    </w:rPr>
                  </w:pPr>
                  <w:r>
                    <w:rPr>
                      <w:rFonts w:hint="eastAsia"/>
                      <w:kern w:val="0"/>
                      <w:sz w:val="21"/>
                      <w:szCs w:val="21"/>
                    </w:rPr>
                    <w:t>9</w:t>
                  </w:r>
                </w:p>
              </w:tc>
              <w:tc>
                <w:tcPr>
                  <w:tcW w:w="715" w:type="pct"/>
                  <w:vAlign w:val="center"/>
                </w:tcPr>
                <w:p w14:paraId="3B518569">
                  <w:pPr>
                    <w:spacing w:line="240" w:lineRule="exact"/>
                    <w:jc w:val="center"/>
                    <w:rPr>
                      <w:kern w:val="0"/>
                      <w:sz w:val="21"/>
                      <w:szCs w:val="21"/>
                    </w:rPr>
                  </w:pPr>
                  <w:r>
                    <w:rPr>
                      <w:rFonts w:hint="eastAsia"/>
                      <w:kern w:val="0"/>
                      <w:sz w:val="21"/>
                      <w:szCs w:val="21"/>
                    </w:rPr>
                    <w:t>22</w:t>
                  </w:r>
                </w:p>
              </w:tc>
            </w:tr>
            <w:tr w14:paraId="57E8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64017BAF">
                  <w:pPr>
                    <w:spacing w:line="240" w:lineRule="exact"/>
                    <w:jc w:val="center"/>
                    <w:rPr>
                      <w:kern w:val="0"/>
                      <w:sz w:val="21"/>
                      <w:szCs w:val="21"/>
                    </w:rPr>
                  </w:pPr>
                </w:p>
              </w:tc>
              <w:tc>
                <w:tcPr>
                  <w:tcW w:w="1157" w:type="pct"/>
                  <w:vMerge w:val="continue"/>
                  <w:vAlign w:val="center"/>
                </w:tcPr>
                <w:p w14:paraId="74B61C56">
                  <w:pPr>
                    <w:spacing w:line="240" w:lineRule="exact"/>
                    <w:jc w:val="center"/>
                    <w:rPr>
                      <w:kern w:val="0"/>
                      <w:sz w:val="21"/>
                      <w:szCs w:val="21"/>
                    </w:rPr>
                  </w:pPr>
                </w:p>
              </w:tc>
              <w:tc>
                <w:tcPr>
                  <w:tcW w:w="855" w:type="pct"/>
                  <w:vMerge w:val="continue"/>
                  <w:vAlign w:val="center"/>
                </w:tcPr>
                <w:p w14:paraId="428B4A3C">
                  <w:pPr>
                    <w:spacing w:line="240" w:lineRule="exact"/>
                    <w:jc w:val="center"/>
                    <w:rPr>
                      <w:kern w:val="0"/>
                      <w:sz w:val="21"/>
                      <w:szCs w:val="21"/>
                    </w:rPr>
                  </w:pPr>
                </w:p>
              </w:tc>
              <w:tc>
                <w:tcPr>
                  <w:tcW w:w="856" w:type="pct"/>
                  <w:vAlign w:val="center"/>
                </w:tcPr>
                <w:p w14:paraId="49D771FB">
                  <w:pPr>
                    <w:spacing w:line="240" w:lineRule="exact"/>
                    <w:jc w:val="center"/>
                    <w:rPr>
                      <w:kern w:val="0"/>
                      <w:sz w:val="21"/>
                      <w:szCs w:val="21"/>
                    </w:rPr>
                  </w:pPr>
                  <w:r>
                    <w:rPr>
                      <w:rFonts w:hint="eastAsia"/>
                      <w:kern w:val="0"/>
                      <w:sz w:val="21"/>
                      <w:szCs w:val="21"/>
                    </w:rPr>
                    <w:t>南</w:t>
                  </w:r>
                </w:p>
              </w:tc>
              <w:tc>
                <w:tcPr>
                  <w:tcW w:w="1043" w:type="pct"/>
                  <w:vAlign w:val="center"/>
                </w:tcPr>
                <w:p w14:paraId="124B2B69">
                  <w:pPr>
                    <w:spacing w:line="240" w:lineRule="exact"/>
                    <w:jc w:val="center"/>
                    <w:rPr>
                      <w:kern w:val="0"/>
                      <w:sz w:val="21"/>
                      <w:szCs w:val="21"/>
                    </w:rPr>
                  </w:pPr>
                  <w:r>
                    <w:rPr>
                      <w:rFonts w:hint="eastAsia"/>
                      <w:kern w:val="0"/>
                      <w:sz w:val="21"/>
                      <w:szCs w:val="21"/>
                    </w:rPr>
                    <w:t>93</w:t>
                  </w:r>
                </w:p>
              </w:tc>
              <w:tc>
                <w:tcPr>
                  <w:tcW w:w="715" w:type="pct"/>
                  <w:vAlign w:val="center"/>
                </w:tcPr>
                <w:p w14:paraId="05CE03FF">
                  <w:pPr>
                    <w:spacing w:line="240" w:lineRule="exact"/>
                    <w:jc w:val="center"/>
                    <w:rPr>
                      <w:kern w:val="0"/>
                      <w:sz w:val="21"/>
                      <w:szCs w:val="21"/>
                    </w:rPr>
                  </w:pPr>
                  <w:r>
                    <w:rPr>
                      <w:rFonts w:hint="eastAsia"/>
                      <w:kern w:val="0"/>
                      <w:sz w:val="21"/>
                      <w:szCs w:val="21"/>
                    </w:rPr>
                    <w:t>2</w:t>
                  </w:r>
                </w:p>
              </w:tc>
            </w:tr>
            <w:tr w14:paraId="5EAA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576CD201">
                  <w:pPr>
                    <w:spacing w:line="240" w:lineRule="exact"/>
                    <w:jc w:val="center"/>
                    <w:rPr>
                      <w:kern w:val="0"/>
                      <w:sz w:val="21"/>
                      <w:szCs w:val="21"/>
                    </w:rPr>
                  </w:pPr>
                </w:p>
              </w:tc>
              <w:tc>
                <w:tcPr>
                  <w:tcW w:w="1157" w:type="pct"/>
                  <w:vMerge w:val="continue"/>
                  <w:vAlign w:val="center"/>
                </w:tcPr>
                <w:p w14:paraId="40A43F15">
                  <w:pPr>
                    <w:spacing w:line="240" w:lineRule="exact"/>
                    <w:jc w:val="center"/>
                    <w:rPr>
                      <w:kern w:val="0"/>
                      <w:sz w:val="21"/>
                      <w:szCs w:val="21"/>
                    </w:rPr>
                  </w:pPr>
                </w:p>
              </w:tc>
              <w:tc>
                <w:tcPr>
                  <w:tcW w:w="855" w:type="pct"/>
                  <w:vMerge w:val="continue"/>
                  <w:vAlign w:val="center"/>
                </w:tcPr>
                <w:p w14:paraId="0853CCE1">
                  <w:pPr>
                    <w:spacing w:line="240" w:lineRule="exact"/>
                    <w:jc w:val="center"/>
                    <w:rPr>
                      <w:kern w:val="0"/>
                      <w:sz w:val="21"/>
                      <w:szCs w:val="21"/>
                    </w:rPr>
                  </w:pPr>
                </w:p>
              </w:tc>
              <w:tc>
                <w:tcPr>
                  <w:tcW w:w="856" w:type="pct"/>
                  <w:vAlign w:val="center"/>
                </w:tcPr>
                <w:p w14:paraId="6E68663B">
                  <w:pPr>
                    <w:spacing w:line="240" w:lineRule="exact"/>
                    <w:jc w:val="center"/>
                    <w:rPr>
                      <w:kern w:val="0"/>
                      <w:sz w:val="21"/>
                      <w:szCs w:val="21"/>
                    </w:rPr>
                  </w:pPr>
                  <w:r>
                    <w:rPr>
                      <w:kern w:val="0"/>
                      <w:sz w:val="21"/>
                      <w:szCs w:val="21"/>
                    </w:rPr>
                    <w:t>北</w:t>
                  </w:r>
                </w:p>
              </w:tc>
              <w:tc>
                <w:tcPr>
                  <w:tcW w:w="1043" w:type="pct"/>
                  <w:vAlign w:val="center"/>
                </w:tcPr>
                <w:p w14:paraId="2C98748D">
                  <w:pPr>
                    <w:spacing w:line="240" w:lineRule="exact"/>
                    <w:jc w:val="center"/>
                    <w:rPr>
                      <w:kern w:val="0"/>
                      <w:sz w:val="21"/>
                      <w:szCs w:val="21"/>
                    </w:rPr>
                  </w:pPr>
                  <w:r>
                    <w:rPr>
                      <w:rFonts w:hint="eastAsia"/>
                      <w:kern w:val="0"/>
                      <w:sz w:val="21"/>
                      <w:szCs w:val="21"/>
                    </w:rPr>
                    <w:t>7</w:t>
                  </w:r>
                </w:p>
              </w:tc>
              <w:tc>
                <w:tcPr>
                  <w:tcW w:w="715" w:type="pct"/>
                  <w:vAlign w:val="center"/>
                </w:tcPr>
                <w:p w14:paraId="7FE2A9B7">
                  <w:pPr>
                    <w:spacing w:line="240" w:lineRule="exact"/>
                    <w:jc w:val="center"/>
                    <w:rPr>
                      <w:kern w:val="0"/>
                      <w:sz w:val="21"/>
                      <w:szCs w:val="21"/>
                    </w:rPr>
                  </w:pPr>
                  <w:r>
                    <w:rPr>
                      <w:rFonts w:hint="eastAsia"/>
                      <w:kern w:val="0"/>
                      <w:sz w:val="21"/>
                      <w:szCs w:val="21"/>
                    </w:rPr>
                    <w:t>24</w:t>
                  </w:r>
                </w:p>
              </w:tc>
            </w:tr>
            <w:tr w14:paraId="078E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0E729F46">
                  <w:pPr>
                    <w:spacing w:line="240" w:lineRule="exact"/>
                    <w:jc w:val="center"/>
                    <w:rPr>
                      <w:kern w:val="0"/>
                      <w:sz w:val="21"/>
                      <w:szCs w:val="21"/>
                    </w:rPr>
                  </w:pPr>
                </w:p>
              </w:tc>
              <w:tc>
                <w:tcPr>
                  <w:tcW w:w="1157" w:type="pct"/>
                  <w:vMerge w:val="restart"/>
                  <w:vAlign w:val="center"/>
                </w:tcPr>
                <w:p w14:paraId="22E723D1">
                  <w:pPr>
                    <w:spacing w:line="240" w:lineRule="exact"/>
                    <w:jc w:val="center"/>
                    <w:rPr>
                      <w:kern w:val="0"/>
                      <w:sz w:val="21"/>
                      <w:szCs w:val="21"/>
                    </w:rPr>
                  </w:pPr>
                  <w:r>
                    <w:rPr>
                      <w:rFonts w:hint="eastAsia"/>
                      <w:kern w:val="0"/>
                      <w:sz w:val="21"/>
                      <w:szCs w:val="21"/>
                    </w:rPr>
                    <w:t>水泵1</w:t>
                  </w:r>
                </w:p>
              </w:tc>
              <w:tc>
                <w:tcPr>
                  <w:tcW w:w="855" w:type="pct"/>
                  <w:vMerge w:val="restart"/>
                  <w:vAlign w:val="center"/>
                </w:tcPr>
                <w:p w14:paraId="5940D65B">
                  <w:pPr>
                    <w:spacing w:line="240" w:lineRule="exact"/>
                    <w:jc w:val="center"/>
                    <w:rPr>
                      <w:kern w:val="0"/>
                      <w:sz w:val="21"/>
                      <w:szCs w:val="21"/>
                    </w:rPr>
                  </w:pPr>
                  <w:r>
                    <w:rPr>
                      <w:rFonts w:hint="eastAsia"/>
                      <w:kern w:val="0"/>
                      <w:sz w:val="21"/>
                      <w:szCs w:val="21"/>
                    </w:rPr>
                    <w:t>35</w:t>
                  </w:r>
                </w:p>
              </w:tc>
              <w:tc>
                <w:tcPr>
                  <w:tcW w:w="856" w:type="pct"/>
                  <w:vAlign w:val="center"/>
                </w:tcPr>
                <w:p w14:paraId="30712CF0">
                  <w:pPr>
                    <w:spacing w:line="240" w:lineRule="exact"/>
                    <w:jc w:val="center"/>
                    <w:rPr>
                      <w:kern w:val="0"/>
                      <w:sz w:val="21"/>
                      <w:szCs w:val="21"/>
                    </w:rPr>
                  </w:pPr>
                  <w:r>
                    <w:rPr>
                      <w:kern w:val="0"/>
                      <w:sz w:val="21"/>
                      <w:szCs w:val="21"/>
                    </w:rPr>
                    <w:t>东</w:t>
                  </w:r>
                </w:p>
              </w:tc>
              <w:tc>
                <w:tcPr>
                  <w:tcW w:w="1043" w:type="pct"/>
                  <w:vAlign w:val="center"/>
                </w:tcPr>
                <w:p w14:paraId="2D8B96DB">
                  <w:pPr>
                    <w:spacing w:line="240" w:lineRule="exact"/>
                    <w:jc w:val="center"/>
                    <w:rPr>
                      <w:kern w:val="0"/>
                      <w:sz w:val="21"/>
                      <w:szCs w:val="21"/>
                    </w:rPr>
                  </w:pPr>
                  <w:r>
                    <w:rPr>
                      <w:rFonts w:hint="eastAsia"/>
                      <w:kern w:val="0"/>
                      <w:sz w:val="21"/>
                      <w:szCs w:val="21"/>
                    </w:rPr>
                    <w:t>17</w:t>
                  </w:r>
                </w:p>
              </w:tc>
              <w:tc>
                <w:tcPr>
                  <w:tcW w:w="715" w:type="pct"/>
                  <w:vAlign w:val="center"/>
                </w:tcPr>
                <w:p w14:paraId="4C4CD840">
                  <w:pPr>
                    <w:spacing w:line="240" w:lineRule="exact"/>
                    <w:jc w:val="center"/>
                    <w:rPr>
                      <w:kern w:val="0"/>
                      <w:sz w:val="21"/>
                      <w:szCs w:val="21"/>
                    </w:rPr>
                  </w:pPr>
                  <w:r>
                    <w:rPr>
                      <w:rFonts w:hint="eastAsia"/>
                      <w:kern w:val="0"/>
                      <w:sz w:val="21"/>
                      <w:szCs w:val="21"/>
                    </w:rPr>
                    <w:t>10</w:t>
                  </w:r>
                </w:p>
              </w:tc>
            </w:tr>
            <w:tr w14:paraId="1216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7DD3C61D">
                  <w:pPr>
                    <w:spacing w:line="240" w:lineRule="exact"/>
                    <w:jc w:val="center"/>
                    <w:rPr>
                      <w:kern w:val="0"/>
                      <w:sz w:val="21"/>
                      <w:szCs w:val="21"/>
                    </w:rPr>
                  </w:pPr>
                </w:p>
              </w:tc>
              <w:tc>
                <w:tcPr>
                  <w:tcW w:w="1157" w:type="pct"/>
                  <w:vMerge w:val="continue"/>
                  <w:vAlign w:val="center"/>
                </w:tcPr>
                <w:p w14:paraId="56D721E9">
                  <w:pPr>
                    <w:spacing w:line="240" w:lineRule="exact"/>
                    <w:jc w:val="center"/>
                    <w:rPr>
                      <w:kern w:val="0"/>
                      <w:sz w:val="21"/>
                      <w:szCs w:val="21"/>
                    </w:rPr>
                  </w:pPr>
                </w:p>
              </w:tc>
              <w:tc>
                <w:tcPr>
                  <w:tcW w:w="855" w:type="pct"/>
                  <w:vMerge w:val="continue"/>
                  <w:vAlign w:val="center"/>
                </w:tcPr>
                <w:p w14:paraId="7C72267A">
                  <w:pPr>
                    <w:spacing w:line="240" w:lineRule="exact"/>
                    <w:jc w:val="center"/>
                    <w:rPr>
                      <w:kern w:val="0"/>
                      <w:sz w:val="21"/>
                      <w:szCs w:val="21"/>
                    </w:rPr>
                  </w:pPr>
                </w:p>
              </w:tc>
              <w:tc>
                <w:tcPr>
                  <w:tcW w:w="856" w:type="pct"/>
                  <w:vAlign w:val="center"/>
                </w:tcPr>
                <w:p w14:paraId="7AD21ECE">
                  <w:pPr>
                    <w:spacing w:line="240" w:lineRule="exact"/>
                    <w:jc w:val="center"/>
                    <w:rPr>
                      <w:kern w:val="0"/>
                      <w:sz w:val="21"/>
                      <w:szCs w:val="21"/>
                    </w:rPr>
                  </w:pPr>
                  <w:r>
                    <w:rPr>
                      <w:rFonts w:hint="eastAsia"/>
                      <w:kern w:val="0"/>
                      <w:sz w:val="21"/>
                      <w:szCs w:val="21"/>
                    </w:rPr>
                    <w:t>西</w:t>
                  </w:r>
                </w:p>
              </w:tc>
              <w:tc>
                <w:tcPr>
                  <w:tcW w:w="1043" w:type="pct"/>
                  <w:vAlign w:val="center"/>
                </w:tcPr>
                <w:p w14:paraId="27D4DC82">
                  <w:pPr>
                    <w:spacing w:line="240" w:lineRule="exact"/>
                    <w:jc w:val="center"/>
                    <w:rPr>
                      <w:kern w:val="0"/>
                      <w:sz w:val="21"/>
                      <w:szCs w:val="21"/>
                    </w:rPr>
                  </w:pPr>
                  <w:r>
                    <w:rPr>
                      <w:rFonts w:hint="eastAsia"/>
                      <w:kern w:val="0"/>
                      <w:sz w:val="21"/>
                      <w:szCs w:val="21"/>
                    </w:rPr>
                    <w:t>12</w:t>
                  </w:r>
                </w:p>
              </w:tc>
              <w:tc>
                <w:tcPr>
                  <w:tcW w:w="715" w:type="pct"/>
                  <w:vAlign w:val="center"/>
                </w:tcPr>
                <w:p w14:paraId="75EA5AF6">
                  <w:pPr>
                    <w:spacing w:line="240" w:lineRule="exact"/>
                    <w:jc w:val="center"/>
                    <w:rPr>
                      <w:kern w:val="0"/>
                      <w:sz w:val="21"/>
                      <w:szCs w:val="21"/>
                    </w:rPr>
                  </w:pPr>
                  <w:r>
                    <w:rPr>
                      <w:rFonts w:hint="eastAsia"/>
                      <w:kern w:val="0"/>
                      <w:sz w:val="21"/>
                      <w:szCs w:val="21"/>
                    </w:rPr>
                    <w:t>13</w:t>
                  </w:r>
                </w:p>
              </w:tc>
            </w:tr>
            <w:tr w14:paraId="76B1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03A5BAAA">
                  <w:pPr>
                    <w:spacing w:line="240" w:lineRule="exact"/>
                    <w:jc w:val="center"/>
                    <w:rPr>
                      <w:kern w:val="0"/>
                      <w:sz w:val="21"/>
                      <w:szCs w:val="21"/>
                    </w:rPr>
                  </w:pPr>
                </w:p>
              </w:tc>
              <w:tc>
                <w:tcPr>
                  <w:tcW w:w="1157" w:type="pct"/>
                  <w:vMerge w:val="continue"/>
                  <w:vAlign w:val="center"/>
                </w:tcPr>
                <w:p w14:paraId="1A69B28B">
                  <w:pPr>
                    <w:spacing w:line="240" w:lineRule="exact"/>
                    <w:jc w:val="center"/>
                    <w:rPr>
                      <w:kern w:val="0"/>
                      <w:sz w:val="21"/>
                      <w:szCs w:val="21"/>
                    </w:rPr>
                  </w:pPr>
                </w:p>
              </w:tc>
              <w:tc>
                <w:tcPr>
                  <w:tcW w:w="855" w:type="pct"/>
                  <w:vMerge w:val="continue"/>
                  <w:vAlign w:val="center"/>
                </w:tcPr>
                <w:p w14:paraId="4B7F98AC">
                  <w:pPr>
                    <w:spacing w:line="240" w:lineRule="exact"/>
                    <w:jc w:val="center"/>
                    <w:rPr>
                      <w:kern w:val="0"/>
                      <w:sz w:val="21"/>
                      <w:szCs w:val="21"/>
                    </w:rPr>
                  </w:pPr>
                </w:p>
              </w:tc>
              <w:tc>
                <w:tcPr>
                  <w:tcW w:w="856" w:type="pct"/>
                  <w:vAlign w:val="center"/>
                </w:tcPr>
                <w:p w14:paraId="745C832E">
                  <w:pPr>
                    <w:spacing w:line="240" w:lineRule="exact"/>
                    <w:jc w:val="center"/>
                    <w:rPr>
                      <w:kern w:val="0"/>
                      <w:sz w:val="21"/>
                      <w:szCs w:val="21"/>
                    </w:rPr>
                  </w:pPr>
                  <w:r>
                    <w:rPr>
                      <w:rFonts w:hint="eastAsia"/>
                      <w:kern w:val="0"/>
                      <w:sz w:val="21"/>
                      <w:szCs w:val="21"/>
                    </w:rPr>
                    <w:t>南</w:t>
                  </w:r>
                </w:p>
              </w:tc>
              <w:tc>
                <w:tcPr>
                  <w:tcW w:w="1043" w:type="pct"/>
                  <w:vAlign w:val="center"/>
                </w:tcPr>
                <w:p w14:paraId="131B0EC4">
                  <w:pPr>
                    <w:spacing w:line="240" w:lineRule="exact"/>
                    <w:jc w:val="center"/>
                    <w:rPr>
                      <w:kern w:val="0"/>
                      <w:sz w:val="21"/>
                      <w:szCs w:val="21"/>
                    </w:rPr>
                  </w:pPr>
                  <w:r>
                    <w:rPr>
                      <w:rFonts w:hint="eastAsia"/>
                      <w:kern w:val="0"/>
                      <w:sz w:val="21"/>
                      <w:szCs w:val="21"/>
                    </w:rPr>
                    <w:t>23</w:t>
                  </w:r>
                </w:p>
              </w:tc>
              <w:tc>
                <w:tcPr>
                  <w:tcW w:w="715" w:type="pct"/>
                  <w:vAlign w:val="center"/>
                </w:tcPr>
                <w:p w14:paraId="6AB32153">
                  <w:pPr>
                    <w:spacing w:line="240" w:lineRule="exact"/>
                    <w:jc w:val="center"/>
                    <w:rPr>
                      <w:kern w:val="0"/>
                      <w:sz w:val="21"/>
                      <w:szCs w:val="21"/>
                    </w:rPr>
                  </w:pPr>
                  <w:r>
                    <w:rPr>
                      <w:rFonts w:hint="eastAsia"/>
                      <w:kern w:val="0"/>
                      <w:sz w:val="21"/>
                      <w:szCs w:val="21"/>
                    </w:rPr>
                    <w:t>8</w:t>
                  </w:r>
                </w:p>
              </w:tc>
            </w:tr>
            <w:tr w14:paraId="50DD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42497375">
                  <w:pPr>
                    <w:spacing w:line="240" w:lineRule="exact"/>
                    <w:jc w:val="center"/>
                    <w:rPr>
                      <w:kern w:val="0"/>
                      <w:sz w:val="21"/>
                      <w:szCs w:val="21"/>
                    </w:rPr>
                  </w:pPr>
                </w:p>
              </w:tc>
              <w:tc>
                <w:tcPr>
                  <w:tcW w:w="1157" w:type="pct"/>
                  <w:vMerge w:val="continue"/>
                  <w:vAlign w:val="center"/>
                </w:tcPr>
                <w:p w14:paraId="40E2E705">
                  <w:pPr>
                    <w:spacing w:line="240" w:lineRule="exact"/>
                    <w:jc w:val="center"/>
                    <w:rPr>
                      <w:kern w:val="0"/>
                      <w:sz w:val="21"/>
                      <w:szCs w:val="21"/>
                    </w:rPr>
                  </w:pPr>
                </w:p>
              </w:tc>
              <w:tc>
                <w:tcPr>
                  <w:tcW w:w="855" w:type="pct"/>
                  <w:vMerge w:val="continue"/>
                  <w:vAlign w:val="center"/>
                </w:tcPr>
                <w:p w14:paraId="6176A410">
                  <w:pPr>
                    <w:spacing w:line="240" w:lineRule="exact"/>
                    <w:jc w:val="center"/>
                    <w:rPr>
                      <w:kern w:val="0"/>
                      <w:sz w:val="21"/>
                      <w:szCs w:val="21"/>
                    </w:rPr>
                  </w:pPr>
                </w:p>
              </w:tc>
              <w:tc>
                <w:tcPr>
                  <w:tcW w:w="856" w:type="pct"/>
                  <w:vAlign w:val="center"/>
                </w:tcPr>
                <w:p w14:paraId="5FAE6BA9">
                  <w:pPr>
                    <w:spacing w:line="240" w:lineRule="exact"/>
                    <w:jc w:val="center"/>
                    <w:rPr>
                      <w:kern w:val="0"/>
                      <w:sz w:val="21"/>
                      <w:szCs w:val="21"/>
                    </w:rPr>
                  </w:pPr>
                  <w:r>
                    <w:rPr>
                      <w:kern w:val="0"/>
                      <w:sz w:val="21"/>
                      <w:szCs w:val="21"/>
                    </w:rPr>
                    <w:t>北</w:t>
                  </w:r>
                </w:p>
              </w:tc>
              <w:tc>
                <w:tcPr>
                  <w:tcW w:w="1043" w:type="pct"/>
                  <w:vAlign w:val="center"/>
                </w:tcPr>
                <w:p w14:paraId="2580851B">
                  <w:pPr>
                    <w:spacing w:line="240" w:lineRule="exact"/>
                    <w:jc w:val="center"/>
                    <w:rPr>
                      <w:kern w:val="0"/>
                      <w:sz w:val="21"/>
                      <w:szCs w:val="21"/>
                    </w:rPr>
                  </w:pPr>
                  <w:r>
                    <w:rPr>
                      <w:rFonts w:hint="eastAsia"/>
                      <w:kern w:val="0"/>
                      <w:sz w:val="21"/>
                      <w:szCs w:val="21"/>
                    </w:rPr>
                    <w:t>78</w:t>
                  </w:r>
                </w:p>
              </w:tc>
              <w:tc>
                <w:tcPr>
                  <w:tcW w:w="715" w:type="pct"/>
                  <w:vAlign w:val="center"/>
                </w:tcPr>
                <w:p w14:paraId="5ADE6294">
                  <w:pPr>
                    <w:spacing w:line="240" w:lineRule="exact"/>
                    <w:jc w:val="center"/>
                    <w:rPr>
                      <w:kern w:val="0"/>
                      <w:sz w:val="21"/>
                      <w:szCs w:val="21"/>
                    </w:rPr>
                  </w:pPr>
                  <w:r>
                    <w:rPr>
                      <w:rFonts w:hint="eastAsia"/>
                      <w:kern w:val="0"/>
                      <w:sz w:val="21"/>
                      <w:szCs w:val="21"/>
                    </w:rPr>
                    <w:t>0</w:t>
                  </w:r>
                </w:p>
              </w:tc>
            </w:tr>
            <w:tr w14:paraId="2CD7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14F2A5AB">
                  <w:pPr>
                    <w:spacing w:line="240" w:lineRule="exact"/>
                    <w:jc w:val="center"/>
                    <w:rPr>
                      <w:kern w:val="0"/>
                      <w:sz w:val="21"/>
                      <w:szCs w:val="21"/>
                    </w:rPr>
                  </w:pPr>
                </w:p>
              </w:tc>
              <w:tc>
                <w:tcPr>
                  <w:tcW w:w="1157" w:type="pct"/>
                  <w:vMerge w:val="restart"/>
                  <w:vAlign w:val="center"/>
                </w:tcPr>
                <w:p w14:paraId="35452FBC">
                  <w:pPr>
                    <w:spacing w:line="240" w:lineRule="exact"/>
                    <w:jc w:val="center"/>
                    <w:rPr>
                      <w:kern w:val="0"/>
                      <w:sz w:val="21"/>
                      <w:szCs w:val="21"/>
                    </w:rPr>
                  </w:pPr>
                  <w:r>
                    <w:rPr>
                      <w:rFonts w:hint="eastAsia"/>
                      <w:kern w:val="0"/>
                      <w:sz w:val="21"/>
                      <w:szCs w:val="21"/>
                    </w:rPr>
                    <w:t>水泵2</w:t>
                  </w:r>
                </w:p>
              </w:tc>
              <w:tc>
                <w:tcPr>
                  <w:tcW w:w="855" w:type="pct"/>
                  <w:vMerge w:val="restart"/>
                  <w:vAlign w:val="center"/>
                </w:tcPr>
                <w:p w14:paraId="65C7F38D">
                  <w:pPr>
                    <w:spacing w:line="240" w:lineRule="exact"/>
                    <w:jc w:val="center"/>
                    <w:rPr>
                      <w:kern w:val="0"/>
                      <w:sz w:val="21"/>
                      <w:szCs w:val="21"/>
                    </w:rPr>
                  </w:pPr>
                  <w:r>
                    <w:rPr>
                      <w:rFonts w:hint="eastAsia"/>
                      <w:kern w:val="0"/>
                      <w:sz w:val="21"/>
                      <w:szCs w:val="21"/>
                    </w:rPr>
                    <w:t>33</w:t>
                  </w:r>
                </w:p>
              </w:tc>
              <w:tc>
                <w:tcPr>
                  <w:tcW w:w="856" w:type="pct"/>
                  <w:vAlign w:val="center"/>
                </w:tcPr>
                <w:p w14:paraId="7A8F53D3">
                  <w:pPr>
                    <w:spacing w:line="240" w:lineRule="exact"/>
                    <w:jc w:val="center"/>
                    <w:rPr>
                      <w:kern w:val="0"/>
                      <w:sz w:val="21"/>
                      <w:szCs w:val="21"/>
                    </w:rPr>
                  </w:pPr>
                  <w:r>
                    <w:rPr>
                      <w:kern w:val="0"/>
                      <w:sz w:val="21"/>
                      <w:szCs w:val="21"/>
                    </w:rPr>
                    <w:t>东</w:t>
                  </w:r>
                </w:p>
              </w:tc>
              <w:tc>
                <w:tcPr>
                  <w:tcW w:w="1043" w:type="pct"/>
                  <w:vAlign w:val="center"/>
                </w:tcPr>
                <w:p w14:paraId="4A237B4A">
                  <w:pPr>
                    <w:spacing w:line="240" w:lineRule="exact"/>
                    <w:jc w:val="center"/>
                    <w:rPr>
                      <w:kern w:val="0"/>
                      <w:sz w:val="21"/>
                      <w:szCs w:val="21"/>
                    </w:rPr>
                  </w:pPr>
                  <w:r>
                    <w:rPr>
                      <w:rFonts w:hint="eastAsia"/>
                      <w:kern w:val="0"/>
                      <w:sz w:val="21"/>
                      <w:szCs w:val="21"/>
                    </w:rPr>
                    <w:t>16</w:t>
                  </w:r>
                </w:p>
              </w:tc>
              <w:tc>
                <w:tcPr>
                  <w:tcW w:w="715" w:type="pct"/>
                  <w:vAlign w:val="center"/>
                </w:tcPr>
                <w:p w14:paraId="11F38889">
                  <w:pPr>
                    <w:spacing w:line="240" w:lineRule="exact"/>
                    <w:jc w:val="center"/>
                    <w:rPr>
                      <w:kern w:val="0"/>
                      <w:sz w:val="21"/>
                      <w:szCs w:val="21"/>
                    </w:rPr>
                  </w:pPr>
                  <w:r>
                    <w:rPr>
                      <w:rFonts w:hint="eastAsia"/>
                      <w:kern w:val="0"/>
                      <w:sz w:val="21"/>
                      <w:szCs w:val="21"/>
                    </w:rPr>
                    <w:t>9</w:t>
                  </w:r>
                </w:p>
              </w:tc>
            </w:tr>
            <w:tr w14:paraId="65DC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043FFCE2">
                  <w:pPr>
                    <w:spacing w:line="240" w:lineRule="exact"/>
                    <w:jc w:val="center"/>
                    <w:rPr>
                      <w:kern w:val="0"/>
                      <w:sz w:val="21"/>
                      <w:szCs w:val="21"/>
                    </w:rPr>
                  </w:pPr>
                </w:p>
              </w:tc>
              <w:tc>
                <w:tcPr>
                  <w:tcW w:w="1157" w:type="pct"/>
                  <w:vMerge w:val="continue"/>
                  <w:vAlign w:val="center"/>
                </w:tcPr>
                <w:p w14:paraId="6DC5D1D0">
                  <w:pPr>
                    <w:spacing w:line="240" w:lineRule="exact"/>
                    <w:jc w:val="center"/>
                    <w:rPr>
                      <w:kern w:val="0"/>
                      <w:sz w:val="21"/>
                      <w:szCs w:val="21"/>
                    </w:rPr>
                  </w:pPr>
                </w:p>
              </w:tc>
              <w:tc>
                <w:tcPr>
                  <w:tcW w:w="855" w:type="pct"/>
                  <w:vMerge w:val="continue"/>
                  <w:vAlign w:val="center"/>
                </w:tcPr>
                <w:p w14:paraId="06507E70">
                  <w:pPr>
                    <w:spacing w:line="240" w:lineRule="exact"/>
                    <w:jc w:val="center"/>
                    <w:rPr>
                      <w:kern w:val="0"/>
                      <w:sz w:val="21"/>
                      <w:szCs w:val="21"/>
                    </w:rPr>
                  </w:pPr>
                </w:p>
              </w:tc>
              <w:tc>
                <w:tcPr>
                  <w:tcW w:w="856" w:type="pct"/>
                  <w:vAlign w:val="center"/>
                </w:tcPr>
                <w:p w14:paraId="0E87E306">
                  <w:pPr>
                    <w:spacing w:line="240" w:lineRule="exact"/>
                    <w:jc w:val="center"/>
                    <w:rPr>
                      <w:kern w:val="0"/>
                      <w:sz w:val="21"/>
                      <w:szCs w:val="21"/>
                    </w:rPr>
                  </w:pPr>
                  <w:r>
                    <w:rPr>
                      <w:rFonts w:hint="eastAsia"/>
                      <w:kern w:val="0"/>
                      <w:sz w:val="21"/>
                      <w:szCs w:val="21"/>
                    </w:rPr>
                    <w:t>西</w:t>
                  </w:r>
                </w:p>
              </w:tc>
              <w:tc>
                <w:tcPr>
                  <w:tcW w:w="1043" w:type="pct"/>
                  <w:vAlign w:val="center"/>
                </w:tcPr>
                <w:p w14:paraId="2990288E">
                  <w:pPr>
                    <w:spacing w:line="240" w:lineRule="exact"/>
                    <w:jc w:val="center"/>
                    <w:rPr>
                      <w:kern w:val="0"/>
                      <w:sz w:val="21"/>
                      <w:szCs w:val="21"/>
                    </w:rPr>
                  </w:pPr>
                  <w:r>
                    <w:rPr>
                      <w:rFonts w:hint="eastAsia"/>
                      <w:kern w:val="0"/>
                      <w:sz w:val="21"/>
                      <w:szCs w:val="21"/>
                    </w:rPr>
                    <w:t>12</w:t>
                  </w:r>
                </w:p>
              </w:tc>
              <w:tc>
                <w:tcPr>
                  <w:tcW w:w="715" w:type="pct"/>
                  <w:vAlign w:val="center"/>
                </w:tcPr>
                <w:p w14:paraId="50E4970F">
                  <w:pPr>
                    <w:spacing w:line="240" w:lineRule="exact"/>
                    <w:jc w:val="center"/>
                    <w:rPr>
                      <w:kern w:val="0"/>
                      <w:sz w:val="21"/>
                      <w:szCs w:val="21"/>
                    </w:rPr>
                  </w:pPr>
                  <w:r>
                    <w:rPr>
                      <w:rFonts w:hint="eastAsia"/>
                      <w:kern w:val="0"/>
                      <w:sz w:val="21"/>
                      <w:szCs w:val="21"/>
                    </w:rPr>
                    <w:t>11</w:t>
                  </w:r>
                </w:p>
              </w:tc>
            </w:tr>
            <w:tr w14:paraId="65F7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6D6B003D">
                  <w:pPr>
                    <w:spacing w:line="240" w:lineRule="exact"/>
                    <w:jc w:val="center"/>
                    <w:rPr>
                      <w:kern w:val="0"/>
                      <w:sz w:val="21"/>
                      <w:szCs w:val="21"/>
                    </w:rPr>
                  </w:pPr>
                </w:p>
              </w:tc>
              <w:tc>
                <w:tcPr>
                  <w:tcW w:w="1157" w:type="pct"/>
                  <w:vMerge w:val="continue"/>
                  <w:vAlign w:val="center"/>
                </w:tcPr>
                <w:p w14:paraId="613745E3">
                  <w:pPr>
                    <w:spacing w:line="240" w:lineRule="exact"/>
                    <w:jc w:val="center"/>
                    <w:rPr>
                      <w:kern w:val="0"/>
                      <w:sz w:val="21"/>
                      <w:szCs w:val="21"/>
                    </w:rPr>
                  </w:pPr>
                </w:p>
              </w:tc>
              <w:tc>
                <w:tcPr>
                  <w:tcW w:w="855" w:type="pct"/>
                  <w:vMerge w:val="continue"/>
                  <w:vAlign w:val="center"/>
                </w:tcPr>
                <w:p w14:paraId="4A0C8466">
                  <w:pPr>
                    <w:spacing w:line="240" w:lineRule="exact"/>
                    <w:jc w:val="center"/>
                    <w:rPr>
                      <w:kern w:val="0"/>
                      <w:sz w:val="21"/>
                      <w:szCs w:val="21"/>
                    </w:rPr>
                  </w:pPr>
                </w:p>
              </w:tc>
              <w:tc>
                <w:tcPr>
                  <w:tcW w:w="856" w:type="pct"/>
                  <w:vAlign w:val="center"/>
                </w:tcPr>
                <w:p w14:paraId="424D9E57">
                  <w:pPr>
                    <w:spacing w:line="240" w:lineRule="exact"/>
                    <w:jc w:val="center"/>
                    <w:rPr>
                      <w:kern w:val="0"/>
                      <w:sz w:val="21"/>
                      <w:szCs w:val="21"/>
                    </w:rPr>
                  </w:pPr>
                  <w:r>
                    <w:rPr>
                      <w:rFonts w:hint="eastAsia"/>
                      <w:kern w:val="0"/>
                      <w:sz w:val="21"/>
                      <w:szCs w:val="21"/>
                    </w:rPr>
                    <w:t>南</w:t>
                  </w:r>
                </w:p>
              </w:tc>
              <w:tc>
                <w:tcPr>
                  <w:tcW w:w="1043" w:type="pct"/>
                  <w:vAlign w:val="center"/>
                </w:tcPr>
                <w:p w14:paraId="175F0E8E">
                  <w:pPr>
                    <w:spacing w:line="240" w:lineRule="exact"/>
                    <w:jc w:val="center"/>
                    <w:rPr>
                      <w:kern w:val="0"/>
                      <w:sz w:val="21"/>
                      <w:szCs w:val="21"/>
                    </w:rPr>
                  </w:pPr>
                  <w:r>
                    <w:rPr>
                      <w:rFonts w:hint="eastAsia"/>
                      <w:kern w:val="0"/>
                      <w:sz w:val="21"/>
                      <w:szCs w:val="21"/>
                    </w:rPr>
                    <w:t>93</w:t>
                  </w:r>
                </w:p>
              </w:tc>
              <w:tc>
                <w:tcPr>
                  <w:tcW w:w="715" w:type="pct"/>
                  <w:vAlign w:val="center"/>
                </w:tcPr>
                <w:p w14:paraId="36D1C1B1">
                  <w:pPr>
                    <w:spacing w:line="240" w:lineRule="exact"/>
                    <w:jc w:val="center"/>
                    <w:rPr>
                      <w:kern w:val="0"/>
                      <w:sz w:val="21"/>
                      <w:szCs w:val="21"/>
                    </w:rPr>
                  </w:pPr>
                  <w:r>
                    <w:rPr>
                      <w:rFonts w:hint="eastAsia"/>
                      <w:kern w:val="0"/>
                      <w:sz w:val="21"/>
                      <w:szCs w:val="21"/>
                    </w:rPr>
                    <w:t>0</w:t>
                  </w:r>
                </w:p>
              </w:tc>
            </w:tr>
            <w:tr w14:paraId="4A21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2" w:type="pct"/>
                  <w:vMerge w:val="continue"/>
                  <w:vAlign w:val="center"/>
                </w:tcPr>
                <w:p w14:paraId="7248DD6C">
                  <w:pPr>
                    <w:spacing w:line="240" w:lineRule="exact"/>
                    <w:jc w:val="center"/>
                    <w:rPr>
                      <w:kern w:val="0"/>
                      <w:sz w:val="21"/>
                      <w:szCs w:val="21"/>
                    </w:rPr>
                  </w:pPr>
                </w:p>
              </w:tc>
              <w:tc>
                <w:tcPr>
                  <w:tcW w:w="1157" w:type="pct"/>
                  <w:vMerge w:val="continue"/>
                  <w:vAlign w:val="center"/>
                </w:tcPr>
                <w:p w14:paraId="13616F9B">
                  <w:pPr>
                    <w:spacing w:line="240" w:lineRule="exact"/>
                    <w:jc w:val="center"/>
                    <w:rPr>
                      <w:kern w:val="0"/>
                      <w:sz w:val="21"/>
                      <w:szCs w:val="21"/>
                    </w:rPr>
                  </w:pPr>
                </w:p>
              </w:tc>
              <w:tc>
                <w:tcPr>
                  <w:tcW w:w="855" w:type="pct"/>
                  <w:vMerge w:val="continue"/>
                  <w:vAlign w:val="center"/>
                </w:tcPr>
                <w:p w14:paraId="459BDD27">
                  <w:pPr>
                    <w:spacing w:line="240" w:lineRule="exact"/>
                    <w:jc w:val="center"/>
                    <w:rPr>
                      <w:kern w:val="0"/>
                      <w:sz w:val="21"/>
                      <w:szCs w:val="21"/>
                    </w:rPr>
                  </w:pPr>
                </w:p>
              </w:tc>
              <w:tc>
                <w:tcPr>
                  <w:tcW w:w="856" w:type="pct"/>
                  <w:vAlign w:val="center"/>
                </w:tcPr>
                <w:p w14:paraId="2CA34094">
                  <w:pPr>
                    <w:spacing w:line="240" w:lineRule="exact"/>
                    <w:jc w:val="center"/>
                    <w:rPr>
                      <w:kern w:val="0"/>
                      <w:sz w:val="21"/>
                      <w:szCs w:val="21"/>
                    </w:rPr>
                  </w:pPr>
                  <w:r>
                    <w:rPr>
                      <w:kern w:val="0"/>
                      <w:sz w:val="21"/>
                      <w:szCs w:val="21"/>
                    </w:rPr>
                    <w:t>北</w:t>
                  </w:r>
                </w:p>
              </w:tc>
              <w:tc>
                <w:tcPr>
                  <w:tcW w:w="1043" w:type="pct"/>
                  <w:vAlign w:val="center"/>
                </w:tcPr>
                <w:p w14:paraId="63C69F56">
                  <w:pPr>
                    <w:spacing w:line="240" w:lineRule="exact"/>
                    <w:jc w:val="center"/>
                    <w:rPr>
                      <w:kern w:val="0"/>
                      <w:sz w:val="21"/>
                      <w:szCs w:val="21"/>
                    </w:rPr>
                  </w:pPr>
                  <w:r>
                    <w:rPr>
                      <w:rFonts w:hint="eastAsia"/>
                      <w:kern w:val="0"/>
                      <w:sz w:val="21"/>
                      <w:szCs w:val="21"/>
                    </w:rPr>
                    <w:t>5</w:t>
                  </w:r>
                </w:p>
              </w:tc>
              <w:tc>
                <w:tcPr>
                  <w:tcW w:w="715" w:type="pct"/>
                  <w:vAlign w:val="center"/>
                </w:tcPr>
                <w:p w14:paraId="19007B0F">
                  <w:pPr>
                    <w:spacing w:line="240" w:lineRule="exact"/>
                    <w:jc w:val="center"/>
                    <w:rPr>
                      <w:kern w:val="0"/>
                      <w:sz w:val="21"/>
                      <w:szCs w:val="21"/>
                    </w:rPr>
                  </w:pPr>
                  <w:r>
                    <w:rPr>
                      <w:rFonts w:hint="eastAsia"/>
                      <w:kern w:val="0"/>
                      <w:sz w:val="21"/>
                      <w:szCs w:val="21"/>
                    </w:rPr>
                    <w:t>19</w:t>
                  </w:r>
                </w:p>
              </w:tc>
            </w:tr>
          </w:tbl>
          <w:p w14:paraId="18C6E57D">
            <w:pPr>
              <w:adjustRightInd w:val="0"/>
              <w:snapToGrid w:val="0"/>
              <w:spacing w:line="520" w:lineRule="exact"/>
              <w:ind w:firstLine="480" w:firstLineChars="200"/>
              <w:rPr>
                <w:rFonts w:eastAsia="黑体"/>
                <w:szCs w:val="21"/>
              </w:rPr>
            </w:pPr>
            <w:r>
              <w:rPr>
                <w:rFonts w:eastAsia="黑体"/>
                <w:szCs w:val="21"/>
              </w:rPr>
              <w:t>表</w:t>
            </w:r>
            <w:r>
              <w:rPr>
                <w:rFonts w:hint="eastAsia" w:eastAsia="黑体"/>
                <w:szCs w:val="21"/>
              </w:rPr>
              <w:t>4-1</w:t>
            </w:r>
            <w:r>
              <w:rPr>
                <w:rFonts w:hint="eastAsia" w:eastAsia="黑体"/>
                <w:szCs w:val="21"/>
                <w:lang w:val="en-US" w:eastAsia="zh-CN"/>
              </w:rPr>
              <w:t>5</w:t>
            </w:r>
            <w:r>
              <w:rPr>
                <w:rFonts w:eastAsia="黑体"/>
                <w:szCs w:val="21"/>
              </w:rPr>
              <w:t xml:space="preserve">    </w:t>
            </w:r>
            <w:r>
              <w:rPr>
                <w:rFonts w:hint="eastAsia" w:eastAsia="黑体"/>
                <w:szCs w:val="21"/>
              </w:rPr>
              <w:t xml:space="preserve">      </w:t>
            </w:r>
            <w:r>
              <w:rPr>
                <w:rFonts w:hint="eastAsia" w:eastAsia="黑体"/>
                <w:szCs w:val="21"/>
                <w:lang w:val="en-US" w:eastAsia="zh-CN"/>
              </w:rPr>
              <w:t xml:space="preserve">   </w:t>
            </w:r>
            <w:r>
              <w:rPr>
                <w:rFonts w:eastAsia="黑体"/>
                <w:szCs w:val="21"/>
              </w:rPr>
              <w:t xml:space="preserve"> 四周厂界噪声预测结果一览表   </w:t>
            </w:r>
            <w:r>
              <w:rPr>
                <w:rFonts w:hint="eastAsia" w:eastAsia="黑体"/>
                <w:szCs w:val="21"/>
              </w:rPr>
              <w:t xml:space="preserve"> </w:t>
            </w:r>
            <w:r>
              <w:rPr>
                <w:rFonts w:eastAsia="黑体"/>
                <w:szCs w:val="21"/>
              </w:rPr>
              <w:t xml:space="preserve">     单位：dB(A)</w:t>
            </w:r>
          </w:p>
          <w:tbl>
            <w:tblPr>
              <w:tblStyle w:val="1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895"/>
              <w:gridCol w:w="881"/>
              <w:gridCol w:w="1252"/>
              <w:gridCol w:w="2376"/>
              <w:gridCol w:w="1637"/>
              <w:gridCol w:w="650"/>
            </w:tblGrid>
            <w:tr w14:paraId="03DC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06" w:type="pct"/>
                  <w:vAlign w:val="center"/>
                </w:tcPr>
                <w:p w14:paraId="520BAC62">
                  <w:pPr>
                    <w:spacing w:line="240" w:lineRule="exact"/>
                    <w:jc w:val="center"/>
                    <w:rPr>
                      <w:b/>
                      <w:bCs/>
                      <w:kern w:val="0"/>
                      <w:sz w:val="21"/>
                      <w:szCs w:val="21"/>
                    </w:rPr>
                  </w:pPr>
                  <w:r>
                    <w:rPr>
                      <w:b/>
                      <w:bCs/>
                      <w:kern w:val="0"/>
                      <w:sz w:val="21"/>
                      <w:szCs w:val="21"/>
                    </w:rPr>
                    <w:t>厂界方位</w:t>
                  </w:r>
                  <w:r>
                    <w:rPr>
                      <w:rFonts w:hint="eastAsia"/>
                      <w:b/>
                      <w:bCs/>
                      <w:kern w:val="0"/>
                      <w:sz w:val="21"/>
                      <w:szCs w:val="21"/>
                    </w:rPr>
                    <w:t>/敏感点</w:t>
                  </w:r>
                </w:p>
              </w:tc>
              <w:tc>
                <w:tcPr>
                  <w:tcW w:w="511" w:type="pct"/>
                  <w:vAlign w:val="center"/>
                </w:tcPr>
                <w:p w14:paraId="1FC0C048">
                  <w:pPr>
                    <w:spacing w:line="240" w:lineRule="exact"/>
                    <w:jc w:val="center"/>
                    <w:rPr>
                      <w:b/>
                      <w:bCs/>
                      <w:kern w:val="0"/>
                      <w:sz w:val="21"/>
                      <w:szCs w:val="21"/>
                    </w:rPr>
                  </w:pPr>
                  <w:r>
                    <w:rPr>
                      <w:b/>
                      <w:bCs/>
                      <w:kern w:val="0"/>
                      <w:sz w:val="21"/>
                      <w:szCs w:val="21"/>
                    </w:rPr>
                    <w:t>贡献值</w:t>
                  </w:r>
                </w:p>
              </w:tc>
              <w:tc>
                <w:tcPr>
                  <w:tcW w:w="503" w:type="pct"/>
                  <w:vAlign w:val="center"/>
                </w:tcPr>
                <w:p w14:paraId="6BF1079A">
                  <w:pPr>
                    <w:spacing w:line="240" w:lineRule="exact"/>
                    <w:jc w:val="center"/>
                    <w:rPr>
                      <w:b/>
                      <w:bCs/>
                      <w:kern w:val="0"/>
                      <w:sz w:val="21"/>
                      <w:szCs w:val="21"/>
                    </w:rPr>
                  </w:pPr>
                  <w:r>
                    <w:rPr>
                      <w:rFonts w:hint="eastAsia"/>
                      <w:b/>
                      <w:bCs/>
                      <w:kern w:val="0"/>
                      <w:sz w:val="21"/>
                      <w:szCs w:val="21"/>
                    </w:rPr>
                    <w:t>背景值</w:t>
                  </w:r>
                </w:p>
              </w:tc>
              <w:tc>
                <w:tcPr>
                  <w:tcW w:w="715" w:type="pct"/>
                  <w:vAlign w:val="center"/>
                </w:tcPr>
                <w:p w14:paraId="193EE1FF">
                  <w:pPr>
                    <w:spacing w:line="240" w:lineRule="exact"/>
                    <w:jc w:val="center"/>
                    <w:rPr>
                      <w:b/>
                      <w:bCs/>
                      <w:kern w:val="0"/>
                      <w:sz w:val="21"/>
                      <w:szCs w:val="21"/>
                    </w:rPr>
                  </w:pPr>
                  <w:r>
                    <w:rPr>
                      <w:rFonts w:hint="eastAsia"/>
                      <w:b/>
                      <w:bCs/>
                      <w:kern w:val="0"/>
                      <w:sz w:val="21"/>
                      <w:szCs w:val="21"/>
                    </w:rPr>
                    <w:t>预测值</w:t>
                  </w:r>
                </w:p>
              </w:tc>
              <w:tc>
                <w:tcPr>
                  <w:tcW w:w="2292" w:type="pct"/>
                  <w:gridSpan w:val="2"/>
                  <w:vAlign w:val="center"/>
                </w:tcPr>
                <w:p w14:paraId="470B7633">
                  <w:pPr>
                    <w:spacing w:line="240" w:lineRule="exact"/>
                    <w:jc w:val="center"/>
                    <w:rPr>
                      <w:b/>
                      <w:bCs/>
                      <w:kern w:val="0"/>
                      <w:sz w:val="21"/>
                      <w:szCs w:val="21"/>
                    </w:rPr>
                  </w:pPr>
                  <w:r>
                    <w:rPr>
                      <w:b/>
                      <w:bCs/>
                      <w:kern w:val="0"/>
                      <w:sz w:val="21"/>
                      <w:szCs w:val="21"/>
                    </w:rPr>
                    <w:t>评价标准</w:t>
                  </w:r>
                </w:p>
              </w:tc>
              <w:tc>
                <w:tcPr>
                  <w:tcW w:w="371" w:type="pct"/>
                  <w:vAlign w:val="center"/>
                </w:tcPr>
                <w:p w14:paraId="4A6EA6BD">
                  <w:pPr>
                    <w:spacing w:line="240" w:lineRule="exact"/>
                    <w:jc w:val="center"/>
                    <w:rPr>
                      <w:b/>
                      <w:bCs/>
                      <w:kern w:val="0"/>
                      <w:sz w:val="21"/>
                      <w:szCs w:val="21"/>
                    </w:rPr>
                  </w:pPr>
                  <w:r>
                    <w:rPr>
                      <w:b/>
                      <w:bCs/>
                      <w:kern w:val="0"/>
                      <w:sz w:val="21"/>
                      <w:szCs w:val="21"/>
                    </w:rPr>
                    <w:t>预测达标情况</w:t>
                  </w:r>
                </w:p>
              </w:tc>
            </w:tr>
            <w:tr w14:paraId="6DFB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06" w:type="pct"/>
                  <w:vAlign w:val="center"/>
                </w:tcPr>
                <w:p w14:paraId="3054CB76">
                  <w:pPr>
                    <w:spacing w:line="240" w:lineRule="exact"/>
                    <w:jc w:val="center"/>
                    <w:rPr>
                      <w:kern w:val="0"/>
                      <w:sz w:val="21"/>
                      <w:szCs w:val="21"/>
                    </w:rPr>
                  </w:pPr>
                  <w:r>
                    <w:rPr>
                      <w:kern w:val="0"/>
                      <w:sz w:val="21"/>
                      <w:szCs w:val="21"/>
                    </w:rPr>
                    <w:t>东</w:t>
                  </w:r>
                </w:p>
              </w:tc>
              <w:tc>
                <w:tcPr>
                  <w:tcW w:w="511" w:type="pct"/>
                  <w:vAlign w:val="center"/>
                </w:tcPr>
                <w:p w14:paraId="06442B4E">
                  <w:pPr>
                    <w:spacing w:line="240" w:lineRule="exact"/>
                    <w:jc w:val="center"/>
                    <w:rPr>
                      <w:kern w:val="0"/>
                      <w:sz w:val="21"/>
                      <w:szCs w:val="21"/>
                    </w:rPr>
                  </w:pPr>
                  <w:r>
                    <w:rPr>
                      <w:rFonts w:hint="eastAsia"/>
                      <w:kern w:val="0"/>
                      <w:sz w:val="21"/>
                      <w:szCs w:val="21"/>
                    </w:rPr>
                    <w:t>36.12</w:t>
                  </w:r>
                </w:p>
              </w:tc>
              <w:tc>
                <w:tcPr>
                  <w:tcW w:w="503" w:type="pct"/>
                  <w:vAlign w:val="center"/>
                </w:tcPr>
                <w:p w14:paraId="4FBE829F">
                  <w:pPr>
                    <w:spacing w:line="240" w:lineRule="exact"/>
                    <w:jc w:val="center"/>
                    <w:rPr>
                      <w:kern w:val="0"/>
                      <w:sz w:val="21"/>
                      <w:szCs w:val="21"/>
                    </w:rPr>
                  </w:pPr>
                  <w:r>
                    <w:rPr>
                      <w:rFonts w:hint="eastAsia"/>
                      <w:kern w:val="0"/>
                      <w:sz w:val="21"/>
                      <w:szCs w:val="21"/>
                    </w:rPr>
                    <w:t>/</w:t>
                  </w:r>
                </w:p>
              </w:tc>
              <w:tc>
                <w:tcPr>
                  <w:tcW w:w="1300" w:type="dxa"/>
                  <w:vAlign w:val="center"/>
                </w:tcPr>
                <w:p w14:paraId="317561B6">
                  <w:pPr>
                    <w:spacing w:line="240" w:lineRule="exact"/>
                    <w:jc w:val="center"/>
                    <w:rPr>
                      <w:kern w:val="0"/>
                      <w:sz w:val="21"/>
                      <w:szCs w:val="21"/>
                    </w:rPr>
                  </w:pPr>
                  <w:r>
                    <w:rPr>
                      <w:rFonts w:hint="eastAsia"/>
                      <w:kern w:val="0"/>
                      <w:sz w:val="21"/>
                      <w:szCs w:val="21"/>
                    </w:rPr>
                    <w:t>36.12</w:t>
                  </w:r>
                </w:p>
              </w:tc>
              <w:tc>
                <w:tcPr>
                  <w:tcW w:w="1357" w:type="pct"/>
                  <w:vMerge w:val="restart"/>
                  <w:vAlign w:val="center"/>
                </w:tcPr>
                <w:p w14:paraId="585319AA">
                  <w:pPr>
                    <w:spacing w:line="240" w:lineRule="exact"/>
                    <w:jc w:val="center"/>
                    <w:rPr>
                      <w:kern w:val="0"/>
                      <w:sz w:val="21"/>
                      <w:szCs w:val="21"/>
                    </w:rPr>
                  </w:pPr>
                  <w:r>
                    <w:rPr>
                      <w:kern w:val="0"/>
                      <w:sz w:val="21"/>
                      <w:szCs w:val="21"/>
                    </w:rPr>
                    <w:t>《工业企业厂界环境噪声排放标准》（GB12348-2008）</w:t>
                  </w:r>
                </w:p>
              </w:tc>
              <w:tc>
                <w:tcPr>
                  <w:tcW w:w="934" w:type="pct"/>
                  <w:vMerge w:val="restart"/>
                  <w:vAlign w:val="center"/>
                </w:tcPr>
                <w:p w14:paraId="50B9CBEB">
                  <w:pPr>
                    <w:spacing w:line="240" w:lineRule="exact"/>
                    <w:jc w:val="center"/>
                    <w:rPr>
                      <w:kern w:val="0"/>
                      <w:sz w:val="21"/>
                      <w:szCs w:val="21"/>
                    </w:rPr>
                  </w:pPr>
                  <w:r>
                    <w:rPr>
                      <w:kern w:val="0"/>
                      <w:sz w:val="21"/>
                      <w:szCs w:val="21"/>
                    </w:rPr>
                    <w:t>2类标准：昼间60dB(A)</w:t>
                  </w:r>
                </w:p>
              </w:tc>
              <w:tc>
                <w:tcPr>
                  <w:tcW w:w="371" w:type="pct"/>
                  <w:vAlign w:val="center"/>
                </w:tcPr>
                <w:p w14:paraId="1F728E99">
                  <w:pPr>
                    <w:spacing w:line="240" w:lineRule="exact"/>
                    <w:jc w:val="center"/>
                    <w:rPr>
                      <w:kern w:val="0"/>
                      <w:sz w:val="21"/>
                      <w:szCs w:val="21"/>
                    </w:rPr>
                  </w:pPr>
                  <w:r>
                    <w:rPr>
                      <w:kern w:val="0"/>
                      <w:sz w:val="21"/>
                      <w:szCs w:val="21"/>
                    </w:rPr>
                    <w:t>达标</w:t>
                  </w:r>
                </w:p>
              </w:tc>
            </w:tr>
            <w:tr w14:paraId="4500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606" w:type="pct"/>
                  <w:vAlign w:val="center"/>
                </w:tcPr>
                <w:p w14:paraId="480C25D1">
                  <w:pPr>
                    <w:spacing w:line="240" w:lineRule="exact"/>
                    <w:jc w:val="center"/>
                    <w:rPr>
                      <w:kern w:val="0"/>
                      <w:sz w:val="21"/>
                      <w:szCs w:val="21"/>
                    </w:rPr>
                  </w:pPr>
                  <w:r>
                    <w:rPr>
                      <w:rFonts w:hint="eastAsia"/>
                      <w:kern w:val="0"/>
                      <w:sz w:val="21"/>
                      <w:szCs w:val="21"/>
                    </w:rPr>
                    <w:t>西</w:t>
                  </w:r>
                </w:p>
              </w:tc>
              <w:tc>
                <w:tcPr>
                  <w:tcW w:w="511" w:type="pct"/>
                  <w:vAlign w:val="center"/>
                </w:tcPr>
                <w:p w14:paraId="4580BE41">
                  <w:pPr>
                    <w:spacing w:line="240" w:lineRule="exact"/>
                    <w:jc w:val="center"/>
                    <w:rPr>
                      <w:kern w:val="0"/>
                      <w:sz w:val="21"/>
                      <w:szCs w:val="21"/>
                    </w:rPr>
                  </w:pPr>
                  <w:r>
                    <w:rPr>
                      <w:rFonts w:hint="eastAsia"/>
                      <w:kern w:val="0"/>
                      <w:sz w:val="21"/>
                      <w:szCs w:val="21"/>
                    </w:rPr>
                    <w:t>31.3</w:t>
                  </w:r>
                </w:p>
              </w:tc>
              <w:tc>
                <w:tcPr>
                  <w:tcW w:w="503" w:type="pct"/>
                  <w:vAlign w:val="center"/>
                </w:tcPr>
                <w:p w14:paraId="2D1B3D47">
                  <w:pPr>
                    <w:spacing w:line="240" w:lineRule="exact"/>
                    <w:jc w:val="center"/>
                    <w:rPr>
                      <w:kern w:val="0"/>
                      <w:sz w:val="21"/>
                      <w:szCs w:val="21"/>
                    </w:rPr>
                  </w:pPr>
                  <w:r>
                    <w:rPr>
                      <w:rFonts w:hint="eastAsia"/>
                      <w:kern w:val="0"/>
                      <w:sz w:val="21"/>
                      <w:szCs w:val="21"/>
                    </w:rPr>
                    <w:t>/</w:t>
                  </w:r>
                </w:p>
              </w:tc>
              <w:tc>
                <w:tcPr>
                  <w:tcW w:w="1300" w:type="dxa"/>
                  <w:vAlign w:val="center"/>
                </w:tcPr>
                <w:p w14:paraId="24C3D342">
                  <w:pPr>
                    <w:spacing w:line="240" w:lineRule="exact"/>
                    <w:jc w:val="center"/>
                    <w:rPr>
                      <w:kern w:val="0"/>
                      <w:sz w:val="21"/>
                      <w:szCs w:val="21"/>
                    </w:rPr>
                  </w:pPr>
                  <w:r>
                    <w:rPr>
                      <w:rFonts w:hint="eastAsia"/>
                      <w:kern w:val="0"/>
                      <w:sz w:val="21"/>
                      <w:szCs w:val="21"/>
                    </w:rPr>
                    <w:t>31.3</w:t>
                  </w:r>
                </w:p>
              </w:tc>
              <w:tc>
                <w:tcPr>
                  <w:tcW w:w="1357" w:type="pct"/>
                  <w:vMerge w:val="continue"/>
                  <w:vAlign w:val="center"/>
                </w:tcPr>
                <w:p w14:paraId="56CBEE5A">
                  <w:pPr>
                    <w:spacing w:line="240" w:lineRule="exact"/>
                    <w:jc w:val="center"/>
                    <w:rPr>
                      <w:kern w:val="0"/>
                      <w:sz w:val="21"/>
                      <w:szCs w:val="21"/>
                    </w:rPr>
                  </w:pPr>
                </w:p>
              </w:tc>
              <w:tc>
                <w:tcPr>
                  <w:tcW w:w="934" w:type="pct"/>
                  <w:vMerge w:val="continue"/>
                  <w:vAlign w:val="center"/>
                </w:tcPr>
                <w:p w14:paraId="25B52B83">
                  <w:pPr>
                    <w:spacing w:line="240" w:lineRule="exact"/>
                    <w:jc w:val="center"/>
                    <w:rPr>
                      <w:kern w:val="0"/>
                      <w:sz w:val="21"/>
                      <w:szCs w:val="21"/>
                    </w:rPr>
                  </w:pPr>
                </w:p>
              </w:tc>
              <w:tc>
                <w:tcPr>
                  <w:tcW w:w="371" w:type="pct"/>
                  <w:vAlign w:val="center"/>
                </w:tcPr>
                <w:p w14:paraId="477DBCA7">
                  <w:pPr>
                    <w:spacing w:line="240" w:lineRule="exact"/>
                    <w:jc w:val="center"/>
                    <w:rPr>
                      <w:kern w:val="0"/>
                      <w:sz w:val="21"/>
                      <w:szCs w:val="21"/>
                    </w:rPr>
                  </w:pPr>
                  <w:r>
                    <w:rPr>
                      <w:kern w:val="0"/>
                      <w:sz w:val="21"/>
                      <w:szCs w:val="21"/>
                    </w:rPr>
                    <w:t>达标</w:t>
                  </w:r>
                </w:p>
              </w:tc>
            </w:tr>
            <w:tr w14:paraId="1F33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06" w:type="pct"/>
                  <w:vAlign w:val="center"/>
                </w:tcPr>
                <w:p w14:paraId="01B86A14">
                  <w:pPr>
                    <w:spacing w:line="240" w:lineRule="exact"/>
                    <w:jc w:val="center"/>
                    <w:rPr>
                      <w:kern w:val="0"/>
                      <w:sz w:val="21"/>
                      <w:szCs w:val="21"/>
                    </w:rPr>
                  </w:pPr>
                  <w:r>
                    <w:rPr>
                      <w:rFonts w:hint="eastAsia"/>
                      <w:kern w:val="0"/>
                      <w:sz w:val="21"/>
                      <w:szCs w:val="21"/>
                    </w:rPr>
                    <w:t>南</w:t>
                  </w:r>
                </w:p>
              </w:tc>
              <w:tc>
                <w:tcPr>
                  <w:tcW w:w="511" w:type="pct"/>
                  <w:vAlign w:val="center"/>
                </w:tcPr>
                <w:p w14:paraId="2B5FCE1C">
                  <w:pPr>
                    <w:spacing w:line="240" w:lineRule="exact"/>
                    <w:jc w:val="center"/>
                    <w:rPr>
                      <w:kern w:val="0"/>
                      <w:sz w:val="21"/>
                      <w:szCs w:val="21"/>
                    </w:rPr>
                  </w:pPr>
                  <w:r>
                    <w:rPr>
                      <w:rFonts w:hint="eastAsia"/>
                      <w:kern w:val="0"/>
                      <w:sz w:val="21"/>
                      <w:szCs w:val="21"/>
                    </w:rPr>
                    <w:t>11.08</w:t>
                  </w:r>
                </w:p>
              </w:tc>
              <w:tc>
                <w:tcPr>
                  <w:tcW w:w="503" w:type="pct"/>
                  <w:vAlign w:val="center"/>
                </w:tcPr>
                <w:p w14:paraId="6A78DFA1">
                  <w:pPr>
                    <w:spacing w:line="240" w:lineRule="exact"/>
                    <w:jc w:val="center"/>
                    <w:rPr>
                      <w:kern w:val="0"/>
                      <w:sz w:val="21"/>
                      <w:szCs w:val="21"/>
                    </w:rPr>
                  </w:pPr>
                  <w:r>
                    <w:rPr>
                      <w:rFonts w:hint="eastAsia"/>
                      <w:kern w:val="0"/>
                      <w:sz w:val="21"/>
                      <w:szCs w:val="21"/>
                    </w:rPr>
                    <w:t>/</w:t>
                  </w:r>
                </w:p>
              </w:tc>
              <w:tc>
                <w:tcPr>
                  <w:tcW w:w="1300" w:type="dxa"/>
                  <w:vAlign w:val="center"/>
                </w:tcPr>
                <w:p w14:paraId="22C3004D">
                  <w:pPr>
                    <w:spacing w:line="240" w:lineRule="exact"/>
                    <w:jc w:val="center"/>
                    <w:rPr>
                      <w:kern w:val="0"/>
                      <w:sz w:val="21"/>
                      <w:szCs w:val="21"/>
                    </w:rPr>
                  </w:pPr>
                  <w:r>
                    <w:rPr>
                      <w:rFonts w:hint="eastAsia"/>
                      <w:kern w:val="0"/>
                      <w:sz w:val="21"/>
                      <w:szCs w:val="21"/>
                    </w:rPr>
                    <w:t>11.08</w:t>
                  </w:r>
                </w:p>
              </w:tc>
              <w:tc>
                <w:tcPr>
                  <w:tcW w:w="1357" w:type="pct"/>
                  <w:vMerge w:val="continue"/>
                  <w:vAlign w:val="center"/>
                </w:tcPr>
                <w:p w14:paraId="6CCDA441">
                  <w:pPr>
                    <w:spacing w:line="240" w:lineRule="exact"/>
                    <w:jc w:val="center"/>
                    <w:rPr>
                      <w:kern w:val="0"/>
                      <w:sz w:val="21"/>
                      <w:szCs w:val="21"/>
                    </w:rPr>
                  </w:pPr>
                </w:p>
              </w:tc>
              <w:tc>
                <w:tcPr>
                  <w:tcW w:w="934" w:type="pct"/>
                  <w:vMerge w:val="continue"/>
                  <w:vAlign w:val="center"/>
                </w:tcPr>
                <w:p w14:paraId="77423883">
                  <w:pPr>
                    <w:spacing w:line="240" w:lineRule="exact"/>
                    <w:jc w:val="center"/>
                    <w:rPr>
                      <w:kern w:val="0"/>
                      <w:sz w:val="21"/>
                      <w:szCs w:val="21"/>
                    </w:rPr>
                  </w:pPr>
                </w:p>
              </w:tc>
              <w:tc>
                <w:tcPr>
                  <w:tcW w:w="371" w:type="pct"/>
                  <w:vAlign w:val="center"/>
                </w:tcPr>
                <w:p w14:paraId="6A51C610">
                  <w:pPr>
                    <w:spacing w:line="240" w:lineRule="exact"/>
                    <w:jc w:val="center"/>
                    <w:rPr>
                      <w:kern w:val="0"/>
                      <w:sz w:val="21"/>
                      <w:szCs w:val="21"/>
                    </w:rPr>
                  </w:pPr>
                  <w:r>
                    <w:rPr>
                      <w:kern w:val="0"/>
                      <w:sz w:val="21"/>
                      <w:szCs w:val="21"/>
                    </w:rPr>
                    <w:t>达标</w:t>
                  </w:r>
                </w:p>
              </w:tc>
            </w:tr>
            <w:tr w14:paraId="6322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06" w:type="pct"/>
                  <w:vAlign w:val="center"/>
                </w:tcPr>
                <w:p w14:paraId="52110F3E">
                  <w:pPr>
                    <w:spacing w:line="240" w:lineRule="exact"/>
                    <w:jc w:val="center"/>
                    <w:rPr>
                      <w:kern w:val="0"/>
                      <w:sz w:val="21"/>
                      <w:szCs w:val="21"/>
                    </w:rPr>
                  </w:pPr>
                  <w:r>
                    <w:rPr>
                      <w:kern w:val="0"/>
                      <w:sz w:val="21"/>
                      <w:szCs w:val="21"/>
                    </w:rPr>
                    <w:t>北</w:t>
                  </w:r>
                </w:p>
              </w:tc>
              <w:tc>
                <w:tcPr>
                  <w:tcW w:w="511" w:type="pct"/>
                  <w:vAlign w:val="center"/>
                </w:tcPr>
                <w:p w14:paraId="5DC2C123">
                  <w:pPr>
                    <w:spacing w:line="240" w:lineRule="exact"/>
                    <w:jc w:val="center"/>
                    <w:rPr>
                      <w:kern w:val="0"/>
                      <w:sz w:val="21"/>
                      <w:szCs w:val="21"/>
                    </w:rPr>
                  </w:pPr>
                  <w:r>
                    <w:rPr>
                      <w:rFonts w:hint="eastAsia"/>
                      <w:kern w:val="0"/>
                      <w:sz w:val="21"/>
                      <w:szCs w:val="21"/>
                    </w:rPr>
                    <w:t>31.63</w:t>
                  </w:r>
                </w:p>
              </w:tc>
              <w:tc>
                <w:tcPr>
                  <w:tcW w:w="503" w:type="pct"/>
                  <w:vAlign w:val="center"/>
                </w:tcPr>
                <w:p w14:paraId="2B4E3CCC">
                  <w:pPr>
                    <w:spacing w:line="240" w:lineRule="exact"/>
                    <w:jc w:val="center"/>
                    <w:rPr>
                      <w:kern w:val="0"/>
                      <w:sz w:val="21"/>
                      <w:szCs w:val="21"/>
                    </w:rPr>
                  </w:pPr>
                  <w:r>
                    <w:rPr>
                      <w:rFonts w:hint="eastAsia"/>
                      <w:kern w:val="0"/>
                      <w:sz w:val="21"/>
                      <w:szCs w:val="21"/>
                    </w:rPr>
                    <w:t>/</w:t>
                  </w:r>
                </w:p>
              </w:tc>
              <w:tc>
                <w:tcPr>
                  <w:tcW w:w="1300" w:type="dxa"/>
                  <w:vAlign w:val="center"/>
                </w:tcPr>
                <w:p w14:paraId="7EC7DF2B">
                  <w:pPr>
                    <w:spacing w:line="240" w:lineRule="exact"/>
                    <w:jc w:val="center"/>
                    <w:rPr>
                      <w:kern w:val="0"/>
                      <w:sz w:val="21"/>
                      <w:szCs w:val="21"/>
                    </w:rPr>
                  </w:pPr>
                  <w:r>
                    <w:rPr>
                      <w:rFonts w:hint="eastAsia"/>
                      <w:kern w:val="0"/>
                      <w:sz w:val="21"/>
                      <w:szCs w:val="21"/>
                    </w:rPr>
                    <w:t>31.63</w:t>
                  </w:r>
                </w:p>
              </w:tc>
              <w:tc>
                <w:tcPr>
                  <w:tcW w:w="1357" w:type="pct"/>
                  <w:vMerge w:val="continue"/>
                  <w:vAlign w:val="center"/>
                </w:tcPr>
                <w:p w14:paraId="2520D82F">
                  <w:pPr>
                    <w:spacing w:line="240" w:lineRule="exact"/>
                    <w:jc w:val="center"/>
                    <w:rPr>
                      <w:kern w:val="0"/>
                      <w:sz w:val="21"/>
                      <w:szCs w:val="21"/>
                    </w:rPr>
                  </w:pPr>
                </w:p>
              </w:tc>
              <w:tc>
                <w:tcPr>
                  <w:tcW w:w="934" w:type="pct"/>
                  <w:vMerge w:val="continue"/>
                  <w:vAlign w:val="center"/>
                </w:tcPr>
                <w:p w14:paraId="62453511">
                  <w:pPr>
                    <w:spacing w:line="240" w:lineRule="exact"/>
                    <w:jc w:val="center"/>
                    <w:rPr>
                      <w:kern w:val="0"/>
                      <w:sz w:val="21"/>
                      <w:szCs w:val="21"/>
                    </w:rPr>
                  </w:pPr>
                </w:p>
              </w:tc>
              <w:tc>
                <w:tcPr>
                  <w:tcW w:w="371" w:type="pct"/>
                  <w:vAlign w:val="center"/>
                </w:tcPr>
                <w:p w14:paraId="1A67813C">
                  <w:pPr>
                    <w:spacing w:line="240" w:lineRule="exact"/>
                    <w:jc w:val="center"/>
                    <w:rPr>
                      <w:kern w:val="0"/>
                      <w:sz w:val="21"/>
                      <w:szCs w:val="21"/>
                    </w:rPr>
                  </w:pPr>
                  <w:r>
                    <w:rPr>
                      <w:kern w:val="0"/>
                      <w:sz w:val="21"/>
                      <w:szCs w:val="21"/>
                    </w:rPr>
                    <w:t>达标</w:t>
                  </w:r>
                </w:p>
              </w:tc>
            </w:tr>
            <w:tr w14:paraId="415A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6" w:type="pct"/>
                  <w:vAlign w:val="center"/>
                </w:tcPr>
                <w:p w14:paraId="7079401D">
                  <w:pPr>
                    <w:spacing w:line="240" w:lineRule="exact"/>
                    <w:jc w:val="center"/>
                    <w:rPr>
                      <w:kern w:val="0"/>
                      <w:sz w:val="21"/>
                      <w:szCs w:val="21"/>
                    </w:rPr>
                  </w:pPr>
                  <w:r>
                    <w:rPr>
                      <w:rFonts w:hint="eastAsia"/>
                      <w:kern w:val="0"/>
                      <w:sz w:val="21"/>
                      <w:szCs w:val="21"/>
                    </w:rPr>
                    <w:t>夹堤村</w:t>
                  </w:r>
                </w:p>
              </w:tc>
              <w:tc>
                <w:tcPr>
                  <w:tcW w:w="511" w:type="pct"/>
                  <w:vAlign w:val="center"/>
                </w:tcPr>
                <w:p w14:paraId="2F3563F2">
                  <w:pPr>
                    <w:spacing w:line="240" w:lineRule="exact"/>
                    <w:jc w:val="center"/>
                    <w:rPr>
                      <w:kern w:val="0"/>
                      <w:sz w:val="21"/>
                      <w:szCs w:val="21"/>
                    </w:rPr>
                  </w:pPr>
                  <w:r>
                    <w:rPr>
                      <w:rFonts w:hint="eastAsia"/>
                      <w:kern w:val="0"/>
                      <w:sz w:val="21"/>
                      <w:szCs w:val="21"/>
                    </w:rPr>
                    <w:t>12.6</w:t>
                  </w:r>
                </w:p>
              </w:tc>
              <w:tc>
                <w:tcPr>
                  <w:tcW w:w="503" w:type="pct"/>
                  <w:vAlign w:val="center"/>
                </w:tcPr>
                <w:p w14:paraId="4D70D48A">
                  <w:pPr>
                    <w:spacing w:line="240" w:lineRule="exact"/>
                    <w:jc w:val="center"/>
                    <w:rPr>
                      <w:kern w:val="0"/>
                      <w:sz w:val="21"/>
                      <w:szCs w:val="21"/>
                    </w:rPr>
                  </w:pPr>
                  <w:r>
                    <w:rPr>
                      <w:rFonts w:hint="eastAsia"/>
                      <w:kern w:val="0"/>
                      <w:sz w:val="21"/>
                      <w:szCs w:val="21"/>
                    </w:rPr>
                    <w:t>52</w:t>
                  </w:r>
                </w:p>
              </w:tc>
              <w:tc>
                <w:tcPr>
                  <w:tcW w:w="715" w:type="pct"/>
                  <w:vAlign w:val="center"/>
                </w:tcPr>
                <w:p w14:paraId="544ECB82">
                  <w:pPr>
                    <w:spacing w:line="240" w:lineRule="exact"/>
                    <w:jc w:val="center"/>
                    <w:rPr>
                      <w:kern w:val="0"/>
                      <w:sz w:val="21"/>
                      <w:szCs w:val="21"/>
                    </w:rPr>
                  </w:pPr>
                  <w:r>
                    <w:rPr>
                      <w:rFonts w:hint="eastAsia"/>
                      <w:kern w:val="0"/>
                      <w:sz w:val="21"/>
                      <w:szCs w:val="21"/>
                    </w:rPr>
                    <w:t>52</w:t>
                  </w:r>
                </w:p>
              </w:tc>
              <w:tc>
                <w:tcPr>
                  <w:tcW w:w="1357" w:type="pct"/>
                  <w:vAlign w:val="center"/>
                </w:tcPr>
                <w:p w14:paraId="7CB3D9D5">
                  <w:pPr>
                    <w:spacing w:line="240" w:lineRule="exact"/>
                    <w:jc w:val="center"/>
                    <w:rPr>
                      <w:kern w:val="0"/>
                      <w:sz w:val="21"/>
                      <w:szCs w:val="21"/>
                    </w:rPr>
                  </w:pPr>
                  <w:r>
                    <w:rPr>
                      <w:kern w:val="0"/>
                      <w:sz w:val="21"/>
                      <w:szCs w:val="21"/>
                    </w:rPr>
                    <w:t>《声环境质量标准》（GB3096-2008）</w:t>
                  </w:r>
                </w:p>
              </w:tc>
              <w:tc>
                <w:tcPr>
                  <w:tcW w:w="934" w:type="pct"/>
                  <w:vAlign w:val="center"/>
                </w:tcPr>
                <w:p w14:paraId="71457959">
                  <w:pPr>
                    <w:spacing w:line="240" w:lineRule="exact"/>
                    <w:jc w:val="center"/>
                    <w:rPr>
                      <w:kern w:val="0"/>
                      <w:sz w:val="21"/>
                      <w:szCs w:val="21"/>
                    </w:rPr>
                  </w:pPr>
                  <w:r>
                    <w:rPr>
                      <w:kern w:val="0"/>
                      <w:sz w:val="21"/>
                      <w:szCs w:val="21"/>
                    </w:rPr>
                    <w:t>2类标准</w:t>
                  </w:r>
                  <w:r>
                    <w:rPr>
                      <w:rFonts w:hint="eastAsia"/>
                      <w:kern w:val="0"/>
                      <w:sz w:val="21"/>
                      <w:szCs w:val="21"/>
                    </w:rPr>
                    <w:t>：</w:t>
                  </w:r>
                  <w:r>
                    <w:rPr>
                      <w:kern w:val="0"/>
                      <w:sz w:val="21"/>
                      <w:szCs w:val="21"/>
                    </w:rPr>
                    <w:t>昼间60dB(A)</w:t>
                  </w:r>
                </w:p>
              </w:tc>
              <w:tc>
                <w:tcPr>
                  <w:tcW w:w="371" w:type="pct"/>
                  <w:vAlign w:val="center"/>
                </w:tcPr>
                <w:p w14:paraId="2F43BD83">
                  <w:pPr>
                    <w:spacing w:line="240" w:lineRule="exact"/>
                    <w:jc w:val="center"/>
                    <w:rPr>
                      <w:kern w:val="0"/>
                      <w:sz w:val="21"/>
                      <w:szCs w:val="21"/>
                    </w:rPr>
                  </w:pPr>
                  <w:r>
                    <w:rPr>
                      <w:rFonts w:hint="eastAsia"/>
                      <w:kern w:val="0"/>
                      <w:sz w:val="21"/>
                      <w:szCs w:val="21"/>
                    </w:rPr>
                    <w:t>达标</w:t>
                  </w:r>
                </w:p>
              </w:tc>
            </w:tr>
          </w:tbl>
          <w:p w14:paraId="5D17EA7E">
            <w:pPr>
              <w:adjustRightInd w:val="0"/>
              <w:snapToGrid w:val="0"/>
              <w:spacing w:line="520" w:lineRule="exact"/>
              <w:ind w:firstLine="480" w:firstLineChars="200"/>
            </w:pPr>
            <w:r>
              <w:rPr>
                <w:bCs/>
              </w:rPr>
              <w:t>由预测结果可知，</w:t>
            </w:r>
            <w:r>
              <w:t>项目生产期间高噪声设备经减振、隔音和距离衰减后，各厂界</w:t>
            </w:r>
            <w:r>
              <w:rPr>
                <w:rFonts w:hint="eastAsia"/>
              </w:rPr>
              <w:t>预测</w:t>
            </w:r>
            <w:r>
              <w:t>值能够满足《工业企业厂界环境噪声排放标准》（GB12348-2008）2类昼间60dB（A）的标准要求。声环境敏感目标夹堤村</w:t>
            </w:r>
            <w:r>
              <w:rPr>
                <w:rFonts w:hint="eastAsia"/>
              </w:rPr>
              <w:t>贡献值</w:t>
            </w:r>
            <w:r>
              <w:t>叠加现状值后昼间</w:t>
            </w:r>
            <w:r>
              <w:rPr>
                <w:rFonts w:hint="eastAsia"/>
              </w:rPr>
              <w:t>52</w:t>
            </w:r>
            <w:r>
              <w:t>dB（A）</w:t>
            </w:r>
            <w:r>
              <w:rPr>
                <w:rFonts w:hint="eastAsia"/>
              </w:rPr>
              <w:t>，</w:t>
            </w:r>
            <w:r>
              <w:t>满足</w:t>
            </w:r>
            <w:r>
              <w:rPr>
                <w:kern w:val="0"/>
              </w:rPr>
              <w:t>《声环境质量标准》（GB3096-2008）2类标准：昼间60dB(A)限值要求，</w:t>
            </w:r>
            <w:r>
              <w:t>对四周</w:t>
            </w:r>
            <w:r>
              <w:rPr>
                <w:rFonts w:hint="eastAsia"/>
              </w:rPr>
              <w:t>声</w:t>
            </w:r>
            <w:r>
              <w:t>环境影响较小。</w:t>
            </w:r>
          </w:p>
          <w:p w14:paraId="1F1D0803">
            <w:pPr>
              <w:pStyle w:val="35"/>
              <w:spacing w:line="520" w:lineRule="exact"/>
              <w:ind w:firstLine="482" w:firstLineChars="200"/>
              <w:rPr>
                <w:b/>
                <w:bCs/>
                <w:sz w:val="24"/>
              </w:rPr>
            </w:pPr>
            <w:r>
              <w:rPr>
                <w:rFonts w:hint="eastAsia"/>
                <w:b/>
                <w:bCs/>
                <w:sz w:val="24"/>
              </w:rPr>
              <w:t>3</w:t>
            </w:r>
            <w:r>
              <w:rPr>
                <w:b/>
                <w:bCs/>
                <w:sz w:val="24"/>
              </w:rPr>
              <w:t>、监测要求</w:t>
            </w:r>
          </w:p>
          <w:p w14:paraId="2ABE3DF6">
            <w:pPr>
              <w:pStyle w:val="35"/>
              <w:spacing w:line="520" w:lineRule="exact"/>
              <w:rPr>
                <w:rFonts w:eastAsia="黑体"/>
                <w:szCs w:val="21"/>
              </w:rPr>
            </w:pPr>
            <w:r>
              <w:rPr>
                <w:sz w:val="24"/>
              </w:rPr>
              <w:t>根据</w:t>
            </w:r>
            <w:r>
              <w:rPr>
                <w:rFonts w:hint="eastAsia"/>
                <w:sz w:val="24"/>
              </w:rPr>
              <w:t>《排污许可证申请与核发技术规范 工业噪声》（HJ 1301—2023）</w:t>
            </w:r>
            <w:r>
              <w:rPr>
                <w:sz w:val="24"/>
              </w:rPr>
              <w:t>的规定，评价提出项目在生产运行阶段的污染源监测计划，具体监测计划见下表。</w:t>
            </w:r>
          </w:p>
          <w:p w14:paraId="415B5114">
            <w:pPr>
              <w:adjustRightInd w:val="0"/>
              <w:snapToGrid w:val="0"/>
              <w:spacing w:line="520" w:lineRule="exact"/>
              <w:ind w:firstLine="480" w:firstLineChars="200"/>
              <w:rPr>
                <w:rFonts w:eastAsia="黑体"/>
                <w:szCs w:val="21"/>
              </w:rPr>
            </w:pPr>
            <w:r>
              <w:rPr>
                <w:rFonts w:eastAsia="黑体"/>
                <w:szCs w:val="21"/>
              </w:rPr>
              <w:t>表</w:t>
            </w:r>
            <w:r>
              <w:rPr>
                <w:rFonts w:hint="eastAsia" w:eastAsia="黑体"/>
                <w:szCs w:val="21"/>
              </w:rPr>
              <w:t>4-1</w:t>
            </w:r>
            <w:r>
              <w:rPr>
                <w:rFonts w:hint="eastAsia" w:eastAsia="黑体"/>
                <w:szCs w:val="21"/>
                <w:lang w:val="en-US" w:eastAsia="zh-CN"/>
              </w:rPr>
              <w:t>6</w:t>
            </w:r>
            <w:r>
              <w:rPr>
                <w:rFonts w:eastAsia="黑体"/>
                <w:szCs w:val="21"/>
              </w:rPr>
              <w:t xml:space="preserve">              </w:t>
            </w:r>
            <w:r>
              <w:rPr>
                <w:rFonts w:hint="eastAsia" w:eastAsia="黑体"/>
                <w:szCs w:val="21"/>
              </w:rPr>
              <w:t xml:space="preserve"> </w:t>
            </w:r>
            <w:r>
              <w:rPr>
                <w:rFonts w:eastAsia="黑体"/>
                <w:szCs w:val="21"/>
              </w:rPr>
              <w:t xml:space="preserve"> </w:t>
            </w:r>
            <w:r>
              <w:rPr>
                <w:rFonts w:hint="eastAsia" w:eastAsia="黑体"/>
                <w:szCs w:val="21"/>
              </w:rPr>
              <w:t>噪声</w:t>
            </w:r>
            <w:r>
              <w:rPr>
                <w:rFonts w:eastAsia="黑体"/>
                <w:szCs w:val="21"/>
              </w:rPr>
              <w:t>污染源自行监测计划表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812"/>
              <w:gridCol w:w="1752"/>
              <w:gridCol w:w="1151"/>
              <w:gridCol w:w="3256"/>
            </w:tblGrid>
            <w:tr w14:paraId="2452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89" w:type="dxa"/>
                  <w:vAlign w:val="center"/>
                </w:tcPr>
                <w:p w14:paraId="5E2E3BC2">
                  <w:pPr>
                    <w:autoSpaceDE w:val="0"/>
                    <w:autoSpaceDN w:val="0"/>
                    <w:adjustRightInd w:val="0"/>
                    <w:snapToGrid w:val="0"/>
                    <w:jc w:val="center"/>
                    <w:rPr>
                      <w:b/>
                      <w:bCs/>
                      <w:sz w:val="21"/>
                      <w:szCs w:val="21"/>
                    </w:rPr>
                  </w:pPr>
                  <w:r>
                    <w:rPr>
                      <w:b/>
                      <w:bCs/>
                      <w:sz w:val="21"/>
                      <w:szCs w:val="21"/>
                    </w:rPr>
                    <w:t>监控类别</w:t>
                  </w:r>
                </w:p>
              </w:tc>
              <w:tc>
                <w:tcPr>
                  <w:tcW w:w="1819" w:type="dxa"/>
                  <w:vAlign w:val="center"/>
                </w:tcPr>
                <w:p w14:paraId="654DB7C0">
                  <w:pPr>
                    <w:autoSpaceDE w:val="0"/>
                    <w:autoSpaceDN w:val="0"/>
                    <w:adjustRightInd w:val="0"/>
                    <w:snapToGrid w:val="0"/>
                    <w:jc w:val="center"/>
                    <w:rPr>
                      <w:b/>
                      <w:bCs/>
                      <w:sz w:val="21"/>
                      <w:szCs w:val="21"/>
                    </w:rPr>
                  </w:pPr>
                  <w:r>
                    <w:rPr>
                      <w:b/>
                      <w:bCs/>
                      <w:sz w:val="21"/>
                      <w:szCs w:val="21"/>
                    </w:rPr>
                    <w:t>监测指标</w:t>
                  </w:r>
                </w:p>
              </w:tc>
              <w:tc>
                <w:tcPr>
                  <w:tcW w:w="1759" w:type="dxa"/>
                  <w:vAlign w:val="center"/>
                </w:tcPr>
                <w:p w14:paraId="0DCE8370">
                  <w:pPr>
                    <w:autoSpaceDE w:val="0"/>
                    <w:autoSpaceDN w:val="0"/>
                    <w:adjustRightInd w:val="0"/>
                    <w:snapToGrid w:val="0"/>
                    <w:jc w:val="center"/>
                    <w:rPr>
                      <w:b/>
                      <w:bCs/>
                      <w:sz w:val="21"/>
                      <w:szCs w:val="21"/>
                    </w:rPr>
                  </w:pPr>
                  <w:r>
                    <w:rPr>
                      <w:b/>
                      <w:bCs/>
                      <w:sz w:val="21"/>
                      <w:szCs w:val="21"/>
                    </w:rPr>
                    <w:t>监测点位</w:t>
                  </w:r>
                </w:p>
              </w:tc>
              <w:tc>
                <w:tcPr>
                  <w:tcW w:w="1155" w:type="dxa"/>
                  <w:vAlign w:val="center"/>
                </w:tcPr>
                <w:p w14:paraId="49F388FB">
                  <w:pPr>
                    <w:autoSpaceDE w:val="0"/>
                    <w:autoSpaceDN w:val="0"/>
                    <w:adjustRightInd w:val="0"/>
                    <w:snapToGrid w:val="0"/>
                    <w:jc w:val="center"/>
                    <w:rPr>
                      <w:b/>
                      <w:bCs/>
                      <w:sz w:val="21"/>
                      <w:szCs w:val="21"/>
                    </w:rPr>
                  </w:pPr>
                  <w:r>
                    <w:rPr>
                      <w:b/>
                      <w:bCs/>
                      <w:sz w:val="21"/>
                      <w:szCs w:val="21"/>
                    </w:rPr>
                    <w:t>监测频次</w:t>
                  </w:r>
                </w:p>
              </w:tc>
              <w:tc>
                <w:tcPr>
                  <w:tcW w:w="3270" w:type="dxa"/>
                  <w:vAlign w:val="center"/>
                </w:tcPr>
                <w:p w14:paraId="15EC97C8">
                  <w:pPr>
                    <w:autoSpaceDE w:val="0"/>
                    <w:autoSpaceDN w:val="0"/>
                    <w:adjustRightInd w:val="0"/>
                    <w:snapToGrid w:val="0"/>
                    <w:jc w:val="center"/>
                    <w:rPr>
                      <w:b/>
                      <w:bCs/>
                      <w:sz w:val="21"/>
                      <w:szCs w:val="21"/>
                    </w:rPr>
                  </w:pPr>
                  <w:r>
                    <w:rPr>
                      <w:b/>
                      <w:bCs/>
                      <w:sz w:val="21"/>
                      <w:szCs w:val="21"/>
                    </w:rPr>
                    <w:t>执行排放标准</w:t>
                  </w:r>
                </w:p>
              </w:tc>
            </w:tr>
            <w:tr w14:paraId="4BF4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789" w:type="dxa"/>
                  <w:vAlign w:val="center"/>
                </w:tcPr>
                <w:p w14:paraId="2DB03393">
                  <w:pPr>
                    <w:autoSpaceDE w:val="0"/>
                    <w:autoSpaceDN w:val="0"/>
                    <w:adjustRightInd w:val="0"/>
                    <w:snapToGrid w:val="0"/>
                    <w:jc w:val="center"/>
                    <w:rPr>
                      <w:sz w:val="21"/>
                      <w:szCs w:val="21"/>
                    </w:rPr>
                  </w:pPr>
                  <w:r>
                    <w:rPr>
                      <w:sz w:val="21"/>
                      <w:szCs w:val="21"/>
                    </w:rPr>
                    <w:t>噪声</w:t>
                  </w:r>
                </w:p>
              </w:tc>
              <w:tc>
                <w:tcPr>
                  <w:tcW w:w="1819" w:type="dxa"/>
                  <w:vAlign w:val="center"/>
                </w:tcPr>
                <w:p w14:paraId="753BFD72">
                  <w:pPr>
                    <w:autoSpaceDE w:val="0"/>
                    <w:autoSpaceDN w:val="0"/>
                    <w:adjustRightInd w:val="0"/>
                    <w:snapToGrid w:val="0"/>
                    <w:jc w:val="center"/>
                    <w:rPr>
                      <w:sz w:val="21"/>
                      <w:szCs w:val="21"/>
                    </w:rPr>
                  </w:pPr>
                  <w:r>
                    <w:rPr>
                      <w:sz w:val="21"/>
                      <w:szCs w:val="21"/>
                    </w:rPr>
                    <w:t>等效连续A声级</w:t>
                  </w:r>
                </w:p>
              </w:tc>
              <w:tc>
                <w:tcPr>
                  <w:tcW w:w="1759" w:type="dxa"/>
                  <w:vAlign w:val="center"/>
                </w:tcPr>
                <w:p w14:paraId="25BE1AEE">
                  <w:pPr>
                    <w:autoSpaceDE w:val="0"/>
                    <w:autoSpaceDN w:val="0"/>
                    <w:adjustRightInd w:val="0"/>
                    <w:snapToGrid w:val="0"/>
                    <w:jc w:val="center"/>
                    <w:rPr>
                      <w:sz w:val="21"/>
                      <w:szCs w:val="21"/>
                    </w:rPr>
                  </w:pPr>
                  <w:r>
                    <w:rPr>
                      <w:sz w:val="21"/>
                      <w:szCs w:val="21"/>
                    </w:rPr>
                    <w:t>四周厂界外1m处</w:t>
                  </w:r>
                </w:p>
              </w:tc>
              <w:tc>
                <w:tcPr>
                  <w:tcW w:w="1155" w:type="dxa"/>
                  <w:vAlign w:val="center"/>
                </w:tcPr>
                <w:p w14:paraId="6FB33175">
                  <w:pPr>
                    <w:autoSpaceDE w:val="0"/>
                    <w:autoSpaceDN w:val="0"/>
                    <w:adjustRightInd w:val="0"/>
                    <w:snapToGrid w:val="0"/>
                    <w:jc w:val="center"/>
                    <w:rPr>
                      <w:b/>
                      <w:sz w:val="21"/>
                      <w:szCs w:val="21"/>
                    </w:rPr>
                  </w:pPr>
                  <w:r>
                    <w:rPr>
                      <w:kern w:val="0"/>
                      <w:sz w:val="21"/>
                      <w:szCs w:val="21"/>
                    </w:rPr>
                    <w:t>1次/季度</w:t>
                  </w:r>
                </w:p>
              </w:tc>
              <w:tc>
                <w:tcPr>
                  <w:tcW w:w="3270" w:type="dxa"/>
                  <w:vAlign w:val="center"/>
                </w:tcPr>
                <w:p w14:paraId="3E008D80">
                  <w:pPr>
                    <w:autoSpaceDE w:val="0"/>
                    <w:autoSpaceDN w:val="0"/>
                    <w:adjustRightInd w:val="0"/>
                    <w:snapToGrid w:val="0"/>
                    <w:jc w:val="center"/>
                    <w:rPr>
                      <w:sz w:val="21"/>
                      <w:szCs w:val="21"/>
                    </w:rPr>
                  </w:pPr>
                  <w:r>
                    <w:rPr>
                      <w:sz w:val="21"/>
                      <w:szCs w:val="21"/>
                    </w:rPr>
                    <w:t>《工业企业厂界环境噪声排放标准》（GB12348-2008）2类标准值</w:t>
                  </w:r>
                </w:p>
              </w:tc>
            </w:tr>
          </w:tbl>
          <w:p w14:paraId="3A5BA125">
            <w:pPr>
              <w:pStyle w:val="33"/>
              <w:spacing w:line="520" w:lineRule="exact"/>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四、固废</w:t>
            </w:r>
          </w:p>
          <w:p w14:paraId="030ADE90">
            <w:pPr>
              <w:pStyle w:val="33"/>
              <w:spacing w:line="520" w:lineRule="exact"/>
              <w:ind w:firstLine="48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本项目营运期无危险废物产生，一般固废主要为纯水制备产生的废过滤材料、生产过程产生的废包装袋、熬制鸡汤产生的废鸡架、厂区污水处理站产生的污泥。</w:t>
            </w:r>
          </w:p>
          <w:p w14:paraId="358AA671">
            <w:pPr>
              <w:pStyle w:val="33"/>
              <w:spacing w:line="520" w:lineRule="exact"/>
              <w:ind w:firstLine="480"/>
              <w:rPr>
                <w:rFonts w:hint="eastAsia" w:ascii="黑体" w:hAnsi="黑体" w:eastAsia="黑体" w:cs="黑体"/>
                <w:color w:val="000000" w:themeColor="text1"/>
                <w14:textFill>
                  <w14:solidFill>
                    <w14:schemeClr w14:val="tx1"/>
                  </w14:solidFill>
                </w14:textFill>
              </w:rPr>
            </w:pPr>
            <w:r>
              <w:rPr>
                <w:rFonts w:hint="eastAsia"/>
                <w:color w:val="000000" w:themeColor="text1"/>
                <w:szCs w:val="24"/>
                <w14:textFill>
                  <w14:solidFill>
                    <w14:schemeClr w14:val="tx1"/>
                  </w14:solidFill>
                </w14:textFill>
              </w:rPr>
              <w:t>类比现有工程废过滤材料产生量0.35t/a，厂家更换时回收利用；废包装袋产生量3.2t/a，一般固废间暂存、定期外售；废鸡架产生量</w:t>
            </w:r>
            <w:r>
              <w:rPr>
                <w:rFonts w:hint="eastAsia"/>
                <w:color w:val="000000" w:themeColor="text1"/>
                <w:szCs w:val="24"/>
                <w:lang w:val="en-US" w:eastAsia="zh-CN"/>
                <w14:textFill>
                  <w14:solidFill>
                    <w14:schemeClr w14:val="tx1"/>
                  </w14:solidFill>
                </w14:textFill>
              </w:rPr>
              <w:t>18</w:t>
            </w:r>
            <w:r>
              <w:rPr>
                <w:rFonts w:hint="eastAsia"/>
                <w:color w:val="000000" w:themeColor="text1"/>
                <w:szCs w:val="24"/>
                <w14:textFill>
                  <w14:solidFill>
                    <w14:schemeClr w14:val="tx1"/>
                  </w14:solidFill>
                </w14:textFill>
              </w:rPr>
              <w:t>t/a，外售饲料厂；厂区污水处理站污泥产生量0.45t/a，</w:t>
            </w:r>
            <w:r>
              <w:rPr>
                <w:rFonts w:ascii="宋体" w:hAnsi="宋体"/>
                <w:szCs w:val="24"/>
              </w:rPr>
              <w:t>送延津县垃圾焚烧厂处理</w:t>
            </w:r>
            <w:r>
              <w:rPr>
                <w:rFonts w:hint="eastAsia" w:ascii="宋体" w:hAnsi="宋体"/>
                <w:szCs w:val="24"/>
              </w:rPr>
              <w:t>。</w:t>
            </w:r>
          </w:p>
          <w:p w14:paraId="10AE8235">
            <w:pPr>
              <w:pStyle w:val="33"/>
              <w:ind w:firstLine="480"/>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表</w:t>
            </w:r>
            <w:r>
              <w:rPr>
                <w:rFonts w:hint="eastAsia" w:eastAsia="黑体"/>
                <w:color w:val="000000" w:themeColor="text1"/>
                <w14:textFill>
                  <w14:solidFill>
                    <w14:schemeClr w14:val="tx1"/>
                  </w14:solidFill>
                </w14:textFill>
              </w:rPr>
              <w:t>4-1</w:t>
            </w:r>
            <w:r>
              <w:rPr>
                <w:rFonts w:hint="eastAsia" w:eastAsia="黑体"/>
                <w:color w:val="000000" w:themeColor="text1"/>
                <w:lang w:val="en-US" w:eastAsia="zh-CN"/>
                <w14:textFill>
                  <w14:solidFill>
                    <w14:schemeClr w14:val="tx1"/>
                  </w14:solidFill>
                </w14:textFill>
              </w:rPr>
              <w:t>7</w:t>
            </w:r>
            <w:r>
              <w:rPr>
                <w:rFonts w:hint="eastAsia" w:ascii="黑体" w:hAnsi="黑体" w:eastAsia="黑体" w:cs="黑体"/>
                <w:color w:val="000000" w:themeColor="text1"/>
                <w14:textFill>
                  <w14:solidFill>
                    <w14:schemeClr w14:val="tx1"/>
                  </w14:solidFill>
                </w14:textFill>
              </w:rPr>
              <w:t xml:space="preserve">                  固体废物详情一览表</w:t>
            </w:r>
          </w:p>
          <w:tbl>
            <w:tblPr>
              <w:tblStyle w:val="1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8"/>
              <w:gridCol w:w="712"/>
              <w:gridCol w:w="1342"/>
              <w:gridCol w:w="1270"/>
              <w:gridCol w:w="764"/>
              <w:gridCol w:w="771"/>
              <w:gridCol w:w="2545"/>
            </w:tblGrid>
            <w:tr w14:paraId="39AE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70" w:type="pct"/>
                  <w:vAlign w:val="center"/>
                </w:tcPr>
                <w:p w14:paraId="7F9F4CF0">
                  <w:pPr>
                    <w:spacing w:line="360" w:lineRule="exact"/>
                    <w:jc w:val="center"/>
                    <w:rPr>
                      <w:rFonts w:ascii="黑体" w:hAnsi="黑体" w:eastAsia="黑体" w:cs="黑体"/>
                      <w:color w:val="000000" w:themeColor="text1"/>
                      <w14:textFill>
                        <w14:solidFill>
                          <w14:schemeClr w14:val="tx1"/>
                        </w14:solidFill>
                      </w14:textFill>
                    </w:rPr>
                  </w:pPr>
                  <w:r>
                    <w:rPr>
                      <w:rFonts w:hint="eastAsia"/>
                      <w:b/>
                      <w:bCs/>
                      <w:color w:val="000000" w:themeColor="text1"/>
                      <w:sz w:val="21"/>
                      <w:szCs w:val="21"/>
                      <w14:textFill>
                        <w14:solidFill>
                          <w14:schemeClr w14:val="tx1"/>
                        </w14:solidFill>
                      </w14:textFill>
                    </w:rPr>
                    <w:t>固废名称</w:t>
                  </w:r>
                </w:p>
              </w:tc>
              <w:tc>
                <w:tcPr>
                  <w:tcW w:w="407" w:type="pct"/>
                  <w:vAlign w:val="center"/>
                </w:tcPr>
                <w:p w14:paraId="3CBA208D">
                  <w:pPr>
                    <w:spacing w:line="360" w:lineRule="exact"/>
                    <w:jc w:val="center"/>
                    <w:rPr>
                      <w:rFonts w:ascii="黑体" w:hAnsi="黑体" w:eastAsia="黑体" w:cs="黑体"/>
                      <w:color w:val="000000" w:themeColor="text1"/>
                      <w14:textFill>
                        <w14:solidFill>
                          <w14:schemeClr w14:val="tx1"/>
                        </w14:solidFill>
                      </w14:textFill>
                    </w:rPr>
                  </w:pPr>
                  <w:r>
                    <w:rPr>
                      <w:rFonts w:hint="eastAsia"/>
                      <w:b/>
                      <w:bCs/>
                      <w:color w:val="000000" w:themeColor="text1"/>
                      <w:sz w:val="21"/>
                      <w:szCs w:val="21"/>
                      <w14:textFill>
                        <w14:solidFill>
                          <w14:schemeClr w14:val="tx1"/>
                        </w14:solidFill>
                      </w14:textFill>
                    </w:rPr>
                    <w:t>属性</w:t>
                  </w:r>
                </w:p>
              </w:tc>
              <w:tc>
                <w:tcPr>
                  <w:tcW w:w="766" w:type="pct"/>
                  <w:vAlign w:val="center"/>
                </w:tcPr>
                <w:p w14:paraId="2AD34A8A">
                  <w:pPr>
                    <w:spacing w:line="360" w:lineRule="exact"/>
                    <w:jc w:val="center"/>
                    <w:rPr>
                      <w:rFonts w:ascii="黑体" w:hAnsi="黑体" w:eastAsia="黑体" w:cs="黑体"/>
                      <w:color w:val="000000" w:themeColor="text1"/>
                      <w14:textFill>
                        <w14:solidFill>
                          <w14:schemeClr w14:val="tx1"/>
                        </w14:solidFill>
                      </w14:textFill>
                    </w:rPr>
                  </w:pPr>
                  <w:r>
                    <w:rPr>
                      <w:rFonts w:hint="eastAsia"/>
                      <w:b/>
                      <w:bCs/>
                      <w:color w:val="000000" w:themeColor="text1"/>
                      <w:sz w:val="21"/>
                      <w:szCs w:val="21"/>
                      <w14:textFill>
                        <w14:solidFill>
                          <w14:schemeClr w14:val="tx1"/>
                        </w14:solidFill>
                      </w14:textFill>
                    </w:rPr>
                    <w:t>产生环节</w:t>
                  </w:r>
                </w:p>
              </w:tc>
              <w:tc>
                <w:tcPr>
                  <w:tcW w:w="725" w:type="pct"/>
                  <w:vAlign w:val="center"/>
                </w:tcPr>
                <w:p w14:paraId="6A4BC555">
                  <w:pPr>
                    <w:spacing w:line="360" w:lineRule="exact"/>
                    <w:jc w:val="center"/>
                    <w:rPr>
                      <w:rFonts w:ascii="黑体" w:hAnsi="黑体" w:eastAsia="黑体" w:cs="黑体"/>
                      <w:color w:val="000000" w:themeColor="text1"/>
                      <w14:textFill>
                        <w14:solidFill>
                          <w14:schemeClr w14:val="tx1"/>
                        </w14:solidFill>
                      </w14:textFill>
                    </w:rPr>
                  </w:pPr>
                  <w:r>
                    <w:rPr>
                      <w:rFonts w:hint="eastAsia"/>
                      <w:b/>
                      <w:bCs/>
                      <w:color w:val="000000" w:themeColor="text1"/>
                      <w:sz w:val="21"/>
                      <w:szCs w:val="21"/>
                      <w14:textFill>
                        <w14:solidFill>
                          <w14:schemeClr w14:val="tx1"/>
                        </w14:solidFill>
                      </w14:textFill>
                    </w:rPr>
                    <w:t>产生量（t/a）</w:t>
                  </w:r>
                </w:p>
              </w:tc>
              <w:tc>
                <w:tcPr>
                  <w:tcW w:w="436" w:type="pct"/>
                  <w:vAlign w:val="center"/>
                </w:tcPr>
                <w:p w14:paraId="37E881DE">
                  <w:pPr>
                    <w:spacing w:line="360" w:lineRule="exact"/>
                    <w:jc w:val="center"/>
                    <w:rPr>
                      <w:rFonts w:ascii="黑体" w:hAnsi="黑体" w:eastAsia="黑体" w:cs="黑体"/>
                      <w:color w:val="000000" w:themeColor="text1"/>
                      <w14:textFill>
                        <w14:solidFill>
                          <w14:schemeClr w14:val="tx1"/>
                        </w14:solidFill>
                      </w14:textFill>
                    </w:rPr>
                  </w:pPr>
                  <w:r>
                    <w:rPr>
                      <w:rFonts w:hint="eastAsia"/>
                      <w:b/>
                      <w:bCs/>
                      <w:color w:val="000000" w:themeColor="text1"/>
                      <w:sz w:val="21"/>
                      <w:szCs w:val="21"/>
                      <w14:textFill>
                        <w14:solidFill>
                          <w14:schemeClr w14:val="tx1"/>
                        </w14:solidFill>
                      </w14:textFill>
                    </w:rPr>
                    <w:t>贮存方式</w:t>
                  </w:r>
                </w:p>
              </w:tc>
              <w:tc>
                <w:tcPr>
                  <w:tcW w:w="440" w:type="pct"/>
                  <w:vAlign w:val="center"/>
                </w:tcPr>
                <w:p w14:paraId="6E72F4C9">
                  <w:pPr>
                    <w:spacing w:line="360" w:lineRule="exact"/>
                    <w:jc w:val="center"/>
                    <w:rPr>
                      <w:rFonts w:ascii="黑体" w:hAnsi="黑体" w:eastAsia="黑体" w:cs="黑体"/>
                      <w:color w:val="000000" w:themeColor="text1"/>
                      <w14:textFill>
                        <w14:solidFill>
                          <w14:schemeClr w14:val="tx1"/>
                        </w14:solidFill>
                      </w14:textFill>
                    </w:rPr>
                  </w:pPr>
                  <w:r>
                    <w:rPr>
                      <w:rFonts w:hint="eastAsia"/>
                      <w:b/>
                      <w:bCs/>
                      <w:color w:val="000000" w:themeColor="text1"/>
                      <w:sz w:val="21"/>
                      <w:szCs w:val="21"/>
                      <w14:textFill>
                        <w14:solidFill>
                          <w14:schemeClr w14:val="tx1"/>
                        </w14:solidFill>
                      </w14:textFill>
                    </w:rPr>
                    <w:t>物理形状</w:t>
                  </w:r>
                </w:p>
              </w:tc>
              <w:tc>
                <w:tcPr>
                  <w:tcW w:w="1453" w:type="pct"/>
                  <w:vAlign w:val="center"/>
                </w:tcPr>
                <w:p w14:paraId="5C835229">
                  <w:pPr>
                    <w:spacing w:line="360" w:lineRule="exact"/>
                    <w:jc w:val="center"/>
                    <w:rPr>
                      <w:rFonts w:ascii="黑体" w:hAnsi="黑体" w:eastAsia="黑体" w:cs="黑体"/>
                      <w:color w:val="000000" w:themeColor="text1"/>
                      <w14:textFill>
                        <w14:solidFill>
                          <w14:schemeClr w14:val="tx1"/>
                        </w14:solidFill>
                      </w14:textFill>
                    </w:rPr>
                  </w:pPr>
                  <w:r>
                    <w:rPr>
                      <w:rFonts w:hint="eastAsia"/>
                      <w:b/>
                      <w:bCs/>
                      <w:color w:val="000000" w:themeColor="text1"/>
                      <w:sz w:val="21"/>
                      <w:szCs w:val="21"/>
                      <w14:textFill>
                        <w14:solidFill>
                          <w14:schemeClr w14:val="tx1"/>
                        </w14:solidFill>
                      </w14:textFill>
                    </w:rPr>
                    <w:t>利用或处置方式及去向</w:t>
                  </w:r>
                </w:p>
              </w:tc>
            </w:tr>
            <w:tr w14:paraId="34B2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70" w:type="pct"/>
                  <w:vAlign w:val="center"/>
                </w:tcPr>
                <w:p w14:paraId="34A22775">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废过滤材料</w:t>
                  </w:r>
                </w:p>
              </w:tc>
              <w:tc>
                <w:tcPr>
                  <w:tcW w:w="407" w:type="pct"/>
                  <w:vMerge w:val="restart"/>
                  <w:vAlign w:val="center"/>
                </w:tcPr>
                <w:p w14:paraId="1465CE18">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一般固废</w:t>
                  </w:r>
                </w:p>
              </w:tc>
              <w:tc>
                <w:tcPr>
                  <w:tcW w:w="766" w:type="pct"/>
                  <w:vAlign w:val="center"/>
                </w:tcPr>
                <w:p w14:paraId="0D3E9489">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纯水制备</w:t>
                  </w:r>
                </w:p>
              </w:tc>
              <w:tc>
                <w:tcPr>
                  <w:tcW w:w="725" w:type="pct"/>
                  <w:vAlign w:val="center"/>
                </w:tcPr>
                <w:p w14:paraId="047DD037">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0.35</w:t>
                  </w:r>
                </w:p>
              </w:tc>
              <w:tc>
                <w:tcPr>
                  <w:tcW w:w="436" w:type="pct"/>
                  <w:vMerge w:val="restart"/>
                  <w:vAlign w:val="center"/>
                </w:tcPr>
                <w:p w14:paraId="538FA56C">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一般固废暂存间</w:t>
                  </w:r>
                </w:p>
              </w:tc>
              <w:tc>
                <w:tcPr>
                  <w:tcW w:w="440" w:type="pct"/>
                  <w:vAlign w:val="center"/>
                </w:tcPr>
                <w:p w14:paraId="4D3A59DB">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固态</w:t>
                  </w:r>
                </w:p>
              </w:tc>
              <w:tc>
                <w:tcPr>
                  <w:tcW w:w="1453" w:type="pct"/>
                  <w:vAlign w:val="center"/>
                </w:tcPr>
                <w:p w14:paraId="61AF95A3">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厂家更换时回收利用</w:t>
                  </w:r>
                </w:p>
              </w:tc>
            </w:tr>
            <w:tr w14:paraId="2E50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70" w:type="pct"/>
                  <w:vAlign w:val="center"/>
                </w:tcPr>
                <w:p w14:paraId="2D36C189">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废包装袋</w:t>
                  </w:r>
                </w:p>
              </w:tc>
              <w:tc>
                <w:tcPr>
                  <w:tcW w:w="407" w:type="pct"/>
                  <w:vMerge w:val="continue"/>
                  <w:vAlign w:val="center"/>
                </w:tcPr>
                <w:p w14:paraId="43F75B9E">
                  <w:pPr>
                    <w:pStyle w:val="33"/>
                    <w:spacing w:line="320" w:lineRule="exact"/>
                    <w:ind w:firstLine="480"/>
                    <w:jc w:val="center"/>
                    <w:rPr>
                      <w:rFonts w:ascii="黑体" w:hAnsi="黑体" w:eastAsia="黑体" w:cs="黑体"/>
                      <w:color w:val="000000" w:themeColor="text1"/>
                      <w14:textFill>
                        <w14:solidFill>
                          <w14:schemeClr w14:val="tx1"/>
                        </w14:solidFill>
                      </w14:textFill>
                    </w:rPr>
                  </w:pPr>
                </w:p>
              </w:tc>
              <w:tc>
                <w:tcPr>
                  <w:tcW w:w="766" w:type="pct"/>
                  <w:vAlign w:val="center"/>
                </w:tcPr>
                <w:p w14:paraId="1660F12C">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生产工序</w:t>
                  </w:r>
                </w:p>
              </w:tc>
              <w:tc>
                <w:tcPr>
                  <w:tcW w:w="725" w:type="pct"/>
                  <w:vAlign w:val="center"/>
                </w:tcPr>
                <w:p w14:paraId="6DA48B30">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3.2</w:t>
                  </w:r>
                </w:p>
              </w:tc>
              <w:tc>
                <w:tcPr>
                  <w:tcW w:w="436" w:type="pct"/>
                  <w:vMerge w:val="continue"/>
                  <w:vAlign w:val="center"/>
                </w:tcPr>
                <w:p w14:paraId="1942875E">
                  <w:pPr>
                    <w:pStyle w:val="33"/>
                    <w:spacing w:line="320" w:lineRule="exact"/>
                    <w:ind w:firstLine="480"/>
                    <w:jc w:val="center"/>
                    <w:rPr>
                      <w:rFonts w:ascii="黑体" w:hAnsi="黑体" w:eastAsia="黑体" w:cs="黑体"/>
                      <w:color w:val="000000" w:themeColor="text1"/>
                      <w14:textFill>
                        <w14:solidFill>
                          <w14:schemeClr w14:val="tx1"/>
                        </w14:solidFill>
                      </w14:textFill>
                    </w:rPr>
                  </w:pPr>
                </w:p>
              </w:tc>
              <w:tc>
                <w:tcPr>
                  <w:tcW w:w="440" w:type="pct"/>
                  <w:vAlign w:val="center"/>
                </w:tcPr>
                <w:p w14:paraId="39086D16">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固态</w:t>
                  </w:r>
                </w:p>
              </w:tc>
              <w:tc>
                <w:tcPr>
                  <w:tcW w:w="1453" w:type="pct"/>
                  <w:vAlign w:val="center"/>
                </w:tcPr>
                <w:p w14:paraId="42500D32">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定期外售</w:t>
                  </w:r>
                </w:p>
              </w:tc>
            </w:tr>
            <w:tr w14:paraId="2E04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70" w:type="pct"/>
                  <w:vAlign w:val="center"/>
                </w:tcPr>
                <w:p w14:paraId="6510057C">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废鸡架</w:t>
                  </w:r>
                </w:p>
              </w:tc>
              <w:tc>
                <w:tcPr>
                  <w:tcW w:w="407" w:type="pct"/>
                  <w:vMerge w:val="continue"/>
                  <w:vAlign w:val="center"/>
                </w:tcPr>
                <w:p w14:paraId="7B8072A0">
                  <w:pPr>
                    <w:pStyle w:val="33"/>
                    <w:spacing w:line="320" w:lineRule="exact"/>
                    <w:ind w:firstLine="480"/>
                    <w:jc w:val="center"/>
                    <w:rPr>
                      <w:rFonts w:ascii="黑体" w:hAnsi="黑体" w:eastAsia="黑体" w:cs="黑体"/>
                      <w:color w:val="000000" w:themeColor="text1"/>
                      <w14:textFill>
                        <w14:solidFill>
                          <w14:schemeClr w14:val="tx1"/>
                        </w14:solidFill>
                      </w14:textFill>
                    </w:rPr>
                  </w:pPr>
                </w:p>
              </w:tc>
              <w:tc>
                <w:tcPr>
                  <w:tcW w:w="766" w:type="pct"/>
                  <w:vAlign w:val="center"/>
                </w:tcPr>
                <w:p w14:paraId="6BD0DC44">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熬制鸡汤</w:t>
                  </w:r>
                </w:p>
              </w:tc>
              <w:tc>
                <w:tcPr>
                  <w:tcW w:w="725" w:type="pct"/>
                  <w:vAlign w:val="center"/>
                </w:tcPr>
                <w:p w14:paraId="0BECC8A8">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0.8</w:t>
                  </w:r>
                </w:p>
              </w:tc>
              <w:tc>
                <w:tcPr>
                  <w:tcW w:w="436" w:type="pct"/>
                  <w:vMerge w:val="continue"/>
                  <w:vAlign w:val="center"/>
                </w:tcPr>
                <w:p w14:paraId="3B9CB609">
                  <w:pPr>
                    <w:pStyle w:val="33"/>
                    <w:spacing w:line="320" w:lineRule="exact"/>
                    <w:ind w:firstLine="480"/>
                    <w:jc w:val="center"/>
                    <w:rPr>
                      <w:rFonts w:ascii="黑体" w:hAnsi="黑体" w:eastAsia="黑体" w:cs="黑体"/>
                      <w:color w:val="000000" w:themeColor="text1"/>
                      <w14:textFill>
                        <w14:solidFill>
                          <w14:schemeClr w14:val="tx1"/>
                        </w14:solidFill>
                      </w14:textFill>
                    </w:rPr>
                  </w:pPr>
                </w:p>
              </w:tc>
              <w:tc>
                <w:tcPr>
                  <w:tcW w:w="440" w:type="pct"/>
                  <w:vAlign w:val="center"/>
                </w:tcPr>
                <w:p w14:paraId="44C5088D">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固态</w:t>
                  </w:r>
                </w:p>
              </w:tc>
              <w:tc>
                <w:tcPr>
                  <w:tcW w:w="1453" w:type="pct"/>
                  <w:vAlign w:val="center"/>
                </w:tcPr>
                <w:p w14:paraId="721D553C">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外售饲料厂</w:t>
                  </w:r>
                </w:p>
              </w:tc>
            </w:tr>
            <w:tr w14:paraId="73F5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70" w:type="pct"/>
                  <w:vAlign w:val="center"/>
                </w:tcPr>
                <w:p w14:paraId="4288BA48">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污泥</w:t>
                  </w:r>
                </w:p>
              </w:tc>
              <w:tc>
                <w:tcPr>
                  <w:tcW w:w="407" w:type="pct"/>
                  <w:vMerge w:val="continue"/>
                  <w:vAlign w:val="center"/>
                </w:tcPr>
                <w:p w14:paraId="2F0F8524">
                  <w:pPr>
                    <w:pStyle w:val="33"/>
                    <w:spacing w:line="320" w:lineRule="exact"/>
                    <w:ind w:firstLine="480"/>
                    <w:jc w:val="center"/>
                    <w:rPr>
                      <w:rFonts w:ascii="黑体" w:hAnsi="黑体" w:eastAsia="黑体" w:cs="黑体"/>
                      <w:color w:val="000000" w:themeColor="text1"/>
                      <w14:textFill>
                        <w14:solidFill>
                          <w14:schemeClr w14:val="tx1"/>
                        </w14:solidFill>
                      </w14:textFill>
                    </w:rPr>
                  </w:pPr>
                </w:p>
              </w:tc>
              <w:tc>
                <w:tcPr>
                  <w:tcW w:w="766" w:type="pct"/>
                  <w:vAlign w:val="center"/>
                </w:tcPr>
                <w:p w14:paraId="27E41CC4">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污水处理站</w:t>
                  </w:r>
                </w:p>
              </w:tc>
              <w:tc>
                <w:tcPr>
                  <w:tcW w:w="725" w:type="pct"/>
                  <w:vAlign w:val="center"/>
                </w:tcPr>
                <w:p w14:paraId="7DDBC563">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0.45</w:t>
                  </w:r>
                </w:p>
              </w:tc>
              <w:tc>
                <w:tcPr>
                  <w:tcW w:w="436" w:type="pct"/>
                  <w:vMerge w:val="continue"/>
                  <w:vAlign w:val="center"/>
                </w:tcPr>
                <w:p w14:paraId="770C81C9">
                  <w:pPr>
                    <w:pStyle w:val="33"/>
                    <w:spacing w:line="320" w:lineRule="exact"/>
                    <w:ind w:firstLine="480"/>
                    <w:jc w:val="center"/>
                    <w:rPr>
                      <w:rFonts w:ascii="黑体" w:hAnsi="黑体" w:eastAsia="黑体" w:cs="黑体"/>
                      <w:color w:val="000000" w:themeColor="text1"/>
                      <w14:textFill>
                        <w14:solidFill>
                          <w14:schemeClr w14:val="tx1"/>
                        </w14:solidFill>
                      </w14:textFill>
                    </w:rPr>
                  </w:pPr>
                </w:p>
              </w:tc>
              <w:tc>
                <w:tcPr>
                  <w:tcW w:w="440" w:type="pct"/>
                  <w:vAlign w:val="center"/>
                </w:tcPr>
                <w:p w14:paraId="6F8244BA">
                  <w:pPr>
                    <w:spacing w:line="320" w:lineRule="exact"/>
                    <w:jc w:val="center"/>
                    <w:rPr>
                      <w:rFonts w:ascii="黑体" w:hAnsi="黑体" w:eastAsia="黑体" w:cs="黑体"/>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固态</w:t>
                  </w:r>
                </w:p>
              </w:tc>
              <w:tc>
                <w:tcPr>
                  <w:tcW w:w="1453" w:type="pct"/>
                  <w:vAlign w:val="center"/>
                </w:tcPr>
                <w:p w14:paraId="0DD61B5A">
                  <w:pPr>
                    <w:spacing w:line="320" w:lineRule="exact"/>
                    <w:jc w:val="center"/>
                    <w:rPr>
                      <w:rFonts w:ascii="黑体" w:hAnsi="黑体" w:eastAsia="黑体" w:cs="黑体"/>
                      <w:color w:val="000000" w:themeColor="text1"/>
                      <w14:textFill>
                        <w14:solidFill>
                          <w14:schemeClr w14:val="tx1"/>
                        </w14:solidFill>
                      </w14:textFill>
                    </w:rPr>
                  </w:pPr>
                  <w:r>
                    <w:rPr>
                      <w:rFonts w:ascii="宋体" w:hAnsi="宋体" w:cs="宋体"/>
                      <w:sz w:val="21"/>
                      <w:szCs w:val="21"/>
                    </w:rPr>
                    <w:t>送延津县垃圾焚烧厂处理</w:t>
                  </w:r>
                </w:p>
              </w:tc>
            </w:tr>
          </w:tbl>
          <w:p w14:paraId="1589E666">
            <w:pPr>
              <w:pStyle w:val="33"/>
              <w:numPr>
                <w:ilvl w:val="0"/>
                <w:numId w:val="0"/>
              </w:numPr>
              <w:spacing w:line="520" w:lineRule="exact"/>
              <w:ind w:firstLine="480" w:firstLineChars="200"/>
              <w:rPr>
                <w:color w:val="000000" w:themeColor="text1"/>
                <w14:textFill>
                  <w14:solidFill>
                    <w14:schemeClr w14:val="tx1"/>
                  </w14:solidFill>
                </w14:textFill>
              </w:rPr>
            </w:pPr>
            <w:r>
              <w:rPr>
                <w:rFonts w:hint="eastAsia"/>
                <w:color w:val="000000" w:themeColor="text1"/>
                <w:kern w:val="0"/>
                <w14:textFill>
                  <w14:solidFill>
                    <w14:schemeClr w14:val="tx1"/>
                  </w14:solidFill>
                </w14:textFill>
              </w:rPr>
              <w:t>本项目产生的一般固废利用现有</w:t>
            </w:r>
            <w:r>
              <w:rPr>
                <w:rFonts w:hint="eastAsia" w:cs="Times New Roman"/>
                <w:color w:val="000000" w:themeColor="text1"/>
                <w:kern w:val="0"/>
                <w14:textFill>
                  <w14:solidFill>
                    <w14:schemeClr w14:val="tx1"/>
                  </w14:solidFill>
                </w14:textFill>
              </w:rPr>
              <w:t>10</w:t>
            </w:r>
            <w:r>
              <w:rPr>
                <w:rFonts w:cs="Times New Roman"/>
                <w:color w:val="000000" w:themeColor="text1"/>
                <w:kern w:val="0"/>
                <w14:textFill>
                  <w14:solidFill>
                    <w14:schemeClr w14:val="tx1"/>
                  </w14:solidFill>
                </w14:textFill>
              </w:rPr>
              <w:t>m</w:t>
            </w:r>
            <w:r>
              <w:rPr>
                <w:rFonts w:cs="Times New Roman"/>
                <w:color w:val="000000" w:themeColor="text1"/>
                <w:kern w:val="0"/>
                <w:vertAlign w:val="superscript"/>
                <w14:textFill>
                  <w14:solidFill>
                    <w14:schemeClr w14:val="tx1"/>
                  </w14:solidFill>
                </w14:textFill>
              </w:rPr>
              <w:t>2</w:t>
            </w:r>
            <w:r>
              <w:rPr>
                <w:rFonts w:hint="eastAsia"/>
                <w:color w:val="000000" w:themeColor="text1"/>
                <w:kern w:val="0"/>
                <w14:textFill>
                  <w14:solidFill>
                    <w14:schemeClr w14:val="tx1"/>
                  </w14:solidFill>
                </w14:textFill>
              </w:rPr>
              <w:t>一般固废暂存间分类存放，由于本项目对现有项目改建，产能不新增，固废变化量不大，利用现有工程一般固定间可以满足暂存要求。</w:t>
            </w:r>
            <w:r>
              <w:rPr>
                <w:color w:val="000000" w:themeColor="text1"/>
                <w14:textFill>
                  <w14:solidFill>
                    <w14:schemeClr w14:val="tx1"/>
                  </w14:solidFill>
                </w14:textFill>
              </w:rPr>
              <w:t>根据《一般工业固体废物贮存和填埋污染控制标准》（GB18599-2020）：一般工业固体废物贮存过程应满足相应</w:t>
            </w:r>
            <w:r>
              <w:rPr>
                <w:rFonts w:hint="eastAsia"/>
                <w:color w:val="000000" w:themeColor="text1"/>
                <w14:textFill>
                  <w14:solidFill>
                    <w14:schemeClr w14:val="tx1"/>
                  </w14:solidFill>
                </w14:textFill>
              </w:rPr>
              <w:t>防渗漏、防雨淋、防扬尘</w:t>
            </w:r>
            <w:r>
              <w:rPr>
                <w:color w:val="000000" w:themeColor="text1"/>
                <w14:textFill>
                  <w14:solidFill>
                    <w14:schemeClr w14:val="tx1"/>
                  </w14:solidFill>
                </w14:textFill>
              </w:rPr>
              <w:t>等环境保护要求。本项目一般固废的存放应</w:t>
            </w:r>
            <w:r>
              <w:rPr>
                <w:rFonts w:hint="eastAsia"/>
                <w:color w:val="000000" w:themeColor="text1"/>
                <w14:textFill>
                  <w14:solidFill>
                    <w14:schemeClr w14:val="tx1"/>
                  </w14:solidFill>
                </w14:textFill>
              </w:rPr>
              <w:t>做好管理与维护，</w:t>
            </w:r>
            <w:r>
              <w:rPr>
                <w:color w:val="000000" w:themeColor="text1"/>
                <w14:textFill>
                  <w14:solidFill>
                    <w14:schemeClr w14:val="tx1"/>
                  </w14:solidFill>
                </w14:textFill>
              </w:rPr>
              <w:t>满足防渗漏、防雨淋、防扬尘的</w:t>
            </w:r>
            <w:r>
              <w:rPr>
                <w:rFonts w:hint="eastAsia"/>
                <w:color w:val="000000" w:themeColor="text1"/>
                <w14:textFill>
                  <w14:solidFill>
                    <w14:schemeClr w14:val="tx1"/>
                  </w14:solidFill>
                </w14:textFill>
              </w:rPr>
              <w:t>“三防要求”</w:t>
            </w:r>
            <w:r>
              <w:rPr>
                <w:color w:val="000000" w:themeColor="text1"/>
                <w14:textFill>
                  <w14:solidFill>
                    <w14:schemeClr w14:val="tx1"/>
                  </w14:solidFill>
                </w14:textFill>
              </w:rPr>
              <w:t>。</w:t>
            </w:r>
          </w:p>
          <w:p w14:paraId="75125CFF">
            <w:pPr>
              <w:pStyle w:val="33"/>
              <w:numPr>
                <w:ilvl w:val="0"/>
                <w:numId w:val="13"/>
              </w:numPr>
              <w:spacing w:line="520" w:lineRule="exact"/>
              <w:ind w:firstLine="480"/>
              <w:rPr>
                <w:rFonts w:hint="eastAsia"/>
                <w:b/>
                <w:bCs/>
                <w:lang w:val="en-US" w:eastAsia="zh-CN"/>
              </w:rPr>
            </w:pPr>
            <w:r>
              <w:rPr>
                <w:rFonts w:hint="eastAsia"/>
                <w:b/>
                <w:bCs/>
                <w:color w:val="000000" w:themeColor="text1"/>
                <w:kern w:val="0"/>
                <w:lang w:val="en-US" w:eastAsia="zh-CN"/>
                <w14:textFill>
                  <w14:solidFill>
                    <w14:schemeClr w14:val="tx1"/>
                  </w14:solidFill>
                </w14:textFill>
              </w:rPr>
              <w:t>本项目建成后全厂污染物排放情况</w:t>
            </w:r>
          </w:p>
          <w:p w14:paraId="6BC34566">
            <w:pPr>
              <w:spacing w:line="460" w:lineRule="exact"/>
              <w:ind w:firstLine="480" w:firstLineChars="200"/>
            </w:pPr>
            <w:r>
              <w:rPr>
                <w:rFonts w:hint="eastAsia"/>
                <w:lang w:val="en-US" w:eastAsia="zh-CN"/>
              </w:rPr>
              <w:t>本</w:t>
            </w:r>
            <w:r>
              <w:rPr>
                <w:rFonts w:hint="eastAsia"/>
              </w:rPr>
              <w:t>项目建成后全厂污染物排放情况见下表。</w:t>
            </w:r>
          </w:p>
          <w:p w14:paraId="5A63BF67">
            <w:pPr>
              <w:spacing w:line="460" w:lineRule="exact"/>
              <w:jc w:val="center"/>
              <w:rPr>
                <w:rFonts w:eastAsia="黑体"/>
                <w:highlight w:val="none"/>
              </w:rPr>
            </w:pPr>
            <w:r>
              <w:rPr>
                <w:rFonts w:hint="eastAsia" w:eastAsia="黑体"/>
              </w:rPr>
              <w:t xml:space="preserve">   </w:t>
            </w:r>
            <w:r>
              <w:rPr>
                <w:rFonts w:hint="eastAsia" w:eastAsia="黑体"/>
                <w:highlight w:val="none"/>
              </w:rPr>
              <w:t>表</w:t>
            </w:r>
            <w:r>
              <w:rPr>
                <w:rFonts w:hint="eastAsia" w:eastAsia="黑体"/>
                <w:highlight w:val="none"/>
                <w:lang w:val="en-US" w:eastAsia="zh-CN"/>
              </w:rPr>
              <w:t xml:space="preserve">4-18     </w:t>
            </w:r>
            <w:r>
              <w:rPr>
                <w:rFonts w:hint="eastAsia" w:eastAsia="黑体"/>
                <w:highlight w:val="none"/>
              </w:rPr>
              <w:t xml:space="preserve"> 本项目建成后全厂污染物排放情况一览表        单位：t/a</w:t>
            </w:r>
          </w:p>
          <w:tbl>
            <w:tblPr>
              <w:tblStyle w:val="19"/>
              <w:tblW w:w="8805"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214"/>
              <w:gridCol w:w="1313"/>
              <w:gridCol w:w="1302"/>
              <w:gridCol w:w="873"/>
              <w:gridCol w:w="1081"/>
              <w:gridCol w:w="983"/>
              <w:gridCol w:w="1126"/>
            </w:tblGrid>
            <w:tr w14:paraId="25B2D9B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7" w:type="dxa"/>
                  <w:gridSpan w:val="2"/>
                  <w:vMerge w:val="restart"/>
                  <w:vAlign w:val="center"/>
                </w:tcPr>
                <w:p w14:paraId="4895F2EF">
                  <w:pPr>
                    <w:pStyle w:val="11"/>
                    <w:adjustRightInd w:val="0"/>
                    <w:snapToGrid w:val="0"/>
                    <w:spacing w:line="240" w:lineRule="auto"/>
                    <w:ind w:left="0" w:right="0" w:firstLine="0"/>
                    <w:jc w:val="center"/>
                    <w:rPr>
                      <w:b/>
                      <w:bCs/>
                      <w:sz w:val="21"/>
                      <w:szCs w:val="21"/>
                    </w:rPr>
                  </w:pPr>
                  <w:r>
                    <w:rPr>
                      <w:rFonts w:hint="eastAsia"/>
                      <w:b/>
                      <w:bCs/>
                      <w:sz w:val="21"/>
                      <w:szCs w:val="21"/>
                    </w:rPr>
                    <w:t>污染物</w:t>
                  </w:r>
                </w:p>
              </w:tc>
              <w:tc>
                <w:tcPr>
                  <w:tcW w:w="2615" w:type="dxa"/>
                  <w:gridSpan w:val="2"/>
                  <w:vAlign w:val="center"/>
                </w:tcPr>
                <w:p w14:paraId="482883A4">
                  <w:pPr>
                    <w:pStyle w:val="11"/>
                    <w:adjustRightInd w:val="0"/>
                    <w:snapToGrid w:val="0"/>
                    <w:spacing w:line="240" w:lineRule="auto"/>
                    <w:ind w:left="0" w:right="0" w:firstLine="0"/>
                    <w:jc w:val="center"/>
                    <w:rPr>
                      <w:b/>
                      <w:bCs/>
                      <w:sz w:val="21"/>
                      <w:szCs w:val="21"/>
                    </w:rPr>
                  </w:pPr>
                  <w:r>
                    <w:rPr>
                      <w:rFonts w:hint="eastAsia"/>
                      <w:b/>
                      <w:bCs/>
                      <w:sz w:val="21"/>
                      <w:szCs w:val="21"/>
                    </w:rPr>
                    <w:t>现有工程</w:t>
                  </w:r>
                </w:p>
              </w:tc>
              <w:tc>
                <w:tcPr>
                  <w:tcW w:w="873" w:type="dxa"/>
                  <w:vMerge w:val="restart"/>
                  <w:vAlign w:val="center"/>
                </w:tcPr>
                <w:p w14:paraId="009257AF">
                  <w:pPr>
                    <w:pStyle w:val="11"/>
                    <w:adjustRightInd w:val="0"/>
                    <w:snapToGrid w:val="0"/>
                    <w:spacing w:line="240" w:lineRule="auto"/>
                    <w:ind w:left="0" w:right="0" w:firstLine="0"/>
                    <w:jc w:val="center"/>
                    <w:rPr>
                      <w:b/>
                      <w:bCs/>
                      <w:sz w:val="21"/>
                      <w:szCs w:val="21"/>
                    </w:rPr>
                  </w:pPr>
                  <w:r>
                    <w:rPr>
                      <w:rFonts w:hint="eastAsia"/>
                      <w:b/>
                      <w:bCs/>
                      <w:sz w:val="21"/>
                      <w:szCs w:val="21"/>
                    </w:rPr>
                    <w:t>本工程排放量</w:t>
                  </w:r>
                </w:p>
              </w:tc>
              <w:tc>
                <w:tcPr>
                  <w:tcW w:w="1081" w:type="dxa"/>
                  <w:vMerge w:val="restart"/>
                  <w:vAlign w:val="center"/>
                </w:tcPr>
                <w:p w14:paraId="7F00C5B2">
                  <w:pPr>
                    <w:pStyle w:val="11"/>
                    <w:adjustRightInd w:val="0"/>
                    <w:snapToGrid w:val="0"/>
                    <w:spacing w:line="240" w:lineRule="auto"/>
                    <w:ind w:left="0" w:right="0" w:firstLine="0"/>
                    <w:jc w:val="center"/>
                    <w:rPr>
                      <w:b/>
                      <w:bCs/>
                      <w:sz w:val="21"/>
                      <w:szCs w:val="21"/>
                    </w:rPr>
                  </w:pPr>
                  <w:r>
                    <w:rPr>
                      <w:rFonts w:hint="eastAsia"/>
                      <w:b/>
                      <w:bCs/>
                      <w:sz w:val="21"/>
                      <w:szCs w:val="21"/>
                    </w:rPr>
                    <w:t>以新代老削减量</w:t>
                  </w:r>
                </w:p>
              </w:tc>
              <w:tc>
                <w:tcPr>
                  <w:tcW w:w="983" w:type="dxa"/>
                  <w:vMerge w:val="restart"/>
                  <w:vAlign w:val="center"/>
                </w:tcPr>
                <w:p w14:paraId="58CB8FDE">
                  <w:pPr>
                    <w:pStyle w:val="11"/>
                    <w:adjustRightInd w:val="0"/>
                    <w:snapToGrid w:val="0"/>
                    <w:spacing w:line="240" w:lineRule="auto"/>
                    <w:ind w:left="0" w:right="0" w:firstLine="0"/>
                    <w:jc w:val="center"/>
                    <w:rPr>
                      <w:b/>
                      <w:bCs/>
                      <w:sz w:val="21"/>
                      <w:szCs w:val="21"/>
                    </w:rPr>
                  </w:pPr>
                  <w:r>
                    <w:rPr>
                      <w:rFonts w:hint="eastAsia"/>
                      <w:b/>
                      <w:bCs/>
                      <w:sz w:val="21"/>
                      <w:szCs w:val="21"/>
                    </w:rPr>
                    <w:t>全厂排放总量</w:t>
                  </w:r>
                </w:p>
              </w:tc>
              <w:tc>
                <w:tcPr>
                  <w:tcW w:w="1126" w:type="dxa"/>
                  <w:vMerge w:val="restart"/>
                  <w:vAlign w:val="center"/>
                </w:tcPr>
                <w:p w14:paraId="4B87675F">
                  <w:pPr>
                    <w:pStyle w:val="11"/>
                    <w:adjustRightInd w:val="0"/>
                    <w:snapToGrid w:val="0"/>
                    <w:spacing w:line="240" w:lineRule="auto"/>
                    <w:ind w:left="0" w:right="0" w:firstLine="0"/>
                    <w:jc w:val="center"/>
                    <w:rPr>
                      <w:b/>
                      <w:bCs/>
                      <w:sz w:val="21"/>
                      <w:szCs w:val="21"/>
                    </w:rPr>
                  </w:pPr>
                  <w:r>
                    <w:rPr>
                      <w:rFonts w:hint="eastAsia"/>
                      <w:b/>
                      <w:bCs/>
                      <w:sz w:val="21"/>
                      <w:szCs w:val="21"/>
                    </w:rPr>
                    <w:t>排放增减量</w:t>
                  </w:r>
                </w:p>
              </w:tc>
            </w:tr>
            <w:tr w14:paraId="29061CA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7" w:type="dxa"/>
                  <w:gridSpan w:val="2"/>
                  <w:vMerge w:val="continue"/>
                  <w:vAlign w:val="center"/>
                </w:tcPr>
                <w:p w14:paraId="47E52B9E">
                  <w:pPr>
                    <w:pStyle w:val="11"/>
                    <w:adjustRightInd w:val="0"/>
                    <w:snapToGrid w:val="0"/>
                    <w:spacing w:line="240" w:lineRule="auto"/>
                    <w:ind w:left="0" w:right="0" w:firstLine="0"/>
                    <w:jc w:val="center"/>
                    <w:rPr>
                      <w:b/>
                      <w:bCs/>
                      <w:sz w:val="21"/>
                      <w:szCs w:val="21"/>
                    </w:rPr>
                  </w:pPr>
                </w:p>
              </w:tc>
              <w:tc>
                <w:tcPr>
                  <w:tcW w:w="1313" w:type="dxa"/>
                  <w:vAlign w:val="center"/>
                </w:tcPr>
                <w:p w14:paraId="41B07397">
                  <w:pPr>
                    <w:pStyle w:val="11"/>
                    <w:adjustRightInd w:val="0"/>
                    <w:snapToGrid w:val="0"/>
                    <w:spacing w:line="240" w:lineRule="auto"/>
                    <w:ind w:left="0" w:right="0" w:firstLine="0"/>
                    <w:jc w:val="center"/>
                    <w:rPr>
                      <w:b/>
                      <w:bCs/>
                      <w:sz w:val="21"/>
                      <w:szCs w:val="21"/>
                    </w:rPr>
                  </w:pPr>
                  <w:r>
                    <w:rPr>
                      <w:rFonts w:hint="eastAsia"/>
                      <w:b/>
                      <w:bCs/>
                      <w:sz w:val="21"/>
                      <w:szCs w:val="21"/>
                    </w:rPr>
                    <w:t>实际排放量</w:t>
                  </w:r>
                </w:p>
              </w:tc>
              <w:tc>
                <w:tcPr>
                  <w:tcW w:w="1302" w:type="dxa"/>
                  <w:vAlign w:val="center"/>
                </w:tcPr>
                <w:p w14:paraId="7827FE71">
                  <w:pPr>
                    <w:pStyle w:val="11"/>
                    <w:adjustRightInd w:val="0"/>
                    <w:snapToGrid w:val="0"/>
                    <w:spacing w:line="240" w:lineRule="auto"/>
                    <w:ind w:left="0" w:right="0" w:firstLine="0"/>
                    <w:jc w:val="center"/>
                    <w:rPr>
                      <w:b/>
                      <w:bCs/>
                      <w:sz w:val="21"/>
                      <w:szCs w:val="21"/>
                    </w:rPr>
                  </w:pPr>
                  <w:r>
                    <w:rPr>
                      <w:rFonts w:hint="eastAsia"/>
                      <w:b/>
                      <w:bCs/>
                      <w:sz w:val="21"/>
                      <w:szCs w:val="21"/>
                    </w:rPr>
                    <w:t>许可排放量</w:t>
                  </w:r>
                </w:p>
              </w:tc>
              <w:tc>
                <w:tcPr>
                  <w:tcW w:w="873" w:type="dxa"/>
                  <w:vMerge w:val="continue"/>
                  <w:vAlign w:val="center"/>
                </w:tcPr>
                <w:p w14:paraId="7CAE5AB5">
                  <w:pPr>
                    <w:pStyle w:val="11"/>
                    <w:adjustRightInd w:val="0"/>
                    <w:snapToGrid w:val="0"/>
                    <w:spacing w:line="240" w:lineRule="auto"/>
                    <w:ind w:left="0" w:right="0" w:firstLine="0"/>
                    <w:jc w:val="center"/>
                    <w:rPr>
                      <w:b/>
                      <w:bCs/>
                      <w:sz w:val="21"/>
                      <w:szCs w:val="21"/>
                    </w:rPr>
                  </w:pPr>
                </w:p>
              </w:tc>
              <w:tc>
                <w:tcPr>
                  <w:tcW w:w="1081" w:type="dxa"/>
                  <w:vMerge w:val="continue"/>
                  <w:vAlign w:val="center"/>
                </w:tcPr>
                <w:p w14:paraId="3141163A">
                  <w:pPr>
                    <w:pStyle w:val="11"/>
                    <w:adjustRightInd w:val="0"/>
                    <w:snapToGrid w:val="0"/>
                    <w:spacing w:line="240" w:lineRule="auto"/>
                    <w:ind w:left="0" w:right="0" w:firstLine="0"/>
                    <w:jc w:val="center"/>
                    <w:rPr>
                      <w:b/>
                      <w:bCs/>
                      <w:sz w:val="21"/>
                      <w:szCs w:val="21"/>
                    </w:rPr>
                  </w:pPr>
                </w:p>
              </w:tc>
              <w:tc>
                <w:tcPr>
                  <w:tcW w:w="983" w:type="dxa"/>
                  <w:vMerge w:val="continue"/>
                  <w:vAlign w:val="center"/>
                </w:tcPr>
                <w:p w14:paraId="615AC676">
                  <w:pPr>
                    <w:pStyle w:val="11"/>
                    <w:adjustRightInd w:val="0"/>
                    <w:snapToGrid w:val="0"/>
                    <w:spacing w:line="240" w:lineRule="auto"/>
                    <w:ind w:left="0" w:right="0" w:firstLine="0"/>
                    <w:jc w:val="center"/>
                    <w:rPr>
                      <w:b/>
                      <w:bCs/>
                      <w:sz w:val="21"/>
                      <w:szCs w:val="21"/>
                    </w:rPr>
                  </w:pPr>
                </w:p>
              </w:tc>
              <w:tc>
                <w:tcPr>
                  <w:tcW w:w="1126" w:type="dxa"/>
                  <w:vMerge w:val="continue"/>
                  <w:vAlign w:val="center"/>
                </w:tcPr>
                <w:p w14:paraId="60FA2017">
                  <w:pPr>
                    <w:pStyle w:val="11"/>
                    <w:adjustRightInd w:val="0"/>
                    <w:snapToGrid w:val="0"/>
                    <w:spacing w:line="240" w:lineRule="auto"/>
                    <w:ind w:left="0" w:right="0" w:firstLine="0"/>
                    <w:jc w:val="center"/>
                    <w:rPr>
                      <w:b/>
                      <w:bCs/>
                      <w:sz w:val="21"/>
                      <w:szCs w:val="21"/>
                    </w:rPr>
                  </w:pPr>
                </w:p>
              </w:tc>
            </w:tr>
            <w:tr w14:paraId="4A56035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454" w:hRule="atLeast"/>
                <w:jc w:val="center"/>
              </w:trPr>
              <w:tc>
                <w:tcPr>
                  <w:tcW w:w="913" w:type="dxa"/>
                  <w:vMerge w:val="restart"/>
                  <w:vAlign w:val="center"/>
                </w:tcPr>
                <w:p w14:paraId="4A1878C6">
                  <w:pPr>
                    <w:pStyle w:val="11"/>
                    <w:adjustRightInd w:val="0"/>
                    <w:snapToGrid w:val="0"/>
                    <w:spacing w:line="240" w:lineRule="auto"/>
                    <w:ind w:left="0" w:right="0" w:firstLine="0"/>
                    <w:jc w:val="center"/>
                    <w:rPr>
                      <w:sz w:val="21"/>
                      <w:szCs w:val="21"/>
                    </w:rPr>
                  </w:pPr>
                  <w:r>
                    <w:rPr>
                      <w:rFonts w:hint="eastAsia"/>
                      <w:sz w:val="21"/>
                      <w:szCs w:val="21"/>
                    </w:rPr>
                    <w:t>废气</w:t>
                  </w:r>
                </w:p>
              </w:tc>
              <w:tc>
                <w:tcPr>
                  <w:tcW w:w="1214" w:type="dxa"/>
                  <w:vAlign w:val="center"/>
                </w:tcPr>
                <w:p w14:paraId="07C9A54C">
                  <w:pPr>
                    <w:pStyle w:val="11"/>
                    <w:spacing w:line="240" w:lineRule="auto"/>
                    <w:ind w:left="0" w:right="0" w:firstLine="0"/>
                    <w:jc w:val="center"/>
                    <w:rPr>
                      <w:sz w:val="21"/>
                      <w:szCs w:val="21"/>
                    </w:rPr>
                  </w:pPr>
                  <w:r>
                    <w:rPr>
                      <w:rFonts w:hint="eastAsia"/>
                      <w:sz w:val="21"/>
                      <w:szCs w:val="21"/>
                    </w:rPr>
                    <w:t>颗粒物</w:t>
                  </w:r>
                </w:p>
              </w:tc>
              <w:tc>
                <w:tcPr>
                  <w:tcW w:w="1313" w:type="dxa"/>
                  <w:vAlign w:val="center"/>
                </w:tcPr>
                <w:p w14:paraId="77B73447">
                  <w:pPr>
                    <w:pStyle w:val="11"/>
                    <w:spacing w:line="240" w:lineRule="auto"/>
                    <w:ind w:left="0" w:right="0" w:firstLine="0"/>
                    <w:jc w:val="center"/>
                    <w:rPr>
                      <w:rFonts w:hint="eastAsia"/>
                      <w:sz w:val="21"/>
                      <w:szCs w:val="21"/>
                    </w:rPr>
                  </w:pPr>
                  <w:r>
                    <w:rPr>
                      <w:rFonts w:hint="eastAsia"/>
                      <w:sz w:val="21"/>
                      <w:szCs w:val="21"/>
                    </w:rPr>
                    <w:t>0.0047</w:t>
                  </w:r>
                </w:p>
              </w:tc>
              <w:tc>
                <w:tcPr>
                  <w:tcW w:w="1302" w:type="dxa"/>
                  <w:vAlign w:val="center"/>
                </w:tcPr>
                <w:p w14:paraId="48A82C41">
                  <w:pPr>
                    <w:pStyle w:val="11"/>
                    <w:spacing w:line="240" w:lineRule="auto"/>
                    <w:ind w:left="0" w:right="0" w:firstLine="0"/>
                    <w:jc w:val="center"/>
                    <w:rPr>
                      <w:rFonts w:hint="eastAsia"/>
                      <w:sz w:val="21"/>
                      <w:szCs w:val="21"/>
                    </w:rPr>
                  </w:pPr>
                  <w:r>
                    <w:rPr>
                      <w:rFonts w:hint="eastAsia"/>
                      <w:sz w:val="21"/>
                      <w:szCs w:val="21"/>
                    </w:rPr>
                    <w:t>/</w:t>
                  </w:r>
                </w:p>
              </w:tc>
              <w:tc>
                <w:tcPr>
                  <w:tcW w:w="873" w:type="dxa"/>
                  <w:vAlign w:val="center"/>
                </w:tcPr>
                <w:p w14:paraId="021B9ECB">
                  <w:pPr>
                    <w:pStyle w:val="11"/>
                    <w:spacing w:line="240" w:lineRule="auto"/>
                    <w:ind w:left="0" w:right="0" w:firstLine="0"/>
                    <w:jc w:val="center"/>
                    <w:rPr>
                      <w:rFonts w:hint="eastAsia"/>
                      <w:sz w:val="21"/>
                      <w:szCs w:val="21"/>
                    </w:rPr>
                  </w:pPr>
                  <w:r>
                    <w:rPr>
                      <w:rFonts w:hint="eastAsia"/>
                      <w:sz w:val="21"/>
                      <w:szCs w:val="21"/>
                    </w:rPr>
                    <w:t>0.0047</w:t>
                  </w:r>
                </w:p>
              </w:tc>
              <w:tc>
                <w:tcPr>
                  <w:tcW w:w="1081" w:type="dxa"/>
                  <w:vAlign w:val="center"/>
                </w:tcPr>
                <w:p w14:paraId="51785A38">
                  <w:pPr>
                    <w:pStyle w:val="11"/>
                    <w:spacing w:line="240" w:lineRule="auto"/>
                    <w:ind w:left="0" w:right="0" w:firstLine="0"/>
                    <w:jc w:val="center"/>
                    <w:rPr>
                      <w:rFonts w:hint="eastAsia"/>
                      <w:sz w:val="21"/>
                      <w:szCs w:val="21"/>
                    </w:rPr>
                  </w:pPr>
                  <w:r>
                    <w:rPr>
                      <w:rFonts w:hint="eastAsia"/>
                      <w:sz w:val="21"/>
                      <w:szCs w:val="21"/>
                    </w:rPr>
                    <w:t>0.0047</w:t>
                  </w:r>
                </w:p>
              </w:tc>
              <w:tc>
                <w:tcPr>
                  <w:tcW w:w="983" w:type="dxa"/>
                  <w:vAlign w:val="center"/>
                </w:tcPr>
                <w:p w14:paraId="1A25F5C5">
                  <w:pPr>
                    <w:pStyle w:val="11"/>
                    <w:spacing w:line="240" w:lineRule="auto"/>
                    <w:ind w:left="0" w:right="0" w:firstLine="0"/>
                    <w:jc w:val="center"/>
                    <w:rPr>
                      <w:rFonts w:hint="eastAsia"/>
                      <w:sz w:val="21"/>
                      <w:szCs w:val="21"/>
                    </w:rPr>
                  </w:pPr>
                  <w:r>
                    <w:rPr>
                      <w:rFonts w:hint="eastAsia"/>
                      <w:sz w:val="21"/>
                      <w:szCs w:val="21"/>
                    </w:rPr>
                    <w:t>0.0047</w:t>
                  </w:r>
                </w:p>
              </w:tc>
              <w:tc>
                <w:tcPr>
                  <w:tcW w:w="1126" w:type="dxa"/>
                  <w:vAlign w:val="center"/>
                </w:tcPr>
                <w:p w14:paraId="3FCB2464">
                  <w:pPr>
                    <w:pStyle w:val="11"/>
                    <w:spacing w:line="240" w:lineRule="auto"/>
                    <w:ind w:left="0" w:right="0" w:firstLine="0"/>
                    <w:jc w:val="center"/>
                    <w:rPr>
                      <w:rFonts w:hint="eastAsia"/>
                      <w:sz w:val="21"/>
                      <w:szCs w:val="21"/>
                    </w:rPr>
                  </w:pPr>
                  <w:r>
                    <w:rPr>
                      <w:rFonts w:hint="eastAsia"/>
                      <w:sz w:val="21"/>
                      <w:szCs w:val="21"/>
                      <w:lang w:val="en-US" w:eastAsia="zh-CN"/>
                    </w:rPr>
                    <w:t>0</w:t>
                  </w:r>
                </w:p>
              </w:tc>
            </w:tr>
            <w:tr w14:paraId="1295751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dxa"/>
                  <w:vMerge w:val="continue"/>
                  <w:vAlign w:val="center"/>
                </w:tcPr>
                <w:p w14:paraId="6B922C32">
                  <w:pPr>
                    <w:pStyle w:val="11"/>
                    <w:adjustRightInd w:val="0"/>
                    <w:snapToGrid w:val="0"/>
                    <w:spacing w:line="240" w:lineRule="auto"/>
                    <w:ind w:left="0" w:right="0" w:firstLine="0"/>
                    <w:jc w:val="center"/>
                    <w:rPr>
                      <w:sz w:val="21"/>
                      <w:szCs w:val="21"/>
                    </w:rPr>
                  </w:pPr>
                </w:p>
              </w:tc>
              <w:tc>
                <w:tcPr>
                  <w:tcW w:w="1214" w:type="dxa"/>
                  <w:vAlign w:val="center"/>
                </w:tcPr>
                <w:p w14:paraId="45544491">
                  <w:pPr>
                    <w:pStyle w:val="11"/>
                    <w:spacing w:line="240" w:lineRule="auto"/>
                    <w:ind w:left="0" w:right="0" w:firstLine="0"/>
                    <w:jc w:val="center"/>
                    <w:rPr>
                      <w:sz w:val="21"/>
                      <w:szCs w:val="21"/>
                    </w:rPr>
                  </w:pPr>
                  <w:r>
                    <w:rPr>
                      <w:sz w:val="21"/>
                      <w:szCs w:val="21"/>
                    </w:rPr>
                    <w:t>SO</w:t>
                  </w:r>
                  <w:r>
                    <w:rPr>
                      <w:sz w:val="21"/>
                      <w:szCs w:val="21"/>
                      <w:vertAlign w:val="subscript"/>
                    </w:rPr>
                    <w:t>2</w:t>
                  </w:r>
                </w:p>
              </w:tc>
              <w:tc>
                <w:tcPr>
                  <w:tcW w:w="1313" w:type="dxa"/>
                  <w:vAlign w:val="center"/>
                </w:tcPr>
                <w:p w14:paraId="55C04F1B">
                  <w:pPr>
                    <w:pStyle w:val="11"/>
                    <w:spacing w:line="240" w:lineRule="auto"/>
                    <w:ind w:left="0" w:right="0" w:firstLine="0"/>
                    <w:jc w:val="center"/>
                    <w:rPr>
                      <w:rFonts w:hint="eastAsia" w:eastAsia="宋体"/>
                      <w:sz w:val="21"/>
                      <w:szCs w:val="21"/>
                      <w:lang w:eastAsia="zh-CN"/>
                    </w:rPr>
                  </w:pPr>
                  <w:r>
                    <w:rPr>
                      <w:rFonts w:hint="eastAsia"/>
                      <w:sz w:val="21"/>
                      <w:szCs w:val="21"/>
                      <w:lang w:eastAsia="zh-CN"/>
                    </w:rPr>
                    <w:t>0.008</w:t>
                  </w:r>
                </w:p>
              </w:tc>
              <w:tc>
                <w:tcPr>
                  <w:tcW w:w="1302" w:type="dxa"/>
                  <w:vAlign w:val="center"/>
                </w:tcPr>
                <w:p w14:paraId="03BFC228">
                  <w:pPr>
                    <w:pStyle w:val="11"/>
                    <w:spacing w:line="240" w:lineRule="auto"/>
                    <w:ind w:left="0" w:right="0" w:firstLine="0"/>
                    <w:jc w:val="center"/>
                    <w:rPr>
                      <w:rFonts w:hint="eastAsia"/>
                      <w:sz w:val="21"/>
                      <w:szCs w:val="21"/>
                    </w:rPr>
                  </w:pPr>
                  <w:r>
                    <w:rPr>
                      <w:rFonts w:hint="eastAsia"/>
                      <w:sz w:val="21"/>
                      <w:szCs w:val="21"/>
                    </w:rPr>
                    <w:t>/</w:t>
                  </w:r>
                </w:p>
              </w:tc>
              <w:tc>
                <w:tcPr>
                  <w:tcW w:w="873" w:type="dxa"/>
                  <w:vAlign w:val="center"/>
                </w:tcPr>
                <w:p w14:paraId="561E00C3">
                  <w:pPr>
                    <w:pStyle w:val="11"/>
                    <w:spacing w:line="240" w:lineRule="auto"/>
                    <w:ind w:left="0" w:right="0" w:firstLine="0"/>
                    <w:jc w:val="center"/>
                    <w:rPr>
                      <w:rFonts w:hint="eastAsia" w:eastAsia="宋体"/>
                      <w:sz w:val="21"/>
                      <w:szCs w:val="21"/>
                      <w:lang w:eastAsia="zh-CN"/>
                    </w:rPr>
                  </w:pPr>
                  <w:r>
                    <w:rPr>
                      <w:rFonts w:hint="eastAsia"/>
                      <w:sz w:val="21"/>
                      <w:szCs w:val="21"/>
                      <w:lang w:eastAsia="zh-CN"/>
                    </w:rPr>
                    <w:t>0.008</w:t>
                  </w:r>
                </w:p>
              </w:tc>
              <w:tc>
                <w:tcPr>
                  <w:tcW w:w="1081" w:type="dxa"/>
                  <w:vAlign w:val="center"/>
                </w:tcPr>
                <w:p w14:paraId="143A7949">
                  <w:pPr>
                    <w:pStyle w:val="11"/>
                    <w:spacing w:line="240" w:lineRule="auto"/>
                    <w:ind w:left="0" w:right="0" w:firstLine="0"/>
                    <w:jc w:val="center"/>
                    <w:rPr>
                      <w:rFonts w:hint="eastAsia" w:eastAsia="宋体"/>
                      <w:sz w:val="21"/>
                      <w:szCs w:val="21"/>
                      <w:lang w:eastAsia="zh-CN"/>
                    </w:rPr>
                  </w:pPr>
                  <w:r>
                    <w:rPr>
                      <w:rFonts w:hint="eastAsia"/>
                      <w:sz w:val="21"/>
                      <w:szCs w:val="21"/>
                      <w:lang w:eastAsia="zh-CN"/>
                    </w:rPr>
                    <w:t>0.008</w:t>
                  </w:r>
                </w:p>
              </w:tc>
              <w:tc>
                <w:tcPr>
                  <w:tcW w:w="983" w:type="dxa"/>
                  <w:vAlign w:val="center"/>
                </w:tcPr>
                <w:p w14:paraId="347C0093">
                  <w:pPr>
                    <w:pStyle w:val="11"/>
                    <w:spacing w:line="240" w:lineRule="auto"/>
                    <w:ind w:left="0" w:right="0" w:firstLine="0"/>
                    <w:jc w:val="center"/>
                    <w:rPr>
                      <w:rFonts w:hint="eastAsia" w:eastAsia="宋体"/>
                      <w:sz w:val="21"/>
                      <w:szCs w:val="21"/>
                      <w:lang w:eastAsia="zh-CN"/>
                    </w:rPr>
                  </w:pPr>
                  <w:r>
                    <w:rPr>
                      <w:rFonts w:hint="eastAsia"/>
                      <w:sz w:val="21"/>
                      <w:szCs w:val="21"/>
                      <w:lang w:eastAsia="zh-CN"/>
                    </w:rPr>
                    <w:t>0.008</w:t>
                  </w:r>
                </w:p>
              </w:tc>
              <w:tc>
                <w:tcPr>
                  <w:tcW w:w="1126" w:type="dxa"/>
                  <w:vAlign w:val="center"/>
                </w:tcPr>
                <w:p w14:paraId="641C932F">
                  <w:pPr>
                    <w:pStyle w:val="11"/>
                    <w:spacing w:line="240" w:lineRule="auto"/>
                    <w:ind w:left="0" w:right="0" w:firstLine="0"/>
                    <w:jc w:val="center"/>
                    <w:rPr>
                      <w:rFonts w:hint="eastAsia"/>
                      <w:sz w:val="21"/>
                      <w:szCs w:val="21"/>
                    </w:rPr>
                  </w:pPr>
                  <w:r>
                    <w:rPr>
                      <w:rFonts w:hint="eastAsia"/>
                      <w:sz w:val="21"/>
                      <w:szCs w:val="21"/>
                      <w:lang w:val="en-US" w:eastAsia="zh-CN"/>
                    </w:rPr>
                    <w:t>0</w:t>
                  </w:r>
                </w:p>
              </w:tc>
            </w:tr>
            <w:tr w14:paraId="74A4C98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dxa"/>
                  <w:vMerge w:val="continue"/>
                  <w:vAlign w:val="center"/>
                </w:tcPr>
                <w:p w14:paraId="5F3CA534">
                  <w:pPr>
                    <w:pStyle w:val="11"/>
                    <w:adjustRightInd w:val="0"/>
                    <w:snapToGrid w:val="0"/>
                    <w:spacing w:line="240" w:lineRule="auto"/>
                    <w:ind w:left="0" w:right="0" w:firstLine="0"/>
                    <w:jc w:val="center"/>
                    <w:rPr>
                      <w:sz w:val="21"/>
                      <w:szCs w:val="21"/>
                      <w:highlight w:val="green"/>
                    </w:rPr>
                  </w:pPr>
                </w:p>
              </w:tc>
              <w:tc>
                <w:tcPr>
                  <w:tcW w:w="1214" w:type="dxa"/>
                  <w:vAlign w:val="center"/>
                </w:tcPr>
                <w:p w14:paraId="7E66FA1A">
                  <w:pPr>
                    <w:pStyle w:val="11"/>
                    <w:spacing w:line="240" w:lineRule="auto"/>
                    <w:ind w:left="0" w:right="0" w:firstLine="0"/>
                    <w:jc w:val="center"/>
                    <w:rPr>
                      <w:sz w:val="21"/>
                      <w:szCs w:val="21"/>
                      <w:highlight w:val="green"/>
                    </w:rPr>
                  </w:pPr>
                  <w:r>
                    <w:rPr>
                      <w:sz w:val="21"/>
                      <w:szCs w:val="21"/>
                    </w:rPr>
                    <w:t>NOx</w:t>
                  </w:r>
                </w:p>
              </w:tc>
              <w:tc>
                <w:tcPr>
                  <w:tcW w:w="1313" w:type="dxa"/>
                  <w:vAlign w:val="center"/>
                </w:tcPr>
                <w:p w14:paraId="503D0489">
                  <w:pPr>
                    <w:pStyle w:val="11"/>
                    <w:spacing w:line="240" w:lineRule="auto"/>
                    <w:ind w:left="0" w:right="0" w:firstLine="0"/>
                    <w:jc w:val="center"/>
                    <w:rPr>
                      <w:rFonts w:hint="eastAsia"/>
                      <w:sz w:val="21"/>
                      <w:szCs w:val="21"/>
                    </w:rPr>
                  </w:pPr>
                  <w:r>
                    <w:rPr>
                      <w:rFonts w:hint="eastAsia"/>
                      <w:sz w:val="21"/>
                      <w:szCs w:val="21"/>
                    </w:rPr>
                    <w:t>0.072</w:t>
                  </w:r>
                </w:p>
              </w:tc>
              <w:tc>
                <w:tcPr>
                  <w:tcW w:w="1302" w:type="dxa"/>
                  <w:vAlign w:val="center"/>
                </w:tcPr>
                <w:p w14:paraId="5798D64A">
                  <w:pPr>
                    <w:pStyle w:val="11"/>
                    <w:spacing w:line="240" w:lineRule="auto"/>
                    <w:ind w:left="0" w:right="0" w:firstLine="0"/>
                    <w:jc w:val="center"/>
                    <w:rPr>
                      <w:rFonts w:hint="eastAsia"/>
                      <w:sz w:val="21"/>
                      <w:szCs w:val="21"/>
                    </w:rPr>
                  </w:pPr>
                  <w:r>
                    <w:rPr>
                      <w:rFonts w:hint="eastAsia"/>
                      <w:sz w:val="21"/>
                      <w:szCs w:val="21"/>
                    </w:rPr>
                    <w:t>/</w:t>
                  </w:r>
                </w:p>
              </w:tc>
              <w:tc>
                <w:tcPr>
                  <w:tcW w:w="873" w:type="dxa"/>
                  <w:vAlign w:val="center"/>
                </w:tcPr>
                <w:p w14:paraId="43243D28">
                  <w:pPr>
                    <w:pStyle w:val="11"/>
                    <w:spacing w:line="240" w:lineRule="auto"/>
                    <w:ind w:left="0" w:right="0" w:firstLine="0"/>
                    <w:jc w:val="center"/>
                    <w:rPr>
                      <w:rFonts w:hint="eastAsia"/>
                      <w:sz w:val="21"/>
                      <w:szCs w:val="21"/>
                    </w:rPr>
                  </w:pPr>
                  <w:r>
                    <w:rPr>
                      <w:rFonts w:hint="eastAsia"/>
                      <w:sz w:val="21"/>
                      <w:szCs w:val="21"/>
                    </w:rPr>
                    <w:t>0.072</w:t>
                  </w:r>
                </w:p>
              </w:tc>
              <w:tc>
                <w:tcPr>
                  <w:tcW w:w="1081" w:type="dxa"/>
                  <w:vAlign w:val="center"/>
                </w:tcPr>
                <w:p w14:paraId="4CCA45F2">
                  <w:pPr>
                    <w:pStyle w:val="11"/>
                    <w:spacing w:line="240" w:lineRule="auto"/>
                    <w:ind w:left="0" w:right="0" w:firstLine="0"/>
                    <w:jc w:val="center"/>
                    <w:rPr>
                      <w:rFonts w:hint="eastAsia"/>
                      <w:sz w:val="21"/>
                      <w:szCs w:val="21"/>
                    </w:rPr>
                  </w:pPr>
                  <w:r>
                    <w:rPr>
                      <w:rFonts w:hint="eastAsia"/>
                      <w:sz w:val="21"/>
                      <w:szCs w:val="21"/>
                    </w:rPr>
                    <w:t>0.072</w:t>
                  </w:r>
                </w:p>
              </w:tc>
              <w:tc>
                <w:tcPr>
                  <w:tcW w:w="983" w:type="dxa"/>
                  <w:vAlign w:val="center"/>
                </w:tcPr>
                <w:p w14:paraId="5DBF6AF4">
                  <w:pPr>
                    <w:pStyle w:val="11"/>
                    <w:spacing w:line="240" w:lineRule="auto"/>
                    <w:ind w:left="0" w:right="0" w:firstLine="0"/>
                    <w:jc w:val="center"/>
                    <w:rPr>
                      <w:rFonts w:hint="eastAsia"/>
                      <w:sz w:val="21"/>
                      <w:szCs w:val="21"/>
                    </w:rPr>
                  </w:pPr>
                  <w:r>
                    <w:rPr>
                      <w:rFonts w:hint="eastAsia"/>
                      <w:sz w:val="21"/>
                      <w:szCs w:val="21"/>
                    </w:rPr>
                    <w:t>0.072</w:t>
                  </w:r>
                </w:p>
              </w:tc>
              <w:tc>
                <w:tcPr>
                  <w:tcW w:w="1126" w:type="dxa"/>
                  <w:vAlign w:val="center"/>
                </w:tcPr>
                <w:p w14:paraId="01B5266F">
                  <w:pPr>
                    <w:pStyle w:val="11"/>
                    <w:spacing w:line="240" w:lineRule="auto"/>
                    <w:ind w:left="0" w:right="0" w:firstLine="0"/>
                    <w:jc w:val="center"/>
                    <w:rPr>
                      <w:rFonts w:hint="eastAsia"/>
                      <w:sz w:val="21"/>
                      <w:szCs w:val="21"/>
                    </w:rPr>
                  </w:pPr>
                  <w:r>
                    <w:rPr>
                      <w:rFonts w:hint="eastAsia"/>
                      <w:sz w:val="21"/>
                      <w:szCs w:val="21"/>
                      <w:lang w:val="en-US" w:eastAsia="zh-CN"/>
                    </w:rPr>
                    <w:t>0</w:t>
                  </w:r>
                </w:p>
              </w:tc>
            </w:tr>
            <w:tr w14:paraId="69F22F0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dxa"/>
                  <w:vMerge w:val="restart"/>
                  <w:vAlign w:val="center"/>
                </w:tcPr>
                <w:p w14:paraId="34502A97">
                  <w:pPr>
                    <w:pStyle w:val="11"/>
                    <w:adjustRightInd w:val="0"/>
                    <w:snapToGrid w:val="0"/>
                    <w:spacing w:line="240" w:lineRule="auto"/>
                    <w:ind w:left="0" w:right="0" w:firstLine="0"/>
                    <w:jc w:val="center"/>
                    <w:rPr>
                      <w:rFonts w:hint="default" w:eastAsia="宋体"/>
                      <w:sz w:val="21"/>
                      <w:szCs w:val="21"/>
                      <w:highlight w:val="green"/>
                      <w:lang w:val="en-US" w:eastAsia="zh-CN"/>
                    </w:rPr>
                  </w:pPr>
                  <w:r>
                    <w:rPr>
                      <w:rFonts w:hint="eastAsia"/>
                      <w:sz w:val="21"/>
                      <w:szCs w:val="21"/>
                      <w:lang w:val="en-US" w:eastAsia="zh-CN"/>
                    </w:rPr>
                    <w:t>废水</w:t>
                  </w:r>
                </w:p>
              </w:tc>
              <w:tc>
                <w:tcPr>
                  <w:tcW w:w="1214" w:type="dxa"/>
                  <w:vAlign w:val="center"/>
                </w:tcPr>
                <w:p w14:paraId="6C45D41C">
                  <w:pPr>
                    <w:pStyle w:val="11"/>
                    <w:spacing w:line="240" w:lineRule="auto"/>
                    <w:ind w:left="0" w:right="0" w:firstLine="0"/>
                    <w:jc w:val="center"/>
                    <w:rPr>
                      <w:rFonts w:hint="eastAsia"/>
                      <w:sz w:val="21"/>
                      <w:szCs w:val="21"/>
                    </w:rPr>
                  </w:pPr>
                  <w:r>
                    <w:rPr>
                      <w:rFonts w:hint="eastAsia"/>
                      <w:sz w:val="21"/>
                      <w:szCs w:val="21"/>
                    </w:rPr>
                    <w:t>COD</w:t>
                  </w:r>
                </w:p>
              </w:tc>
              <w:tc>
                <w:tcPr>
                  <w:tcW w:w="1313" w:type="dxa"/>
                  <w:vAlign w:val="center"/>
                </w:tcPr>
                <w:p w14:paraId="165743FF">
                  <w:pPr>
                    <w:pStyle w:val="11"/>
                    <w:spacing w:line="240" w:lineRule="auto"/>
                    <w:ind w:left="0" w:right="0" w:firstLine="0"/>
                    <w:jc w:val="center"/>
                    <w:rPr>
                      <w:rFonts w:hint="eastAsia" w:eastAsia="宋体"/>
                      <w:sz w:val="21"/>
                      <w:szCs w:val="21"/>
                      <w:lang w:eastAsia="zh-CN"/>
                    </w:rPr>
                  </w:pPr>
                  <w:r>
                    <w:rPr>
                      <w:rFonts w:hint="eastAsia"/>
                      <w:sz w:val="21"/>
                      <w:szCs w:val="21"/>
                      <w:lang w:eastAsia="zh-CN"/>
                    </w:rPr>
                    <w:t>0.0548</w:t>
                  </w:r>
                </w:p>
              </w:tc>
              <w:tc>
                <w:tcPr>
                  <w:tcW w:w="1302" w:type="dxa"/>
                  <w:vAlign w:val="center"/>
                </w:tcPr>
                <w:p w14:paraId="60276DBB">
                  <w:pPr>
                    <w:pStyle w:val="11"/>
                    <w:spacing w:line="240" w:lineRule="auto"/>
                    <w:ind w:left="0" w:right="0" w:firstLine="0"/>
                    <w:jc w:val="center"/>
                    <w:rPr>
                      <w:rFonts w:hint="eastAsia"/>
                      <w:sz w:val="21"/>
                      <w:szCs w:val="21"/>
                      <w:lang w:val="en-US" w:eastAsia="zh-CN"/>
                    </w:rPr>
                  </w:pPr>
                  <w:r>
                    <w:rPr>
                      <w:rFonts w:hint="eastAsia"/>
                      <w:sz w:val="21"/>
                      <w:szCs w:val="21"/>
                      <w:lang w:val="en-US" w:eastAsia="zh-CN"/>
                    </w:rPr>
                    <w:t>/</w:t>
                  </w:r>
                </w:p>
              </w:tc>
              <w:tc>
                <w:tcPr>
                  <w:tcW w:w="873" w:type="dxa"/>
                  <w:vAlign w:val="center"/>
                </w:tcPr>
                <w:p w14:paraId="4D1F80EF">
                  <w:pPr>
                    <w:pStyle w:val="11"/>
                    <w:spacing w:line="240" w:lineRule="auto"/>
                    <w:ind w:left="0" w:right="0" w:firstLine="0"/>
                    <w:jc w:val="center"/>
                    <w:rPr>
                      <w:rFonts w:hint="eastAsia" w:eastAsia="宋体"/>
                      <w:sz w:val="21"/>
                      <w:szCs w:val="21"/>
                      <w:lang w:val="en-US" w:eastAsia="zh-CN"/>
                    </w:rPr>
                  </w:pPr>
                  <w:r>
                    <w:rPr>
                      <w:rFonts w:hint="eastAsia"/>
                      <w:sz w:val="21"/>
                      <w:szCs w:val="21"/>
                      <w:lang w:eastAsia="zh-CN"/>
                    </w:rPr>
                    <w:t>0.0546</w:t>
                  </w:r>
                </w:p>
              </w:tc>
              <w:tc>
                <w:tcPr>
                  <w:tcW w:w="1081" w:type="dxa"/>
                  <w:vAlign w:val="center"/>
                </w:tcPr>
                <w:p w14:paraId="11BF5743">
                  <w:pPr>
                    <w:pStyle w:val="11"/>
                    <w:spacing w:line="240" w:lineRule="auto"/>
                    <w:ind w:left="0" w:right="0" w:firstLine="0"/>
                    <w:jc w:val="center"/>
                    <w:rPr>
                      <w:rFonts w:hint="eastAsia" w:eastAsia="宋体"/>
                      <w:sz w:val="21"/>
                      <w:szCs w:val="21"/>
                      <w:lang w:eastAsia="zh-CN"/>
                    </w:rPr>
                  </w:pPr>
                  <w:r>
                    <w:rPr>
                      <w:rFonts w:hint="eastAsia"/>
                      <w:sz w:val="21"/>
                      <w:szCs w:val="21"/>
                      <w:lang w:eastAsia="zh-CN"/>
                    </w:rPr>
                    <w:t>0.0548</w:t>
                  </w:r>
                </w:p>
              </w:tc>
              <w:tc>
                <w:tcPr>
                  <w:tcW w:w="983" w:type="dxa"/>
                  <w:vAlign w:val="center"/>
                </w:tcPr>
                <w:p w14:paraId="1A81100D">
                  <w:pPr>
                    <w:pStyle w:val="11"/>
                    <w:spacing w:line="240" w:lineRule="auto"/>
                    <w:ind w:left="0" w:right="0" w:firstLine="0"/>
                    <w:jc w:val="center"/>
                    <w:rPr>
                      <w:rFonts w:hint="eastAsia" w:eastAsia="宋体"/>
                      <w:sz w:val="21"/>
                      <w:szCs w:val="21"/>
                      <w:lang w:val="en-US" w:eastAsia="zh-CN"/>
                    </w:rPr>
                  </w:pPr>
                  <w:r>
                    <w:rPr>
                      <w:rFonts w:hint="eastAsia"/>
                      <w:sz w:val="21"/>
                      <w:szCs w:val="21"/>
                      <w:lang w:eastAsia="zh-CN"/>
                    </w:rPr>
                    <w:t>0.0546</w:t>
                  </w:r>
                </w:p>
              </w:tc>
              <w:tc>
                <w:tcPr>
                  <w:tcW w:w="1126" w:type="dxa"/>
                  <w:vAlign w:val="center"/>
                </w:tcPr>
                <w:p w14:paraId="736F5F2A">
                  <w:pPr>
                    <w:pStyle w:val="11"/>
                    <w:spacing w:line="240" w:lineRule="auto"/>
                    <w:ind w:left="0" w:right="0" w:firstLine="0"/>
                    <w:jc w:val="center"/>
                    <w:rPr>
                      <w:rFonts w:hint="default" w:eastAsia="宋体"/>
                      <w:sz w:val="21"/>
                      <w:szCs w:val="21"/>
                      <w:lang w:val="en-US" w:eastAsia="zh-CN"/>
                    </w:rPr>
                  </w:pPr>
                  <w:r>
                    <w:rPr>
                      <w:rFonts w:hint="eastAsia"/>
                      <w:sz w:val="21"/>
                      <w:szCs w:val="21"/>
                      <w:lang w:eastAsia="zh-CN"/>
                    </w:rPr>
                    <w:t>-0.0002</w:t>
                  </w:r>
                </w:p>
              </w:tc>
            </w:tr>
            <w:tr w14:paraId="505809C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dxa"/>
                  <w:vMerge w:val="continue"/>
                  <w:vAlign w:val="center"/>
                </w:tcPr>
                <w:p w14:paraId="06EBD8A2">
                  <w:pPr>
                    <w:pStyle w:val="11"/>
                    <w:adjustRightInd w:val="0"/>
                    <w:snapToGrid w:val="0"/>
                    <w:spacing w:line="240" w:lineRule="auto"/>
                    <w:ind w:left="0" w:right="0" w:firstLine="0"/>
                    <w:jc w:val="center"/>
                    <w:rPr>
                      <w:sz w:val="21"/>
                      <w:szCs w:val="21"/>
                      <w:highlight w:val="green"/>
                    </w:rPr>
                  </w:pPr>
                </w:p>
              </w:tc>
              <w:tc>
                <w:tcPr>
                  <w:tcW w:w="1214" w:type="dxa"/>
                  <w:vAlign w:val="center"/>
                </w:tcPr>
                <w:p w14:paraId="3DE385A4">
                  <w:pPr>
                    <w:pStyle w:val="11"/>
                    <w:spacing w:line="240" w:lineRule="auto"/>
                    <w:ind w:left="0" w:right="0" w:firstLine="0"/>
                    <w:jc w:val="center"/>
                    <w:rPr>
                      <w:rFonts w:hint="eastAsia"/>
                      <w:sz w:val="21"/>
                      <w:szCs w:val="21"/>
                    </w:rPr>
                  </w:pPr>
                  <w:r>
                    <w:rPr>
                      <w:rFonts w:hint="eastAsia"/>
                      <w:sz w:val="21"/>
                      <w:szCs w:val="21"/>
                    </w:rPr>
                    <w:t>氨氮</w:t>
                  </w:r>
                </w:p>
              </w:tc>
              <w:tc>
                <w:tcPr>
                  <w:tcW w:w="1313" w:type="dxa"/>
                  <w:vAlign w:val="center"/>
                </w:tcPr>
                <w:p w14:paraId="4E772076">
                  <w:pPr>
                    <w:pStyle w:val="11"/>
                    <w:spacing w:line="240" w:lineRule="auto"/>
                    <w:ind w:left="0" w:right="0" w:firstLine="0"/>
                    <w:jc w:val="center"/>
                    <w:rPr>
                      <w:rFonts w:hint="eastAsia" w:eastAsia="宋体"/>
                      <w:sz w:val="21"/>
                      <w:szCs w:val="21"/>
                      <w:lang w:eastAsia="zh-CN"/>
                    </w:rPr>
                  </w:pPr>
                  <w:r>
                    <w:rPr>
                      <w:rFonts w:hint="eastAsia"/>
                      <w:sz w:val="21"/>
                      <w:szCs w:val="21"/>
                      <w:lang w:eastAsia="zh-CN"/>
                    </w:rPr>
                    <w:t>0.0003</w:t>
                  </w:r>
                </w:p>
              </w:tc>
              <w:tc>
                <w:tcPr>
                  <w:tcW w:w="1302" w:type="dxa"/>
                  <w:vAlign w:val="center"/>
                </w:tcPr>
                <w:p w14:paraId="46433714">
                  <w:pPr>
                    <w:pStyle w:val="11"/>
                    <w:spacing w:line="240" w:lineRule="auto"/>
                    <w:ind w:left="0" w:right="0" w:firstLine="0"/>
                    <w:jc w:val="center"/>
                    <w:rPr>
                      <w:rFonts w:hint="eastAsia"/>
                      <w:sz w:val="21"/>
                      <w:szCs w:val="21"/>
                      <w:lang w:val="en-US" w:eastAsia="zh-CN"/>
                    </w:rPr>
                  </w:pPr>
                  <w:r>
                    <w:rPr>
                      <w:rFonts w:hint="eastAsia"/>
                      <w:sz w:val="21"/>
                      <w:szCs w:val="21"/>
                      <w:lang w:val="en-US" w:eastAsia="zh-CN"/>
                    </w:rPr>
                    <w:t>/</w:t>
                  </w:r>
                </w:p>
              </w:tc>
              <w:tc>
                <w:tcPr>
                  <w:tcW w:w="873" w:type="dxa"/>
                  <w:vAlign w:val="center"/>
                </w:tcPr>
                <w:p w14:paraId="572AF7A8">
                  <w:pPr>
                    <w:pStyle w:val="11"/>
                    <w:spacing w:line="240" w:lineRule="auto"/>
                    <w:ind w:left="0" w:right="0" w:firstLine="0"/>
                    <w:jc w:val="center"/>
                    <w:rPr>
                      <w:rFonts w:hint="eastAsia" w:eastAsia="宋体"/>
                      <w:sz w:val="21"/>
                      <w:szCs w:val="21"/>
                      <w:lang w:val="en-US" w:eastAsia="zh-CN"/>
                    </w:rPr>
                  </w:pPr>
                  <w:r>
                    <w:rPr>
                      <w:rFonts w:hint="eastAsia"/>
                      <w:sz w:val="21"/>
                      <w:szCs w:val="21"/>
                      <w:lang w:eastAsia="zh-CN"/>
                    </w:rPr>
                    <w:t>0.0003</w:t>
                  </w:r>
                </w:p>
              </w:tc>
              <w:tc>
                <w:tcPr>
                  <w:tcW w:w="1081" w:type="dxa"/>
                  <w:vAlign w:val="center"/>
                </w:tcPr>
                <w:p w14:paraId="77B0A8F8">
                  <w:pPr>
                    <w:pStyle w:val="11"/>
                    <w:spacing w:line="240" w:lineRule="auto"/>
                    <w:ind w:left="0" w:right="0" w:firstLine="0"/>
                    <w:jc w:val="center"/>
                    <w:rPr>
                      <w:rFonts w:hint="eastAsia" w:eastAsia="宋体"/>
                      <w:sz w:val="21"/>
                      <w:szCs w:val="21"/>
                      <w:lang w:eastAsia="zh-CN"/>
                    </w:rPr>
                  </w:pPr>
                  <w:r>
                    <w:rPr>
                      <w:rFonts w:hint="eastAsia"/>
                      <w:sz w:val="21"/>
                      <w:szCs w:val="21"/>
                      <w:lang w:eastAsia="zh-CN"/>
                    </w:rPr>
                    <w:t>0.0003</w:t>
                  </w:r>
                </w:p>
              </w:tc>
              <w:tc>
                <w:tcPr>
                  <w:tcW w:w="983" w:type="dxa"/>
                  <w:vAlign w:val="center"/>
                </w:tcPr>
                <w:p w14:paraId="41077C4C">
                  <w:pPr>
                    <w:pStyle w:val="11"/>
                    <w:spacing w:line="240" w:lineRule="auto"/>
                    <w:ind w:left="0" w:right="0" w:firstLine="0"/>
                    <w:jc w:val="center"/>
                    <w:rPr>
                      <w:rFonts w:hint="eastAsia" w:eastAsia="宋体"/>
                      <w:sz w:val="21"/>
                      <w:szCs w:val="21"/>
                      <w:lang w:val="en-US" w:eastAsia="zh-CN"/>
                    </w:rPr>
                  </w:pPr>
                  <w:r>
                    <w:rPr>
                      <w:rFonts w:hint="eastAsia"/>
                      <w:sz w:val="21"/>
                      <w:szCs w:val="21"/>
                      <w:lang w:eastAsia="zh-CN"/>
                    </w:rPr>
                    <w:t>0.0003</w:t>
                  </w:r>
                </w:p>
              </w:tc>
              <w:tc>
                <w:tcPr>
                  <w:tcW w:w="1126" w:type="dxa"/>
                  <w:vAlign w:val="center"/>
                </w:tcPr>
                <w:p w14:paraId="2C00EED4">
                  <w:pPr>
                    <w:pStyle w:val="11"/>
                    <w:spacing w:line="240" w:lineRule="auto"/>
                    <w:ind w:left="0" w:right="0" w:firstLine="0"/>
                    <w:jc w:val="center"/>
                    <w:rPr>
                      <w:rFonts w:hint="default" w:eastAsia="宋体"/>
                      <w:sz w:val="21"/>
                      <w:szCs w:val="21"/>
                      <w:lang w:val="en-US" w:eastAsia="zh-CN"/>
                    </w:rPr>
                  </w:pPr>
                  <w:r>
                    <w:rPr>
                      <w:rFonts w:hint="eastAsia"/>
                      <w:sz w:val="21"/>
                      <w:szCs w:val="21"/>
                      <w:lang w:val="en-US" w:eastAsia="zh-CN"/>
                    </w:rPr>
                    <w:t>0</w:t>
                  </w:r>
                </w:p>
              </w:tc>
            </w:tr>
            <w:tr w14:paraId="0CAEF6C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dxa"/>
                  <w:vMerge w:val="continue"/>
                  <w:vAlign w:val="center"/>
                </w:tcPr>
                <w:p w14:paraId="52009D86">
                  <w:pPr>
                    <w:pStyle w:val="11"/>
                    <w:adjustRightInd w:val="0"/>
                    <w:snapToGrid w:val="0"/>
                    <w:spacing w:line="240" w:lineRule="auto"/>
                    <w:ind w:left="0" w:right="0" w:firstLine="0"/>
                    <w:jc w:val="center"/>
                    <w:rPr>
                      <w:sz w:val="21"/>
                      <w:szCs w:val="21"/>
                      <w:highlight w:val="green"/>
                    </w:rPr>
                  </w:pPr>
                </w:p>
              </w:tc>
              <w:tc>
                <w:tcPr>
                  <w:tcW w:w="1214" w:type="dxa"/>
                  <w:vAlign w:val="center"/>
                </w:tcPr>
                <w:p w14:paraId="706686B9">
                  <w:pPr>
                    <w:pStyle w:val="11"/>
                    <w:spacing w:line="240" w:lineRule="auto"/>
                    <w:ind w:left="0" w:right="0" w:firstLine="0"/>
                    <w:jc w:val="center"/>
                    <w:rPr>
                      <w:rFonts w:hint="eastAsia"/>
                      <w:sz w:val="21"/>
                      <w:szCs w:val="21"/>
                    </w:rPr>
                  </w:pPr>
                  <w:r>
                    <w:rPr>
                      <w:rFonts w:hint="eastAsia"/>
                      <w:sz w:val="21"/>
                      <w:szCs w:val="21"/>
                    </w:rPr>
                    <w:t>TP</w:t>
                  </w:r>
                </w:p>
              </w:tc>
              <w:tc>
                <w:tcPr>
                  <w:tcW w:w="1313" w:type="dxa"/>
                  <w:vAlign w:val="center"/>
                </w:tcPr>
                <w:p w14:paraId="038987FB">
                  <w:pPr>
                    <w:pStyle w:val="11"/>
                    <w:spacing w:line="240" w:lineRule="auto"/>
                    <w:ind w:left="0" w:right="0" w:firstLine="0"/>
                    <w:jc w:val="center"/>
                    <w:rPr>
                      <w:rFonts w:hint="eastAsia" w:eastAsia="宋体"/>
                      <w:sz w:val="21"/>
                      <w:szCs w:val="21"/>
                      <w:lang w:eastAsia="zh-CN"/>
                    </w:rPr>
                  </w:pPr>
                  <w:r>
                    <w:rPr>
                      <w:rFonts w:hint="eastAsia"/>
                      <w:sz w:val="21"/>
                      <w:szCs w:val="21"/>
                      <w:lang w:eastAsia="zh-CN"/>
                    </w:rPr>
                    <w:t>0.0003</w:t>
                  </w:r>
                </w:p>
              </w:tc>
              <w:tc>
                <w:tcPr>
                  <w:tcW w:w="1302" w:type="dxa"/>
                  <w:vAlign w:val="center"/>
                </w:tcPr>
                <w:p w14:paraId="34FEFEF8">
                  <w:pPr>
                    <w:pStyle w:val="11"/>
                    <w:spacing w:line="240" w:lineRule="auto"/>
                    <w:ind w:left="0" w:right="0" w:firstLine="0"/>
                    <w:jc w:val="center"/>
                    <w:rPr>
                      <w:rFonts w:hint="eastAsia"/>
                      <w:sz w:val="21"/>
                      <w:szCs w:val="21"/>
                      <w:lang w:val="en-US" w:eastAsia="zh-CN"/>
                    </w:rPr>
                  </w:pPr>
                  <w:r>
                    <w:rPr>
                      <w:rFonts w:hint="eastAsia"/>
                      <w:sz w:val="21"/>
                      <w:szCs w:val="21"/>
                      <w:lang w:val="en-US" w:eastAsia="zh-CN"/>
                    </w:rPr>
                    <w:t>/</w:t>
                  </w:r>
                </w:p>
              </w:tc>
              <w:tc>
                <w:tcPr>
                  <w:tcW w:w="873" w:type="dxa"/>
                  <w:vAlign w:val="center"/>
                </w:tcPr>
                <w:p w14:paraId="43F6FD86">
                  <w:pPr>
                    <w:pStyle w:val="11"/>
                    <w:spacing w:line="240" w:lineRule="auto"/>
                    <w:ind w:left="0" w:right="0" w:firstLine="0"/>
                    <w:jc w:val="center"/>
                    <w:rPr>
                      <w:rFonts w:hint="eastAsia" w:eastAsia="宋体"/>
                      <w:sz w:val="21"/>
                      <w:szCs w:val="21"/>
                      <w:lang w:val="en-US" w:eastAsia="zh-CN"/>
                    </w:rPr>
                  </w:pPr>
                  <w:r>
                    <w:rPr>
                      <w:rFonts w:hint="eastAsia"/>
                      <w:sz w:val="21"/>
                      <w:szCs w:val="21"/>
                      <w:lang w:eastAsia="zh-CN"/>
                    </w:rPr>
                    <w:t>0.0003</w:t>
                  </w:r>
                </w:p>
              </w:tc>
              <w:tc>
                <w:tcPr>
                  <w:tcW w:w="1081" w:type="dxa"/>
                  <w:vAlign w:val="center"/>
                </w:tcPr>
                <w:p w14:paraId="06D365F6">
                  <w:pPr>
                    <w:pStyle w:val="11"/>
                    <w:spacing w:line="240" w:lineRule="auto"/>
                    <w:ind w:left="0" w:right="0" w:firstLine="0"/>
                    <w:jc w:val="center"/>
                    <w:rPr>
                      <w:rFonts w:hint="eastAsia" w:eastAsia="宋体"/>
                      <w:sz w:val="21"/>
                      <w:szCs w:val="21"/>
                      <w:lang w:eastAsia="zh-CN"/>
                    </w:rPr>
                  </w:pPr>
                  <w:r>
                    <w:rPr>
                      <w:rFonts w:hint="eastAsia"/>
                      <w:sz w:val="21"/>
                      <w:szCs w:val="21"/>
                      <w:lang w:eastAsia="zh-CN"/>
                    </w:rPr>
                    <w:t>0.0003</w:t>
                  </w:r>
                </w:p>
              </w:tc>
              <w:tc>
                <w:tcPr>
                  <w:tcW w:w="983" w:type="dxa"/>
                  <w:vAlign w:val="center"/>
                </w:tcPr>
                <w:p w14:paraId="0F031C2C">
                  <w:pPr>
                    <w:pStyle w:val="11"/>
                    <w:spacing w:line="240" w:lineRule="auto"/>
                    <w:ind w:left="0" w:right="0" w:firstLine="0"/>
                    <w:jc w:val="center"/>
                    <w:rPr>
                      <w:rFonts w:hint="eastAsia" w:eastAsia="宋体"/>
                      <w:sz w:val="21"/>
                      <w:szCs w:val="21"/>
                      <w:lang w:val="en-US" w:eastAsia="zh-CN"/>
                    </w:rPr>
                  </w:pPr>
                  <w:r>
                    <w:rPr>
                      <w:rFonts w:hint="eastAsia"/>
                      <w:sz w:val="21"/>
                      <w:szCs w:val="21"/>
                      <w:lang w:eastAsia="zh-CN"/>
                    </w:rPr>
                    <w:t>0.0003</w:t>
                  </w:r>
                </w:p>
              </w:tc>
              <w:tc>
                <w:tcPr>
                  <w:tcW w:w="1126" w:type="dxa"/>
                  <w:vAlign w:val="center"/>
                </w:tcPr>
                <w:p w14:paraId="54EF6407">
                  <w:pPr>
                    <w:pStyle w:val="11"/>
                    <w:spacing w:line="240" w:lineRule="auto"/>
                    <w:ind w:left="0" w:right="0" w:firstLine="0"/>
                    <w:jc w:val="center"/>
                    <w:rPr>
                      <w:rFonts w:hint="eastAsia" w:eastAsia="宋体"/>
                      <w:sz w:val="21"/>
                      <w:szCs w:val="21"/>
                      <w:lang w:val="en-US" w:eastAsia="zh-CN"/>
                    </w:rPr>
                  </w:pPr>
                  <w:r>
                    <w:rPr>
                      <w:rFonts w:hint="eastAsia"/>
                      <w:sz w:val="21"/>
                      <w:szCs w:val="21"/>
                      <w:lang w:val="en-US" w:eastAsia="zh-CN"/>
                    </w:rPr>
                    <w:t>0</w:t>
                  </w:r>
                </w:p>
              </w:tc>
            </w:tr>
          </w:tbl>
          <w:p w14:paraId="3C7466B8">
            <w:pPr>
              <w:pStyle w:val="11"/>
              <w:spacing w:line="520" w:lineRule="exact"/>
              <w:ind w:left="0" w:right="0" w:firstLine="480" w:firstLineChars="200"/>
              <w:rPr>
                <w:szCs w:val="32"/>
              </w:rPr>
            </w:pPr>
            <w:r>
              <w:rPr>
                <w:rFonts w:hint="eastAsia"/>
                <w:szCs w:val="32"/>
              </w:rPr>
              <w:t>本项目为改建项目</w:t>
            </w:r>
            <w:r>
              <w:rPr>
                <w:rFonts w:hint="eastAsia"/>
                <w:szCs w:val="32"/>
                <w:lang w:eastAsia="zh-CN"/>
              </w:rPr>
              <w:t>，</w:t>
            </w:r>
            <w:r>
              <w:rPr>
                <w:rFonts w:hint="eastAsia"/>
                <w:szCs w:val="32"/>
              </w:rPr>
              <w:t>现有工程污染物排放量为：颗粒物</w:t>
            </w:r>
            <w:r>
              <w:rPr>
                <w:rFonts w:hint="eastAsia"/>
              </w:rPr>
              <w:t>0.0047</w:t>
            </w:r>
            <w:r>
              <w:rPr>
                <w:rFonts w:hint="eastAsia"/>
                <w:szCs w:val="32"/>
              </w:rPr>
              <w:t>t/a、SO</w:t>
            </w:r>
            <w:r>
              <w:rPr>
                <w:rFonts w:hint="eastAsia"/>
                <w:szCs w:val="32"/>
                <w:vertAlign w:val="subscript"/>
              </w:rPr>
              <w:t xml:space="preserve">2 </w:t>
            </w:r>
            <w:r>
              <w:rPr>
                <w:rFonts w:hint="eastAsia"/>
                <w:lang w:eastAsia="zh-CN"/>
              </w:rPr>
              <w:t>0.008</w:t>
            </w:r>
            <w:r>
              <w:rPr>
                <w:rFonts w:hint="eastAsia"/>
              </w:rPr>
              <w:t>t/a、</w:t>
            </w:r>
            <w:r>
              <w:rPr>
                <w:rFonts w:hint="eastAsia"/>
                <w:szCs w:val="32"/>
              </w:rPr>
              <w:t xml:space="preserve">  NOx</w:t>
            </w:r>
            <w:r>
              <w:t>0.</w:t>
            </w:r>
            <w:r>
              <w:rPr>
                <w:rFonts w:hint="eastAsia"/>
              </w:rPr>
              <w:t>072</w:t>
            </w:r>
            <w:r>
              <w:t>t/a</w:t>
            </w:r>
            <w:r>
              <w:rPr>
                <w:rFonts w:hint="eastAsia"/>
                <w:szCs w:val="32"/>
              </w:rPr>
              <w:t xml:space="preserve"> 、</w:t>
            </w:r>
            <w:r>
              <w:rPr>
                <w:rFonts w:hint="eastAsia"/>
                <w:color w:val="000000" w:themeColor="text1"/>
                <w14:textFill>
                  <w14:solidFill>
                    <w14:schemeClr w14:val="tx1"/>
                  </w14:solidFill>
                </w14:textFill>
              </w:rPr>
              <w:t>COD</w:t>
            </w:r>
            <w:r>
              <w:rPr>
                <w:rFonts w:hint="eastAsia"/>
                <w:color w:val="000000" w:themeColor="text1"/>
                <w:lang w:eastAsia="zh-CN"/>
                <w14:textFill>
                  <w14:solidFill>
                    <w14:schemeClr w14:val="tx1"/>
                  </w14:solidFill>
                </w14:textFill>
              </w:rPr>
              <w:t>0.0548</w:t>
            </w:r>
            <w:r>
              <w:rPr>
                <w:rFonts w:hint="eastAsia"/>
                <w:color w:val="000000" w:themeColor="text1"/>
                <w14:textFill>
                  <w14:solidFill>
                    <w14:schemeClr w14:val="tx1"/>
                  </w14:solidFill>
                </w14:textFill>
              </w:rPr>
              <w:t>t/a、氨氮</w:t>
            </w:r>
            <w:r>
              <w:rPr>
                <w:rFonts w:hint="eastAsia"/>
                <w:color w:val="000000" w:themeColor="text1"/>
                <w:lang w:eastAsia="zh-CN"/>
                <w14:textFill>
                  <w14:solidFill>
                    <w14:schemeClr w14:val="tx1"/>
                  </w14:solidFill>
                </w14:textFill>
              </w:rPr>
              <w:t>0.0003</w:t>
            </w:r>
            <w:r>
              <w:rPr>
                <w:rFonts w:hint="eastAsia"/>
                <w:color w:val="000000" w:themeColor="text1"/>
                <w14:textFill>
                  <w14:solidFill>
                    <w14:schemeClr w14:val="tx1"/>
                  </w14:solidFill>
                </w14:textFill>
              </w:rPr>
              <w:t>t/a、TP</w:t>
            </w:r>
            <w:r>
              <w:rPr>
                <w:rFonts w:hint="eastAsia"/>
                <w:color w:val="000000" w:themeColor="text1"/>
                <w:lang w:eastAsia="zh-CN"/>
                <w14:textFill>
                  <w14:solidFill>
                    <w14:schemeClr w14:val="tx1"/>
                  </w14:solidFill>
                </w14:textFill>
              </w:rPr>
              <w:t>0.0003</w:t>
            </w:r>
            <w:r>
              <w:rPr>
                <w:rFonts w:hint="eastAsia"/>
                <w:color w:val="000000" w:themeColor="text1"/>
                <w14:textFill>
                  <w14:solidFill>
                    <w14:schemeClr w14:val="tx1"/>
                  </w14:solidFill>
                </w14:textFill>
              </w:rPr>
              <w:t>t/a。</w:t>
            </w:r>
          </w:p>
          <w:p w14:paraId="2C9F6EEC">
            <w:pPr>
              <w:adjustRightInd w:val="0"/>
              <w:snapToGrid w:val="0"/>
              <w:spacing w:line="520" w:lineRule="exact"/>
              <w:ind w:firstLine="480" w:firstLineChars="200"/>
              <w:rPr>
                <w:color w:val="000000" w:themeColor="text1"/>
                <w14:textFill>
                  <w14:solidFill>
                    <w14:schemeClr w14:val="tx1"/>
                  </w14:solidFill>
                </w14:textFill>
              </w:rPr>
            </w:pPr>
            <w:r>
              <w:rPr>
                <w:rFonts w:hint="eastAsia"/>
                <w:szCs w:val="32"/>
              </w:rPr>
              <w:t>本项目建成后全厂污染</w:t>
            </w:r>
            <w:r>
              <w:rPr>
                <w:rFonts w:hint="eastAsia"/>
              </w:rPr>
              <w:t>物排放量为：颗粒物</w:t>
            </w:r>
            <w:r>
              <w:rPr>
                <w:rFonts w:hint="eastAsia"/>
                <w:color w:val="000000" w:themeColor="text1"/>
                <w14:textFill>
                  <w14:solidFill>
                    <w14:schemeClr w14:val="tx1"/>
                  </w14:solidFill>
                </w14:textFill>
              </w:rPr>
              <w:t xml:space="preserve">0.0047 </w:t>
            </w:r>
            <w:r>
              <w:rPr>
                <w:rFonts w:hint="eastAsia"/>
              </w:rPr>
              <w:t>t/a，SO</w:t>
            </w:r>
            <w:r>
              <w:rPr>
                <w:rFonts w:hint="eastAsia"/>
                <w:vertAlign w:val="subscript"/>
              </w:rPr>
              <w:t>2</w:t>
            </w:r>
            <w:r>
              <w:rPr>
                <w:rFonts w:hint="eastAsia"/>
              </w:rPr>
              <w:t xml:space="preserve"> </w:t>
            </w:r>
            <w:r>
              <w:rPr>
                <w:rFonts w:hint="eastAsia"/>
                <w:color w:val="000000" w:themeColor="text1"/>
                <w:lang w:eastAsia="zh-CN"/>
                <w14:textFill>
                  <w14:solidFill>
                    <w14:schemeClr w14:val="tx1"/>
                  </w14:solidFill>
                </w14:textFill>
              </w:rPr>
              <w:t>0.008</w:t>
            </w:r>
            <w:r>
              <w:rPr>
                <w:rFonts w:hint="eastAsia"/>
              </w:rPr>
              <w:t xml:space="preserve">t/a，NOx </w:t>
            </w:r>
            <w:r>
              <w:rPr>
                <w:rFonts w:hint="eastAsia"/>
                <w:color w:val="000000" w:themeColor="text1"/>
                <w14:textFill>
                  <w14:solidFill>
                    <w14:schemeClr w14:val="tx1"/>
                  </w14:solidFill>
                </w14:textFill>
              </w:rPr>
              <w:t>0.072</w:t>
            </w:r>
            <w:r>
              <w:rPr>
                <w:rFonts w:hint="eastAsia"/>
              </w:rPr>
              <w:t>t/a、COD</w:t>
            </w:r>
            <w:r>
              <w:rPr>
                <w:rFonts w:hint="eastAsia"/>
                <w:color w:val="000000" w:themeColor="text1"/>
                <w:lang w:eastAsia="zh-CN"/>
                <w14:textFill>
                  <w14:solidFill>
                    <w14:schemeClr w14:val="tx1"/>
                  </w14:solidFill>
                </w14:textFill>
              </w:rPr>
              <w:t>0.0546</w:t>
            </w:r>
            <w:r>
              <w:rPr>
                <w:rFonts w:hint="eastAsia"/>
              </w:rPr>
              <w:t>t/a、</w:t>
            </w:r>
            <w:r>
              <w:rPr>
                <w:rFonts w:hint="eastAsia"/>
                <w:color w:val="000000" w:themeColor="text1"/>
                <w14:textFill>
                  <w14:solidFill>
                    <w14:schemeClr w14:val="tx1"/>
                  </w14:solidFill>
                </w14:textFill>
              </w:rPr>
              <w:t>氨氮</w:t>
            </w:r>
            <w:r>
              <w:rPr>
                <w:rFonts w:hint="eastAsia"/>
                <w:color w:val="000000" w:themeColor="text1"/>
                <w:lang w:eastAsia="zh-CN"/>
                <w14:textFill>
                  <w14:solidFill>
                    <w14:schemeClr w14:val="tx1"/>
                  </w14:solidFill>
                </w14:textFill>
              </w:rPr>
              <w:t>0.0003</w:t>
            </w:r>
            <w:r>
              <w:rPr>
                <w:rFonts w:hint="eastAsia"/>
                <w:color w:val="000000" w:themeColor="text1"/>
                <w14:textFill>
                  <w14:solidFill>
                    <w14:schemeClr w14:val="tx1"/>
                  </w14:solidFill>
                </w14:textFill>
              </w:rPr>
              <w:t xml:space="preserve"> t/a、TP</w:t>
            </w:r>
            <w:r>
              <w:rPr>
                <w:rFonts w:hint="eastAsia"/>
                <w:color w:val="000000" w:themeColor="text1"/>
                <w:lang w:eastAsia="zh-CN"/>
                <w14:textFill>
                  <w14:solidFill>
                    <w14:schemeClr w14:val="tx1"/>
                  </w14:solidFill>
                </w14:textFill>
              </w:rPr>
              <w:t>0.0003</w:t>
            </w:r>
            <w:r>
              <w:rPr>
                <w:rFonts w:hint="eastAsia"/>
                <w:color w:val="000000" w:themeColor="text1"/>
                <w14:textFill>
                  <w14:solidFill>
                    <w14:schemeClr w14:val="tx1"/>
                  </w14:solidFill>
                </w14:textFill>
              </w:rPr>
              <w:t>t/a。</w:t>
            </w:r>
          </w:p>
          <w:p w14:paraId="19D1A119">
            <w:pPr>
              <w:adjustRightInd w:val="0"/>
              <w:snapToGrid w:val="0"/>
              <w:spacing w:line="520" w:lineRule="exact"/>
              <w:ind w:firstLine="480" w:firstLineChars="200"/>
              <w:rPr>
                <w:color w:val="000000" w:themeColor="text1"/>
                <w14:textFill>
                  <w14:solidFill>
                    <w14:schemeClr w14:val="tx1"/>
                  </w14:solidFill>
                </w14:textFill>
              </w:rPr>
            </w:pPr>
            <w:r>
              <w:rPr>
                <w:rFonts w:hint="eastAsia"/>
                <w:szCs w:val="32"/>
              </w:rPr>
              <w:t>本项目建成后全厂污染物排放增减量：颗粒物0t/a，SO</w:t>
            </w:r>
            <w:r>
              <w:rPr>
                <w:rFonts w:hint="eastAsia"/>
                <w:szCs w:val="32"/>
                <w:vertAlign w:val="subscript"/>
              </w:rPr>
              <w:t xml:space="preserve">2 </w:t>
            </w:r>
            <w:r>
              <w:rPr>
                <w:rFonts w:hint="eastAsia"/>
                <w:szCs w:val="32"/>
              </w:rPr>
              <w:t>0t/a，NOx 0t/a、</w:t>
            </w:r>
            <w:r>
              <w:rPr>
                <w:rFonts w:hint="eastAsia"/>
              </w:rPr>
              <w:t>COD</w:t>
            </w:r>
            <w:r>
              <w:rPr>
                <w:rFonts w:hint="eastAsia"/>
                <w:lang w:eastAsia="zh-CN"/>
              </w:rPr>
              <w:t>-0.0002</w:t>
            </w:r>
            <w:r>
              <w:rPr>
                <w:rFonts w:hint="eastAsia"/>
              </w:rPr>
              <w:t>t/a、</w:t>
            </w:r>
            <w:r>
              <w:rPr>
                <w:rFonts w:hint="eastAsia"/>
                <w:color w:val="000000" w:themeColor="text1"/>
                <w14:textFill>
                  <w14:solidFill>
                    <w14:schemeClr w14:val="tx1"/>
                  </w14:solidFill>
                </w14:textFill>
              </w:rPr>
              <w:t>氨</w:t>
            </w:r>
            <w:r>
              <w:rPr>
                <w:rFonts w:hint="eastAsia"/>
                <w:color w:val="000000" w:themeColor="text1"/>
                <w:sz w:val="24"/>
                <w:szCs w:val="24"/>
                <w14:textFill>
                  <w14:solidFill>
                    <w14:schemeClr w14:val="tx1"/>
                  </w14:solidFill>
                </w14:textFill>
              </w:rPr>
              <w:t>氮</w:t>
            </w:r>
            <w:r>
              <w:rPr>
                <w:rFonts w:hint="eastAsia"/>
                <w:sz w:val="24"/>
                <w:szCs w:val="24"/>
                <w:lang w:val="en-US" w:eastAsia="zh-CN"/>
              </w:rPr>
              <w:t>0</w:t>
            </w:r>
            <w:r>
              <w:rPr>
                <w:rFonts w:hint="eastAsia"/>
                <w:color w:val="000000" w:themeColor="text1"/>
                <w:sz w:val="24"/>
                <w:szCs w:val="24"/>
                <w14:textFill>
                  <w14:solidFill>
                    <w14:schemeClr w14:val="tx1"/>
                  </w14:solidFill>
                </w14:textFill>
              </w:rPr>
              <w:t xml:space="preserve"> t/a、TP</w:t>
            </w:r>
            <w:r>
              <w:rPr>
                <w:rFonts w:hint="eastAsia"/>
                <w:sz w:val="24"/>
                <w:szCs w:val="24"/>
                <w:lang w:val="en-US" w:eastAsia="zh-CN"/>
              </w:rPr>
              <w:t>0</w:t>
            </w:r>
            <w:r>
              <w:rPr>
                <w:rFonts w:hint="eastAsia"/>
                <w:color w:val="000000" w:themeColor="text1"/>
                <w:sz w:val="24"/>
                <w:szCs w:val="24"/>
                <w14:textFill>
                  <w14:solidFill>
                    <w14:schemeClr w14:val="tx1"/>
                  </w14:solidFill>
                </w14:textFill>
              </w:rPr>
              <w:t>t/a。</w:t>
            </w:r>
            <w:r>
              <w:rPr>
                <w:rFonts w:hint="eastAsia"/>
                <w:color w:val="000000" w:themeColor="text1"/>
                <w14:textFill>
                  <w14:solidFill>
                    <w14:schemeClr w14:val="tx1"/>
                  </w14:solidFill>
                </w14:textFill>
              </w:rPr>
              <w:t>全厂不新增污染物排放量。</w:t>
            </w:r>
          </w:p>
          <w:p w14:paraId="1235F315">
            <w:pPr>
              <w:autoSpaceDE w:val="0"/>
              <w:autoSpaceDN w:val="0"/>
              <w:adjustRightInd w:val="0"/>
              <w:snapToGrid w:val="0"/>
              <w:spacing w:line="520" w:lineRule="exact"/>
              <w:ind w:firstLine="482" w:firstLineChars="200"/>
              <w:textAlignment w:val="baseline"/>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六、</w:t>
            </w:r>
            <w:r>
              <w:rPr>
                <w:rFonts w:hint="eastAsia"/>
                <w:b/>
                <w:bCs/>
                <w:color w:val="000000" w:themeColor="text1"/>
                <w14:textFill>
                  <w14:solidFill>
                    <w14:schemeClr w14:val="tx1"/>
                  </w14:solidFill>
                </w14:textFill>
              </w:rPr>
              <w:t>地下水、土壤</w:t>
            </w:r>
          </w:p>
          <w:p w14:paraId="2056B756">
            <w:pPr>
              <w:autoSpaceDE w:val="0"/>
              <w:autoSpaceDN w:val="0"/>
              <w:adjustRightInd w:val="0"/>
              <w:snapToGrid w:val="0"/>
              <w:spacing w:line="520" w:lineRule="exact"/>
              <w:ind w:firstLine="480" w:firstLineChars="200"/>
              <w:textAlignment w:val="baseline"/>
              <w:rPr>
                <w:color w:val="000000" w:themeColor="text1"/>
                <w14:textFill>
                  <w14:solidFill>
                    <w14:schemeClr w14:val="tx1"/>
                  </w14:solidFill>
                </w14:textFill>
              </w:rPr>
            </w:pPr>
            <w:r>
              <w:rPr>
                <w:rFonts w:hint="eastAsia"/>
                <w:color w:val="000000" w:themeColor="text1"/>
                <w14:textFill>
                  <w14:solidFill>
                    <w14:schemeClr w14:val="tx1"/>
                  </w14:solidFill>
                </w14:textFill>
              </w:rPr>
              <w:t>本项目不存在地下水、土壤污染途径，无需进行地下水及土壤环境影响分析。</w:t>
            </w:r>
          </w:p>
          <w:p w14:paraId="22C788E4">
            <w:pPr>
              <w:autoSpaceDE w:val="0"/>
              <w:autoSpaceDN w:val="0"/>
              <w:adjustRightInd w:val="0"/>
              <w:snapToGrid w:val="0"/>
              <w:spacing w:line="520" w:lineRule="exact"/>
              <w:ind w:firstLine="482" w:firstLineChars="200"/>
              <w:textAlignment w:val="baseline"/>
              <w:rPr>
                <w:b/>
                <w:color w:val="000000" w:themeColor="text1"/>
                <w14:textFill>
                  <w14:solidFill>
                    <w14:schemeClr w14:val="tx1"/>
                  </w14:solidFill>
                </w14:textFill>
              </w:rPr>
            </w:pPr>
            <w:r>
              <w:rPr>
                <w:rFonts w:hint="eastAsia"/>
                <w:b/>
                <w:color w:val="000000" w:themeColor="text1"/>
                <w:lang w:val="en-US" w:eastAsia="zh-CN"/>
                <w14:textFill>
                  <w14:solidFill>
                    <w14:schemeClr w14:val="tx1"/>
                  </w14:solidFill>
                </w14:textFill>
              </w:rPr>
              <w:t>七、</w:t>
            </w:r>
            <w:r>
              <w:rPr>
                <w:rFonts w:hint="eastAsia"/>
                <w:b/>
                <w:color w:val="000000" w:themeColor="text1"/>
                <w14:textFill>
                  <w14:solidFill>
                    <w14:schemeClr w14:val="tx1"/>
                  </w14:solidFill>
                </w14:textFill>
              </w:rPr>
              <w:t>环境风险</w:t>
            </w:r>
          </w:p>
          <w:p w14:paraId="10E9130F">
            <w:pPr>
              <w:spacing w:line="5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根据《建设项目环境风险评价技术导则》（</w:t>
            </w:r>
            <w:r>
              <w:rPr>
                <w:color w:val="000000" w:themeColor="text1"/>
                <w14:textFill>
                  <w14:solidFill>
                    <w14:schemeClr w14:val="tx1"/>
                  </w14:solidFill>
                </w14:textFill>
              </w:rPr>
              <w:t>HJ169</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2018</w:t>
            </w:r>
            <w:r>
              <w:rPr>
                <w:rFonts w:hint="eastAsia"/>
                <w:color w:val="000000" w:themeColor="text1"/>
                <w14:textFill>
                  <w14:solidFill>
                    <w14:schemeClr w14:val="tx1"/>
                  </w14:solidFill>
                </w14:textFill>
              </w:rPr>
              <w:t>），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2DA995D7">
            <w:pPr>
              <w:pStyle w:val="33"/>
              <w:spacing w:line="520" w:lineRule="exact"/>
              <w:ind w:firstLine="482"/>
              <w:rPr>
                <w:b/>
                <w:bCs/>
                <w:color w:val="000000" w:themeColor="text1"/>
                <w14:textFill>
                  <w14:solidFill>
                    <w14:schemeClr w14:val="tx1"/>
                  </w14:solidFill>
                </w14:textFill>
              </w:rPr>
            </w:pPr>
            <w:r>
              <w:rPr>
                <w:rFonts w:cs="Times New Roman"/>
                <w:b/>
                <w:bCs/>
                <w:color w:val="000000" w:themeColor="text1"/>
                <w14:textFill>
                  <w14:solidFill>
                    <w14:schemeClr w14:val="tx1"/>
                  </w14:solidFill>
                </w14:textFill>
              </w:rPr>
              <w:t>1</w:t>
            </w:r>
            <w:r>
              <w:rPr>
                <w:rFonts w:hint="eastAsia"/>
                <w:b/>
                <w:bCs/>
                <w:color w:val="000000" w:themeColor="text1"/>
                <w14:textFill>
                  <w14:solidFill>
                    <w14:schemeClr w14:val="tx1"/>
                  </w14:solidFill>
                </w14:textFill>
              </w:rPr>
              <w:t>、评价依据</w:t>
            </w:r>
          </w:p>
          <w:p w14:paraId="15CDC1E7">
            <w:pPr>
              <w:spacing w:line="520" w:lineRule="exact"/>
              <w:ind w:firstLine="480" w:firstLineChars="200"/>
              <w:rPr>
                <w:color w:val="000000" w:themeColor="text1"/>
                <w14:textFill>
                  <w14:solidFill>
                    <w14:schemeClr w14:val="tx1"/>
                  </w14:solidFill>
                </w14:textFill>
              </w:rPr>
            </w:pPr>
            <w:bookmarkStart w:id="29" w:name="_Hlk166697862"/>
            <w:r>
              <w:rPr>
                <w:rFonts w:hint="eastAsia"/>
                <w:color w:val="000000" w:themeColor="text1"/>
                <w14:textFill>
                  <w14:solidFill>
                    <w14:schemeClr w14:val="tx1"/>
                  </w14:solidFill>
                </w14:textFill>
              </w:rPr>
              <w:t>经查阅《建设项目环境风险评价技术导则》（</w:t>
            </w:r>
            <w:r>
              <w:rPr>
                <w:color w:val="000000" w:themeColor="text1"/>
                <w14:textFill>
                  <w14:solidFill>
                    <w14:schemeClr w14:val="tx1"/>
                  </w14:solidFill>
                </w14:textFill>
              </w:rPr>
              <w:t>HJ169</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2018</w:t>
            </w:r>
            <w:r>
              <w:rPr>
                <w:rFonts w:hint="eastAsia"/>
                <w:color w:val="000000" w:themeColor="text1"/>
                <w14:textFill>
                  <w14:solidFill>
                    <w14:schemeClr w14:val="tx1"/>
                  </w14:solidFill>
                </w14:textFill>
              </w:rPr>
              <w:t>）以及《企业突发环境事件风险分级方法》附录</w:t>
            </w:r>
            <w:r>
              <w:rPr>
                <w:color w:val="000000" w:themeColor="text1"/>
                <w14:textFill>
                  <w14:solidFill>
                    <w14:schemeClr w14:val="tx1"/>
                  </w14:solidFill>
                </w14:textFill>
              </w:rPr>
              <w:t>A</w:t>
            </w:r>
            <w:r>
              <w:rPr>
                <w:rFonts w:hint="eastAsia"/>
                <w:color w:val="000000" w:themeColor="text1"/>
                <w14:textFill>
                  <w14:solidFill>
                    <w14:schemeClr w14:val="tx1"/>
                  </w14:solidFill>
                </w14:textFill>
              </w:rPr>
              <w:t>，确定本项目建成后的风险物质为压缩天然气。根据建设单位提供资料，本项目风险物质储存情况见下表。</w:t>
            </w:r>
          </w:p>
          <w:bookmarkEnd w:id="29"/>
          <w:p w14:paraId="6C512749">
            <w:pPr>
              <w:pStyle w:val="11"/>
              <w:spacing w:line="460" w:lineRule="exact"/>
              <w:ind w:left="0" w:right="0" w:firstLine="480" w:firstLineChars="200"/>
              <w:rPr>
                <w:rFonts w:eastAsia="黑体"/>
                <w:b/>
                <w:bCs/>
                <w:color w:val="000000" w:themeColor="text1"/>
                <w14:textFill>
                  <w14:solidFill>
                    <w14:schemeClr w14:val="tx1"/>
                  </w14:solidFill>
                </w14:textFill>
              </w:rPr>
            </w:pPr>
            <w:r>
              <w:rPr>
                <w:rFonts w:eastAsia="黑体"/>
                <w:color w:val="000000" w:themeColor="text1"/>
                <w14:textFill>
                  <w14:solidFill>
                    <w14:schemeClr w14:val="tx1"/>
                  </w14:solidFill>
                </w14:textFill>
              </w:rPr>
              <w:t>表</w:t>
            </w:r>
            <w:r>
              <w:rPr>
                <w:rFonts w:hint="eastAsia" w:eastAsia="黑体"/>
                <w:color w:val="000000" w:themeColor="text1"/>
                <w14:textFill>
                  <w14:solidFill>
                    <w14:schemeClr w14:val="tx1"/>
                  </w14:solidFill>
                </w14:textFill>
              </w:rPr>
              <w:t>4-1</w:t>
            </w:r>
            <w:r>
              <w:rPr>
                <w:rFonts w:hint="eastAsia" w:eastAsia="黑体"/>
                <w:color w:val="000000" w:themeColor="text1"/>
                <w:lang w:val="en-US" w:eastAsia="zh-CN"/>
                <w14:textFill>
                  <w14:solidFill>
                    <w14:schemeClr w14:val="tx1"/>
                  </w14:solidFill>
                </w14:textFill>
              </w:rPr>
              <w:t>9</w:t>
            </w:r>
            <w:r>
              <w:rPr>
                <w:rFonts w:eastAsia="黑体"/>
                <w:color w:val="000000" w:themeColor="text1"/>
                <w14:textFill>
                  <w14:solidFill>
                    <w14:schemeClr w14:val="tx1"/>
                  </w14:solidFill>
                </w14:textFill>
              </w:rPr>
              <w:t xml:space="preserve">           </w:t>
            </w:r>
            <w:r>
              <w:rPr>
                <w:rFonts w:hint="eastAsia" w:eastAsia="黑体"/>
                <w:color w:val="000000" w:themeColor="text1"/>
                <w14:textFill>
                  <w14:solidFill>
                    <w14:schemeClr w14:val="tx1"/>
                  </w14:solidFill>
                </w14:textFill>
              </w:rPr>
              <w:t xml:space="preserve">    </w:t>
            </w:r>
            <w:r>
              <w:rPr>
                <w:rFonts w:eastAsia="黑体"/>
                <w:color w:val="000000" w:themeColor="text1"/>
                <w14:textFill>
                  <w14:solidFill>
                    <w14:schemeClr w14:val="tx1"/>
                  </w14:solidFill>
                </w14:textFill>
              </w:rPr>
              <w:t xml:space="preserve">  风险物质</w:t>
            </w:r>
            <w:r>
              <w:rPr>
                <w:rFonts w:hint="eastAsia" w:eastAsia="黑体"/>
                <w:color w:val="000000" w:themeColor="text1"/>
                <w14:textFill>
                  <w14:solidFill>
                    <w14:schemeClr w14:val="tx1"/>
                  </w14:solidFill>
                </w14:textFill>
              </w:rPr>
              <w:t>厂区</w:t>
            </w:r>
            <w:r>
              <w:rPr>
                <w:rFonts w:eastAsia="黑体"/>
                <w:color w:val="000000" w:themeColor="text1"/>
                <w14:textFill>
                  <w14:solidFill>
                    <w14:schemeClr w14:val="tx1"/>
                  </w14:solidFill>
                </w14:textFill>
              </w:rPr>
              <w:t>最大</w:t>
            </w:r>
            <w:r>
              <w:rPr>
                <w:rFonts w:hint="eastAsia" w:eastAsia="黑体"/>
                <w:color w:val="000000" w:themeColor="text1"/>
                <w14:textFill>
                  <w14:solidFill>
                    <w14:schemeClr w14:val="tx1"/>
                  </w14:solidFill>
                </w14:textFill>
              </w:rPr>
              <w:t>储存</w:t>
            </w:r>
            <w:r>
              <w:rPr>
                <w:rFonts w:eastAsia="黑体"/>
                <w:color w:val="000000" w:themeColor="text1"/>
                <w14:textFill>
                  <w14:solidFill>
                    <w14:schemeClr w14:val="tx1"/>
                  </w14:solidFill>
                </w14:textFill>
              </w:rPr>
              <w:t>量</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096"/>
              <w:gridCol w:w="1808"/>
              <w:gridCol w:w="1672"/>
              <w:gridCol w:w="1601"/>
              <w:gridCol w:w="1798"/>
            </w:tblGrid>
            <w:tr w14:paraId="4DC8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2" w:type="dxa"/>
                  <w:vAlign w:val="center"/>
                </w:tcPr>
                <w:p w14:paraId="7B67CA91">
                  <w:pPr>
                    <w:pStyle w:val="46"/>
                    <w:rPr>
                      <w:b/>
                      <w:bCs/>
                      <w:color w:val="000000" w:themeColor="text1"/>
                      <w14:textFill>
                        <w14:solidFill>
                          <w14:schemeClr w14:val="tx1"/>
                        </w14:solidFill>
                      </w14:textFill>
                    </w:rPr>
                  </w:pPr>
                  <w:bookmarkStart w:id="30" w:name="_Hlk166697904"/>
                  <w:r>
                    <w:rPr>
                      <w:rFonts w:hint="eastAsia"/>
                      <w:b/>
                      <w:bCs/>
                      <w:color w:val="000000" w:themeColor="text1"/>
                      <w14:textFill>
                        <w14:solidFill>
                          <w14:schemeClr w14:val="tx1"/>
                        </w14:solidFill>
                      </w14:textFill>
                    </w:rPr>
                    <w:t>序号</w:t>
                  </w:r>
                </w:p>
              </w:tc>
              <w:tc>
                <w:tcPr>
                  <w:tcW w:w="1096" w:type="dxa"/>
                  <w:vAlign w:val="center"/>
                </w:tcPr>
                <w:p w14:paraId="7063C603">
                  <w:pPr>
                    <w:pStyle w:val="4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物质名称</w:t>
                  </w:r>
                </w:p>
              </w:tc>
              <w:tc>
                <w:tcPr>
                  <w:tcW w:w="1808" w:type="dxa"/>
                  <w:vAlign w:val="center"/>
                </w:tcPr>
                <w:p w14:paraId="5D1D5EB9">
                  <w:pPr>
                    <w:pStyle w:val="4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盛装方式</w:t>
                  </w:r>
                </w:p>
              </w:tc>
              <w:tc>
                <w:tcPr>
                  <w:tcW w:w="1672" w:type="dxa"/>
                  <w:vAlign w:val="center"/>
                </w:tcPr>
                <w:p w14:paraId="6A35B0B5">
                  <w:pPr>
                    <w:pStyle w:val="4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厂区最大储存及在线量（t）</w:t>
                  </w:r>
                </w:p>
              </w:tc>
              <w:tc>
                <w:tcPr>
                  <w:tcW w:w="1601" w:type="dxa"/>
                  <w:vAlign w:val="center"/>
                </w:tcPr>
                <w:p w14:paraId="29B339DD">
                  <w:pPr>
                    <w:pStyle w:val="4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临界量</w:t>
                  </w:r>
                  <w:r>
                    <w:rPr>
                      <w:rFonts w:cs="Times New Roman"/>
                      <w:b/>
                      <w:bCs/>
                      <w:color w:val="000000" w:themeColor="text1"/>
                      <w14:textFill>
                        <w14:solidFill>
                          <w14:schemeClr w14:val="tx1"/>
                        </w14:solidFill>
                      </w14:textFill>
                    </w:rPr>
                    <w:t>Q</w:t>
                  </w:r>
                  <w:r>
                    <w:rPr>
                      <w:rFonts w:cs="Times New Roman"/>
                      <w:b/>
                      <w:bCs/>
                      <w:color w:val="000000" w:themeColor="text1"/>
                      <w:vertAlign w:val="subscript"/>
                      <w14:textFill>
                        <w14:solidFill>
                          <w14:schemeClr w14:val="tx1"/>
                        </w14:solidFill>
                      </w14:textFill>
                    </w:rPr>
                    <w:t>n</w:t>
                  </w:r>
                  <w:r>
                    <w:rPr>
                      <w:rFonts w:hint="eastAsia"/>
                      <w:b/>
                      <w:bCs/>
                      <w:color w:val="000000" w:themeColor="text1"/>
                      <w14:textFill>
                        <w14:solidFill>
                          <w14:schemeClr w14:val="tx1"/>
                        </w14:solidFill>
                      </w14:textFill>
                    </w:rPr>
                    <w:t>（</w:t>
                  </w:r>
                  <w:r>
                    <w:rPr>
                      <w:rFonts w:cs="Times New Roman"/>
                      <w:b/>
                      <w:bCs/>
                      <w:color w:val="000000" w:themeColor="text1"/>
                      <w14:textFill>
                        <w14:solidFill>
                          <w14:schemeClr w14:val="tx1"/>
                        </w14:solidFill>
                      </w14:textFill>
                    </w:rPr>
                    <w:t>t</w:t>
                  </w:r>
                  <w:r>
                    <w:rPr>
                      <w:rFonts w:hint="eastAsia"/>
                      <w:b/>
                      <w:bCs/>
                      <w:color w:val="000000" w:themeColor="text1"/>
                      <w14:textFill>
                        <w14:solidFill>
                          <w14:schemeClr w14:val="tx1"/>
                        </w14:solidFill>
                      </w14:textFill>
                    </w:rPr>
                    <w:t>）</w:t>
                  </w:r>
                </w:p>
              </w:tc>
              <w:tc>
                <w:tcPr>
                  <w:tcW w:w="1798" w:type="dxa"/>
                  <w:vAlign w:val="center"/>
                </w:tcPr>
                <w:p w14:paraId="79342230">
                  <w:pPr>
                    <w:pStyle w:val="46"/>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该风险物质</w:t>
                  </w:r>
                  <w:r>
                    <w:rPr>
                      <w:rFonts w:cs="Times New Roman"/>
                      <w:b/>
                      <w:bCs/>
                      <w:color w:val="000000" w:themeColor="text1"/>
                      <w14:textFill>
                        <w14:solidFill>
                          <w14:schemeClr w14:val="tx1"/>
                        </w14:solidFill>
                      </w14:textFill>
                    </w:rPr>
                    <w:t>Q</w:t>
                  </w:r>
                  <w:r>
                    <w:rPr>
                      <w:rFonts w:hint="eastAsia"/>
                      <w:b/>
                      <w:bCs/>
                      <w:color w:val="000000" w:themeColor="text1"/>
                      <w14:textFill>
                        <w14:solidFill>
                          <w14:schemeClr w14:val="tx1"/>
                        </w14:solidFill>
                      </w14:textFill>
                    </w:rPr>
                    <w:t>值</w:t>
                  </w:r>
                </w:p>
              </w:tc>
            </w:tr>
            <w:tr w14:paraId="7FB8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2" w:type="dxa"/>
                  <w:vAlign w:val="center"/>
                </w:tcPr>
                <w:p w14:paraId="19A75AC6">
                  <w:pPr>
                    <w:pStyle w:val="46"/>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1</w:t>
                  </w:r>
                </w:p>
              </w:tc>
              <w:tc>
                <w:tcPr>
                  <w:tcW w:w="1096" w:type="dxa"/>
                  <w:vAlign w:val="center"/>
                </w:tcPr>
                <w:p w14:paraId="788933FC">
                  <w:pPr>
                    <w:pStyle w:val="46"/>
                    <w:rPr>
                      <w:color w:val="000000" w:themeColor="text1"/>
                      <w14:textFill>
                        <w14:solidFill>
                          <w14:schemeClr w14:val="tx1"/>
                        </w14:solidFill>
                      </w14:textFill>
                    </w:rPr>
                  </w:pPr>
                  <w:r>
                    <w:rPr>
                      <w:rFonts w:hint="eastAsia"/>
                      <w:color w:val="000000" w:themeColor="text1"/>
                      <w14:textFill>
                        <w14:solidFill>
                          <w14:schemeClr w14:val="tx1"/>
                        </w14:solidFill>
                      </w14:textFill>
                    </w:rPr>
                    <w:t>天然气（甲烷）</w:t>
                  </w:r>
                </w:p>
              </w:tc>
              <w:tc>
                <w:tcPr>
                  <w:tcW w:w="1808" w:type="dxa"/>
                  <w:vAlign w:val="center"/>
                </w:tcPr>
                <w:p w14:paraId="36CE50A8">
                  <w:pPr>
                    <w:pStyle w:val="46"/>
                    <w:rPr>
                      <w:color w:val="000000" w:themeColor="text1"/>
                      <w14:textFill>
                        <w14:solidFill>
                          <w14:schemeClr w14:val="tx1"/>
                        </w14:solidFill>
                      </w14:textFill>
                    </w:rPr>
                  </w:pPr>
                  <w:r>
                    <w:rPr>
                      <w:rFonts w:hint="eastAsia"/>
                      <w:color w:val="000000" w:themeColor="text1"/>
                      <w14:textFill>
                        <w14:solidFill>
                          <w14:schemeClr w14:val="tx1"/>
                        </w14:solidFill>
                      </w14:textFill>
                    </w:rPr>
                    <w:t>储罐（1m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储存压力20MPa)</w:t>
                  </w:r>
                </w:p>
              </w:tc>
              <w:tc>
                <w:tcPr>
                  <w:tcW w:w="1672" w:type="dxa"/>
                  <w:vAlign w:val="center"/>
                </w:tcPr>
                <w:p w14:paraId="3201173A">
                  <w:pPr>
                    <w:pStyle w:val="46"/>
                    <w:rPr>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0.15</w:t>
                  </w:r>
                </w:p>
              </w:tc>
              <w:tc>
                <w:tcPr>
                  <w:tcW w:w="1601" w:type="dxa"/>
                  <w:vAlign w:val="center"/>
                </w:tcPr>
                <w:p w14:paraId="133B2357">
                  <w:pPr>
                    <w:pStyle w:val="46"/>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10</w:t>
                  </w:r>
                </w:p>
              </w:tc>
              <w:tc>
                <w:tcPr>
                  <w:tcW w:w="1798" w:type="dxa"/>
                  <w:vAlign w:val="center"/>
                </w:tcPr>
                <w:p w14:paraId="2F814A58">
                  <w:pPr>
                    <w:pStyle w:val="46"/>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0.015</w:t>
                  </w:r>
                </w:p>
              </w:tc>
            </w:tr>
            <w:bookmarkEnd w:id="30"/>
          </w:tbl>
          <w:p w14:paraId="44B8A9DC">
            <w:pPr>
              <w:pStyle w:val="11"/>
              <w:spacing w:line="520" w:lineRule="exact"/>
              <w:ind w:left="0" w:right="0" w:firstLine="480" w:firstLineChars="200"/>
              <w:rPr>
                <w:color w:val="000000" w:themeColor="text1"/>
                <w14:textFill>
                  <w14:solidFill>
                    <w14:schemeClr w14:val="tx1"/>
                  </w14:solidFill>
                </w14:textFill>
              </w:rPr>
            </w:pPr>
            <w:bookmarkStart w:id="31" w:name="_Hlk166701799"/>
            <w:r>
              <w:rPr>
                <w:rFonts w:hint="eastAsia"/>
                <w:color w:val="000000" w:themeColor="text1"/>
                <w14:textFill>
                  <w14:solidFill>
                    <w14:schemeClr w14:val="tx1"/>
                  </w14:solidFill>
                </w14:textFill>
              </w:rPr>
              <w:t>根据上表数据及《建设项目环境风险评价技术导则》（</w:t>
            </w:r>
            <w:r>
              <w:rPr>
                <w:color w:val="000000" w:themeColor="text1"/>
                <w14:textFill>
                  <w14:solidFill>
                    <w14:schemeClr w14:val="tx1"/>
                  </w14:solidFill>
                </w14:textFill>
              </w:rPr>
              <w:t>HJ169</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2018</w:t>
            </w:r>
            <w:r>
              <w:rPr>
                <w:rFonts w:hint="eastAsia"/>
                <w:color w:val="000000" w:themeColor="text1"/>
                <w14:textFill>
                  <w14:solidFill>
                    <w14:schemeClr w14:val="tx1"/>
                  </w14:solidFill>
                </w14:textFill>
              </w:rPr>
              <w:t>）附录</w:t>
            </w:r>
            <w:r>
              <w:rPr>
                <w:color w:val="000000" w:themeColor="text1"/>
                <w14:textFill>
                  <w14:solidFill>
                    <w14:schemeClr w14:val="tx1"/>
                  </w14:solidFill>
                </w14:textFill>
              </w:rPr>
              <w:t>C</w:t>
            </w:r>
            <w:r>
              <w:rPr>
                <w:rFonts w:hint="eastAsia"/>
                <w:color w:val="000000" w:themeColor="text1"/>
                <w14:textFill>
                  <w14:solidFill>
                    <w14:schemeClr w14:val="tx1"/>
                  </w14:solidFill>
                </w14:textFill>
              </w:rPr>
              <w:t>计算得出，本项目风险物质总量与临界量比值为：</w:t>
            </w:r>
            <w:r>
              <w:rPr>
                <w:color w:val="000000" w:themeColor="text1"/>
                <w14:textFill>
                  <w14:solidFill>
                    <w14:schemeClr w14:val="tx1"/>
                  </w14:solidFill>
                </w14:textFill>
              </w:rPr>
              <w:t>Q</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，因此本项目不需要设置环境风险专项评价。</w:t>
            </w:r>
          </w:p>
          <w:bookmarkEnd w:id="31"/>
          <w:p w14:paraId="41EF9958">
            <w:pPr>
              <w:pStyle w:val="33"/>
              <w:spacing w:line="520" w:lineRule="exact"/>
              <w:ind w:firstLine="482"/>
              <w:rPr>
                <w:b/>
                <w:bCs/>
                <w:color w:val="000000" w:themeColor="text1"/>
                <w14:textFill>
                  <w14:solidFill>
                    <w14:schemeClr w14:val="tx1"/>
                  </w14:solidFill>
                </w14:textFill>
              </w:rPr>
            </w:pPr>
            <w:r>
              <w:rPr>
                <w:rFonts w:cs="Times New Roman"/>
                <w:b/>
                <w:bCs/>
                <w:color w:val="000000" w:themeColor="text1"/>
                <w14:textFill>
                  <w14:solidFill>
                    <w14:schemeClr w14:val="tx1"/>
                  </w14:solidFill>
                </w14:textFill>
              </w:rPr>
              <w:t>2</w:t>
            </w:r>
            <w:r>
              <w:rPr>
                <w:rFonts w:hint="eastAsia"/>
                <w:b/>
                <w:bCs/>
                <w:color w:val="000000" w:themeColor="text1"/>
                <w14:textFill>
                  <w14:solidFill>
                    <w14:schemeClr w14:val="tx1"/>
                  </w14:solidFill>
                </w14:textFill>
              </w:rPr>
              <w:t>、风险源分布及调查</w:t>
            </w:r>
          </w:p>
          <w:p w14:paraId="75A8328C">
            <w:pPr>
              <w:pStyle w:val="33"/>
              <w:spacing w:line="520" w:lineRule="exact"/>
              <w:ind w:firstLine="480"/>
              <w:rPr>
                <w:rFonts w:hint="eastAsia" w:eastAsia="黑体"/>
                <w:color w:val="000000" w:themeColor="text1"/>
                <w14:textFill>
                  <w14:solidFill>
                    <w14:schemeClr w14:val="tx1"/>
                  </w14:solidFill>
                </w14:textFill>
              </w:rPr>
            </w:pPr>
            <w:r>
              <w:rPr>
                <w:rFonts w:hint="eastAsia"/>
                <w:color w:val="000000" w:themeColor="text1"/>
                <w14:textFill>
                  <w14:solidFill>
                    <w14:schemeClr w14:val="tx1"/>
                  </w14:solidFill>
                </w14:textFill>
              </w:rPr>
              <w:t>本项目风险单元为天然气储罐及蒸汽发生器，位于厂区北侧锅炉房。天然气的理化性质及危害识别如下表所示。</w:t>
            </w:r>
          </w:p>
          <w:p w14:paraId="38F37492">
            <w:pPr>
              <w:pStyle w:val="11"/>
              <w:spacing w:line="460" w:lineRule="exact"/>
              <w:ind w:left="0" w:right="0" w:firstLine="480" w:firstLineChars="200"/>
              <w:rPr>
                <w:rFonts w:eastAsia="黑体"/>
                <w:color w:val="000000" w:themeColor="text1"/>
                <w14:textFill>
                  <w14:solidFill>
                    <w14:schemeClr w14:val="tx1"/>
                  </w14:solidFill>
                </w14:textFill>
              </w:rPr>
            </w:pPr>
            <w:r>
              <w:rPr>
                <w:rFonts w:hint="eastAsia" w:eastAsia="黑体"/>
                <w:color w:val="000000" w:themeColor="text1"/>
                <w14:textFill>
                  <w14:solidFill>
                    <w14:schemeClr w14:val="tx1"/>
                  </w14:solidFill>
                </w14:textFill>
              </w:rPr>
              <w:t>表4-</w:t>
            </w:r>
            <w:r>
              <w:rPr>
                <w:rFonts w:hint="eastAsia" w:eastAsia="黑体"/>
                <w:color w:val="000000" w:themeColor="text1"/>
                <w:lang w:val="en-US" w:eastAsia="zh-CN"/>
                <w14:textFill>
                  <w14:solidFill>
                    <w14:schemeClr w14:val="tx1"/>
                  </w14:solidFill>
                </w14:textFill>
              </w:rPr>
              <w:t>20</w:t>
            </w:r>
            <w:r>
              <w:rPr>
                <w:rFonts w:hint="eastAsia" w:eastAsia="黑体"/>
                <w:color w:val="000000" w:themeColor="text1"/>
                <w14:textFill>
                  <w14:solidFill>
                    <w14:schemeClr w14:val="tx1"/>
                  </w14:solidFill>
                </w14:textFill>
              </w:rPr>
              <w:t xml:space="preserve">            天然气物质特性与危害识别表</w:t>
            </w:r>
          </w:p>
          <w:tbl>
            <w:tblPr>
              <w:tblStyle w:val="1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2085"/>
              <w:gridCol w:w="1043"/>
              <w:gridCol w:w="361"/>
              <w:gridCol w:w="224"/>
              <w:gridCol w:w="1213"/>
              <w:gridCol w:w="564"/>
              <w:gridCol w:w="2516"/>
            </w:tblGrid>
            <w:tr w14:paraId="019B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Merge w:val="restart"/>
                  <w:vAlign w:val="center"/>
                </w:tcPr>
                <w:p w14:paraId="2DA900BE">
                  <w:pPr>
                    <w:pStyle w:val="46"/>
                    <w:spacing w:line="280" w:lineRule="exact"/>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标识</w:t>
                  </w:r>
                </w:p>
              </w:tc>
              <w:tc>
                <w:tcPr>
                  <w:tcW w:w="1191" w:type="pct"/>
                  <w:shd w:val="clear" w:color="auto" w:fill="auto"/>
                  <w:vAlign w:val="center"/>
                </w:tcPr>
                <w:p w14:paraId="45D78B13">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名称</w:t>
                  </w:r>
                </w:p>
              </w:tc>
              <w:tc>
                <w:tcPr>
                  <w:tcW w:w="930" w:type="pct"/>
                  <w:gridSpan w:val="3"/>
                  <w:vAlign w:val="center"/>
                </w:tcPr>
                <w:p w14:paraId="7F8766BB">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天然气</w:t>
                  </w:r>
                  <w:r>
                    <w:rPr>
                      <w:rFonts w:hint="eastAsia" w:cs="Times New Roman"/>
                      <w:color w:val="000000" w:themeColor="text1"/>
                      <w14:textFill>
                        <w14:solidFill>
                          <w14:schemeClr w14:val="tx1"/>
                        </w14:solidFill>
                      </w14:textFill>
                    </w:rPr>
                    <w:t>（CH</w:t>
                  </w:r>
                  <w:r>
                    <w:rPr>
                      <w:rFonts w:hint="eastAsia" w:cs="Times New Roman"/>
                      <w:color w:val="000000" w:themeColor="text1"/>
                      <w:vertAlign w:val="subscript"/>
                      <w14:textFill>
                        <w14:solidFill>
                          <w14:schemeClr w14:val="tx1"/>
                        </w14:solidFill>
                      </w14:textFill>
                    </w:rPr>
                    <w:t>4</w:t>
                  </w:r>
                  <w:r>
                    <w:rPr>
                      <w:rFonts w:hint="eastAsia" w:cs="Times New Roman"/>
                      <w:color w:val="000000" w:themeColor="text1"/>
                      <w14:textFill>
                        <w14:solidFill>
                          <w14:schemeClr w14:val="tx1"/>
                        </w14:solidFill>
                      </w14:textFill>
                    </w:rPr>
                    <w:t>)</w:t>
                  </w:r>
                </w:p>
              </w:tc>
              <w:tc>
                <w:tcPr>
                  <w:tcW w:w="1015" w:type="pct"/>
                  <w:gridSpan w:val="2"/>
                  <w:vAlign w:val="center"/>
                </w:tcPr>
                <w:p w14:paraId="3B35E706">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CAS No</w:t>
                  </w:r>
                </w:p>
              </w:tc>
              <w:tc>
                <w:tcPr>
                  <w:tcW w:w="1435" w:type="pct"/>
                  <w:vAlign w:val="center"/>
                </w:tcPr>
                <w:p w14:paraId="2B97F9A7">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74-82-8</w:t>
                  </w:r>
                </w:p>
              </w:tc>
            </w:tr>
            <w:tr w14:paraId="6A0E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Merge w:val="continue"/>
                  <w:vAlign w:val="center"/>
                </w:tcPr>
                <w:p w14:paraId="6A85BB55">
                  <w:pPr>
                    <w:pStyle w:val="46"/>
                    <w:spacing w:line="280" w:lineRule="exact"/>
                    <w:rPr>
                      <w:rFonts w:cs="Times New Roman"/>
                      <w:color w:val="000000" w:themeColor="text1"/>
                      <w14:textFill>
                        <w14:solidFill>
                          <w14:schemeClr w14:val="tx1"/>
                        </w14:solidFill>
                      </w14:textFill>
                    </w:rPr>
                  </w:pPr>
                </w:p>
              </w:tc>
              <w:tc>
                <w:tcPr>
                  <w:tcW w:w="1191" w:type="pct"/>
                  <w:shd w:val="clear" w:color="auto" w:fill="auto"/>
                  <w:vAlign w:val="center"/>
                </w:tcPr>
                <w:p w14:paraId="4503EB66">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危规号</w:t>
                  </w:r>
                </w:p>
              </w:tc>
              <w:tc>
                <w:tcPr>
                  <w:tcW w:w="930" w:type="pct"/>
                  <w:gridSpan w:val="3"/>
                  <w:vAlign w:val="center"/>
                </w:tcPr>
                <w:p w14:paraId="4D9DF8A1">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21007(压缩)</w:t>
                  </w:r>
                </w:p>
              </w:tc>
              <w:tc>
                <w:tcPr>
                  <w:tcW w:w="1015" w:type="pct"/>
                  <w:gridSpan w:val="2"/>
                  <w:vAlign w:val="center"/>
                </w:tcPr>
                <w:p w14:paraId="44469FCD">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危险类别</w:t>
                  </w:r>
                </w:p>
              </w:tc>
              <w:tc>
                <w:tcPr>
                  <w:tcW w:w="1435" w:type="pct"/>
                  <w:vAlign w:val="center"/>
                </w:tcPr>
                <w:p w14:paraId="3DAB137B">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2.1类 易燃气体</w:t>
                  </w:r>
                </w:p>
              </w:tc>
            </w:tr>
            <w:tr w14:paraId="6918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Merge w:val="restart"/>
                  <w:vAlign w:val="center"/>
                </w:tcPr>
                <w:p w14:paraId="6C775B5D">
                  <w:pPr>
                    <w:pStyle w:val="46"/>
                    <w:spacing w:line="280" w:lineRule="exact"/>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理化性质</w:t>
                  </w:r>
                </w:p>
              </w:tc>
              <w:tc>
                <w:tcPr>
                  <w:tcW w:w="1191" w:type="pct"/>
                  <w:shd w:val="clear" w:color="auto" w:fill="auto"/>
                  <w:vAlign w:val="center"/>
                </w:tcPr>
                <w:p w14:paraId="276CE925">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外观</w:t>
                  </w:r>
                </w:p>
              </w:tc>
              <w:tc>
                <w:tcPr>
                  <w:tcW w:w="3381" w:type="pct"/>
                  <w:gridSpan w:val="6"/>
                  <w:vAlign w:val="center"/>
                </w:tcPr>
                <w:p w14:paraId="28664AAC">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无色无味气体。</w:t>
                  </w:r>
                </w:p>
              </w:tc>
            </w:tr>
            <w:tr w14:paraId="2A08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Merge w:val="continue"/>
                  <w:vAlign w:val="center"/>
                </w:tcPr>
                <w:p w14:paraId="5BBDCE64">
                  <w:pPr>
                    <w:pStyle w:val="46"/>
                    <w:spacing w:line="280" w:lineRule="exact"/>
                    <w:rPr>
                      <w:rFonts w:cs="Times New Roman"/>
                      <w:color w:val="000000" w:themeColor="text1"/>
                      <w14:textFill>
                        <w14:solidFill>
                          <w14:schemeClr w14:val="tx1"/>
                        </w14:solidFill>
                      </w14:textFill>
                    </w:rPr>
                  </w:pPr>
                </w:p>
              </w:tc>
              <w:tc>
                <w:tcPr>
                  <w:tcW w:w="1191" w:type="pct"/>
                  <w:shd w:val="clear" w:color="auto" w:fill="auto"/>
                  <w:vAlign w:val="center"/>
                </w:tcPr>
                <w:p w14:paraId="468BBF83">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熔点°C</w:t>
                  </w:r>
                </w:p>
              </w:tc>
              <w:tc>
                <w:tcPr>
                  <w:tcW w:w="930" w:type="pct"/>
                  <w:gridSpan w:val="3"/>
                  <w:vAlign w:val="center"/>
                </w:tcPr>
                <w:p w14:paraId="35AC294D">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-182.6</w:t>
                  </w:r>
                </w:p>
              </w:tc>
              <w:tc>
                <w:tcPr>
                  <w:tcW w:w="1015" w:type="pct"/>
                  <w:gridSpan w:val="2"/>
                  <w:vAlign w:val="center"/>
                </w:tcPr>
                <w:p w14:paraId="352DEFD8">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溶解性</w:t>
                  </w:r>
                </w:p>
              </w:tc>
              <w:tc>
                <w:tcPr>
                  <w:tcW w:w="1435" w:type="pct"/>
                  <w:vAlign w:val="center"/>
                </w:tcPr>
                <w:p w14:paraId="1D555821">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微溶于水，溶于乙醇、乙醚、苯、甲苯等。</w:t>
                  </w:r>
                </w:p>
              </w:tc>
            </w:tr>
            <w:tr w14:paraId="0793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Merge w:val="continue"/>
                  <w:vAlign w:val="center"/>
                </w:tcPr>
                <w:p w14:paraId="406C87D4">
                  <w:pPr>
                    <w:pStyle w:val="46"/>
                    <w:spacing w:line="280" w:lineRule="exact"/>
                    <w:rPr>
                      <w:rFonts w:cs="Times New Roman"/>
                      <w:color w:val="000000" w:themeColor="text1"/>
                      <w14:textFill>
                        <w14:solidFill>
                          <w14:schemeClr w14:val="tx1"/>
                        </w14:solidFill>
                      </w14:textFill>
                    </w:rPr>
                  </w:pPr>
                </w:p>
              </w:tc>
              <w:tc>
                <w:tcPr>
                  <w:tcW w:w="1191" w:type="pct"/>
                  <w:shd w:val="clear" w:color="auto" w:fill="auto"/>
                  <w:vAlign w:val="center"/>
                </w:tcPr>
                <w:p w14:paraId="23196A83">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沸点°C</w:t>
                  </w:r>
                </w:p>
              </w:tc>
              <w:tc>
                <w:tcPr>
                  <w:tcW w:w="930" w:type="pct"/>
                  <w:gridSpan w:val="3"/>
                  <w:vAlign w:val="center"/>
                </w:tcPr>
                <w:p w14:paraId="367C02CE">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-161.4</w:t>
                  </w:r>
                </w:p>
              </w:tc>
              <w:tc>
                <w:tcPr>
                  <w:tcW w:w="1015" w:type="pct"/>
                  <w:gridSpan w:val="2"/>
                  <w:vAlign w:val="center"/>
                </w:tcPr>
                <w:p w14:paraId="2BA46F48">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相对密度(水=1)</w:t>
                  </w:r>
                </w:p>
              </w:tc>
              <w:tc>
                <w:tcPr>
                  <w:tcW w:w="1435" w:type="pct"/>
                  <w:vAlign w:val="center"/>
                </w:tcPr>
                <w:p w14:paraId="149FCAC6">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0.42(-164°C)</w:t>
                  </w:r>
                </w:p>
              </w:tc>
            </w:tr>
            <w:tr w14:paraId="1F0A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Merge w:val="continue"/>
                  <w:vAlign w:val="center"/>
                </w:tcPr>
                <w:p w14:paraId="2DC31D66">
                  <w:pPr>
                    <w:pStyle w:val="46"/>
                    <w:spacing w:line="280" w:lineRule="exact"/>
                    <w:rPr>
                      <w:rFonts w:cs="Times New Roman"/>
                      <w:color w:val="000000" w:themeColor="text1"/>
                      <w14:textFill>
                        <w14:solidFill>
                          <w14:schemeClr w14:val="tx1"/>
                        </w14:solidFill>
                      </w14:textFill>
                    </w:rPr>
                  </w:pPr>
                </w:p>
              </w:tc>
              <w:tc>
                <w:tcPr>
                  <w:tcW w:w="1191" w:type="pct"/>
                  <w:shd w:val="clear" w:color="auto" w:fill="auto"/>
                  <w:vAlign w:val="center"/>
                </w:tcPr>
                <w:p w14:paraId="1ACF27BC">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饱和蒸汽压/kPa</w:t>
                  </w:r>
                </w:p>
              </w:tc>
              <w:tc>
                <w:tcPr>
                  <w:tcW w:w="930" w:type="pct"/>
                  <w:gridSpan w:val="3"/>
                  <w:vAlign w:val="center"/>
                </w:tcPr>
                <w:p w14:paraId="71ECA842">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53.32(-168.8°C)</w:t>
                  </w:r>
                </w:p>
              </w:tc>
              <w:tc>
                <w:tcPr>
                  <w:tcW w:w="1015" w:type="pct"/>
                  <w:gridSpan w:val="2"/>
                  <w:vAlign w:val="center"/>
                </w:tcPr>
                <w:p w14:paraId="09B35E09">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相对密度(空气=1)</w:t>
                  </w:r>
                </w:p>
              </w:tc>
              <w:tc>
                <w:tcPr>
                  <w:tcW w:w="1435" w:type="pct"/>
                  <w:vAlign w:val="center"/>
                </w:tcPr>
                <w:p w14:paraId="563BAD5C">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0.6</w:t>
                  </w:r>
                </w:p>
              </w:tc>
            </w:tr>
            <w:tr w14:paraId="6285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Merge w:val="continue"/>
                  <w:vAlign w:val="center"/>
                </w:tcPr>
                <w:p w14:paraId="6E69E4D5">
                  <w:pPr>
                    <w:pStyle w:val="46"/>
                    <w:spacing w:line="280" w:lineRule="exact"/>
                    <w:rPr>
                      <w:rFonts w:cs="Times New Roman"/>
                      <w:color w:val="000000" w:themeColor="text1"/>
                      <w14:textFill>
                        <w14:solidFill>
                          <w14:schemeClr w14:val="tx1"/>
                        </w14:solidFill>
                      </w14:textFill>
                    </w:rPr>
                  </w:pPr>
                </w:p>
              </w:tc>
              <w:tc>
                <w:tcPr>
                  <w:tcW w:w="1191" w:type="pct"/>
                  <w:shd w:val="clear" w:color="auto" w:fill="auto"/>
                  <w:vAlign w:val="center"/>
                </w:tcPr>
                <w:p w14:paraId="755C28FA">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闪点°C</w:t>
                  </w:r>
                </w:p>
              </w:tc>
              <w:tc>
                <w:tcPr>
                  <w:tcW w:w="930" w:type="pct"/>
                  <w:gridSpan w:val="3"/>
                  <w:vAlign w:val="center"/>
                </w:tcPr>
                <w:p w14:paraId="600287BF">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-218</w:t>
                  </w:r>
                </w:p>
              </w:tc>
              <w:tc>
                <w:tcPr>
                  <w:tcW w:w="1015" w:type="pct"/>
                  <w:gridSpan w:val="2"/>
                  <w:vAlign w:val="center"/>
                </w:tcPr>
                <w:p w14:paraId="788FFA36">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禁忌物:</w:t>
                  </w:r>
                </w:p>
              </w:tc>
              <w:tc>
                <w:tcPr>
                  <w:tcW w:w="1435" w:type="pct"/>
                  <w:vAlign w:val="center"/>
                </w:tcPr>
                <w:p w14:paraId="75E619B4">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强氧化剂、强酸、强碱、卤素。</w:t>
                  </w:r>
                </w:p>
              </w:tc>
            </w:tr>
            <w:tr w14:paraId="5B05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Merge w:val="restart"/>
                  <w:vAlign w:val="center"/>
                </w:tcPr>
                <w:p w14:paraId="083BE5A5">
                  <w:pPr>
                    <w:pStyle w:val="46"/>
                    <w:spacing w:line="280" w:lineRule="exact"/>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燃烧爆炸危险</w:t>
                  </w:r>
                </w:p>
                <w:p w14:paraId="7DE5A28A">
                  <w:pPr>
                    <w:pStyle w:val="46"/>
                    <w:spacing w:line="280" w:lineRule="exact"/>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性</w:t>
                  </w:r>
                </w:p>
              </w:tc>
              <w:tc>
                <w:tcPr>
                  <w:tcW w:w="1993" w:type="pct"/>
                  <w:gridSpan w:val="3"/>
                  <w:vAlign w:val="center"/>
                </w:tcPr>
                <w:p w14:paraId="25F3041D">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燃烧性</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易燃</w:t>
                  </w:r>
                </w:p>
              </w:tc>
              <w:tc>
                <w:tcPr>
                  <w:tcW w:w="2579" w:type="pct"/>
                  <w:gridSpan w:val="4"/>
                  <w:vAlign w:val="center"/>
                </w:tcPr>
                <w:p w14:paraId="559E8D53">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燃烧分解产物</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一氧化碳、二氧化碳、水</w:t>
                  </w:r>
                </w:p>
              </w:tc>
            </w:tr>
            <w:tr w14:paraId="7CEE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Merge w:val="continue"/>
                  <w:vAlign w:val="center"/>
                </w:tcPr>
                <w:p w14:paraId="72A28480">
                  <w:pPr>
                    <w:pStyle w:val="46"/>
                    <w:spacing w:line="280" w:lineRule="exact"/>
                    <w:rPr>
                      <w:rStyle w:val="21"/>
                      <w:rFonts w:eastAsia="Segoe UI" w:cs="Times New Roman"/>
                      <w:bCs/>
                      <w:color w:val="0F1115"/>
                      <w:shd w:val="clear" w:color="auto" w:fill="FFFFFF"/>
                    </w:rPr>
                  </w:pPr>
                </w:p>
              </w:tc>
              <w:tc>
                <w:tcPr>
                  <w:tcW w:w="1787" w:type="pct"/>
                  <w:gridSpan w:val="2"/>
                  <w:vAlign w:val="center"/>
                </w:tcPr>
                <w:p w14:paraId="4D49AB24">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爆炸极限(V/V%)</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5~15</w:t>
                  </w:r>
                </w:p>
              </w:tc>
              <w:tc>
                <w:tcPr>
                  <w:tcW w:w="1027" w:type="pct"/>
                  <w:gridSpan w:val="3"/>
                  <w:vAlign w:val="center"/>
                </w:tcPr>
                <w:p w14:paraId="127C5AFF">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火灾危险性:甲类</w:t>
                  </w:r>
                </w:p>
              </w:tc>
              <w:tc>
                <w:tcPr>
                  <w:tcW w:w="1758" w:type="pct"/>
                  <w:gridSpan w:val="2"/>
                  <w:vAlign w:val="center"/>
                </w:tcPr>
                <w:p w14:paraId="6C669297">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爆炸性气体分级分组</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IIA级T1</w:t>
                  </w:r>
                </w:p>
              </w:tc>
            </w:tr>
            <w:tr w14:paraId="2FD8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Merge w:val="continue"/>
                  <w:vAlign w:val="center"/>
                </w:tcPr>
                <w:p w14:paraId="4ACBECA5">
                  <w:pPr>
                    <w:pStyle w:val="46"/>
                    <w:spacing w:line="280" w:lineRule="exact"/>
                    <w:rPr>
                      <w:rStyle w:val="21"/>
                      <w:rFonts w:eastAsia="Segoe UI" w:cs="Times New Roman"/>
                      <w:bCs/>
                      <w:color w:val="0F1115"/>
                      <w:shd w:val="clear" w:color="auto" w:fill="FFFFFF"/>
                    </w:rPr>
                  </w:pPr>
                </w:p>
              </w:tc>
              <w:tc>
                <w:tcPr>
                  <w:tcW w:w="4573" w:type="pct"/>
                  <w:gridSpan w:val="7"/>
                  <w:vAlign w:val="center"/>
                </w:tcPr>
                <w:p w14:paraId="7AD14832">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危险特性</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易燃，与空气混合能形成爆炸性混合物，遇热源和明火有燃烧爆炸的危险。与五氧化溴、氯气、次氯酸、三氟化氮、液氧、二氟化氧及其它强氧化剂接触发生剧烈反应。</w:t>
                  </w:r>
                </w:p>
              </w:tc>
            </w:tr>
            <w:tr w14:paraId="0FF7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Merge w:val="continue"/>
                  <w:vAlign w:val="center"/>
                </w:tcPr>
                <w:p w14:paraId="4B621E35">
                  <w:pPr>
                    <w:pStyle w:val="46"/>
                    <w:spacing w:line="280" w:lineRule="exact"/>
                    <w:rPr>
                      <w:rStyle w:val="21"/>
                      <w:rFonts w:eastAsia="Segoe UI" w:cs="Times New Roman"/>
                      <w:bCs/>
                      <w:color w:val="0F1115"/>
                      <w:shd w:val="clear" w:color="auto" w:fill="FFFFFF"/>
                    </w:rPr>
                  </w:pPr>
                </w:p>
              </w:tc>
              <w:tc>
                <w:tcPr>
                  <w:tcW w:w="4573" w:type="pct"/>
                  <w:gridSpan w:val="7"/>
                  <w:vAlign w:val="center"/>
                </w:tcPr>
                <w:p w14:paraId="0CE917FE">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灭火方法</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切断气源。若不能立即切断气源，则不允许熄灭泄漏处的火焰。消防人员必须佩戴空气呼吸器、穿全身防火防毒服，在上风向灭火。尽可能将容器从火场移至空旷处。喷水保持火场容器冷却，直至灭火结束。</w:t>
                  </w:r>
                </w:p>
                <w:p w14:paraId="22167427">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灭火剂</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雾状水，泡沫、二氧化碳、干粉。</w:t>
                  </w:r>
                </w:p>
              </w:tc>
            </w:tr>
            <w:tr w14:paraId="5C24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Align w:val="center"/>
                </w:tcPr>
                <w:p w14:paraId="2A3D9296">
                  <w:pPr>
                    <w:pStyle w:val="46"/>
                    <w:spacing w:line="280" w:lineRule="exact"/>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健康危害</w:t>
                  </w:r>
                </w:p>
              </w:tc>
              <w:tc>
                <w:tcPr>
                  <w:tcW w:w="4573" w:type="pct"/>
                  <w:gridSpan w:val="7"/>
                  <w:vAlign w:val="center"/>
                </w:tcPr>
                <w:p w14:paraId="6D595AC2">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侵入途径</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吸入</w:t>
                  </w:r>
                </w:p>
                <w:p w14:paraId="2B05389D">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健康危害</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空气中甲烷浓度过高时，能使人窒息。当空气中甲烷达 25%~30%时，可引起头痛、头晕、乏力、注意力不集中、呼吸和心跳加速、共济失调。若不及时脱离，可致窒息死亡。</w:t>
                  </w:r>
                </w:p>
              </w:tc>
            </w:tr>
            <w:tr w14:paraId="209A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Align w:val="center"/>
                </w:tcPr>
                <w:p w14:paraId="19BD2C88">
                  <w:pPr>
                    <w:pStyle w:val="46"/>
                    <w:spacing w:line="280" w:lineRule="exact"/>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急救措施</w:t>
                  </w:r>
                </w:p>
              </w:tc>
              <w:tc>
                <w:tcPr>
                  <w:tcW w:w="4573" w:type="pct"/>
                  <w:gridSpan w:val="7"/>
                  <w:vAlign w:val="center"/>
                </w:tcPr>
                <w:p w14:paraId="1EDC70A1">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皮肤接触</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接触低温液化天然气会造成严重冻伤。用温水（非热水）冲洗，勿脱衣物，立即就医。</w:t>
                  </w:r>
                </w:p>
                <w:p w14:paraId="3721989E">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吸入</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迅速脱离现场至空气新鲜处。保持呼吸道通畅。如呼吸困难，给输氧。呼吸、心跳停止，立即进行心肺复苏术。</w:t>
                  </w:r>
                </w:p>
                <w:p w14:paraId="323214C2">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就医食入</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不会通过该途径接触。</w:t>
                  </w:r>
                </w:p>
                <w:p w14:paraId="19D29FEF">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眼睛接触</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接触低温液体可能冻伤。立即用大量温水轻轻冲洗至少15分钟，并立即就医。</w:t>
                  </w:r>
                </w:p>
              </w:tc>
            </w:tr>
            <w:tr w14:paraId="4040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Align w:val="center"/>
                </w:tcPr>
                <w:p w14:paraId="78B21127">
                  <w:pPr>
                    <w:pStyle w:val="46"/>
                    <w:spacing w:line="280" w:lineRule="exact"/>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泄漏应急处理</w:t>
                  </w:r>
                </w:p>
              </w:tc>
              <w:tc>
                <w:tcPr>
                  <w:tcW w:w="4573" w:type="pct"/>
                  <w:gridSpan w:val="7"/>
                  <w:vAlign w:val="center"/>
                </w:tcPr>
                <w:p w14:paraId="00443EFD">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人员防护： 立即消除所有点火源（严禁开关电器、使用电话、产生火花）。疏散泄漏影响区域，向上风向撤离。</w:t>
                  </w:r>
                </w:p>
                <w:p w14:paraId="26B721D4">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环境措施： 防止气体进入地下室、电缆沟、下水道等密闭空间。</w:t>
                  </w:r>
                </w:p>
                <w:p w14:paraId="1E247914">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清理方法： 自然通风稀释。对于大量泄漏，需由专业人员（燃气公司）在受控下处理。切勿自行处理管道泄漏。</w:t>
                  </w:r>
                </w:p>
              </w:tc>
            </w:tr>
            <w:tr w14:paraId="37998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Align w:val="center"/>
                </w:tcPr>
                <w:p w14:paraId="79DC42CA">
                  <w:pPr>
                    <w:pStyle w:val="46"/>
                    <w:spacing w:line="280" w:lineRule="exact"/>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操作处置与储存</w:t>
                  </w:r>
                </w:p>
              </w:tc>
              <w:tc>
                <w:tcPr>
                  <w:tcW w:w="4573" w:type="pct"/>
                  <w:gridSpan w:val="7"/>
                  <w:vAlign w:val="center"/>
                </w:tcPr>
                <w:p w14:paraId="57802BF5">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操作： 仅用于设计良好的通风系统中。使用前检查管道和连接处是否严密。设备必须接地。</w:t>
                  </w:r>
                </w:p>
                <w:p w14:paraId="08DC4B27">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储存： 通常以气相形式通过高压管道输送或储存在地下储气库、高压气罐或液化天然气储罐中。储存区必须通风、远离火源、热源和氧化剂，并有“严禁烟火”标志。</w:t>
                  </w:r>
                </w:p>
              </w:tc>
            </w:tr>
            <w:tr w14:paraId="5421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Align w:val="center"/>
                </w:tcPr>
                <w:p w14:paraId="03A92640">
                  <w:pPr>
                    <w:pStyle w:val="46"/>
                    <w:spacing w:line="280" w:lineRule="exact"/>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接触控制/个人防护</w:t>
                  </w:r>
                </w:p>
              </w:tc>
              <w:tc>
                <w:tcPr>
                  <w:tcW w:w="4573" w:type="pct"/>
                  <w:gridSpan w:val="7"/>
                  <w:vAlign w:val="center"/>
                </w:tcPr>
                <w:p w14:paraId="22F884A2">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工程控制： 充分的通风系统。在可能积聚的区域安装可燃气体检测报警器。</w:t>
                  </w:r>
                </w:p>
                <w:p w14:paraId="5115FFD6">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呼吸防护： 在浓度未知或缺氧环境中，必须使用正压自给式空气呼吸器。</w:t>
                  </w:r>
                </w:p>
                <w:p w14:paraId="2284FEE4">
                  <w:pPr>
                    <w:pStyle w:val="46"/>
                    <w:spacing w:line="280" w:lineRule="exact"/>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其他防护： 处理液化天然气时需防冻手套、面罩和防护服。</w:t>
                  </w:r>
                </w:p>
              </w:tc>
            </w:tr>
          </w:tbl>
          <w:p w14:paraId="0508C27D">
            <w:pPr>
              <w:pStyle w:val="11"/>
              <w:spacing w:line="520" w:lineRule="exact"/>
              <w:ind w:left="0" w:right="0" w:firstLine="480"/>
              <w:rPr>
                <w:b/>
                <w:bCs/>
                <w:color w:val="000000" w:themeColor="text1"/>
                <w14:textFill>
                  <w14:solidFill>
                    <w14:schemeClr w14:val="tx1"/>
                  </w14:solidFill>
                </w14:textFill>
              </w:rPr>
            </w:pPr>
            <w:r>
              <w:rPr>
                <w:b/>
                <w:bCs/>
                <w:color w:val="000000" w:themeColor="text1"/>
                <w14:textFill>
                  <w14:solidFill>
                    <w14:schemeClr w14:val="tx1"/>
                  </w14:solidFill>
                </w14:textFill>
              </w:rPr>
              <w:t>3</w:t>
            </w:r>
            <w:r>
              <w:rPr>
                <w:rFonts w:hint="eastAsia"/>
                <w:b/>
                <w:bCs/>
                <w:color w:val="000000" w:themeColor="text1"/>
                <w14:textFill>
                  <w14:solidFill>
                    <w14:schemeClr w14:val="tx1"/>
                  </w14:solidFill>
                </w14:textFill>
              </w:rPr>
              <w:t>、可能影响的途径</w:t>
            </w:r>
          </w:p>
          <w:p w14:paraId="4F53C318">
            <w:pPr>
              <w:spacing w:line="52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经查阅相关资料，天然气储罐的可能风险影响途径为：</w:t>
            </w:r>
          </w:p>
          <w:p w14:paraId="6E27F0BC">
            <w:pPr>
              <w:numPr>
                <w:ilvl w:val="0"/>
                <w:numId w:val="14"/>
              </w:numPr>
              <w:spacing w:line="520" w:lineRule="exact"/>
              <w:ind w:firstLine="480" w:firstLineChars="200"/>
              <w:rPr>
                <w:rFonts w:eastAsia="Segoe UI"/>
                <w:color w:val="0F1115"/>
                <w:shd w:val="clear" w:color="auto" w:fill="FFFFFF"/>
              </w:rPr>
            </w:pPr>
            <w:r>
              <w:rPr>
                <w:color w:val="000000" w:themeColor="text1"/>
                <w14:textFill>
                  <w14:solidFill>
                    <w14:schemeClr w14:val="tx1"/>
                  </w14:solidFill>
                </w14:textFill>
              </w:rPr>
              <w:t>装卸过程产生的压力波动、管道振动、接头密封失效、超装或低液位运行，</w:t>
            </w:r>
            <w:r>
              <w:rPr>
                <w:rFonts w:eastAsia="Segoe UI"/>
                <w:color w:val="0F1115"/>
                <w:shd w:val="clear" w:color="auto" w:fill="FFFFFF"/>
              </w:rPr>
              <w:t>直接导致</w:t>
            </w:r>
            <w:r>
              <w:rPr>
                <w:color w:val="000000" w:themeColor="text1"/>
                <w14:textFill>
                  <w14:solidFill>
                    <w14:schemeClr w14:val="tx1"/>
                  </w14:solidFill>
                </w14:textFill>
              </w:rPr>
              <w:t>泄漏；可能引发火灾或爆炸，导致</w:t>
            </w:r>
            <w:r>
              <w:rPr>
                <w:rFonts w:eastAsia="Segoe UI"/>
                <w:color w:val="0F1115"/>
                <w:shd w:val="clear" w:color="auto" w:fill="FFFFFF"/>
              </w:rPr>
              <w:t>燃烧产物（CO、CO₂、未燃尽的碳氢化合物、可能的NOx）排放；</w:t>
            </w:r>
          </w:p>
          <w:p w14:paraId="7332F014">
            <w:pPr>
              <w:numPr>
                <w:ilvl w:val="0"/>
                <w:numId w:val="14"/>
              </w:numPr>
              <w:spacing w:line="52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天然气储罐</w:t>
            </w:r>
            <w:r>
              <w:rPr>
                <w:rFonts w:eastAsia="Segoe UI"/>
                <w:color w:val="0F1115"/>
                <w:shd w:val="clear" w:color="auto" w:fill="FFFFFF"/>
              </w:rPr>
              <w:t>疲劳裂纹、内外部腐蚀</w:t>
            </w:r>
            <w:r>
              <w:rPr>
                <w:color w:val="0F1115"/>
                <w:shd w:val="clear" w:color="auto" w:fill="FFFFFF"/>
              </w:rPr>
              <w:t>，</w:t>
            </w:r>
            <w:r>
              <w:rPr>
                <w:rFonts w:eastAsia="Segoe UI"/>
                <w:color w:val="0F1115"/>
                <w:shd w:val="clear" w:color="auto" w:fill="FFFFFF"/>
              </w:rPr>
              <w:t>安全阀、爆破片、仪表、紧急切断阀（ESD）等失灵或未定期校验。在超压时失去保护功能，或无法在紧急时隔离泄漏源导致</w:t>
            </w:r>
            <w:r>
              <w:rPr>
                <w:color w:val="000000" w:themeColor="text1"/>
                <w14:textFill>
                  <w14:solidFill>
                    <w14:schemeClr w14:val="tx1"/>
                  </w14:solidFill>
                </w14:textFill>
              </w:rPr>
              <w:t>泄漏；可能引发火灾或爆炸，导致</w:t>
            </w:r>
            <w:r>
              <w:rPr>
                <w:rFonts w:eastAsia="Segoe UI"/>
                <w:color w:val="0F1115"/>
                <w:shd w:val="clear" w:color="auto" w:fill="FFFFFF"/>
              </w:rPr>
              <w:t>燃烧产物（CO、CO₂、未燃尽的碳氢化合物、可能的NOx）排放</w:t>
            </w:r>
            <w:r>
              <w:rPr>
                <w:color w:val="0F1115"/>
                <w:shd w:val="clear" w:color="auto" w:fill="FFFFFF"/>
              </w:rPr>
              <w:t>。</w:t>
            </w:r>
          </w:p>
          <w:p w14:paraId="5AFA523C">
            <w:pPr>
              <w:pStyle w:val="33"/>
              <w:spacing w:line="520" w:lineRule="exact"/>
              <w:ind w:firstLine="482"/>
              <w:rPr>
                <w:b/>
                <w:bCs/>
                <w:color w:val="000000" w:themeColor="text1"/>
                <w14:textFill>
                  <w14:solidFill>
                    <w14:schemeClr w14:val="tx1"/>
                  </w14:solidFill>
                </w14:textFill>
              </w:rPr>
            </w:pPr>
            <w:r>
              <w:rPr>
                <w:rFonts w:cs="Times New Roman"/>
                <w:b/>
                <w:bCs/>
                <w:color w:val="000000" w:themeColor="text1"/>
                <w14:textFill>
                  <w14:solidFill>
                    <w14:schemeClr w14:val="tx1"/>
                  </w14:solidFill>
                </w14:textFill>
              </w:rPr>
              <w:t>4</w:t>
            </w:r>
            <w:r>
              <w:rPr>
                <w:rFonts w:hint="eastAsia"/>
                <w:b/>
                <w:bCs/>
                <w:color w:val="000000" w:themeColor="text1"/>
                <w14:textFill>
                  <w14:solidFill>
                    <w14:schemeClr w14:val="tx1"/>
                  </w14:solidFill>
                </w14:textFill>
              </w:rPr>
              <w:t>、环境风险防范措施</w:t>
            </w:r>
          </w:p>
          <w:p w14:paraId="616FFECB">
            <w:pPr>
              <w:spacing w:line="520" w:lineRule="exact"/>
              <w:ind w:firstLine="480" w:firstLineChars="200"/>
            </w:pPr>
            <w:r>
              <w:t>1）根据功能分区合理布局，有利于安全疏散和消防。</w:t>
            </w:r>
          </w:p>
          <w:p w14:paraId="6F37D7C1">
            <w:pPr>
              <w:spacing w:line="520" w:lineRule="exact"/>
              <w:ind w:firstLine="480" w:firstLineChars="200"/>
              <w:rPr>
                <w:rFonts w:eastAsia="Segoe UI"/>
                <w:color w:val="0F1115"/>
                <w:shd w:val="clear" w:color="auto" w:fill="FFFFFF"/>
              </w:rPr>
            </w:pPr>
            <w:r>
              <w:t>2）</w:t>
            </w:r>
            <w:r>
              <w:rPr>
                <w:rFonts w:eastAsia="Segoe UI"/>
                <w:color w:val="0F1115"/>
                <w:shd w:val="clear" w:color="auto" w:fill="FFFFFF"/>
              </w:rPr>
              <w:t>选用耐低温、抗应力腐蚀的材料</w:t>
            </w:r>
            <w:r>
              <w:rPr>
                <w:color w:val="0F1115"/>
                <w:shd w:val="clear" w:color="auto" w:fill="FFFFFF"/>
              </w:rPr>
              <w:t>、</w:t>
            </w:r>
            <w:r>
              <w:rPr>
                <w:rFonts w:eastAsia="Segoe UI"/>
                <w:color w:val="0F1115"/>
                <w:shd w:val="clear" w:color="auto" w:fill="FFFFFF"/>
              </w:rPr>
              <w:t>内罐泄漏时外罐能完全包容防止外泄</w:t>
            </w:r>
            <w:r>
              <w:rPr>
                <w:color w:val="0F1115"/>
                <w:shd w:val="clear" w:color="auto" w:fill="FFFFFF"/>
              </w:rPr>
              <w:t>的天然气储罐，天然气储罐</w:t>
            </w:r>
            <w:r>
              <w:rPr>
                <w:rFonts w:eastAsia="Segoe UI"/>
                <w:color w:val="0F1115"/>
                <w:shd w:val="clear" w:color="auto" w:fill="FFFFFF"/>
              </w:rPr>
              <w:t>设计足够的抗风、抗震、抗冲击能力；配备完善的压力/真空保护系统（呼吸阀、安全阀、爆破片），防止超压或负压损坏。</w:t>
            </w:r>
          </w:p>
          <w:p w14:paraId="4B9068EC">
            <w:pPr>
              <w:spacing w:line="520" w:lineRule="exact"/>
              <w:ind w:firstLine="480" w:firstLineChars="200"/>
              <w:rPr>
                <w:rFonts w:eastAsia="Segoe UI"/>
                <w:color w:val="0F1115"/>
                <w:shd w:val="clear" w:color="auto" w:fill="FFFFFF"/>
              </w:rPr>
            </w:pPr>
            <w:r>
              <w:t>3）天然气管线周围划定易燃爆炸危险区域，选用防爆型电气设备、仪表及通信设备，远</w:t>
            </w:r>
            <w:r>
              <w:rPr>
                <w:rFonts w:eastAsia="Segoe UI"/>
                <w:color w:val="0F1115"/>
                <w:shd w:val="clear" w:color="auto" w:fill="FFFFFF"/>
              </w:rPr>
              <w:t>离火源。加强设备巡检，防止因设备老化、管道腐蚀等原因造成天然气泄漏。</w:t>
            </w:r>
          </w:p>
          <w:p w14:paraId="12E4F1D8">
            <w:pPr>
              <w:spacing w:line="520" w:lineRule="exact"/>
              <w:ind w:firstLine="480" w:firstLineChars="200"/>
              <w:rPr>
                <w:rFonts w:eastAsia="Segoe UI"/>
                <w:color w:val="0F1115"/>
                <w:shd w:val="clear" w:color="auto" w:fill="FFFFFF"/>
              </w:rPr>
            </w:pPr>
            <w:r>
              <w:rPr>
                <w:color w:val="0F1115"/>
                <w:shd w:val="clear" w:color="auto" w:fill="FFFFFF"/>
              </w:rPr>
              <w:t>4）</w:t>
            </w:r>
            <w:r>
              <w:rPr>
                <w:rFonts w:eastAsia="Segoe UI"/>
                <w:color w:val="0F1115"/>
                <w:shd w:val="clear" w:color="auto" w:fill="FFFFFF"/>
              </w:rPr>
              <w:t>在储罐顶部、底部、管道法兰、泵区等关键点布置多点式可燃气体探测器，实时监测甲烷浓度，设定分级报警。设置紧急切断系统。</w:t>
            </w:r>
          </w:p>
          <w:p w14:paraId="182FB91A">
            <w:pPr>
              <w:spacing w:line="520" w:lineRule="exact"/>
              <w:ind w:firstLine="480" w:firstLineChars="200"/>
              <w:rPr>
                <w:rFonts w:eastAsia="Segoe UI"/>
                <w:color w:val="0F1115"/>
                <w:shd w:val="clear" w:color="auto" w:fill="FFFFFF"/>
              </w:rPr>
            </w:pPr>
            <w:r>
              <w:rPr>
                <w:color w:val="0F1115"/>
                <w:shd w:val="clear" w:color="auto" w:fill="FFFFFF"/>
              </w:rPr>
              <w:t>5）</w:t>
            </w:r>
            <w:r>
              <w:rPr>
                <w:rFonts w:eastAsia="Segoe UI"/>
                <w:color w:val="0F1115"/>
                <w:shd w:val="clear" w:color="auto" w:fill="FFFFFF"/>
              </w:rPr>
              <w:t>加强操作人员的岗位培训，严格遵守规程。对事故易发处按规定时间巡检，发现问题及早解决；该项目防火等消防安全措施必须到位。</w:t>
            </w:r>
          </w:p>
          <w:p w14:paraId="75AF37E1">
            <w:pPr>
              <w:spacing w:line="520" w:lineRule="exact"/>
              <w:ind w:firstLine="480" w:firstLineChars="200"/>
            </w:pPr>
            <w:r>
              <w:t>6）</w:t>
            </w:r>
            <w:r>
              <w:rPr>
                <w:rFonts w:eastAsia="Segoe UI"/>
                <w:color w:val="0F1115"/>
                <w:shd w:val="clear" w:color="auto" w:fill="FFFFFF"/>
              </w:rPr>
              <w:t>制定从现场处置到社会联动的各级预案，明确职责、流程和联络机制</w:t>
            </w:r>
            <w:r>
              <w:rPr>
                <w:color w:val="0F1115"/>
                <w:shd w:val="clear" w:color="auto" w:fill="FFFFFF"/>
              </w:rPr>
              <w:t>；配备专业的消防设施、堵漏器材、个人防护装备和应急物资；定期应急</w:t>
            </w:r>
            <w:r>
              <w:rPr>
                <w:rFonts w:eastAsia="Segoe UI"/>
                <w:color w:val="0F1115"/>
                <w:shd w:val="clear" w:color="auto" w:fill="FFFFFF"/>
              </w:rPr>
              <w:t>演练，检验预案有效性，提升全员应急能力。</w:t>
            </w:r>
          </w:p>
          <w:p w14:paraId="453A159E">
            <w:pPr>
              <w:spacing w:line="520" w:lineRule="exact"/>
              <w:ind w:firstLine="480" w:firstLineChars="200"/>
            </w:pPr>
            <w:r>
              <w:t>建设单位在认真落实环境风险评价提出的各项风险防范措施的基础上，本项目的环境风险可防控。</w:t>
            </w:r>
          </w:p>
          <w:p w14:paraId="09317422">
            <w:pPr>
              <w:pStyle w:val="4"/>
              <w:ind w:left="0" w:firstLine="0"/>
              <w:rPr>
                <w:rFonts w:hint="eastAsia"/>
              </w:rPr>
            </w:pPr>
          </w:p>
          <w:p w14:paraId="5695D8B7">
            <w:pPr>
              <w:rPr>
                <w:rFonts w:hint="eastAsia"/>
              </w:rPr>
            </w:pPr>
          </w:p>
          <w:p w14:paraId="59BFE135">
            <w:pPr>
              <w:rPr>
                <w:rFonts w:hint="eastAsia"/>
              </w:rPr>
            </w:pPr>
          </w:p>
          <w:p w14:paraId="6E03768F">
            <w:pPr>
              <w:rPr>
                <w:rFonts w:hint="eastAsia"/>
              </w:rPr>
            </w:pPr>
          </w:p>
          <w:p w14:paraId="608820D2">
            <w:pPr>
              <w:rPr>
                <w:rFonts w:hint="eastAsia"/>
              </w:rPr>
            </w:pPr>
          </w:p>
          <w:p w14:paraId="7697BB8D">
            <w:pPr>
              <w:rPr>
                <w:rFonts w:hint="eastAsia"/>
              </w:rPr>
            </w:pPr>
          </w:p>
        </w:tc>
      </w:tr>
    </w:tbl>
    <w:p w14:paraId="413FD2DE">
      <w:pPr>
        <w:rPr>
          <w:color w:val="000000" w:themeColor="text1"/>
          <w14:textFill>
            <w14:solidFill>
              <w14:schemeClr w14:val="tx1"/>
            </w14:solidFill>
          </w14:textFill>
        </w:rPr>
        <w:sectPr>
          <w:pgSz w:w="11906" w:h="16838"/>
          <w:pgMar w:top="1701" w:right="1134" w:bottom="1701" w:left="1134" w:header="851" w:footer="992" w:gutter="0"/>
          <w:cols w:space="720" w:num="1"/>
          <w:docGrid w:type="lines" w:linePitch="312" w:charSpace="0"/>
        </w:sectPr>
      </w:pPr>
    </w:p>
    <w:p w14:paraId="600CFD80">
      <w:pPr>
        <w:rPr>
          <w:color w:val="000000" w:themeColor="text1"/>
          <w14:textFill>
            <w14:solidFill>
              <w14:schemeClr w14:val="tx1"/>
            </w14:solidFill>
          </w14:textFill>
        </w:rPr>
      </w:pPr>
    </w:p>
    <w:p w14:paraId="41788F9A">
      <w:pPr>
        <w:pStyle w:val="16"/>
        <w:jc w:val="center"/>
        <w:outlineLvl w:val="0"/>
        <w:rPr>
          <w:rFonts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五、</w:t>
      </w:r>
      <w:bookmarkStart w:id="32" w:name="_Hlk54167917"/>
      <w:r>
        <w:rPr>
          <w:rFonts w:hint="eastAsia" w:ascii="黑体" w:hAnsi="黑体" w:eastAsia="黑体"/>
          <w:snapToGrid w:val="0"/>
          <w:color w:val="000000" w:themeColor="text1"/>
          <w:sz w:val="30"/>
          <w:szCs w:val="30"/>
          <w14:textFill>
            <w14:solidFill>
              <w14:schemeClr w14:val="tx1"/>
            </w14:solidFill>
          </w14:textFill>
        </w:rPr>
        <w:t>环境保护措施监督检查清单</w:t>
      </w:r>
      <w:bookmarkEnd w:id="32"/>
    </w:p>
    <w:tbl>
      <w:tblPr>
        <w:tblStyle w:val="1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82"/>
        <w:gridCol w:w="1475"/>
        <w:gridCol w:w="1684"/>
        <w:gridCol w:w="2643"/>
        <w:gridCol w:w="2769"/>
      </w:tblGrid>
      <w:tr w14:paraId="23F79A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9" w:type="dxa"/>
            <w:tcBorders>
              <w:tl2br w:val="single" w:color="auto" w:sz="4" w:space="0"/>
            </w:tcBorders>
          </w:tcPr>
          <w:p w14:paraId="2B1684E0">
            <w:pPr>
              <w:adjustRightInd w:val="0"/>
              <w:snapToGrid w:val="0"/>
              <w:ind w:firstLine="422" w:firstLineChars="200"/>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内容</w:t>
            </w:r>
          </w:p>
          <w:p w14:paraId="7A545F4A">
            <w:pPr>
              <w:adjustRightInd w:val="0"/>
              <w:snapToGrid w:val="0"/>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要素</w:t>
            </w:r>
          </w:p>
        </w:tc>
        <w:tc>
          <w:tcPr>
            <w:tcW w:w="1474" w:type="dxa"/>
            <w:vAlign w:val="center"/>
          </w:tcPr>
          <w:p w14:paraId="2D7F4BAE">
            <w:pPr>
              <w:adjustRightInd w:val="0"/>
              <w:snapToGrid w:val="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污染源</w:t>
            </w:r>
          </w:p>
        </w:tc>
        <w:tc>
          <w:tcPr>
            <w:tcW w:w="1683" w:type="dxa"/>
            <w:vAlign w:val="center"/>
          </w:tcPr>
          <w:p w14:paraId="12D2B71C">
            <w:pPr>
              <w:adjustRightInd w:val="0"/>
              <w:snapToGrid w:val="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污染物项目</w:t>
            </w:r>
          </w:p>
        </w:tc>
        <w:tc>
          <w:tcPr>
            <w:tcW w:w="2646" w:type="dxa"/>
            <w:vAlign w:val="center"/>
          </w:tcPr>
          <w:p w14:paraId="5F656868">
            <w:pPr>
              <w:adjustRightInd w:val="0"/>
              <w:snapToGrid w:val="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环境保护措施</w:t>
            </w:r>
          </w:p>
        </w:tc>
        <w:tc>
          <w:tcPr>
            <w:tcW w:w="2772" w:type="dxa"/>
            <w:vAlign w:val="center"/>
          </w:tcPr>
          <w:p w14:paraId="22715231">
            <w:pPr>
              <w:adjustRightInd w:val="0"/>
              <w:snapToGrid w:val="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执行标准</w:t>
            </w:r>
          </w:p>
        </w:tc>
      </w:tr>
      <w:tr w14:paraId="395680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9" w:type="dxa"/>
            <w:vMerge w:val="restart"/>
            <w:vAlign w:val="center"/>
          </w:tcPr>
          <w:p w14:paraId="467A56C5">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大气环境</w:t>
            </w:r>
          </w:p>
        </w:tc>
        <w:tc>
          <w:tcPr>
            <w:tcW w:w="1474" w:type="dxa"/>
            <w:vAlign w:val="center"/>
          </w:tcPr>
          <w:p w14:paraId="4FBA32B4">
            <w:pPr>
              <w:spacing w:line="280" w:lineRule="exact"/>
              <w:jc w:val="cente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蒸汽发生器</w:t>
            </w:r>
          </w:p>
        </w:tc>
        <w:tc>
          <w:tcPr>
            <w:tcW w:w="1683" w:type="dxa"/>
            <w:vAlign w:val="center"/>
          </w:tcPr>
          <w:p w14:paraId="55777DAC">
            <w:pPr>
              <w:spacing w:line="280" w:lineRule="exact"/>
              <w:jc w:val="cente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颗粒物、SO</w:t>
            </w:r>
            <w:r>
              <w:rPr>
                <w:rFonts w:hint="eastAsia"/>
                <w:color w:val="000000" w:themeColor="text1"/>
                <w:sz w:val="21"/>
                <w:szCs w:val="21"/>
                <w:vertAlign w:val="subscript"/>
                <w14:textFill>
                  <w14:solidFill>
                    <w14:schemeClr w14:val="tx1"/>
                  </w14:solidFill>
                </w14:textFill>
              </w:rPr>
              <w:t>2</w:t>
            </w:r>
            <w:r>
              <w:rPr>
                <w:rFonts w:hint="eastAsia"/>
                <w:color w:val="000000" w:themeColor="text1"/>
                <w:sz w:val="21"/>
                <w:szCs w:val="21"/>
                <w14:textFill>
                  <w14:solidFill>
                    <w14:schemeClr w14:val="tx1"/>
                  </w14:solidFill>
                </w14:textFill>
              </w:rPr>
              <w:t>、NOx</w:t>
            </w:r>
          </w:p>
        </w:tc>
        <w:tc>
          <w:tcPr>
            <w:tcW w:w="2646" w:type="dxa"/>
            <w:vAlign w:val="center"/>
          </w:tcPr>
          <w:p w14:paraId="1EF95A44">
            <w:pP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蒸汽发生器燃烧废气</w:t>
            </w:r>
            <w:r>
              <w:rPr>
                <w:rFonts w:hint="eastAsia"/>
                <w:bCs/>
                <w:color w:val="000000" w:themeColor="text1"/>
                <w:sz w:val="21"/>
                <w:szCs w:val="21"/>
                <w14:textFill>
                  <w14:solidFill>
                    <w14:schemeClr w14:val="tx1"/>
                  </w14:solidFill>
                </w14:textFill>
              </w:rPr>
              <w:t>经自带低氮燃烧设施治理后，由不低于8m的排气筒DA001有组织排放；</w:t>
            </w:r>
          </w:p>
        </w:tc>
        <w:tc>
          <w:tcPr>
            <w:tcW w:w="2772" w:type="dxa"/>
            <w:vAlign w:val="center"/>
          </w:tcPr>
          <w:p w14:paraId="19878244">
            <w:pPr>
              <w:adjustRightInd w:val="0"/>
              <w:snapToGrid w:val="0"/>
              <w:rPr>
                <w:color w:val="000000" w:themeColor="text1"/>
                <w:sz w:val="21"/>
                <w:szCs w:val="21"/>
                <w:highlight w:val="yellow"/>
                <w14:textFill>
                  <w14:solidFill>
                    <w14:schemeClr w14:val="tx1"/>
                  </w14:solidFill>
                </w14:textFill>
              </w:rPr>
            </w:pPr>
            <w:r>
              <w:rPr>
                <w:sz w:val="21"/>
                <w:szCs w:val="21"/>
              </w:rPr>
              <w:t>《锅炉大气污染物排放标准》（DB41/2089-2021）颗粒物：5mg/m</w:t>
            </w:r>
            <w:r>
              <w:rPr>
                <w:sz w:val="21"/>
                <w:szCs w:val="21"/>
                <w:vertAlign w:val="superscript"/>
              </w:rPr>
              <w:t>3</w:t>
            </w:r>
            <w:r>
              <w:rPr>
                <w:rFonts w:hint="eastAsia"/>
                <w:sz w:val="21"/>
                <w:szCs w:val="21"/>
              </w:rPr>
              <w:t>、</w:t>
            </w:r>
            <w:r>
              <w:rPr>
                <w:sz w:val="21"/>
                <w:szCs w:val="21"/>
              </w:rPr>
              <w:t>二氧化硫：10mg/m</w:t>
            </w:r>
            <w:r>
              <w:rPr>
                <w:sz w:val="21"/>
                <w:szCs w:val="21"/>
                <w:vertAlign w:val="superscript"/>
              </w:rPr>
              <w:t>3</w:t>
            </w:r>
            <w:r>
              <w:rPr>
                <w:rFonts w:hint="eastAsia"/>
                <w:sz w:val="21"/>
                <w:szCs w:val="21"/>
              </w:rPr>
              <w:t>、</w:t>
            </w:r>
            <w:r>
              <w:rPr>
                <w:sz w:val="21"/>
                <w:szCs w:val="21"/>
              </w:rPr>
              <w:t>氮氧化物：30mg/m</w:t>
            </w:r>
            <w:r>
              <w:rPr>
                <w:sz w:val="21"/>
                <w:szCs w:val="21"/>
                <w:vertAlign w:val="superscript"/>
              </w:rPr>
              <w:t>3</w:t>
            </w:r>
            <w:r>
              <w:rPr>
                <w:rFonts w:hint="eastAsia"/>
                <w:sz w:val="21"/>
                <w:szCs w:val="21"/>
              </w:rPr>
              <w:t>限值要求；</w:t>
            </w:r>
          </w:p>
        </w:tc>
      </w:tr>
      <w:tr w14:paraId="49A21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9" w:type="dxa"/>
            <w:vMerge w:val="continue"/>
            <w:vAlign w:val="center"/>
          </w:tcPr>
          <w:p w14:paraId="429CF473">
            <w:pPr>
              <w:adjustRightInd w:val="0"/>
              <w:snapToGrid w:val="0"/>
              <w:jc w:val="center"/>
              <w:rPr>
                <w:color w:val="000000" w:themeColor="text1"/>
                <w:sz w:val="21"/>
                <w:szCs w:val="21"/>
                <w14:textFill>
                  <w14:solidFill>
                    <w14:schemeClr w14:val="tx1"/>
                  </w14:solidFill>
                </w14:textFill>
              </w:rPr>
            </w:pPr>
          </w:p>
        </w:tc>
        <w:tc>
          <w:tcPr>
            <w:tcW w:w="1474" w:type="dxa"/>
            <w:vAlign w:val="center"/>
          </w:tcPr>
          <w:p w14:paraId="42BB6543">
            <w:pPr>
              <w:adjustRightInd w:val="0"/>
              <w:snapToGrid w:val="0"/>
              <w:jc w:val="cente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油炸工序</w:t>
            </w:r>
          </w:p>
        </w:tc>
        <w:tc>
          <w:tcPr>
            <w:tcW w:w="1683" w:type="dxa"/>
            <w:vAlign w:val="center"/>
          </w:tcPr>
          <w:p w14:paraId="2F39E9FF">
            <w:pPr>
              <w:adjustRightInd w:val="0"/>
              <w:snapToGrid w:val="0"/>
              <w:jc w:val="cente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油烟</w:t>
            </w:r>
          </w:p>
        </w:tc>
        <w:tc>
          <w:tcPr>
            <w:tcW w:w="2646" w:type="dxa"/>
            <w:vAlign w:val="center"/>
          </w:tcPr>
          <w:p w14:paraId="351150D2">
            <w:pPr>
              <w:rPr>
                <w:color w:val="000000" w:themeColor="text1"/>
                <w:sz w:val="21"/>
                <w:szCs w:val="21"/>
                <w:highlight w:val="yellow"/>
                <w14:textFill>
                  <w14:solidFill>
                    <w14:schemeClr w14:val="tx1"/>
                  </w14:solidFill>
                </w14:textFill>
              </w:rPr>
            </w:pPr>
            <w:r>
              <w:rPr>
                <w:rFonts w:hint="eastAsia"/>
                <w:bCs/>
                <w:color w:val="000000" w:themeColor="text1"/>
                <w:sz w:val="21"/>
                <w:szCs w:val="21"/>
                <w14:textFill>
                  <w14:solidFill>
                    <w14:schemeClr w14:val="tx1"/>
                  </w14:solidFill>
                </w14:textFill>
              </w:rPr>
              <w:t>油炸油烟经集气罩收集</w:t>
            </w:r>
            <w:r>
              <w:rPr>
                <w:bCs/>
                <w:color w:val="000000" w:themeColor="text1"/>
                <w:sz w:val="21"/>
                <w:szCs w:val="21"/>
                <w14:textFill>
                  <w14:solidFill>
                    <w14:schemeClr w14:val="tx1"/>
                  </w14:solidFill>
                </w14:textFill>
              </w:rPr>
              <w:t>油烟净化器</w:t>
            </w:r>
            <w:r>
              <w:rPr>
                <w:rFonts w:hint="eastAsia"/>
                <w:bCs/>
                <w:color w:val="000000" w:themeColor="text1"/>
                <w:sz w:val="21"/>
                <w:szCs w:val="21"/>
                <w14:textFill>
                  <w14:solidFill>
                    <w14:schemeClr w14:val="tx1"/>
                  </w14:solidFill>
                </w14:textFill>
              </w:rPr>
              <w:t>治理后，由高出厂房顶部的排气筒DA002排放；</w:t>
            </w:r>
          </w:p>
        </w:tc>
        <w:tc>
          <w:tcPr>
            <w:tcW w:w="2772" w:type="dxa"/>
            <w:vAlign w:val="center"/>
          </w:tcPr>
          <w:p w14:paraId="6C7B4264">
            <w:pPr>
              <w:adjustRightInd w:val="0"/>
              <w:snapToGrid w:val="0"/>
              <w:rPr>
                <w:color w:val="000000" w:themeColor="text1"/>
                <w:sz w:val="21"/>
                <w:szCs w:val="21"/>
                <w:highlight w:val="yellow"/>
                <w14:textFill>
                  <w14:solidFill>
                    <w14:schemeClr w14:val="tx1"/>
                  </w14:solidFill>
                </w14:textFill>
              </w:rPr>
            </w:pPr>
            <w:r>
              <w:rPr>
                <w:rFonts w:hint="eastAsia"/>
                <w:sz w:val="21"/>
                <w:szCs w:val="21"/>
              </w:rPr>
              <w:t>《饮食业油烟排放标准（试行）》（GB18483-2001）表2-大型，油烟最高允许排放浓度2.0mg/m</w:t>
            </w:r>
            <w:r>
              <w:rPr>
                <w:rFonts w:hint="eastAsia"/>
                <w:sz w:val="21"/>
                <w:szCs w:val="21"/>
                <w:vertAlign w:val="superscript"/>
              </w:rPr>
              <w:t>3</w:t>
            </w:r>
            <w:r>
              <w:rPr>
                <w:rFonts w:hint="eastAsia"/>
                <w:sz w:val="21"/>
                <w:szCs w:val="21"/>
              </w:rPr>
              <w:t>，油烟去除效率≥85%限值要求；</w:t>
            </w:r>
          </w:p>
        </w:tc>
      </w:tr>
      <w:tr w14:paraId="6DCFCC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9" w:type="dxa"/>
            <w:vMerge w:val="continue"/>
            <w:vAlign w:val="center"/>
          </w:tcPr>
          <w:p w14:paraId="5143648C">
            <w:pPr>
              <w:adjustRightInd w:val="0"/>
              <w:snapToGrid w:val="0"/>
              <w:jc w:val="center"/>
              <w:rPr>
                <w:color w:val="000000" w:themeColor="text1"/>
                <w:sz w:val="21"/>
                <w:szCs w:val="21"/>
                <w14:textFill>
                  <w14:solidFill>
                    <w14:schemeClr w14:val="tx1"/>
                  </w14:solidFill>
                </w14:textFill>
              </w:rPr>
            </w:pPr>
          </w:p>
        </w:tc>
        <w:tc>
          <w:tcPr>
            <w:tcW w:w="1474" w:type="dxa"/>
            <w:vAlign w:val="center"/>
          </w:tcPr>
          <w:p w14:paraId="755C2941">
            <w:pPr>
              <w:jc w:val="center"/>
              <w:rPr>
                <w:sz w:val="21"/>
                <w:szCs w:val="21"/>
              </w:rPr>
            </w:pPr>
            <w:r>
              <w:rPr>
                <w:rFonts w:hint="eastAsia"/>
                <w:sz w:val="21"/>
                <w:szCs w:val="21"/>
              </w:rPr>
              <w:t>无组织排放</w:t>
            </w:r>
          </w:p>
        </w:tc>
        <w:tc>
          <w:tcPr>
            <w:tcW w:w="1683" w:type="dxa"/>
            <w:vAlign w:val="center"/>
          </w:tcPr>
          <w:p w14:paraId="34F29268">
            <w:pPr>
              <w:jc w:val="center"/>
              <w:rPr>
                <w:rFonts w:hint="default" w:eastAsia="宋体"/>
                <w:sz w:val="21"/>
                <w:szCs w:val="21"/>
                <w:lang w:val="en-US" w:eastAsia="zh-CN"/>
              </w:rPr>
            </w:pPr>
            <w:r>
              <w:rPr>
                <w:sz w:val="21"/>
                <w:szCs w:val="21"/>
              </w:rPr>
              <w:t>臭气浓度</w:t>
            </w:r>
            <w:r>
              <w:rPr>
                <w:rFonts w:hint="eastAsia"/>
                <w:sz w:val="21"/>
                <w:szCs w:val="21"/>
                <w:lang w:eastAsia="zh-CN"/>
              </w:rPr>
              <w:t>、</w:t>
            </w:r>
            <w:r>
              <w:rPr>
                <w:rFonts w:hint="eastAsia"/>
                <w:sz w:val="21"/>
                <w:szCs w:val="21"/>
                <w:lang w:val="en-US" w:eastAsia="zh-CN"/>
              </w:rPr>
              <w:t>氨、硫化氢</w:t>
            </w:r>
          </w:p>
        </w:tc>
        <w:tc>
          <w:tcPr>
            <w:tcW w:w="2646" w:type="dxa"/>
            <w:vAlign w:val="center"/>
          </w:tcPr>
          <w:p w14:paraId="0A913B7C">
            <w:pPr>
              <w:jc w:val="center"/>
              <w:rPr>
                <w:color w:val="000000" w:themeColor="text1"/>
                <w:sz w:val="21"/>
                <w:szCs w:val="21"/>
                <w:highlight w:val="yellow"/>
                <w14:textFill>
                  <w14:solidFill>
                    <w14:schemeClr w14:val="tx1"/>
                  </w14:solidFill>
                </w14:textFill>
              </w:rPr>
            </w:pPr>
            <w:r>
              <w:rPr>
                <w:sz w:val="21"/>
                <w:szCs w:val="21"/>
              </w:rPr>
              <w:t>厂区污水处理站产生恶臭区域加盖，投放除臭剂</w:t>
            </w:r>
            <w:r>
              <w:rPr>
                <w:rFonts w:hint="eastAsia"/>
                <w:sz w:val="21"/>
                <w:szCs w:val="21"/>
              </w:rPr>
              <w:t>；</w:t>
            </w:r>
          </w:p>
        </w:tc>
        <w:tc>
          <w:tcPr>
            <w:tcW w:w="2772" w:type="dxa"/>
            <w:vAlign w:val="center"/>
          </w:tcPr>
          <w:p w14:paraId="5118C59D">
            <w:pPr>
              <w:adjustRightInd w:val="0"/>
              <w:snapToGrid w:val="0"/>
              <w:rPr>
                <w:color w:val="000000" w:themeColor="text1"/>
                <w:sz w:val="21"/>
                <w:szCs w:val="21"/>
                <w:highlight w:val="yellow"/>
                <w14:textFill>
                  <w14:solidFill>
                    <w14:schemeClr w14:val="tx1"/>
                  </w14:solidFill>
                </w14:textFill>
              </w:rPr>
            </w:pPr>
            <w:r>
              <w:rPr>
                <w:sz w:val="21"/>
                <w:szCs w:val="21"/>
              </w:rPr>
              <w:t>《恶臭污染物排放标准》(GB14554-93)</w:t>
            </w:r>
            <w:r>
              <w:rPr>
                <w:rFonts w:hint="eastAsia"/>
                <w:sz w:val="21"/>
                <w:szCs w:val="21"/>
                <w:lang w:val="en-US" w:eastAsia="zh-CN"/>
              </w:rPr>
              <w:t>厂界</w:t>
            </w:r>
            <w:r>
              <w:rPr>
                <w:sz w:val="21"/>
                <w:szCs w:val="21"/>
              </w:rPr>
              <w:t>臭气浓度20（无量纲）</w:t>
            </w:r>
            <w:r>
              <w:rPr>
                <w:rFonts w:hint="eastAsia"/>
                <w:sz w:val="21"/>
                <w:szCs w:val="21"/>
                <w:lang w:eastAsia="zh-CN"/>
              </w:rPr>
              <w:t>、</w:t>
            </w:r>
            <w:r>
              <w:rPr>
                <w:rFonts w:hint="eastAsia"/>
                <w:color w:val="000000" w:themeColor="text1"/>
                <w:sz w:val="21"/>
                <w:szCs w:val="21"/>
                <w:lang w:val="en-US" w:eastAsia="zh-CN"/>
                <w14:textFill>
                  <w14:solidFill>
                    <w14:schemeClr w14:val="tx1"/>
                  </w14:solidFill>
                </w14:textFill>
              </w:rPr>
              <w:t>氨1.5</w:t>
            </w:r>
            <w:r>
              <w:rPr>
                <w:color w:val="000000" w:themeColor="text1"/>
                <w:sz w:val="21"/>
                <w:szCs w:val="21"/>
                <w14:textFill>
                  <w14:solidFill>
                    <w14:schemeClr w14:val="tx1"/>
                  </w14:solidFill>
                </w14:textFill>
              </w:rPr>
              <w:t>mg/m</w:t>
            </w:r>
            <w:r>
              <w:rPr>
                <w:color w:val="000000" w:themeColor="text1"/>
                <w:sz w:val="21"/>
                <w:szCs w:val="21"/>
                <w:vertAlign w:val="superscript"/>
                <w14:textFill>
                  <w14:solidFill>
                    <w14:schemeClr w14:val="tx1"/>
                  </w14:solidFill>
                </w14:textFill>
              </w:rPr>
              <w:t>3</w:t>
            </w:r>
            <w:r>
              <w:rPr>
                <w:rFonts w:hint="eastAsia"/>
                <w:color w:val="000000" w:themeColor="text1"/>
                <w:sz w:val="21"/>
                <w:szCs w:val="21"/>
                <w:vertAlign w:val="baseline"/>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硫化氢0.06</w:t>
            </w:r>
            <w:r>
              <w:rPr>
                <w:color w:val="000000" w:themeColor="text1"/>
                <w:sz w:val="21"/>
                <w:szCs w:val="21"/>
                <w14:textFill>
                  <w14:solidFill>
                    <w14:schemeClr w14:val="tx1"/>
                  </w14:solidFill>
                </w14:textFill>
              </w:rPr>
              <w:t>mg/m</w:t>
            </w:r>
            <w:r>
              <w:rPr>
                <w:color w:val="000000" w:themeColor="text1"/>
                <w:sz w:val="21"/>
                <w:szCs w:val="21"/>
                <w:vertAlign w:val="superscript"/>
                <w14:textFill>
                  <w14:solidFill>
                    <w14:schemeClr w14:val="tx1"/>
                  </w14:solidFill>
                </w14:textFill>
              </w:rPr>
              <w:t>3</w:t>
            </w:r>
            <w:r>
              <w:rPr>
                <w:rFonts w:hint="eastAsia"/>
                <w:sz w:val="21"/>
                <w:szCs w:val="21"/>
              </w:rPr>
              <w:t>；</w:t>
            </w:r>
          </w:p>
        </w:tc>
      </w:tr>
      <w:tr w14:paraId="2FA864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9" w:type="dxa"/>
            <w:vAlign w:val="center"/>
          </w:tcPr>
          <w:p w14:paraId="215DED87">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地表水环境</w:t>
            </w:r>
          </w:p>
        </w:tc>
        <w:tc>
          <w:tcPr>
            <w:tcW w:w="1474" w:type="dxa"/>
            <w:vAlign w:val="center"/>
          </w:tcPr>
          <w:p w14:paraId="5109B06F">
            <w:pPr>
              <w:pStyle w:val="28"/>
              <w:rPr>
                <w:color w:val="000000" w:themeColor="text1"/>
                <w:sz w:val="21"/>
                <w:highlight w:val="yellow"/>
                <w14:textFill>
                  <w14:solidFill>
                    <w14:schemeClr w14:val="tx1"/>
                  </w14:solidFill>
                </w14:textFill>
              </w:rPr>
            </w:pPr>
            <w:r>
              <w:rPr>
                <w:color w:val="000000" w:themeColor="text1"/>
                <w:sz w:val="21"/>
                <w14:textFill>
                  <w14:solidFill>
                    <w14:schemeClr w14:val="tx1"/>
                  </w14:solidFill>
                </w14:textFill>
              </w:rPr>
              <w:t>生活污水</w:t>
            </w:r>
            <w:r>
              <w:rPr>
                <w:rFonts w:hint="eastAsia"/>
                <w:color w:val="000000" w:themeColor="text1"/>
                <w:sz w:val="21"/>
                <w14:textFill>
                  <w14:solidFill>
                    <w14:schemeClr w14:val="tx1"/>
                  </w14:solidFill>
                </w14:textFill>
              </w:rPr>
              <w:t>、纯水制备废水、熟制废水、清洗废水、杀菌废水、冷却废水、</w:t>
            </w:r>
            <w:r>
              <w:rPr>
                <w:rFonts w:hint="eastAsia"/>
                <w:color w:val="000000" w:themeColor="text1"/>
                <w:sz w:val="21"/>
                <w:lang w:val="en-US" w:eastAsia="zh-CN"/>
                <w14:textFill>
                  <w14:solidFill>
                    <w14:schemeClr w14:val="tx1"/>
                  </w14:solidFill>
                </w14:textFill>
              </w:rPr>
              <w:t>杀菌后清洗废水、</w:t>
            </w:r>
            <w:r>
              <w:rPr>
                <w:rFonts w:hint="eastAsia"/>
                <w:color w:val="000000" w:themeColor="text1"/>
                <w:sz w:val="21"/>
                <w14:textFill>
                  <w14:solidFill>
                    <w14:schemeClr w14:val="tx1"/>
                  </w14:solidFill>
                </w14:textFill>
              </w:rPr>
              <w:t>地面清洗废水</w:t>
            </w:r>
          </w:p>
        </w:tc>
        <w:tc>
          <w:tcPr>
            <w:tcW w:w="1683" w:type="dxa"/>
            <w:vAlign w:val="center"/>
          </w:tcPr>
          <w:p w14:paraId="6992E8EA">
            <w:pPr>
              <w:pStyle w:val="28"/>
              <w:rPr>
                <w:color w:val="000000" w:themeColor="text1"/>
                <w:sz w:val="21"/>
                <w:highlight w:val="yellow"/>
                <w14:textFill>
                  <w14:solidFill>
                    <w14:schemeClr w14:val="tx1"/>
                  </w14:solidFill>
                </w14:textFill>
              </w:rPr>
            </w:pPr>
            <w:r>
              <w:rPr>
                <w:rFonts w:hint="eastAsia"/>
                <w:color w:val="000000" w:themeColor="text1"/>
                <w:sz w:val="21"/>
                <w14:textFill>
                  <w14:solidFill>
                    <w14:schemeClr w14:val="tx1"/>
                  </w14:solidFill>
                </w14:textFill>
              </w:rPr>
              <w:t>pH、</w:t>
            </w:r>
            <w:r>
              <w:rPr>
                <w:color w:val="000000" w:themeColor="text1"/>
                <w:sz w:val="21"/>
                <w:lang w:val="pt-BR"/>
                <w14:textFill>
                  <w14:solidFill>
                    <w14:schemeClr w14:val="tx1"/>
                  </w14:solidFill>
                </w14:textFill>
              </w:rPr>
              <w:t>COD</w:t>
            </w:r>
            <w:r>
              <w:rPr>
                <w:color w:val="000000" w:themeColor="text1"/>
                <w:sz w:val="21"/>
                <w14:textFill>
                  <w14:solidFill>
                    <w14:schemeClr w14:val="tx1"/>
                  </w14:solidFill>
                </w14:textFill>
              </w:rPr>
              <w:t>、</w:t>
            </w:r>
            <w:r>
              <w:rPr>
                <w:color w:val="000000" w:themeColor="text1"/>
                <w:sz w:val="21"/>
                <w:lang w:val="pt-BR"/>
                <w14:textFill>
                  <w14:solidFill>
                    <w14:schemeClr w14:val="tx1"/>
                  </w14:solidFill>
                </w14:textFill>
              </w:rPr>
              <w:t>SS</w:t>
            </w:r>
            <w:r>
              <w:rPr>
                <w:color w:val="000000" w:themeColor="text1"/>
                <w:sz w:val="21"/>
                <w14:textFill>
                  <w14:solidFill>
                    <w14:schemeClr w14:val="tx1"/>
                  </w14:solidFill>
                </w14:textFill>
              </w:rPr>
              <w:t>、</w:t>
            </w:r>
            <w:r>
              <w:rPr>
                <w:color w:val="000000" w:themeColor="text1"/>
                <w:sz w:val="21"/>
                <w:lang w:val="pt-BR"/>
                <w14:textFill>
                  <w14:solidFill>
                    <w14:schemeClr w14:val="tx1"/>
                  </w14:solidFill>
                </w14:textFill>
              </w:rPr>
              <w:t>NH</w:t>
            </w:r>
            <w:r>
              <w:rPr>
                <w:color w:val="000000" w:themeColor="text1"/>
                <w:sz w:val="21"/>
                <w:vertAlign w:val="subscript"/>
                <w:lang w:val="pt-BR"/>
                <w14:textFill>
                  <w14:solidFill>
                    <w14:schemeClr w14:val="tx1"/>
                  </w14:solidFill>
                </w14:textFill>
              </w:rPr>
              <w:t>3</w:t>
            </w:r>
            <w:r>
              <w:rPr>
                <w:color w:val="000000" w:themeColor="text1"/>
                <w:sz w:val="21"/>
                <w:lang w:val="pt-BR"/>
                <w14:textFill>
                  <w14:solidFill>
                    <w14:schemeClr w14:val="tx1"/>
                  </w14:solidFill>
                </w14:textFill>
              </w:rPr>
              <w:t>-N</w:t>
            </w:r>
            <w:r>
              <w:rPr>
                <w:color w:val="000000" w:themeColor="text1"/>
                <w:sz w:val="21"/>
                <w14:textFill>
                  <w14:solidFill>
                    <w14:schemeClr w14:val="tx1"/>
                  </w14:solidFill>
                </w14:textFill>
              </w:rPr>
              <w:t>、</w:t>
            </w:r>
            <w:r>
              <w:rPr>
                <w:color w:val="000000" w:themeColor="text1"/>
                <w:sz w:val="21"/>
                <w:lang w:val="pt-BR"/>
                <w14:textFill>
                  <w14:solidFill>
                    <w14:schemeClr w14:val="tx1"/>
                  </w14:solidFill>
                </w14:textFill>
              </w:rPr>
              <w:t>TP</w:t>
            </w:r>
            <w:r>
              <w:rPr>
                <w:color w:val="000000" w:themeColor="text1"/>
                <w:sz w:val="21"/>
                <w14:textFill>
                  <w14:solidFill>
                    <w14:schemeClr w14:val="tx1"/>
                  </w14:solidFill>
                </w14:textFill>
              </w:rPr>
              <w:t>、</w:t>
            </w:r>
            <w:r>
              <w:rPr>
                <w:color w:val="000000" w:themeColor="text1"/>
                <w:sz w:val="21"/>
                <w:lang w:val="pt-BR"/>
                <w14:textFill>
                  <w14:solidFill>
                    <w14:schemeClr w14:val="tx1"/>
                  </w14:solidFill>
                </w14:textFill>
              </w:rPr>
              <w:t>BOD</w:t>
            </w:r>
            <w:r>
              <w:rPr>
                <w:color w:val="000000" w:themeColor="text1"/>
                <w:sz w:val="21"/>
                <w:vertAlign w:val="subscript"/>
                <w:lang w:val="pt-BR"/>
                <w14:textFill>
                  <w14:solidFill>
                    <w14:schemeClr w14:val="tx1"/>
                  </w14:solidFill>
                </w14:textFill>
              </w:rPr>
              <w:t>5</w:t>
            </w:r>
            <w:r>
              <w:rPr>
                <w:rFonts w:hint="eastAsia"/>
                <w:color w:val="000000" w:themeColor="text1"/>
                <w:sz w:val="21"/>
                <w:vertAlign w:val="subscript"/>
                <w:lang w:val="pt-BR"/>
                <w14:textFill>
                  <w14:solidFill>
                    <w14:schemeClr w14:val="tx1"/>
                  </w14:solidFill>
                </w14:textFill>
              </w:rPr>
              <w:t>、</w:t>
            </w:r>
            <w:r>
              <w:rPr>
                <w:rFonts w:hint="eastAsia"/>
                <w:color w:val="000000" w:themeColor="text1"/>
                <w:sz w:val="21"/>
                <w14:textFill>
                  <w14:solidFill>
                    <w14:schemeClr w14:val="tx1"/>
                  </w14:solidFill>
                </w14:textFill>
              </w:rPr>
              <w:t>动植物油</w:t>
            </w:r>
          </w:p>
        </w:tc>
        <w:tc>
          <w:tcPr>
            <w:tcW w:w="2646" w:type="dxa"/>
            <w:vAlign w:val="center"/>
          </w:tcPr>
          <w:p w14:paraId="295E2866">
            <w:pPr>
              <w:pStyle w:val="28"/>
              <w:rPr>
                <w:color w:val="000000" w:themeColor="text1"/>
                <w:sz w:val="21"/>
                <w:highlight w:val="yellow"/>
                <w14:textFill>
                  <w14:solidFill>
                    <w14:schemeClr w14:val="tx1"/>
                  </w14:solidFill>
                </w14:textFill>
              </w:rPr>
            </w:pPr>
            <w:r>
              <w:rPr>
                <w:rFonts w:hint="eastAsia"/>
                <w:bCs/>
                <w:color w:val="000000" w:themeColor="text1"/>
                <w:sz w:val="21"/>
                <w14:textFill>
                  <w14:solidFill>
                    <w14:schemeClr w14:val="tx1"/>
                  </w14:solidFill>
                </w14:textFill>
              </w:rPr>
              <w:t>生活污水经化粪池沉淀、含油废水经隔油池隔油，与其他废水一并经“水解酸化+气浮+厌氧+好氧+曝气+二次沉淀”处理后经厂区总排口排入</w:t>
            </w:r>
            <w:r>
              <w:rPr>
                <w:rFonts w:hint="eastAsia"/>
                <w:bCs/>
                <w:color w:val="000000" w:themeColor="text1"/>
                <w:sz w:val="21"/>
                <w:lang w:eastAsia="zh-CN"/>
                <w14:textFill>
                  <w14:solidFill>
                    <w14:schemeClr w14:val="tx1"/>
                  </w14:solidFill>
                </w14:textFill>
              </w:rPr>
              <w:t>夹堤村西污水处理站</w:t>
            </w:r>
            <w:r>
              <w:rPr>
                <w:rFonts w:hint="eastAsia"/>
                <w:bCs/>
                <w:color w:val="000000" w:themeColor="text1"/>
                <w:sz w:val="21"/>
                <w14:textFill>
                  <w14:solidFill>
                    <w14:schemeClr w14:val="tx1"/>
                  </w14:solidFill>
                </w14:textFill>
              </w:rPr>
              <w:t>。目前，</w:t>
            </w:r>
            <w:r>
              <w:rPr>
                <w:rFonts w:hint="eastAsia"/>
                <w:bCs/>
                <w:color w:val="000000" w:themeColor="text1"/>
                <w:sz w:val="21"/>
                <w:lang w:eastAsia="zh-CN"/>
                <w14:textFill>
                  <w14:solidFill>
                    <w14:schemeClr w14:val="tx1"/>
                  </w14:solidFill>
                </w14:textFill>
              </w:rPr>
              <w:t>夹堤村西污水处理站</w:t>
            </w:r>
            <w:r>
              <w:rPr>
                <w:rFonts w:hint="eastAsia"/>
                <w:bCs/>
                <w:color w:val="000000" w:themeColor="text1"/>
                <w:sz w:val="21"/>
                <w14:textFill>
                  <w14:solidFill>
                    <w14:schemeClr w14:val="tx1"/>
                  </w14:solidFill>
                </w14:textFill>
              </w:rPr>
              <w:t>尚未建成运行，在此之前厂区</w:t>
            </w:r>
            <w:r>
              <w:rPr>
                <w:rFonts w:hint="eastAsia"/>
                <w:bCs/>
                <w:color w:val="000000" w:themeColor="text1"/>
                <w:sz w:val="21"/>
                <w:lang w:val="en-US" w:eastAsia="zh-CN"/>
                <w14:textFill>
                  <w14:solidFill>
                    <w14:schemeClr w14:val="tx1"/>
                  </w14:solidFill>
                </w14:textFill>
              </w:rPr>
              <w:t>污水处理站尾水</w:t>
            </w:r>
            <w:r>
              <w:rPr>
                <w:rFonts w:hint="eastAsia"/>
                <w:bCs/>
                <w:color w:val="000000" w:themeColor="text1"/>
                <w:sz w:val="21"/>
                <w14:textFill>
                  <w14:solidFill>
                    <w14:schemeClr w14:val="tx1"/>
                  </w14:solidFill>
                </w14:textFill>
              </w:rPr>
              <w:t>进行农灌。</w:t>
            </w:r>
          </w:p>
        </w:tc>
        <w:tc>
          <w:tcPr>
            <w:tcW w:w="2772" w:type="dxa"/>
            <w:vAlign w:val="center"/>
          </w:tcPr>
          <w:p w14:paraId="26C3D6D2">
            <w:pPr>
              <w:adjustRightInd w:val="0"/>
              <w:snapToGrid w:val="0"/>
              <w:jc w:val="center"/>
              <w:rPr>
                <w:color w:val="000000" w:themeColor="text1"/>
                <w:sz w:val="21"/>
                <w:szCs w:val="21"/>
                <w:highlight w:val="yellow"/>
                <w14:textFill>
                  <w14:solidFill>
                    <w14:schemeClr w14:val="tx1"/>
                  </w14:solidFill>
                </w14:textFill>
              </w:rPr>
            </w:pPr>
            <w:r>
              <w:rPr>
                <w:rFonts w:hint="eastAsia"/>
                <w:color w:val="000000" w:themeColor="text1"/>
                <w:sz w:val="21"/>
                <w:szCs w:val="21"/>
                <w14:textFill>
                  <w14:solidFill>
                    <w14:schemeClr w14:val="tx1"/>
                  </w14:solidFill>
                </w14:textFill>
              </w:rPr>
              <w:t>前期执行《农田灌溉水质标准》（GB5084-20</w:t>
            </w:r>
            <w:r>
              <w:rPr>
                <w:rFonts w:hint="eastAsia"/>
                <w:color w:val="000000" w:themeColor="text1"/>
                <w:sz w:val="21"/>
                <w:szCs w:val="21"/>
                <w:lang w:val="en-US" w:eastAsia="zh-CN"/>
                <w14:textFill>
                  <w14:solidFill>
                    <w14:schemeClr w14:val="tx1"/>
                  </w14:solidFill>
                </w14:textFill>
              </w:rPr>
              <w:t>21</w:t>
            </w:r>
            <w:r>
              <w:rPr>
                <w:rFonts w:hint="eastAsia"/>
                <w:color w:val="000000" w:themeColor="text1"/>
                <w:sz w:val="21"/>
                <w:szCs w:val="21"/>
                <w14:textFill>
                  <w14:solidFill>
                    <w14:schemeClr w14:val="tx1"/>
                  </w14:solidFill>
                </w14:textFill>
              </w:rPr>
              <w:t>)；待建好后执行</w:t>
            </w:r>
            <w:r>
              <w:rPr>
                <w:rFonts w:hint="eastAsia" w:ascii="Times New Roman" w:hAnsi="Times New Roman" w:eastAsia="宋体" w:cs="Times New Roman"/>
                <w:color w:val="000000" w:themeColor="text1"/>
                <w:sz w:val="21"/>
                <w:szCs w:val="21"/>
                <w14:textFill>
                  <w14:solidFill>
                    <w14:schemeClr w14:val="tx1"/>
                  </w14:solidFill>
                </w14:textFill>
              </w:rPr>
              <w:t>《食品加工制造业水污染物排放标准 》（GB 46817—2025）表</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1间接排放</w:t>
            </w:r>
            <w:r>
              <w:rPr>
                <w:rFonts w:hint="eastAsia" w:ascii="Times New Roman" w:hAnsi="Times New Roman" w:eastAsia="宋体" w:cs="Times New Roman"/>
                <w:color w:val="000000" w:themeColor="text1"/>
                <w:sz w:val="21"/>
                <w:szCs w:val="21"/>
                <w14:textFill>
                  <w14:solidFill>
                    <w14:schemeClr w14:val="tx1"/>
                  </w14:solidFill>
                </w14:textFill>
              </w:rPr>
              <w:t>标准</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r w14:paraId="14FA52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9" w:type="dxa"/>
            <w:vAlign w:val="center"/>
          </w:tcPr>
          <w:p w14:paraId="2D4FC96B">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声环境</w:t>
            </w:r>
          </w:p>
        </w:tc>
        <w:tc>
          <w:tcPr>
            <w:tcW w:w="1474" w:type="dxa"/>
            <w:vAlign w:val="center"/>
          </w:tcPr>
          <w:p w14:paraId="63552630">
            <w:pPr>
              <w:adjustRightInd w:val="0"/>
              <w:snapToGrid w:val="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泵类、风机、空压机等设备运行噪声</w:t>
            </w:r>
          </w:p>
        </w:tc>
        <w:tc>
          <w:tcPr>
            <w:tcW w:w="1683" w:type="dxa"/>
            <w:vAlign w:val="center"/>
          </w:tcPr>
          <w:p w14:paraId="1F64C7FE">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噪声</w:t>
            </w:r>
          </w:p>
        </w:tc>
        <w:tc>
          <w:tcPr>
            <w:tcW w:w="2646" w:type="dxa"/>
            <w:vAlign w:val="center"/>
          </w:tcPr>
          <w:p w14:paraId="048892DE">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基础减振</w:t>
            </w:r>
            <w:r>
              <w:rPr>
                <w:rFonts w:hint="eastAsia"/>
                <w:color w:val="000000" w:themeColor="text1"/>
                <w:sz w:val="21"/>
                <w:szCs w:val="21"/>
                <w14:textFill>
                  <w14:solidFill>
                    <w14:schemeClr w14:val="tx1"/>
                  </w14:solidFill>
                </w14:textFill>
              </w:rPr>
              <w:t>、</w:t>
            </w:r>
            <w:r>
              <w:rPr>
                <w:kern w:val="0"/>
                <w:sz w:val="21"/>
                <w:szCs w:val="21"/>
              </w:rPr>
              <w:t>厂房隔声</w:t>
            </w:r>
            <w:r>
              <w:rPr>
                <w:color w:val="000000" w:themeColor="text1"/>
                <w:sz w:val="21"/>
                <w:szCs w:val="21"/>
                <w14:textFill>
                  <w14:solidFill>
                    <w14:schemeClr w14:val="tx1"/>
                  </w14:solidFill>
                </w14:textFill>
              </w:rPr>
              <w:t>等</w:t>
            </w:r>
          </w:p>
        </w:tc>
        <w:tc>
          <w:tcPr>
            <w:tcW w:w="2772" w:type="dxa"/>
            <w:vAlign w:val="center"/>
          </w:tcPr>
          <w:p w14:paraId="25ECBC55">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《工业企业厂界环境噪声排放标准》（GB12348-2008）2类</w:t>
            </w:r>
            <w:r>
              <w:rPr>
                <w:rFonts w:hint="eastAsia"/>
                <w:color w:val="000000" w:themeColor="text1"/>
                <w:sz w:val="21"/>
                <w:szCs w:val="21"/>
                <w14:textFill>
                  <w14:solidFill>
                    <w14:schemeClr w14:val="tx1"/>
                  </w14:solidFill>
                </w14:textFill>
              </w:rPr>
              <w:t>：昼间</w:t>
            </w:r>
            <w:r>
              <w:rPr>
                <w:color w:val="000000" w:themeColor="text1"/>
                <w:sz w:val="21"/>
                <w:szCs w:val="21"/>
                <w14:textFill>
                  <w14:solidFill>
                    <w14:schemeClr w14:val="tx1"/>
                  </w14:solidFill>
                </w14:textFill>
              </w:rPr>
              <w:t>60dB</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A</w:t>
            </w:r>
            <w:r>
              <w:rPr>
                <w:rFonts w:hint="eastAsia"/>
                <w:color w:val="000000" w:themeColor="text1"/>
                <w:sz w:val="21"/>
                <w:szCs w:val="21"/>
                <w14:textFill>
                  <w14:solidFill>
                    <w14:schemeClr w14:val="tx1"/>
                  </w14:solidFill>
                </w14:textFill>
              </w:rPr>
              <w:t>)</w:t>
            </w:r>
          </w:p>
        </w:tc>
      </w:tr>
      <w:tr w14:paraId="036CFB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9" w:type="dxa"/>
            <w:vAlign w:val="center"/>
          </w:tcPr>
          <w:p w14:paraId="22B2A183">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电磁辐射</w:t>
            </w:r>
          </w:p>
        </w:tc>
        <w:tc>
          <w:tcPr>
            <w:tcW w:w="1474" w:type="dxa"/>
            <w:vAlign w:val="center"/>
          </w:tcPr>
          <w:p w14:paraId="04B562C4">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683" w:type="dxa"/>
            <w:vAlign w:val="center"/>
          </w:tcPr>
          <w:p w14:paraId="2982EB09">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2646" w:type="dxa"/>
            <w:vAlign w:val="center"/>
          </w:tcPr>
          <w:p w14:paraId="7DD228F6">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2772" w:type="dxa"/>
            <w:vAlign w:val="center"/>
          </w:tcPr>
          <w:p w14:paraId="06090E81">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7A7B19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1279" w:type="dxa"/>
            <w:vAlign w:val="center"/>
          </w:tcPr>
          <w:p w14:paraId="7FBF977C">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固体废物</w:t>
            </w:r>
          </w:p>
        </w:tc>
        <w:tc>
          <w:tcPr>
            <w:tcW w:w="8575" w:type="dxa"/>
            <w:gridSpan w:val="4"/>
            <w:vAlign w:val="center"/>
          </w:tcPr>
          <w:p w14:paraId="71F07DE3">
            <w:pPr>
              <w:pStyle w:val="33"/>
              <w:spacing w:line="240" w:lineRule="auto"/>
              <w:ind w:firstLine="420"/>
              <w:rPr>
                <w:color w:val="000000" w:themeColor="text1"/>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本项目产生的固废主要为一般固废，利用现有</w:t>
            </w:r>
            <w:r>
              <w:rPr>
                <w:rFonts w:hint="eastAsia" w:cs="Times New Roman"/>
                <w:color w:val="000000" w:themeColor="text1"/>
                <w:kern w:val="0"/>
                <w:sz w:val="21"/>
                <w:szCs w:val="21"/>
                <w14:textFill>
                  <w14:solidFill>
                    <w14:schemeClr w14:val="tx1"/>
                  </w14:solidFill>
                </w14:textFill>
              </w:rPr>
              <w:t>10</w:t>
            </w:r>
            <w:r>
              <w:rPr>
                <w:rFonts w:cs="Times New Roman"/>
                <w:color w:val="000000" w:themeColor="text1"/>
                <w:kern w:val="0"/>
                <w:sz w:val="21"/>
                <w:szCs w:val="21"/>
                <w14:textFill>
                  <w14:solidFill>
                    <w14:schemeClr w14:val="tx1"/>
                  </w14:solidFill>
                </w14:textFill>
              </w:rPr>
              <w:t>m</w:t>
            </w:r>
            <w:r>
              <w:rPr>
                <w:rFonts w:cs="Times New Roman"/>
                <w:color w:val="000000" w:themeColor="text1"/>
                <w:kern w:val="0"/>
                <w:sz w:val="21"/>
                <w:szCs w:val="21"/>
                <w:vertAlign w:val="superscript"/>
                <w14:textFill>
                  <w14:solidFill>
                    <w14:schemeClr w14:val="tx1"/>
                  </w14:solidFill>
                </w14:textFill>
              </w:rPr>
              <w:t>2</w:t>
            </w:r>
            <w:r>
              <w:rPr>
                <w:rFonts w:hint="eastAsia"/>
                <w:color w:val="000000" w:themeColor="text1"/>
                <w:kern w:val="0"/>
                <w:sz w:val="21"/>
                <w:szCs w:val="21"/>
                <w14:textFill>
                  <w14:solidFill>
                    <w14:schemeClr w14:val="tx1"/>
                  </w14:solidFill>
                </w14:textFill>
              </w:rPr>
              <w:t>一般固废暂存间分类存放，由于本项目对现有项目改建，产能不新增，固废变化量不大，利用现有工程一般固定间可以满足暂存要求。一般固废处理方式为：</w:t>
            </w:r>
            <w:r>
              <w:rPr>
                <w:rFonts w:hint="eastAsia"/>
                <w:color w:val="000000" w:themeColor="text1"/>
                <w:sz w:val="21"/>
                <w:szCs w:val="21"/>
                <w14:textFill>
                  <w14:solidFill>
                    <w14:schemeClr w14:val="tx1"/>
                  </w14:solidFill>
                </w14:textFill>
              </w:rPr>
              <w:t>废过滤材料厂家更换时回收利用、废包装袋定期外售、废鸡架外售饲料厂、污泥</w:t>
            </w:r>
            <w:r>
              <w:rPr>
                <w:rFonts w:ascii="宋体" w:hAnsi="宋体"/>
                <w:sz w:val="21"/>
                <w:szCs w:val="21"/>
              </w:rPr>
              <w:t>送延津县垃圾焚烧厂处理</w:t>
            </w:r>
            <w:r>
              <w:rPr>
                <w:rFonts w:hint="eastAsia" w:ascii="宋体" w:hAnsi="宋体"/>
                <w:sz w:val="21"/>
                <w:szCs w:val="21"/>
              </w:rPr>
              <w:t>。</w:t>
            </w:r>
          </w:p>
        </w:tc>
      </w:tr>
      <w:tr w14:paraId="213E5E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79" w:type="dxa"/>
            <w:vAlign w:val="center"/>
          </w:tcPr>
          <w:p w14:paraId="2B031EF8">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土壤及地下水污染防治措施</w:t>
            </w:r>
          </w:p>
        </w:tc>
        <w:tc>
          <w:tcPr>
            <w:tcW w:w="8575" w:type="dxa"/>
            <w:gridSpan w:val="4"/>
            <w:vAlign w:val="center"/>
          </w:tcPr>
          <w:p w14:paraId="7D537283">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4962FF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79" w:type="dxa"/>
            <w:vAlign w:val="center"/>
          </w:tcPr>
          <w:p w14:paraId="21D030BE">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生态保护措施</w:t>
            </w:r>
          </w:p>
        </w:tc>
        <w:tc>
          <w:tcPr>
            <w:tcW w:w="8575" w:type="dxa"/>
            <w:gridSpan w:val="4"/>
            <w:vAlign w:val="center"/>
          </w:tcPr>
          <w:p w14:paraId="1174785E">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64CEEE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79" w:type="dxa"/>
            <w:vAlign w:val="center"/>
          </w:tcPr>
          <w:p w14:paraId="168967CD">
            <w:pPr>
              <w:adjustRightInd w:val="0"/>
              <w:snapToGrid w:val="0"/>
              <w:jc w:val="center"/>
              <w:rPr>
                <w:color w:val="000000" w:themeColor="text1"/>
                <w:spacing w:val="-8"/>
                <w:sz w:val="21"/>
                <w:szCs w:val="21"/>
                <w14:textFill>
                  <w14:solidFill>
                    <w14:schemeClr w14:val="tx1"/>
                  </w14:solidFill>
                </w14:textFill>
              </w:rPr>
            </w:pPr>
            <w:r>
              <w:rPr>
                <w:color w:val="000000" w:themeColor="text1"/>
                <w:spacing w:val="-8"/>
                <w:sz w:val="21"/>
                <w:szCs w:val="21"/>
                <w14:textFill>
                  <w14:solidFill>
                    <w14:schemeClr w14:val="tx1"/>
                  </w14:solidFill>
                </w14:textFill>
              </w:rPr>
              <w:t>环境风险防范措施</w:t>
            </w:r>
          </w:p>
        </w:tc>
        <w:tc>
          <w:tcPr>
            <w:tcW w:w="8575" w:type="dxa"/>
            <w:gridSpan w:val="4"/>
            <w:vAlign w:val="center"/>
          </w:tcPr>
          <w:p w14:paraId="665600A6">
            <w:pPr>
              <w:ind w:firstLine="420" w:firstLineChars="200"/>
              <w:rPr>
                <w:sz w:val="21"/>
                <w:szCs w:val="21"/>
              </w:rPr>
            </w:pPr>
            <w:r>
              <w:rPr>
                <w:rFonts w:hint="eastAsia"/>
                <w:sz w:val="21"/>
                <w:szCs w:val="21"/>
              </w:rPr>
              <w:t>1、</w:t>
            </w:r>
            <w:r>
              <w:rPr>
                <w:sz w:val="21"/>
                <w:szCs w:val="21"/>
              </w:rPr>
              <w:t>根据功能分区合理布局，有利于安全疏散和消防。</w:t>
            </w:r>
          </w:p>
          <w:p w14:paraId="4C09E7E0">
            <w:pPr>
              <w:ind w:firstLine="420" w:firstLineChars="200"/>
              <w:rPr>
                <w:color w:val="0F1115"/>
                <w:sz w:val="21"/>
                <w:szCs w:val="21"/>
                <w:shd w:val="clear" w:color="auto" w:fill="FFFFFF"/>
              </w:rPr>
            </w:pPr>
            <w:r>
              <w:rPr>
                <w:rFonts w:hint="eastAsia"/>
                <w:sz w:val="21"/>
                <w:szCs w:val="21"/>
              </w:rPr>
              <w:t>2、</w:t>
            </w:r>
            <w:r>
              <w:rPr>
                <w:color w:val="0F1115"/>
                <w:sz w:val="21"/>
                <w:szCs w:val="21"/>
                <w:shd w:val="clear" w:color="auto" w:fill="FFFFFF"/>
              </w:rPr>
              <w:t>选用耐低温、抗应力腐蚀的材料、内罐泄漏时外罐能完全包容防止外泄的天然气储罐，天然气储罐设计足够的抗风、抗震、抗冲击能力；配备完善的压力/真空保护系统（呼吸阀、安全阀、爆破片），防止超压或负压损坏。</w:t>
            </w:r>
          </w:p>
          <w:p w14:paraId="2E803790">
            <w:pPr>
              <w:ind w:firstLine="420" w:firstLineChars="200"/>
              <w:rPr>
                <w:color w:val="0F1115"/>
                <w:sz w:val="21"/>
                <w:szCs w:val="21"/>
                <w:shd w:val="clear" w:color="auto" w:fill="FFFFFF"/>
              </w:rPr>
            </w:pPr>
            <w:r>
              <w:rPr>
                <w:rFonts w:hint="eastAsia"/>
                <w:sz w:val="21"/>
                <w:szCs w:val="21"/>
              </w:rPr>
              <w:t>3、</w:t>
            </w:r>
            <w:r>
              <w:rPr>
                <w:sz w:val="21"/>
                <w:szCs w:val="21"/>
              </w:rPr>
              <w:t>天然气管线周围划定易燃爆炸危险区域，选用防爆型电气设备、仪表及通信设备，远</w:t>
            </w:r>
            <w:r>
              <w:rPr>
                <w:color w:val="0F1115"/>
                <w:sz w:val="21"/>
                <w:szCs w:val="21"/>
                <w:shd w:val="clear" w:color="auto" w:fill="FFFFFF"/>
              </w:rPr>
              <w:t>离火源。加强设备巡检，防止因设备老化、管道腐蚀等原因造成天然气泄漏。</w:t>
            </w:r>
          </w:p>
          <w:p w14:paraId="0D5A8FC8">
            <w:pPr>
              <w:ind w:firstLine="420" w:firstLineChars="200"/>
              <w:rPr>
                <w:color w:val="0F1115"/>
                <w:sz w:val="21"/>
                <w:szCs w:val="21"/>
                <w:shd w:val="clear" w:color="auto" w:fill="FFFFFF"/>
              </w:rPr>
            </w:pPr>
            <w:r>
              <w:rPr>
                <w:rFonts w:hint="eastAsia"/>
                <w:color w:val="0F1115"/>
                <w:sz w:val="21"/>
                <w:szCs w:val="21"/>
                <w:shd w:val="clear" w:color="auto" w:fill="FFFFFF"/>
              </w:rPr>
              <w:t>4、</w:t>
            </w:r>
            <w:r>
              <w:rPr>
                <w:color w:val="0F1115"/>
                <w:sz w:val="21"/>
                <w:szCs w:val="21"/>
                <w:shd w:val="clear" w:color="auto" w:fill="FFFFFF"/>
              </w:rPr>
              <w:t>在储罐管道法兰、泵区等关键点布置多点式可燃气体探测器，实时监测甲烷浓度，设定分级报警。设置紧急切断系统。</w:t>
            </w:r>
          </w:p>
          <w:p w14:paraId="3A1029F7">
            <w:pPr>
              <w:ind w:firstLine="420" w:firstLineChars="200"/>
              <w:rPr>
                <w:color w:val="0F1115"/>
                <w:sz w:val="21"/>
                <w:szCs w:val="21"/>
                <w:shd w:val="clear" w:color="auto" w:fill="FFFFFF"/>
              </w:rPr>
            </w:pPr>
            <w:r>
              <w:rPr>
                <w:rFonts w:hint="eastAsia"/>
                <w:color w:val="0F1115"/>
                <w:sz w:val="21"/>
                <w:szCs w:val="21"/>
                <w:shd w:val="clear" w:color="auto" w:fill="FFFFFF"/>
              </w:rPr>
              <w:t>5、</w:t>
            </w:r>
            <w:r>
              <w:rPr>
                <w:color w:val="0F1115"/>
                <w:sz w:val="21"/>
                <w:szCs w:val="21"/>
                <w:shd w:val="clear" w:color="auto" w:fill="FFFFFF"/>
              </w:rPr>
              <w:t>加强操作人员的岗位培训，严格遵守规程。对事故易发处按规定时间巡检，发现问题及早解决。</w:t>
            </w:r>
          </w:p>
          <w:p w14:paraId="125962DE">
            <w:pPr>
              <w:ind w:firstLine="420" w:firstLineChars="200"/>
              <w:rPr>
                <w:color w:val="000000" w:themeColor="text1"/>
                <w:sz w:val="21"/>
                <w:szCs w:val="21"/>
                <w:highlight w:val="yellow"/>
                <w14:textFill>
                  <w14:solidFill>
                    <w14:schemeClr w14:val="tx1"/>
                  </w14:solidFill>
                </w14:textFill>
              </w:rPr>
            </w:pPr>
            <w:r>
              <w:rPr>
                <w:rFonts w:hint="eastAsia"/>
                <w:sz w:val="21"/>
                <w:szCs w:val="21"/>
              </w:rPr>
              <w:t>6、</w:t>
            </w:r>
            <w:r>
              <w:rPr>
                <w:color w:val="0F1115"/>
                <w:sz w:val="21"/>
                <w:szCs w:val="21"/>
                <w:shd w:val="clear" w:color="auto" w:fill="FFFFFF"/>
              </w:rPr>
              <w:t>制定从现场处置到社会联动的各级预案，明确职责、流程和联络机制；配备专业的消防设施、堵漏器材、个人防护装备和应急物资；定期应急演练，检验预案有效性，提升全员应急能力。</w:t>
            </w:r>
          </w:p>
        </w:tc>
      </w:tr>
      <w:tr w14:paraId="5BC176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30" w:hRule="atLeast"/>
          <w:jc w:val="center"/>
        </w:trPr>
        <w:tc>
          <w:tcPr>
            <w:tcW w:w="1279" w:type="dxa"/>
            <w:vAlign w:val="center"/>
          </w:tcPr>
          <w:p w14:paraId="283688CE">
            <w:pPr>
              <w:adjustRightInd w:val="0"/>
              <w:snapToGrid w:val="0"/>
              <w:jc w:val="center"/>
              <w:rPr>
                <w:color w:val="000000" w:themeColor="text1"/>
                <w:spacing w:val="-8"/>
                <w:sz w:val="21"/>
                <w:szCs w:val="21"/>
                <w14:textFill>
                  <w14:solidFill>
                    <w14:schemeClr w14:val="tx1"/>
                  </w14:solidFill>
                </w14:textFill>
              </w:rPr>
            </w:pPr>
            <w:r>
              <w:rPr>
                <w:rFonts w:hint="eastAsia"/>
                <w:color w:val="000000" w:themeColor="text1"/>
                <w:spacing w:val="-8"/>
                <w:sz w:val="21"/>
                <w:szCs w:val="21"/>
                <w14:textFill>
                  <w14:solidFill>
                    <w14:schemeClr w14:val="tx1"/>
                  </w14:solidFill>
                </w14:textFill>
              </w:rPr>
              <w:t>其他环境管理要求</w:t>
            </w:r>
          </w:p>
        </w:tc>
        <w:tc>
          <w:tcPr>
            <w:tcW w:w="8575" w:type="dxa"/>
            <w:gridSpan w:val="4"/>
            <w:vAlign w:val="center"/>
          </w:tcPr>
          <w:p w14:paraId="52334782">
            <w:pPr>
              <w:ind w:firstLine="420" w:firstLineChars="200"/>
              <w:rPr>
                <w:rFonts w:eastAsia="Segoe UI"/>
                <w:color w:val="0F1115"/>
                <w:sz w:val="21"/>
                <w:szCs w:val="21"/>
                <w:shd w:val="clear" w:color="auto" w:fill="FFFFFF"/>
              </w:rPr>
            </w:pPr>
            <w:bookmarkStart w:id="33" w:name="OLE_LINK436"/>
            <w:bookmarkStart w:id="34" w:name="OLE_LINK437"/>
            <w:r>
              <w:rPr>
                <w:rFonts w:eastAsia="Segoe UI"/>
                <w:color w:val="0F1115"/>
                <w:sz w:val="21"/>
                <w:szCs w:val="21"/>
                <w:shd w:val="clear" w:color="auto" w:fill="FFFFFF"/>
              </w:rPr>
              <w:t>1、排污许可证管理要求</w:t>
            </w:r>
          </w:p>
          <w:p w14:paraId="637E2ADA">
            <w:pPr>
              <w:ind w:firstLine="420" w:firstLineChars="200"/>
              <w:rPr>
                <w:rFonts w:eastAsia="Segoe UI"/>
                <w:color w:val="0F1115"/>
                <w:sz w:val="21"/>
                <w:szCs w:val="21"/>
                <w:shd w:val="clear" w:color="auto" w:fill="FFFFFF"/>
              </w:rPr>
            </w:pPr>
            <w:r>
              <w:rPr>
                <w:rFonts w:eastAsia="Segoe UI"/>
                <w:color w:val="0F1115"/>
                <w:sz w:val="21"/>
                <w:szCs w:val="21"/>
                <w:shd w:val="clear" w:color="auto" w:fill="FFFFFF"/>
              </w:rPr>
              <w:t>根据《固定污染源排污许可分类管理名录（2019年版）》（生态环境部第11号）要求进行填报排污许可。因此，建设单位应当在启动生产设施或者发生实际排污之前在全国排污许可证管理信息平台进行排污许可申请。</w:t>
            </w:r>
          </w:p>
          <w:p w14:paraId="40BE5940">
            <w:pPr>
              <w:ind w:firstLine="420" w:firstLineChars="200"/>
              <w:rPr>
                <w:rFonts w:eastAsia="Segoe UI"/>
                <w:color w:val="0F1115"/>
                <w:sz w:val="21"/>
                <w:szCs w:val="21"/>
                <w:shd w:val="clear" w:color="auto" w:fill="FFFFFF"/>
              </w:rPr>
            </w:pPr>
            <w:r>
              <w:rPr>
                <w:rFonts w:eastAsia="Segoe UI"/>
                <w:color w:val="0F1115"/>
                <w:sz w:val="21"/>
                <w:szCs w:val="21"/>
                <w:shd w:val="clear" w:color="auto" w:fill="FFFFFF"/>
              </w:rPr>
              <w:t>2、竣工环境保护验收</w:t>
            </w:r>
          </w:p>
          <w:p w14:paraId="7FD88BCC">
            <w:pPr>
              <w:ind w:firstLine="420" w:firstLineChars="200"/>
              <w:rPr>
                <w:rFonts w:eastAsia="Segoe UI"/>
                <w:color w:val="0F1115"/>
                <w:sz w:val="21"/>
                <w:szCs w:val="21"/>
                <w:shd w:val="clear" w:color="auto" w:fill="FFFFFF"/>
              </w:rPr>
            </w:pPr>
            <w:r>
              <w:rPr>
                <w:rFonts w:eastAsia="Segoe UI"/>
                <w:color w:val="0F1115"/>
                <w:sz w:val="21"/>
                <w:szCs w:val="21"/>
                <w:shd w:val="clear" w:color="auto" w:fill="FFFFFF"/>
              </w:rPr>
              <w:t>根据《建设项目竣工环境保护验收暂行办法》的规定，建设项目竣工后，建设单位应当如实查验、监测、记载建设项目环境保护设施的建设和调试情况，编制验收监测报告表。</w:t>
            </w:r>
          </w:p>
          <w:p w14:paraId="7E6F7F59">
            <w:pPr>
              <w:ind w:firstLine="420" w:firstLineChars="200"/>
              <w:rPr>
                <w:rFonts w:eastAsia="Segoe UI"/>
                <w:color w:val="0F1115"/>
                <w:sz w:val="21"/>
                <w:szCs w:val="21"/>
                <w:shd w:val="clear" w:color="auto" w:fill="FFFFFF"/>
              </w:rPr>
            </w:pPr>
            <w:r>
              <w:rPr>
                <w:rFonts w:eastAsia="Segoe UI"/>
                <w:color w:val="0F1115"/>
                <w:sz w:val="21"/>
                <w:szCs w:val="21"/>
                <w:shd w:val="clear" w:color="auto" w:fill="FFFFFF"/>
              </w:rPr>
              <w:t>3、排放口规范化建设</w:t>
            </w:r>
          </w:p>
          <w:p w14:paraId="757FA8F6">
            <w:pPr>
              <w:ind w:firstLine="420" w:firstLineChars="200"/>
              <w:rPr>
                <w:rFonts w:eastAsia="Segoe UI"/>
                <w:color w:val="0F1115"/>
                <w:sz w:val="21"/>
                <w:szCs w:val="21"/>
                <w:shd w:val="clear" w:color="auto" w:fill="FFFFFF"/>
              </w:rPr>
            </w:pPr>
            <w:r>
              <w:rPr>
                <w:rFonts w:eastAsia="Segoe UI"/>
                <w:color w:val="0F1115"/>
                <w:sz w:val="21"/>
                <w:szCs w:val="21"/>
                <w:shd w:val="clear" w:color="auto" w:fill="FFFFFF"/>
              </w:rPr>
              <w:t>根据《</w:t>
            </w:r>
            <w:bookmarkStart w:id="35" w:name="OLE_LINK494"/>
            <w:r>
              <w:rPr>
                <w:rFonts w:eastAsia="Segoe UI"/>
                <w:color w:val="0F1115"/>
                <w:sz w:val="21"/>
                <w:szCs w:val="21"/>
                <w:shd w:val="clear" w:color="auto" w:fill="FFFFFF"/>
              </w:rPr>
              <w:t>环境保护图形标志－排放口（源）</w:t>
            </w:r>
            <w:bookmarkEnd w:id="35"/>
            <w:r>
              <w:rPr>
                <w:rFonts w:eastAsia="Segoe UI"/>
                <w:color w:val="0F1115"/>
                <w:sz w:val="21"/>
                <w:szCs w:val="21"/>
                <w:shd w:val="clear" w:color="auto" w:fill="FFFFFF"/>
              </w:rPr>
              <w:t>》（GB15562.1-1995）、《</w:t>
            </w:r>
            <w:bookmarkStart w:id="36" w:name="OLE_LINK495"/>
            <w:bookmarkStart w:id="37" w:name="OLE_LINK496"/>
            <w:r>
              <w:rPr>
                <w:rFonts w:eastAsia="Segoe UI"/>
                <w:color w:val="0F1115"/>
                <w:sz w:val="21"/>
                <w:szCs w:val="21"/>
                <w:shd w:val="clear" w:color="auto" w:fill="FFFFFF"/>
              </w:rPr>
              <w:t>环境保护图形标志—固体废物贮存（处置）场</w:t>
            </w:r>
            <w:bookmarkEnd w:id="36"/>
            <w:bookmarkEnd w:id="37"/>
            <w:r>
              <w:rPr>
                <w:rFonts w:eastAsia="Segoe UI"/>
                <w:color w:val="0F1115"/>
                <w:sz w:val="21"/>
                <w:szCs w:val="21"/>
                <w:shd w:val="clear" w:color="auto" w:fill="FFFFFF"/>
              </w:rPr>
              <w:t>》（GB15562.2-1995）及其修改单标准要求，本项目应在废水排放口和</w:t>
            </w:r>
            <w:r>
              <w:rPr>
                <w:color w:val="0F1115"/>
                <w:sz w:val="21"/>
                <w:szCs w:val="21"/>
                <w:shd w:val="clear" w:color="auto" w:fill="FFFFFF"/>
              </w:rPr>
              <w:t>废气</w:t>
            </w:r>
            <w:r>
              <w:rPr>
                <w:rFonts w:eastAsia="Segoe UI"/>
                <w:color w:val="0F1115"/>
                <w:sz w:val="21"/>
                <w:szCs w:val="21"/>
                <w:shd w:val="clear" w:color="auto" w:fill="FFFFFF"/>
              </w:rPr>
              <w:t>排放源分别设置环境保护图形标志牌，按照排污许可技术规范、年度污染防治攻坚方案、专项整治方案等要求安装相关环保监控、监测设备，便于污染源监督管理及常规监测工作的进行。</w:t>
            </w:r>
          </w:p>
          <w:bookmarkEnd w:id="33"/>
          <w:bookmarkEnd w:id="34"/>
          <w:p w14:paraId="05357CDA">
            <w:pPr>
              <w:pStyle w:val="17"/>
              <w:ind w:left="480" w:firstLine="480"/>
            </w:pPr>
          </w:p>
          <w:p w14:paraId="429B9D9C">
            <w:pPr>
              <w:pStyle w:val="11"/>
              <w:ind w:left="0" w:firstLine="0"/>
              <w:rPr>
                <w:color w:val="000000" w:themeColor="text1"/>
                <w:highlight w:val="yellow"/>
                <w14:textFill>
                  <w14:solidFill>
                    <w14:schemeClr w14:val="tx1"/>
                  </w14:solidFill>
                </w14:textFill>
              </w:rPr>
            </w:pPr>
          </w:p>
          <w:p w14:paraId="718F0A42">
            <w:pPr>
              <w:pStyle w:val="11"/>
              <w:ind w:left="0" w:firstLine="0"/>
              <w:rPr>
                <w:color w:val="000000" w:themeColor="text1"/>
                <w:highlight w:val="yellow"/>
                <w14:textFill>
                  <w14:solidFill>
                    <w14:schemeClr w14:val="tx1"/>
                  </w14:solidFill>
                </w14:textFill>
              </w:rPr>
            </w:pPr>
          </w:p>
          <w:p w14:paraId="5B72F56F">
            <w:pPr>
              <w:pStyle w:val="11"/>
              <w:ind w:left="0" w:firstLine="0"/>
              <w:rPr>
                <w:color w:val="000000" w:themeColor="text1"/>
                <w:highlight w:val="yellow"/>
                <w14:textFill>
                  <w14:solidFill>
                    <w14:schemeClr w14:val="tx1"/>
                  </w14:solidFill>
                </w14:textFill>
              </w:rPr>
            </w:pPr>
          </w:p>
          <w:p w14:paraId="3325357D">
            <w:pPr>
              <w:pStyle w:val="11"/>
              <w:ind w:left="0" w:firstLine="0"/>
              <w:rPr>
                <w:color w:val="000000" w:themeColor="text1"/>
                <w:highlight w:val="yellow"/>
                <w14:textFill>
                  <w14:solidFill>
                    <w14:schemeClr w14:val="tx1"/>
                  </w14:solidFill>
                </w14:textFill>
              </w:rPr>
            </w:pPr>
          </w:p>
          <w:p w14:paraId="2EE55C1F">
            <w:pPr>
              <w:pStyle w:val="11"/>
              <w:ind w:left="0" w:firstLine="0"/>
              <w:rPr>
                <w:color w:val="000000" w:themeColor="text1"/>
                <w:highlight w:val="yellow"/>
                <w14:textFill>
                  <w14:solidFill>
                    <w14:schemeClr w14:val="tx1"/>
                  </w14:solidFill>
                </w14:textFill>
              </w:rPr>
            </w:pPr>
          </w:p>
          <w:p w14:paraId="6DF352A9">
            <w:pPr>
              <w:pStyle w:val="11"/>
              <w:ind w:left="0" w:firstLine="0"/>
              <w:rPr>
                <w:rFonts w:hint="eastAsia"/>
                <w:color w:val="000000" w:themeColor="text1"/>
                <w:highlight w:val="yellow"/>
                <w14:textFill>
                  <w14:solidFill>
                    <w14:schemeClr w14:val="tx1"/>
                  </w14:solidFill>
                </w14:textFill>
              </w:rPr>
            </w:pPr>
          </w:p>
        </w:tc>
      </w:tr>
    </w:tbl>
    <w:p w14:paraId="4F26C339">
      <w:pPr>
        <w:pStyle w:val="16"/>
        <w:jc w:val="center"/>
        <w:outlineLvl w:val="0"/>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br w:type="page"/>
      </w:r>
      <w:r>
        <w:rPr>
          <w:rFonts w:hint="eastAsia" w:ascii="黑体" w:hAnsi="黑体" w:eastAsia="黑体"/>
          <w:snapToGrid w:val="0"/>
          <w:color w:val="000000" w:themeColor="text1"/>
          <w:sz w:val="30"/>
          <w:szCs w:val="30"/>
          <w14:textFill>
            <w14:solidFill>
              <w14:schemeClr w14:val="tx1"/>
            </w14:solidFill>
          </w14:textFill>
        </w:rPr>
        <w:t>六、结论</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6248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4C301682">
            <w:pPr>
              <w:spacing w:line="440" w:lineRule="exact"/>
              <w:ind w:firstLine="480" w:firstLineChars="200"/>
              <w:textAlignment w:val="baseline"/>
              <w:rPr>
                <w:color w:val="000000"/>
              </w:rPr>
            </w:pPr>
            <w:r>
              <w:rPr>
                <w:rFonts w:hint="eastAsia"/>
                <w:color w:val="000000" w:themeColor="text1"/>
                <w14:textFill>
                  <w14:solidFill>
                    <w14:schemeClr w14:val="tx1"/>
                  </w14:solidFill>
                </w14:textFill>
              </w:rPr>
              <w:t>河南朝东食品有限公司年产1500吨鸡汁素肠改建项目</w:t>
            </w:r>
            <w:r>
              <w:rPr>
                <w:color w:val="000000"/>
              </w:rPr>
              <w:t>选址位于</w:t>
            </w:r>
            <w:r>
              <w:rPr>
                <w:rFonts w:ascii="Helvetica" w:hAnsi="Helvetica" w:eastAsia="Helvetica" w:cs="Helvetica"/>
                <w:color w:val="333333"/>
                <w:shd w:val="clear" w:color="auto" w:fill="FFFFFF"/>
              </w:rPr>
              <w:t>河南省</w:t>
            </w:r>
            <w:r>
              <w:rPr>
                <w:rFonts w:hint="eastAsia" w:ascii="Helvetica" w:hAnsi="Helvetica" w:eastAsia="Helvetica" w:cs="Helvetica"/>
                <w:color w:val="333333"/>
                <w:shd w:val="clear" w:color="auto" w:fill="FFFFFF"/>
              </w:rPr>
              <w:t>新乡市延津县榆林乡夹堤村西南</w:t>
            </w:r>
            <w:r>
              <w:rPr>
                <w:rFonts w:ascii="Helvetica" w:hAnsi="Helvetica" w:eastAsia="Helvetica" w:cs="Helvetica"/>
                <w:color w:val="333333"/>
                <w:shd w:val="clear" w:color="auto" w:fill="FFFFFF"/>
              </w:rPr>
              <w:t>河南朝东食品有限公司</w:t>
            </w:r>
            <w:r>
              <w:rPr>
                <w:rFonts w:hint="eastAsia" w:ascii="Helvetica" w:hAnsi="Helvetica" w:cs="Helvetica"/>
                <w:color w:val="333333"/>
                <w:shd w:val="clear" w:color="auto" w:fill="FFFFFF"/>
              </w:rPr>
              <w:t>现有</w:t>
            </w:r>
            <w:r>
              <w:rPr>
                <w:rFonts w:hint="eastAsia"/>
                <w:color w:val="000000" w:themeColor="text1"/>
                <w14:textFill>
                  <w14:solidFill>
                    <w14:schemeClr w14:val="tx1"/>
                  </w14:solidFill>
                </w14:textFill>
              </w:rPr>
              <w:t>厂区内</w:t>
            </w:r>
            <w:r>
              <w:rPr>
                <w:color w:val="000000"/>
              </w:rPr>
              <w:t>，</w:t>
            </w:r>
            <w:r>
              <w:rPr>
                <w:color w:val="000000" w:themeColor="text1"/>
                <w14:textFill>
                  <w14:solidFill>
                    <w14:schemeClr w14:val="tx1"/>
                  </w14:solidFill>
                </w14:textFill>
              </w:rPr>
              <w:t>项目所占用地为建设用地</w:t>
            </w:r>
            <w:r>
              <w:rPr>
                <w:rFonts w:hint="eastAsia"/>
                <w:color w:val="000000"/>
              </w:rPr>
              <w:t>，</w:t>
            </w:r>
            <w:r>
              <w:rPr>
                <w:color w:val="000000" w:themeColor="text1"/>
                <w14:textFill>
                  <w14:solidFill>
                    <w14:schemeClr w14:val="tx1"/>
                  </w14:solidFill>
                </w14:textFill>
              </w:rPr>
              <w:t>符合延津县榆林乡用地规划要求</w:t>
            </w:r>
            <w:r>
              <w:rPr>
                <w:rFonts w:hint="eastAsia"/>
                <w:color w:val="000000" w:themeColor="text1"/>
                <w14:textFill>
                  <w14:solidFill>
                    <w14:schemeClr w14:val="tx1"/>
                  </w14:solidFill>
                </w14:textFill>
              </w:rPr>
              <w:t>，</w:t>
            </w:r>
            <w:r>
              <w:rPr>
                <w:rFonts w:hint="eastAsia"/>
                <w:color w:val="000000"/>
              </w:rPr>
              <w:t>选址可行。在采取评价提出的污染防治措施以及充分落实评价建议的基础上，项目产生的污染物实现达标排放，对周围环境影响较小，工程建设不涉及自然保护区、世界自然和文化遗产地、风景名胜区、森林公园等环境敏感区，不存在环境制约因素，从环境保护角度分析，工程建设是可行的。</w:t>
            </w:r>
          </w:p>
          <w:p w14:paraId="33293BC0">
            <w:pPr>
              <w:pStyle w:val="17"/>
              <w:ind w:left="480" w:firstLine="480"/>
            </w:pPr>
          </w:p>
          <w:p w14:paraId="5284A471">
            <w:pPr>
              <w:pStyle w:val="17"/>
              <w:ind w:left="480" w:firstLine="480"/>
            </w:pPr>
          </w:p>
          <w:p w14:paraId="7206EC09">
            <w:pPr>
              <w:adjustRightInd w:val="0"/>
              <w:snapToGrid w:val="0"/>
              <w:spacing w:line="440" w:lineRule="exact"/>
              <w:ind w:firstLine="480" w:firstLineChars="200"/>
              <w:jc w:val="right"/>
            </w:pPr>
            <w:r>
              <w:rPr>
                <w:rFonts w:hint="eastAsia"/>
              </w:rPr>
              <w:t>新乡市译洋环境技术有限公司</w:t>
            </w:r>
          </w:p>
          <w:p w14:paraId="3CC1BFDD">
            <w:pPr>
              <w:adjustRightInd w:val="0"/>
              <w:snapToGrid w:val="0"/>
              <w:spacing w:line="440" w:lineRule="exact"/>
              <w:ind w:firstLine="480" w:firstLineChars="200"/>
              <w:jc w:val="right"/>
            </w:pPr>
            <w:r>
              <w:rPr>
                <w:rFonts w:hint="eastAsia"/>
              </w:rPr>
              <w:t>2026年</w:t>
            </w:r>
            <w:r>
              <w:rPr>
                <w:rFonts w:hint="eastAsia"/>
                <w:lang w:val="en-US" w:eastAsia="zh-CN"/>
              </w:rPr>
              <w:t>6</w:t>
            </w:r>
            <w:r>
              <w:rPr>
                <w:rFonts w:hint="eastAsia"/>
              </w:rPr>
              <w:t>月</w:t>
            </w:r>
          </w:p>
          <w:p w14:paraId="5B0014FF">
            <w:pPr>
              <w:pStyle w:val="33"/>
              <w:ind w:firstLine="480"/>
              <w:rPr>
                <w:color w:val="000000" w:themeColor="text1"/>
                <w14:textFill>
                  <w14:solidFill>
                    <w14:schemeClr w14:val="tx1"/>
                  </w14:solidFill>
                </w14:textFill>
              </w:rPr>
            </w:pPr>
          </w:p>
          <w:p w14:paraId="48ABDA30">
            <w:pPr>
              <w:rPr>
                <w:color w:val="000000" w:themeColor="text1"/>
                <w14:textFill>
                  <w14:solidFill>
                    <w14:schemeClr w14:val="tx1"/>
                  </w14:solidFill>
                </w14:textFill>
              </w:rPr>
            </w:pPr>
          </w:p>
          <w:p w14:paraId="77FD6F6A">
            <w:pPr>
              <w:pStyle w:val="4"/>
              <w:rPr>
                <w:color w:val="000000" w:themeColor="text1"/>
                <w14:textFill>
                  <w14:solidFill>
                    <w14:schemeClr w14:val="tx1"/>
                  </w14:solidFill>
                </w14:textFill>
              </w:rPr>
            </w:pPr>
          </w:p>
          <w:p w14:paraId="37DCA3ED">
            <w:pPr>
              <w:rPr>
                <w:color w:val="000000" w:themeColor="text1"/>
                <w14:textFill>
                  <w14:solidFill>
                    <w14:schemeClr w14:val="tx1"/>
                  </w14:solidFill>
                </w14:textFill>
              </w:rPr>
            </w:pPr>
          </w:p>
          <w:p w14:paraId="5C508BE8">
            <w:pPr>
              <w:pStyle w:val="4"/>
              <w:rPr>
                <w:color w:val="000000" w:themeColor="text1"/>
                <w14:textFill>
                  <w14:solidFill>
                    <w14:schemeClr w14:val="tx1"/>
                  </w14:solidFill>
                </w14:textFill>
              </w:rPr>
            </w:pPr>
          </w:p>
          <w:p w14:paraId="38E52EC7">
            <w:pPr>
              <w:rPr>
                <w:color w:val="000000" w:themeColor="text1"/>
                <w14:textFill>
                  <w14:solidFill>
                    <w14:schemeClr w14:val="tx1"/>
                  </w14:solidFill>
                </w14:textFill>
              </w:rPr>
            </w:pPr>
          </w:p>
          <w:p w14:paraId="7B9549F4">
            <w:pPr>
              <w:pStyle w:val="4"/>
              <w:rPr>
                <w:color w:val="000000" w:themeColor="text1"/>
                <w14:textFill>
                  <w14:solidFill>
                    <w14:schemeClr w14:val="tx1"/>
                  </w14:solidFill>
                </w14:textFill>
              </w:rPr>
            </w:pPr>
          </w:p>
          <w:p w14:paraId="3BC40716">
            <w:pPr>
              <w:rPr>
                <w:color w:val="000000" w:themeColor="text1"/>
                <w14:textFill>
                  <w14:solidFill>
                    <w14:schemeClr w14:val="tx1"/>
                  </w14:solidFill>
                </w14:textFill>
              </w:rPr>
            </w:pPr>
          </w:p>
          <w:p w14:paraId="4794D041">
            <w:pPr>
              <w:pStyle w:val="4"/>
              <w:rPr>
                <w:color w:val="000000" w:themeColor="text1"/>
                <w14:textFill>
                  <w14:solidFill>
                    <w14:schemeClr w14:val="tx1"/>
                  </w14:solidFill>
                </w14:textFill>
              </w:rPr>
            </w:pPr>
          </w:p>
          <w:p w14:paraId="23CBDD16">
            <w:pPr>
              <w:rPr>
                <w:color w:val="000000" w:themeColor="text1"/>
                <w14:textFill>
                  <w14:solidFill>
                    <w14:schemeClr w14:val="tx1"/>
                  </w14:solidFill>
                </w14:textFill>
              </w:rPr>
            </w:pPr>
          </w:p>
          <w:p w14:paraId="2A6CA882">
            <w:pPr>
              <w:pStyle w:val="4"/>
              <w:rPr>
                <w:color w:val="000000" w:themeColor="text1"/>
                <w14:textFill>
                  <w14:solidFill>
                    <w14:schemeClr w14:val="tx1"/>
                  </w14:solidFill>
                </w14:textFill>
              </w:rPr>
            </w:pPr>
          </w:p>
          <w:p w14:paraId="13B77284">
            <w:pPr>
              <w:rPr>
                <w:color w:val="000000" w:themeColor="text1"/>
                <w14:textFill>
                  <w14:solidFill>
                    <w14:schemeClr w14:val="tx1"/>
                  </w14:solidFill>
                </w14:textFill>
              </w:rPr>
            </w:pPr>
          </w:p>
          <w:p w14:paraId="75CC62DB">
            <w:pPr>
              <w:pStyle w:val="4"/>
              <w:rPr>
                <w:color w:val="000000" w:themeColor="text1"/>
                <w14:textFill>
                  <w14:solidFill>
                    <w14:schemeClr w14:val="tx1"/>
                  </w14:solidFill>
                </w14:textFill>
              </w:rPr>
            </w:pPr>
          </w:p>
          <w:p w14:paraId="495E443E">
            <w:pPr>
              <w:rPr>
                <w:color w:val="000000" w:themeColor="text1"/>
                <w14:textFill>
                  <w14:solidFill>
                    <w14:schemeClr w14:val="tx1"/>
                  </w14:solidFill>
                </w14:textFill>
              </w:rPr>
            </w:pPr>
          </w:p>
          <w:p w14:paraId="57E7B03D">
            <w:pPr>
              <w:pStyle w:val="4"/>
              <w:rPr>
                <w:color w:val="000000" w:themeColor="text1"/>
                <w14:textFill>
                  <w14:solidFill>
                    <w14:schemeClr w14:val="tx1"/>
                  </w14:solidFill>
                </w14:textFill>
              </w:rPr>
            </w:pPr>
          </w:p>
          <w:p w14:paraId="476C9327">
            <w:pPr>
              <w:rPr>
                <w:color w:val="000000" w:themeColor="text1"/>
                <w14:textFill>
                  <w14:solidFill>
                    <w14:schemeClr w14:val="tx1"/>
                  </w14:solidFill>
                </w14:textFill>
              </w:rPr>
            </w:pPr>
          </w:p>
        </w:tc>
      </w:tr>
    </w:tbl>
    <w:p w14:paraId="0DB09895">
      <w:pPr>
        <w:rPr>
          <w:color w:val="000000" w:themeColor="text1"/>
          <w14:textFill>
            <w14:solidFill>
              <w14:schemeClr w14:val="tx1"/>
            </w14:solidFill>
          </w14:textFill>
        </w:rPr>
        <w:sectPr>
          <w:pgSz w:w="11906" w:h="16838"/>
          <w:pgMar w:top="1701" w:right="1134" w:bottom="1701" w:left="1134" w:header="851" w:footer="992" w:gutter="0"/>
          <w:cols w:space="720" w:num="1"/>
          <w:docGrid w:type="lines" w:linePitch="312" w:charSpace="0"/>
        </w:sectPr>
      </w:pPr>
    </w:p>
    <w:p w14:paraId="1528979B">
      <w:pPr>
        <w:pStyle w:val="16"/>
        <w:adjustRightInd w:val="0"/>
        <w:snapToGrid w:val="0"/>
        <w:spacing w:before="0" w:beforeAutospacing="0" w:after="0" w:afterAutospacing="0" w:line="480" w:lineRule="auto"/>
        <w:outlineLvl w:val="0"/>
        <w:rPr>
          <w:rFonts w:ascii="黑体" w:hAnsi="黑体" w:eastAsia="黑体"/>
          <w:snapToGrid w:val="0"/>
          <w:color w:val="000000" w:themeColor="text1"/>
          <w:sz w:val="32"/>
          <w:szCs w:val="32"/>
          <w14:textFill>
            <w14:solidFill>
              <w14:schemeClr w14:val="tx1"/>
            </w14:solidFill>
          </w14:textFill>
        </w:rPr>
      </w:pPr>
      <w:r>
        <w:rPr>
          <w:rFonts w:hint="eastAsia" w:ascii="黑体" w:hAnsi="黑体" w:eastAsia="黑体"/>
          <w:snapToGrid w:val="0"/>
          <w:color w:val="000000" w:themeColor="text1"/>
          <w:sz w:val="32"/>
          <w:szCs w:val="32"/>
          <w14:textFill>
            <w14:solidFill>
              <w14:schemeClr w14:val="tx1"/>
            </w14:solidFill>
          </w14:textFill>
        </w:rPr>
        <w:t>附表</w:t>
      </w:r>
    </w:p>
    <w:p w14:paraId="16D90E10">
      <w:pPr>
        <w:pStyle w:val="16"/>
        <w:adjustRightInd w:val="0"/>
        <w:snapToGrid w:val="0"/>
        <w:spacing w:before="0" w:beforeAutospacing="0" w:after="0" w:afterAutospacing="0" w:line="360" w:lineRule="auto"/>
        <w:jc w:val="center"/>
        <w:outlineLvl w:val="0"/>
        <w:rPr>
          <w:rFonts w:ascii="方正小标宋_GBK" w:hAnsi="黑体" w:eastAsia="方正小标宋_GBK"/>
          <w:snapToGrid w:val="0"/>
          <w:color w:val="000000" w:themeColor="text1"/>
          <w:sz w:val="28"/>
          <w:szCs w:val="28"/>
          <w14:textFill>
            <w14:solidFill>
              <w14:schemeClr w14:val="tx1"/>
            </w14:solidFill>
          </w14:textFill>
        </w:rPr>
      </w:pPr>
      <w:r>
        <w:rPr>
          <w:rFonts w:hint="eastAsia" w:ascii="方正小标宋_GBK" w:hAnsi="黑体" w:eastAsia="方正小标宋_GBK"/>
          <w:snapToGrid w:val="0"/>
          <w:color w:val="000000" w:themeColor="text1"/>
          <w:sz w:val="38"/>
          <w:szCs w:val="38"/>
          <w14:textFill>
            <w14:solidFill>
              <w14:schemeClr w14:val="tx1"/>
            </w14:solidFill>
          </w14:textFill>
        </w:rPr>
        <w:t xml:space="preserve">                建设项目污染物排放量汇总表</w:t>
      </w:r>
      <w:r>
        <w:rPr>
          <w:rFonts w:hint="eastAsia" w:ascii="Times New Roman" w:hAnsi="Times New Roman" w:eastAsia="方正小标宋_GBK"/>
          <w:snapToGrid w:val="0"/>
          <w:sz w:val="38"/>
          <w:szCs w:val="38"/>
        </w:rPr>
        <w:t xml:space="preserve">            </w:t>
      </w:r>
      <w:r>
        <w:rPr>
          <w:rFonts w:hint="eastAsia" w:ascii="Times New Roman" w:hAnsi="Times New Roman" w:eastAsia="方正小标宋_GBK"/>
          <w:snapToGrid w:val="0"/>
          <w:sz w:val="28"/>
          <w:szCs w:val="28"/>
        </w:rPr>
        <w:t xml:space="preserve"> </w:t>
      </w:r>
      <w:r>
        <w:rPr>
          <w:rFonts w:hint="eastAsia" w:ascii="方正小标宋_GBK" w:hAnsi="黑体" w:eastAsia="方正小标宋_GBK"/>
          <w:snapToGrid w:val="0"/>
          <w:color w:val="000000" w:themeColor="text1"/>
          <w:sz w:val="28"/>
          <w:szCs w:val="28"/>
          <w14:textFill>
            <w14:solidFill>
              <w14:schemeClr w14:val="tx1"/>
            </w14:solidFill>
          </w14:textFill>
        </w:rPr>
        <w:t>单位：t/a</w:t>
      </w:r>
    </w:p>
    <w:tbl>
      <w:tblPr>
        <w:tblStyle w:val="18"/>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1701"/>
        <w:gridCol w:w="1456"/>
        <w:gridCol w:w="1379"/>
        <w:gridCol w:w="1456"/>
        <w:gridCol w:w="1559"/>
        <w:gridCol w:w="1559"/>
        <w:gridCol w:w="1701"/>
        <w:gridCol w:w="1711"/>
      </w:tblGrid>
      <w:tr w14:paraId="6A2978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6" w:type="dxa"/>
            <w:tcBorders>
              <w:top w:val="single" w:color="auto" w:sz="8" w:space="0"/>
              <w:bottom w:val="single" w:color="auto" w:sz="4" w:space="0"/>
              <w:tl2br w:val="single" w:color="auto" w:sz="4" w:space="0"/>
            </w:tcBorders>
            <w:tcMar>
              <w:left w:w="28" w:type="dxa"/>
              <w:right w:w="28" w:type="dxa"/>
            </w:tcMar>
            <w:vAlign w:val="center"/>
          </w:tcPr>
          <w:p w14:paraId="55C4BC90">
            <w:pPr>
              <w:pStyle w:val="29"/>
              <w:spacing w:beforeLines="0" w:afterLines="0" w:line="240" w:lineRule="auto"/>
              <w:jc w:val="right"/>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项目</w:t>
            </w:r>
          </w:p>
          <w:p w14:paraId="340207CE">
            <w:pPr>
              <w:pStyle w:val="29"/>
              <w:spacing w:beforeLines="0" w:afterLines="0" w:line="240" w:lineRule="auto"/>
              <w:jc w:val="left"/>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分类</w:t>
            </w:r>
          </w:p>
        </w:tc>
        <w:tc>
          <w:tcPr>
            <w:tcW w:w="1701" w:type="dxa"/>
            <w:tcBorders>
              <w:top w:val="single" w:color="auto" w:sz="8" w:space="0"/>
              <w:bottom w:val="single" w:color="auto" w:sz="4" w:space="0"/>
            </w:tcBorders>
            <w:tcMar>
              <w:left w:w="28" w:type="dxa"/>
              <w:right w:w="28" w:type="dxa"/>
            </w:tcMar>
            <w:vAlign w:val="center"/>
          </w:tcPr>
          <w:p w14:paraId="59305445">
            <w:pPr>
              <w:pStyle w:val="29"/>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污染物名称</w:t>
            </w:r>
          </w:p>
        </w:tc>
        <w:tc>
          <w:tcPr>
            <w:tcW w:w="1456" w:type="dxa"/>
            <w:tcBorders>
              <w:top w:val="single" w:color="auto" w:sz="8" w:space="0"/>
              <w:bottom w:val="single" w:color="auto" w:sz="4" w:space="0"/>
            </w:tcBorders>
            <w:tcMar>
              <w:left w:w="28" w:type="dxa"/>
              <w:right w:w="28" w:type="dxa"/>
            </w:tcMar>
            <w:vAlign w:val="center"/>
          </w:tcPr>
          <w:p w14:paraId="24C5F7E9">
            <w:pPr>
              <w:pStyle w:val="29"/>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现有工程</w:t>
            </w:r>
          </w:p>
          <w:p w14:paraId="3F90302C">
            <w:pPr>
              <w:pStyle w:val="29"/>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排放量（固体废物产生量）</w:t>
            </w:r>
            <w:r>
              <w:rPr>
                <w:rFonts w:hint="eastAsia" w:hAnsi="宋体" w:cs="宋体"/>
                <w:snapToGrid w:val="0"/>
                <w:color w:val="000000" w:themeColor="text1"/>
                <w:spacing w:val="-6"/>
                <w:kern w:val="21"/>
                <w:szCs w:val="21"/>
                <w14:textFill>
                  <w14:solidFill>
                    <w14:schemeClr w14:val="tx1"/>
                  </w14:solidFill>
                </w14:textFill>
              </w:rPr>
              <w:t>①</w:t>
            </w:r>
          </w:p>
        </w:tc>
        <w:tc>
          <w:tcPr>
            <w:tcW w:w="1379" w:type="dxa"/>
            <w:tcBorders>
              <w:top w:val="single" w:color="auto" w:sz="8" w:space="0"/>
              <w:bottom w:val="single" w:color="auto" w:sz="4" w:space="0"/>
            </w:tcBorders>
            <w:tcMar>
              <w:left w:w="28" w:type="dxa"/>
              <w:right w:w="28" w:type="dxa"/>
            </w:tcMar>
            <w:vAlign w:val="center"/>
          </w:tcPr>
          <w:p w14:paraId="61705415">
            <w:pPr>
              <w:pStyle w:val="29"/>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现有工程</w:t>
            </w:r>
          </w:p>
          <w:p w14:paraId="7DF5006D">
            <w:pPr>
              <w:pStyle w:val="29"/>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许可排放量</w:t>
            </w:r>
          </w:p>
          <w:p w14:paraId="14A18B4C">
            <w:pPr>
              <w:pStyle w:val="29"/>
              <w:spacing w:beforeLines="0" w:afterLines="0"/>
              <w:rPr>
                <w:rFonts w:ascii="Times New Roman" w:eastAsia="黑体"/>
                <w:snapToGrid w:val="0"/>
                <w:color w:val="000000" w:themeColor="text1"/>
                <w:spacing w:val="-6"/>
                <w:kern w:val="21"/>
                <w:szCs w:val="21"/>
                <w14:textFill>
                  <w14:solidFill>
                    <w14:schemeClr w14:val="tx1"/>
                  </w14:solidFill>
                </w14:textFill>
              </w:rPr>
            </w:pPr>
            <w:r>
              <w:rPr>
                <w:rFonts w:hint="eastAsia" w:hAnsi="宋体" w:cs="宋体"/>
                <w:snapToGrid w:val="0"/>
                <w:color w:val="000000" w:themeColor="text1"/>
                <w:spacing w:val="-6"/>
                <w:kern w:val="21"/>
                <w:szCs w:val="21"/>
                <w14:textFill>
                  <w14:solidFill>
                    <w14:schemeClr w14:val="tx1"/>
                  </w14:solidFill>
                </w14:textFill>
              </w:rPr>
              <w:t>②</w:t>
            </w:r>
          </w:p>
        </w:tc>
        <w:tc>
          <w:tcPr>
            <w:tcW w:w="1456" w:type="dxa"/>
            <w:tcBorders>
              <w:top w:val="single" w:color="auto" w:sz="8" w:space="0"/>
              <w:bottom w:val="single" w:color="auto" w:sz="4" w:space="0"/>
            </w:tcBorders>
            <w:tcMar>
              <w:left w:w="28" w:type="dxa"/>
              <w:right w:w="28" w:type="dxa"/>
            </w:tcMar>
            <w:vAlign w:val="center"/>
          </w:tcPr>
          <w:p w14:paraId="1DFA0F8A">
            <w:pPr>
              <w:pStyle w:val="29"/>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在建工程</w:t>
            </w:r>
          </w:p>
          <w:p w14:paraId="257D7215">
            <w:pPr>
              <w:pStyle w:val="29"/>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排放量（固体废物产生量）</w:t>
            </w:r>
            <w:r>
              <w:rPr>
                <w:rFonts w:hint="eastAsia" w:hAnsi="宋体" w:cs="宋体"/>
                <w:snapToGrid w:val="0"/>
                <w:color w:val="000000" w:themeColor="text1"/>
                <w:spacing w:val="-6"/>
                <w:kern w:val="21"/>
                <w:szCs w:val="21"/>
                <w14:textFill>
                  <w14:solidFill>
                    <w14:schemeClr w14:val="tx1"/>
                  </w14:solidFill>
                </w14:textFill>
              </w:rPr>
              <w:t>③</w:t>
            </w:r>
          </w:p>
        </w:tc>
        <w:tc>
          <w:tcPr>
            <w:tcW w:w="1559" w:type="dxa"/>
            <w:tcBorders>
              <w:top w:val="single" w:color="auto" w:sz="8" w:space="0"/>
              <w:bottom w:val="single" w:color="auto" w:sz="4" w:space="0"/>
            </w:tcBorders>
            <w:tcMar>
              <w:left w:w="28" w:type="dxa"/>
              <w:right w:w="28" w:type="dxa"/>
            </w:tcMar>
            <w:vAlign w:val="center"/>
          </w:tcPr>
          <w:p w14:paraId="3DD03647">
            <w:pPr>
              <w:pStyle w:val="29"/>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本项目</w:t>
            </w:r>
          </w:p>
          <w:p w14:paraId="0E6D0FBE">
            <w:pPr>
              <w:pStyle w:val="29"/>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排放量（固体废物产生量）</w:t>
            </w:r>
            <w:r>
              <w:rPr>
                <w:rFonts w:hint="eastAsia" w:hAnsi="宋体" w:cs="宋体"/>
                <w:snapToGrid w:val="0"/>
                <w:color w:val="000000" w:themeColor="text1"/>
                <w:spacing w:val="-6"/>
                <w:kern w:val="21"/>
                <w:szCs w:val="21"/>
                <w14:textFill>
                  <w14:solidFill>
                    <w14:schemeClr w14:val="tx1"/>
                  </w14:solidFill>
                </w14:textFill>
              </w:rPr>
              <w:t>④</w:t>
            </w:r>
          </w:p>
        </w:tc>
        <w:tc>
          <w:tcPr>
            <w:tcW w:w="1559" w:type="dxa"/>
            <w:tcBorders>
              <w:top w:val="single" w:color="auto" w:sz="8" w:space="0"/>
              <w:bottom w:val="single" w:color="auto" w:sz="4" w:space="0"/>
            </w:tcBorders>
            <w:tcMar>
              <w:left w:w="28" w:type="dxa"/>
              <w:right w:w="28" w:type="dxa"/>
            </w:tcMar>
            <w:vAlign w:val="center"/>
          </w:tcPr>
          <w:p w14:paraId="68D89A2B">
            <w:pPr>
              <w:pStyle w:val="29"/>
              <w:spacing w:beforeLines="0" w:afterLines="0" w:line="240" w:lineRule="auto"/>
              <w:rPr>
                <w:rFonts w:ascii="Times New Roman" w:eastAsia="黑体"/>
                <w:snapToGrid w:val="0"/>
                <w:color w:val="000000" w:themeColor="text1"/>
                <w:spacing w:val="-16"/>
                <w:kern w:val="21"/>
                <w:szCs w:val="21"/>
                <w14:textFill>
                  <w14:solidFill>
                    <w14:schemeClr w14:val="tx1"/>
                  </w14:solidFill>
                </w14:textFill>
              </w:rPr>
            </w:pPr>
            <w:r>
              <w:rPr>
                <w:rFonts w:ascii="Times New Roman" w:eastAsia="黑体"/>
                <w:snapToGrid w:val="0"/>
                <w:color w:val="000000" w:themeColor="text1"/>
                <w:spacing w:val="-16"/>
                <w:kern w:val="21"/>
                <w:szCs w:val="21"/>
                <w14:textFill>
                  <w14:solidFill>
                    <w14:schemeClr w14:val="tx1"/>
                  </w14:solidFill>
                </w14:textFill>
              </w:rPr>
              <w:t>以新带老削减量</w:t>
            </w:r>
          </w:p>
          <w:p w14:paraId="33840190">
            <w:pPr>
              <w:pStyle w:val="29"/>
              <w:spacing w:beforeLines="0" w:afterLines="0" w:line="240" w:lineRule="auto"/>
              <w:rPr>
                <w:rFonts w:ascii="Times New Roman" w:eastAsia="黑体"/>
                <w:snapToGrid w:val="0"/>
                <w:color w:val="000000" w:themeColor="text1"/>
                <w:spacing w:val="-16"/>
                <w:kern w:val="21"/>
                <w:szCs w:val="21"/>
                <w14:textFill>
                  <w14:solidFill>
                    <w14:schemeClr w14:val="tx1"/>
                  </w14:solidFill>
                </w14:textFill>
              </w:rPr>
            </w:pPr>
            <w:r>
              <w:rPr>
                <w:rFonts w:ascii="Times New Roman" w:eastAsia="黑体"/>
                <w:snapToGrid w:val="0"/>
                <w:color w:val="000000" w:themeColor="text1"/>
                <w:spacing w:val="-16"/>
                <w:kern w:val="21"/>
                <w:szCs w:val="21"/>
                <w14:textFill>
                  <w14:solidFill>
                    <w14:schemeClr w14:val="tx1"/>
                  </w14:solidFill>
                </w14:textFill>
              </w:rPr>
              <w:t>（新建项目不填）</w:t>
            </w:r>
            <w:r>
              <w:rPr>
                <w:rFonts w:hint="eastAsia" w:hAnsi="宋体" w:cs="宋体"/>
                <w:snapToGrid w:val="0"/>
                <w:color w:val="000000" w:themeColor="text1"/>
                <w:spacing w:val="-16"/>
                <w:kern w:val="21"/>
                <w:szCs w:val="21"/>
                <w14:textFill>
                  <w14:solidFill>
                    <w14:schemeClr w14:val="tx1"/>
                  </w14:solidFill>
                </w14:textFill>
              </w:rPr>
              <w:t>⑤</w:t>
            </w:r>
          </w:p>
        </w:tc>
        <w:tc>
          <w:tcPr>
            <w:tcW w:w="1701" w:type="dxa"/>
            <w:tcBorders>
              <w:top w:val="single" w:color="auto" w:sz="8" w:space="0"/>
              <w:bottom w:val="single" w:color="auto" w:sz="4" w:space="0"/>
            </w:tcBorders>
            <w:tcMar>
              <w:left w:w="28" w:type="dxa"/>
              <w:right w:w="28" w:type="dxa"/>
            </w:tcMar>
            <w:vAlign w:val="center"/>
          </w:tcPr>
          <w:p w14:paraId="109FD8CF">
            <w:pPr>
              <w:pStyle w:val="29"/>
              <w:spacing w:beforeLines="0" w:afterLines="0" w:line="240" w:lineRule="auto"/>
              <w:rPr>
                <w:rFonts w:ascii="Times New Roman" w:eastAsia="黑体"/>
                <w:snapToGrid w:val="0"/>
                <w:color w:val="000000" w:themeColor="text1"/>
                <w:spacing w:val="-16"/>
                <w:kern w:val="21"/>
                <w:szCs w:val="21"/>
                <w14:textFill>
                  <w14:solidFill>
                    <w14:schemeClr w14:val="tx1"/>
                  </w14:solidFill>
                </w14:textFill>
              </w:rPr>
            </w:pPr>
            <w:r>
              <w:rPr>
                <w:rFonts w:ascii="Times New Roman" w:eastAsia="黑体"/>
                <w:snapToGrid w:val="0"/>
                <w:color w:val="000000" w:themeColor="text1"/>
                <w:spacing w:val="-16"/>
                <w:kern w:val="21"/>
                <w:szCs w:val="21"/>
                <w14:textFill>
                  <w14:solidFill>
                    <w14:schemeClr w14:val="tx1"/>
                  </w14:solidFill>
                </w14:textFill>
              </w:rPr>
              <w:t>本项目建成后</w:t>
            </w:r>
          </w:p>
          <w:p w14:paraId="6E2FB858">
            <w:pPr>
              <w:pStyle w:val="29"/>
              <w:spacing w:beforeLines="0" w:afterLines="0" w:line="240" w:lineRule="auto"/>
              <w:rPr>
                <w:rFonts w:ascii="Times New Roman" w:eastAsia="黑体"/>
                <w:snapToGrid w:val="0"/>
                <w:color w:val="000000" w:themeColor="text1"/>
                <w:spacing w:val="-16"/>
                <w:kern w:val="21"/>
                <w:szCs w:val="21"/>
                <w14:textFill>
                  <w14:solidFill>
                    <w14:schemeClr w14:val="tx1"/>
                  </w14:solidFill>
                </w14:textFill>
              </w:rPr>
            </w:pPr>
            <w:r>
              <w:rPr>
                <w:rFonts w:ascii="Times New Roman" w:eastAsia="黑体"/>
                <w:snapToGrid w:val="0"/>
                <w:color w:val="000000" w:themeColor="text1"/>
                <w:spacing w:val="-16"/>
                <w:kern w:val="21"/>
                <w:szCs w:val="21"/>
                <w14:textFill>
                  <w14:solidFill>
                    <w14:schemeClr w14:val="tx1"/>
                  </w14:solidFill>
                </w14:textFill>
              </w:rPr>
              <w:t>全厂排放量（固体废物产生量）</w:t>
            </w:r>
            <w:r>
              <w:rPr>
                <w:rFonts w:hint="eastAsia" w:hAnsi="宋体" w:cs="宋体"/>
                <w:snapToGrid w:val="0"/>
                <w:color w:val="000000" w:themeColor="text1"/>
                <w:spacing w:val="-16"/>
                <w:kern w:val="21"/>
                <w:szCs w:val="21"/>
                <w14:textFill>
                  <w14:solidFill>
                    <w14:schemeClr w14:val="tx1"/>
                  </w14:solidFill>
                </w14:textFill>
              </w:rPr>
              <w:t>⑥</w:t>
            </w:r>
          </w:p>
        </w:tc>
        <w:tc>
          <w:tcPr>
            <w:tcW w:w="1711" w:type="dxa"/>
            <w:tcBorders>
              <w:top w:val="single" w:color="auto" w:sz="8" w:space="0"/>
              <w:bottom w:val="single" w:color="auto" w:sz="4" w:space="0"/>
            </w:tcBorders>
            <w:tcMar>
              <w:left w:w="28" w:type="dxa"/>
              <w:right w:w="28" w:type="dxa"/>
            </w:tcMar>
            <w:vAlign w:val="center"/>
          </w:tcPr>
          <w:p w14:paraId="5508A83E">
            <w:pPr>
              <w:pStyle w:val="29"/>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变化量</w:t>
            </w:r>
          </w:p>
          <w:p w14:paraId="037B3F80">
            <w:pPr>
              <w:pStyle w:val="29"/>
              <w:spacing w:beforeLines="0" w:afterLines="0" w:line="240" w:lineRule="auto"/>
              <w:rPr>
                <w:rFonts w:hAnsi="宋体"/>
                <w:snapToGrid w:val="0"/>
                <w:color w:val="000000" w:themeColor="text1"/>
                <w:spacing w:val="-6"/>
                <w:kern w:val="21"/>
                <w:szCs w:val="21"/>
                <w14:textFill>
                  <w14:solidFill>
                    <w14:schemeClr w14:val="tx1"/>
                  </w14:solidFill>
                </w14:textFill>
              </w:rPr>
            </w:pPr>
            <w:r>
              <w:rPr>
                <w:rFonts w:hint="eastAsia" w:hAnsi="宋体" w:cs="宋体"/>
                <w:snapToGrid w:val="0"/>
                <w:color w:val="000000" w:themeColor="text1"/>
                <w:spacing w:val="-6"/>
                <w:kern w:val="21"/>
                <w:szCs w:val="21"/>
                <w14:textFill>
                  <w14:solidFill>
                    <w14:schemeClr w14:val="tx1"/>
                  </w14:solidFill>
                </w14:textFill>
              </w:rPr>
              <w:t>⑦</w:t>
            </w:r>
          </w:p>
        </w:tc>
      </w:tr>
      <w:tr w14:paraId="3D0C98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266" w:type="dxa"/>
            <w:vMerge w:val="restart"/>
            <w:tcBorders>
              <w:top w:val="single" w:color="auto" w:sz="4" w:space="0"/>
            </w:tcBorders>
            <w:vAlign w:val="center"/>
          </w:tcPr>
          <w:p w14:paraId="386AB30C">
            <w:pPr>
              <w:pStyle w:val="29"/>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废气</w:t>
            </w:r>
          </w:p>
        </w:tc>
        <w:tc>
          <w:tcPr>
            <w:tcW w:w="1701" w:type="dxa"/>
            <w:tcBorders>
              <w:top w:val="single" w:color="auto" w:sz="4" w:space="0"/>
              <w:bottom w:val="single" w:color="auto" w:sz="4" w:space="0"/>
            </w:tcBorders>
            <w:vAlign w:val="center"/>
          </w:tcPr>
          <w:p w14:paraId="000995D9">
            <w:pPr>
              <w:pStyle w:val="29"/>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颗粒物</w:t>
            </w:r>
          </w:p>
        </w:tc>
        <w:tc>
          <w:tcPr>
            <w:tcW w:w="1456" w:type="dxa"/>
            <w:tcBorders>
              <w:top w:val="single" w:color="auto" w:sz="4" w:space="0"/>
              <w:bottom w:val="single" w:color="auto" w:sz="4" w:space="0"/>
            </w:tcBorders>
            <w:vAlign w:val="center"/>
          </w:tcPr>
          <w:p w14:paraId="6278E724">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hint="eastAsia" w:ascii="Times New Roman"/>
                <w:szCs w:val="24"/>
              </w:rPr>
              <w:t>0.0047</w:t>
            </w:r>
          </w:p>
        </w:tc>
        <w:tc>
          <w:tcPr>
            <w:tcW w:w="1379" w:type="dxa"/>
            <w:tcBorders>
              <w:top w:val="single" w:color="auto" w:sz="4" w:space="0"/>
              <w:bottom w:val="single" w:color="auto" w:sz="4" w:space="0"/>
            </w:tcBorders>
            <w:vAlign w:val="center"/>
          </w:tcPr>
          <w:p w14:paraId="224560E1">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ascii="Times New Roman"/>
                <w:snapToGrid w:val="0"/>
                <w:color w:val="000000" w:themeColor="text1"/>
                <w:kern w:val="21"/>
                <w:szCs w:val="24"/>
                <w14:textFill>
                  <w14:solidFill>
                    <w14:schemeClr w14:val="tx1"/>
                  </w14:solidFill>
                </w14:textFill>
              </w:rPr>
              <w:t>/</w:t>
            </w:r>
          </w:p>
        </w:tc>
        <w:tc>
          <w:tcPr>
            <w:tcW w:w="1456" w:type="dxa"/>
            <w:tcBorders>
              <w:top w:val="single" w:color="auto" w:sz="4" w:space="0"/>
              <w:bottom w:val="single" w:color="auto" w:sz="4" w:space="0"/>
            </w:tcBorders>
            <w:vAlign w:val="center"/>
          </w:tcPr>
          <w:p w14:paraId="00A7351C">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ascii="Times New Roman"/>
                <w:snapToGrid w:val="0"/>
                <w:color w:val="000000" w:themeColor="text1"/>
                <w:kern w:val="21"/>
                <w:szCs w:val="24"/>
                <w14:textFill>
                  <w14:solidFill>
                    <w14:schemeClr w14:val="tx1"/>
                  </w14:solidFill>
                </w14:textFill>
              </w:rPr>
              <w:t>/</w:t>
            </w:r>
          </w:p>
        </w:tc>
        <w:tc>
          <w:tcPr>
            <w:tcW w:w="1559" w:type="dxa"/>
            <w:tcBorders>
              <w:top w:val="single" w:color="auto" w:sz="4" w:space="0"/>
              <w:bottom w:val="single" w:color="auto" w:sz="4" w:space="0"/>
            </w:tcBorders>
            <w:vAlign w:val="center"/>
          </w:tcPr>
          <w:p w14:paraId="17818723">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hint="eastAsia" w:ascii="Times New Roman"/>
                <w:szCs w:val="24"/>
              </w:rPr>
              <w:t>0.0047</w:t>
            </w:r>
          </w:p>
        </w:tc>
        <w:tc>
          <w:tcPr>
            <w:tcW w:w="1559" w:type="dxa"/>
            <w:tcBorders>
              <w:top w:val="single" w:color="auto" w:sz="4" w:space="0"/>
              <w:bottom w:val="single" w:color="auto" w:sz="4" w:space="0"/>
            </w:tcBorders>
            <w:vAlign w:val="center"/>
          </w:tcPr>
          <w:p w14:paraId="3206D1F8">
            <w:pPr>
              <w:pStyle w:val="29"/>
              <w:spacing w:beforeLines="0" w:afterLines="0" w:line="240" w:lineRule="auto"/>
              <w:rPr>
                <w:rFonts w:ascii="Times New Roman"/>
                <w:snapToGrid w:val="0"/>
                <w:color w:val="000000" w:themeColor="text1"/>
                <w:kern w:val="21"/>
                <w:szCs w:val="24"/>
                <w:highlight w:val="none"/>
                <w14:textFill>
                  <w14:solidFill>
                    <w14:schemeClr w14:val="tx1"/>
                  </w14:solidFill>
                </w14:textFill>
              </w:rPr>
            </w:pPr>
            <w:r>
              <w:rPr>
                <w:rFonts w:hint="eastAsia" w:ascii="Times New Roman"/>
                <w:szCs w:val="24"/>
                <w:highlight w:val="none"/>
              </w:rPr>
              <w:t>0.0047</w:t>
            </w:r>
          </w:p>
        </w:tc>
        <w:tc>
          <w:tcPr>
            <w:tcW w:w="1701" w:type="dxa"/>
            <w:tcBorders>
              <w:top w:val="single" w:color="auto" w:sz="4" w:space="0"/>
              <w:bottom w:val="single" w:color="auto" w:sz="4" w:space="0"/>
            </w:tcBorders>
            <w:vAlign w:val="center"/>
          </w:tcPr>
          <w:p w14:paraId="487AC37A">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hint="eastAsia" w:ascii="Times New Roman"/>
                <w:szCs w:val="24"/>
              </w:rPr>
              <w:t>0.0047</w:t>
            </w:r>
          </w:p>
        </w:tc>
        <w:tc>
          <w:tcPr>
            <w:tcW w:w="1711" w:type="dxa"/>
            <w:tcBorders>
              <w:top w:val="single" w:color="auto" w:sz="4" w:space="0"/>
              <w:bottom w:val="single" w:color="auto" w:sz="4" w:space="0"/>
            </w:tcBorders>
            <w:vAlign w:val="center"/>
          </w:tcPr>
          <w:p w14:paraId="10BE851C">
            <w:pPr>
              <w:pStyle w:val="29"/>
              <w:spacing w:beforeLines="0" w:afterLines="0" w:line="240" w:lineRule="auto"/>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0</w:t>
            </w:r>
          </w:p>
        </w:tc>
      </w:tr>
      <w:tr w14:paraId="072C72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266" w:type="dxa"/>
            <w:vMerge w:val="continue"/>
            <w:vAlign w:val="center"/>
          </w:tcPr>
          <w:p w14:paraId="7FBE1EEB">
            <w:pPr>
              <w:pStyle w:val="29"/>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701" w:type="dxa"/>
            <w:tcBorders>
              <w:top w:val="single" w:color="auto" w:sz="4" w:space="0"/>
              <w:bottom w:val="single" w:color="auto" w:sz="4" w:space="0"/>
            </w:tcBorders>
            <w:vAlign w:val="center"/>
          </w:tcPr>
          <w:p w14:paraId="02F3021C">
            <w:pPr>
              <w:pStyle w:val="29"/>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zCs w:val="24"/>
              </w:rPr>
              <w:t>SO</w:t>
            </w:r>
            <w:r>
              <w:rPr>
                <w:rFonts w:ascii="Times New Roman"/>
                <w:szCs w:val="24"/>
                <w:vertAlign w:val="subscript"/>
              </w:rPr>
              <w:t>2</w:t>
            </w:r>
          </w:p>
        </w:tc>
        <w:tc>
          <w:tcPr>
            <w:tcW w:w="1456" w:type="dxa"/>
            <w:tcBorders>
              <w:top w:val="single" w:color="auto" w:sz="4" w:space="0"/>
              <w:bottom w:val="single" w:color="auto" w:sz="4" w:space="0"/>
            </w:tcBorders>
            <w:vAlign w:val="center"/>
          </w:tcPr>
          <w:p w14:paraId="4ED0F3F0">
            <w:pPr>
              <w:pStyle w:val="29"/>
              <w:spacing w:beforeLines="0" w:afterLines="0" w:line="240" w:lineRule="auto"/>
              <w:rPr>
                <w:rFonts w:hint="eastAsia" w:ascii="Times New Roman" w:eastAsia="宋体"/>
                <w:snapToGrid w:val="0"/>
                <w:color w:val="000000" w:themeColor="text1"/>
                <w:kern w:val="21"/>
                <w:szCs w:val="24"/>
                <w:lang w:eastAsia="zh-CN"/>
                <w14:textFill>
                  <w14:solidFill>
                    <w14:schemeClr w14:val="tx1"/>
                  </w14:solidFill>
                </w14:textFill>
              </w:rPr>
            </w:pPr>
            <w:r>
              <w:rPr>
                <w:rFonts w:hint="eastAsia" w:ascii="Times New Roman"/>
                <w:szCs w:val="24"/>
                <w:lang w:eastAsia="zh-CN"/>
              </w:rPr>
              <w:t>0.008</w:t>
            </w:r>
          </w:p>
        </w:tc>
        <w:tc>
          <w:tcPr>
            <w:tcW w:w="1379" w:type="dxa"/>
            <w:tcBorders>
              <w:top w:val="single" w:color="auto" w:sz="4" w:space="0"/>
              <w:bottom w:val="single" w:color="auto" w:sz="4" w:space="0"/>
            </w:tcBorders>
            <w:vAlign w:val="center"/>
          </w:tcPr>
          <w:p w14:paraId="70701C0E">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ascii="Times New Roman"/>
                <w:snapToGrid w:val="0"/>
                <w:color w:val="000000" w:themeColor="text1"/>
                <w:kern w:val="21"/>
                <w:szCs w:val="24"/>
                <w14:textFill>
                  <w14:solidFill>
                    <w14:schemeClr w14:val="tx1"/>
                  </w14:solidFill>
                </w14:textFill>
              </w:rPr>
              <w:t>/</w:t>
            </w:r>
          </w:p>
        </w:tc>
        <w:tc>
          <w:tcPr>
            <w:tcW w:w="1456" w:type="dxa"/>
            <w:tcBorders>
              <w:top w:val="single" w:color="auto" w:sz="4" w:space="0"/>
              <w:bottom w:val="single" w:color="auto" w:sz="4" w:space="0"/>
            </w:tcBorders>
            <w:vAlign w:val="center"/>
          </w:tcPr>
          <w:p w14:paraId="7A3AC1F8">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ascii="Times New Roman"/>
                <w:snapToGrid w:val="0"/>
                <w:color w:val="000000" w:themeColor="text1"/>
                <w:kern w:val="21"/>
                <w:szCs w:val="24"/>
                <w14:textFill>
                  <w14:solidFill>
                    <w14:schemeClr w14:val="tx1"/>
                  </w14:solidFill>
                </w14:textFill>
              </w:rPr>
              <w:t>/</w:t>
            </w:r>
          </w:p>
        </w:tc>
        <w:tc>
          <w:tcPr>
            <w:tcW w:w="1559" w:type="dxa"/>
            <w:tcBorders>
              <w:top w:val="single" w:color="auto" w:sz="4" w:space="0"/>
              <w:bottom w:val="single" w:color="auto" w:sz="4" w:space="0"/>
            </w:tcBorders>
            <w:vAlign w:val="center"/>
          </w:tcPr>
          <w:p w14:paraId="37E6FAD5">
            <w:pPr>
              <w:pStyle w:val="29"/>
              <w:spacing w:beforeLines="0" w:afterLines="0" w:line="240" w:lineRule="auto"/>
              <w:rPr>
                <w:rFonts w:hint="eastAsia" w:ascii="Times New Roman" w:eastAsia="宋体"/>
                <w:snapToGrid w:val="0"/>
                <w:color w:val="000000" w:themeColor="text1"/>
                <w:kern w:val="21"/>
                <w:szCs w:val="24"/>
                <w:lang w:eastAsia="zh-CN"/>
                <w14:textFill>
                  <w14:solidFill>
                    <w14:schemeClr w14:val="tx1"/>
                  </w14:solidFill>
                </w14:textFill>
              </w:rPr>
            </w:pPr>
            <w:r>
              <w:rPr>
                <w:rFonts w:hint="eastAsia" w:ascii="Times New Roman"/>
                <w:szCs w:val="24"/>
                <w:lang w:eastAsia="zh-CN"/>
              </w:rPr>
              <w:t>0.008</w:t>
            </w:r>
          </w:p>
        </w:tc>
        <w:tc>
          <w:tcPr>
            <w:tcW w:w="1559" w:type="dxa"/>
            <w:tcBorders>
              <w:top w:val="single" w:color="auto" w:sz="4" w:space="0"/>
              <w:bottom w:val="single" w:color="auto" w:sz="4" w:space="0"/>
            </w:tcBorders>
            <w:vAlign w:val="center"/>
          </w:tcPr>
          <w:p w14:paraId="35CA05F1">
            <w:pPr>
              <w:pStyle w:val="29"/>
              <w:spacing w:beforeLines="0" w:afterLines="0" w:line="240" w:lineRule="auto"/>
              <w:rPr>
                <w:rFonts w:ascii="Times New Roman"/>
                <w:snapToGrid w:val="0"/>
                <w:color w:val="000000" w:themeColor="text1"/>
                <w:kern w:val="21"/>
                <w:szCs w:val="24"/>
                <w:highlight w:val="none"/>
                <w14:textFill>
                  <w14:solidFill>
                    <w14:schemeClr w14:val="tx1"/>
                  </w14:solidFill>
                </w14:textFill>
              </w:rPr>
            </w:pPr>
            <w:r>
              <w:rPr>
                <w:rFonts w:hint="eastAsia" w:ascii="Times New Roman"/>
                <w:szCs w:val="24"/>
                <w:highlight w:val="none"/>
                <w:lang w:eastAsia="zh-CN"/>
              </w:rPr>
              <w:t>0.008</w:t>
            </w:r>
          </w:p>
        </w:tc>
        <w:tc>
          <w:tcPr>
            <w:tcW w:w="1701" w:type="dxa"/>
            <w:tcBorders>
              <w:top w:val="single" w:color="auto" w:sz="4" w:space="0"/>
              <w:bottom w:val="single" w:color="auto" w:sz="4" w:space="0"/>
            </w:tcBorders>
            <w:vAlign w:val="center"/>
          </w:tcPr>
          <w:p w14:paraId="2FD912FB">
            <w:pPr>
              <w:pStyle w:val="29"/>
              <w:spacing w:beforeLines="0" w:afterLines="0" w:line="240" w:lineRule="auto"/>
              <w:rPr>
                <w:rFonts w:hint="eastAsia" w:ascii="Times New Roman" w:eastAsia="宋体"/>
                <w:snapToGrid w:val="0"/>
                <w:color w:val="000000" w:themeColor="text1"/>
                <w:kern w:val="21"/>
                <w:szCs w:val="24"/>
                <w:lang w:eastAsia="zh-CN"/>
                <w14:textFill>
                  <w14:solidFill>
                    <w14:schemeClr w14:val="tx1"/>
                  </w14:solidFill>
                </w14:textFill>
              </w:rPr>
            </w:pPr>
            <w:r>
              <w:rPr>
                <w:rFonts w:hint="eastAsia" w:ascii="Times New Roman"/>
                <w:szCs w:val="24"/>
                <w:lang w:eastAsia="zh-CN"/>
              </w:rPr>
              <w:t>0.008</w:t>
            </w:r>
          </w:p>
        </w:tc>
        <w:tc>
          <w:tcPr>
            <w:tcW w:w="1711" w:type="dxa"/>
            <w:tcBorders>
              <w:top w:val="single" w:color="auto" w:sz="4" w:space="0"/>
              <w:bottom w:val="single" w:color="auto" w:sz="4" w:space="0"/>
            </w:tcBorders>
            <w:vAlign w:val="center"/>
          </w:tcPr>
          <w:p w14:paraId="5BAF9D02">
            <w:pPr>
              <w:pStyle w:val="29"/>
              <w:spacing w:beforeLines="0" w:afterLines="0" w:line="240" w:lineRule="auto"/>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0</w:t>
            </w:r>
          </w:p>
        </w:tc>
      </w:tr>
      <w:tr w14:paraId="12CF42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66" w:type="dxa"/>
            <w:vMerge w:val="continue"/>
            <w:vAlign w:val="center"/>
          </w:tcPr>
          <w:p w14:paraId="0A455032">
            <w:pPr>
              <w:pStyle w:val="29"/>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701" w:type="dxa"/>
            <w:tcBorders>
              <w:top w:val="single" w:color="auto" w:sz="4" w:space="0"/>
              <w:bottom w:val="single" w:color="auto" w:sz="4" w:space="0"/>
            </w:tcBorders>
            <w:vAlign w:val="center"/>
          </w:tcPr>
          <w:p w14:paraId="617E4E26">
            <w:pPr>
              <w:pStyle w:val="29"/>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zCs w:val="24"/>
              </w:rPr>
              <w:t>NOx</w:t>
            </w:r>
          </w:p>
        </w:tc>
        <w:tc>
          <w:tcPr>
            <w:tcW w:w="1456" w:type="dxa"/>
            <w:tcBorders>
              <w:top w:val="single" w:color="auto" w:sz="4" w:space="0"/>
              <w:bottom w:val="single" w:color="auto" w:sz="4" w:space="0"/>
            </w:tcBorders>
            <w:vAlign w:val="center"/>
          </w:tcPr>
          <w:p w14:paraId="43B9E55D">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ascii="Times New Roman"/>
                <w:szCs w:val="24"/>
              </w:rPr>
              <w:t>0.</w:t>
            </w:r>
            <w:r>
              <w:rPr>
                <w:rFonts w:hint="eastAsia" w:ascii="Times New Roman"/>
                <w:szCs w:val="24"/>
              </w:rPr>
              <w:t>072</w:t>
            </w:r>
          </w:p>
        </w:tc>
        <w:tc>
          <w:tcPr>
            <w:tcW w:w="1379" w:type="dxa"/>
            <w:tcBorders>
              <w:top w:val="single" w:color="auto" w:sz="4" w:space="0"/>
              <w:bottom w:val="single" w:color="auto" w:sz="4" w:space="0"/>
            </w:tcBorders>
            <w:vAlign w:val="center"/>
          </w:tcPr>
          <w:p w14:paraId="7C49EC88">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ascii="Times New Roman"/>
                <w:snapToGrid w:val="0"/>
                <w:color w:val="000000" w:themeColor="text1"/>
                <w:kern w:val="21"/>
                <w:szCs w:val="24"/>
                <w14:textFill>
                  <w14:solidFill>
                    <w14:schemeClr w14:val="tx1"/>
                  </w14:solidFill>
                </w14:textFill>
              </w:rPr>
              <w:t>/</w:t>
            </w:r>
          </w:p>
        </w:tc>
        <w:tc>
          <w:tcPr>
            <w:tcW w:w="1456" w:type="dxa"/>
            <w:tcBorders>
              <w:top w:val="single" w:color="auto" w:sz="4" w:space="0"/>
              <w:bottom w:val="single" w:color="auto" w:sz="4" w:space="0"/>
            </w:tcBorders>
            <w:vAlign w:val="center"/>
          </w:tcPr>
          <w:p w14:paraId="249AC00B">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ascii="Times New Roman"/>
                <w:snapToGrid w:val="0"/>
                <w:color w:val="000000" w:themeColor="text1"/>
                <w:kern w:val="21"/>
                <w:szCs w:val="24"/>
                <w14:textFill>
                  <w14:solidFill>
                    <w14:schemeClr w14:val="tx1"/>
                  </w14:solidFill>
                </w14:textFill>
              </w:rPr>
              <w:t>/</w:t>
            </w:r>
          </w:p>
        </w:tc>
        <w:tc>
          <w:tcPr>
            <w:tcW w:w="1559" w:type="dxa"/>
            <w:tcBorders>
              <w:top w:val="single" w:color="auto" w:sz="4" w:space="0"/>
              <w:bottom w:val="single" w:color="auto" w:sz="4" w:space="0"/>
            </w:tcBorders>
            <w:vAlign w:val="center"/>
          </w:tcPr>
          <w:p w14:paraId="2E5A186E">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ascii="Times New Roman"/>
                <w:szCs w:val="24"/>
              </w:rPr>
              <w:t>0.</w:t>
            </w:r>
            <w:r>
              <w:rPr>
                <w:rFonts w:hint="eastAsia" w:ascii="Times New Roman"/>
                <w:szCs w:val="24"/>
              </w:rPr>
              <w:t>072</w:t>
            </w:r>
          </w:p>
        </w:tc>
        <w:tc>
          <w:tcPr>
            <w:tcW w:w="1559" w:type="dxa"/>
            <w:tcBorders>
              <w:top w:val="single" w:color="auto" w:sz="4" w:space="0"/>
              <w:bottom w:val="single" w:color="auto" w:sz="4" w:space="0"/>
            </w:tcBorders>
            <w:vAlign w:val="center"/>
          </w:tcPr>
          <w:p w14:paraId="4647F739">
            <w:pPr>
              <w:pStyle w:val="29"/>
              <w:spacing w:beforeLines="0" w:afterLines="0" w:line="240" w:lineRule="auto"/>
              <w:rPr>
                <w:rFonts w:ascii="Times New Roman"/>
                <w:snapToGrid w:val="0"/>
                <w:color w:val="000000" w:themeColor="text1"/>
                <w:kern w:val="21"/>
                <w:szCs w:val="24"/>
                <w:highlight w:val="none"/>
                <w14:textFill>
                  <w14:solidFill>
                    <w14:schemeClr w14:val="tx1"/>
                  </w14:solidFill>
                </w14:textFill>
              </w:rPr>
            </w:pPr>
            <w:r>
              <w:rPr>
                <w:rFonts w:ascii="Times New Roman"/>
                <w:szCs w:val="24"/>
                <w:highlight w:val="none"/>
              </w:rPr>
              <w:t>0.</w:t>
            </w:r>
            <w:r>
              <w:rPr>
                <w:rFonts w:hint="eastAsia" w:ascii="Times New Roman"/>
                <w:szCs w:val="24"/>
                <w:highlight w:val="none"/>
              </w:rPr>
              <w:t>072</w:t>
            </w:r>
          </w:p>
        </w:tc>
        <w:tc>
          <w:tcPr>
            <w:tcW w:w="1701" w:type="dxa"/>
            <w:tcBorders>
              <w:top w:val="single" w:color="auto" w:sz="4" w:space="0"/>
              <w:bottom w:val="single" w:color="auto" w:sz="4" w:space="0"/>
            </w:tcBorders>
            <w:vAlign w:val="center"/>
          </w:tcPr>
          <w:p w14:paraId="08D2CE26">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ascii="Times New Roman"/>
                <w:szCs w:val="24"/>
              </w:rPr>
              <w:t>0.</w:t>
            </w:r>
            <w:r>
              <w:rPr>
                <w:rFonts w:hint="eastAsia" w:ascii="Times New Roman"/>
                <w:szCs w:val="24"/>
              </w:rPr>
              <w:t>072</w:t>
            </w:r>
          </w:p>
        </w:tc>
        <w:tc>
          <w:tcPr>
            <w:tcW w:w="1711" w:type="dxa"/>
            <w:tcBorders>
              <w:top w:val="single" w:color="auto" w:sz="4" w:space="0"/>
              <w:bottom w:val="single" w:color="auto" w:sz="4" w:space="0"/>
            </w:tcBorders>
            <w:vAlign w:val="center"/>
          </w:tcPr>
          <w:p w14:paraId="36B468C3">
            <w:pPr>
              <w:pStyle w:val="29"/>
              <w:spacing w:beforeLines="0" w:afterLines="0" w:line="240" w:lineRule="auto"/>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0</w:t>
            </w:r>
          </w:p>
        </w:tc>
      </w:tr>
      <w:tr w14:paraId="1BC2C8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266" w:type="dxa"/>
            <w:vMerge w:val="restart"/>
            <w:tcBorders>
              <w:top w:val="single" w:color="auto" w:sz="4" w:space="0"/>
            </w:tcBorders>
            <w:vAlign w:val="center"/>
          </w:tcPr>
          <w:p w14:paraId="0D26F280">
            <w:pPr>
              <w:pStyle w:val="29"/>
              <w:spacing w:before="31" w:after="31"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废水</w:t>
            </w:r>
          </w:p>
        </w:tc>
        <w:tc>
          <w:tcPr>
            <w:tcW w:w="1701" w:type="dxa"/>
            <w:tcBorders>
              <w:top w:val="single" w:color="auto" w:sz="4" w:space="0"/>
              <w:bottom w:val="single" w:color="auto" w:sz="4" w:space="0"/>
            </w:tcBorders>
            <w:vAlign w:val="center"/>
          </w:tcPr>
          <w:p w14:paraId="25499FFD">
            <w:pPr>
              <w:pStyle w:val="29"/>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COD</w:t>
            </w:r>
          </w:p>
        </w:tc>
        <w:tc>
          <w:tcPr>
            <w:tcW w:w="1456" w:type="dxa"/>
            <w:tcBorders>
              <w:top w:val="single" w:color="auto" w:sz="4" w:space="0"/>
              <w:bottom w:val="single" w:color="auto" w:sz="4" w:space="0"/>
            </w:tcBorders>
            <w:vAlign w:val="center"/>
          </w:tcPr>
          <w:p w14:paraId="529A0C18">
            <w:pPr>
              <w:pStyle w:val="29"/>
              <w:spacing w:beforeLines="0" w:afterLines="0" w:line="240" w:lineRule="auto"/>
              <w:rPr>
                <w:rFonts w:hint="eastAsia" w:ascii="Times New Roman" w:eastAsia="宋体"/>
                <w:snapToGrid w:val="0"/>
                <w:color w:val="000000" w:themeColor="text1"/>
                <w:kern w:val="21"/>
                <w:szCs w:val="24"/>
                <w:lang w:eastAsia="zh-CN"/>
                <w14:textFill>
                  <w14:solidFill>
                    <w14:schemeClr w14:val="tx1"/>
                  </w14:solidFill>
                </w14:textFill>
              </w:rPr>
            </w:pPr>
            <w:r>
              <w:rPr>
                <w:rFonts w:hint="eastAsia" w:ascii="Times New Roman"/>
                <w:color w:val="000000" w:themeColor="text1"/>
                <w:lang w:eastAsia="zh-CN"/>
                <w14:textFill>
                  <w14:solidFill>
                    <w14:schemeClr w14:val="tx1"/>
                  </w14:solidFill>
                </w14:textFill>
              </w:rPr>
              <w:t>0.0548</w:t>
            </w:r>
          </w:p>
        </w:tc>
        <w:tc>
          <w:tcPr>
            <w:tcW w:w="1379" w:type="dxa"/>
            <w:tcBorders>
              <w:top w:val="single" w:color="auto" w:sz="4" w:space="0"/>
              <w:bottom w:val="single" w:color="auto" w:sz="4" w:space="0"/>
            </w:tcBorders>
            <w:vAlign w:val="center"/>
          </w:tcPr>
          <w:p w14:paraId="74154DEE">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ascii="Times New Roman"/>
                <w:snapToGrid w:val="0"/>
                <w:color w:val="000000" w:themeColor="text1"/>
                <w:kern w:val="21"/>
                <w:szCs w:val="24"/>
                <w14:textFill>
                  <w14:solidFill>
                    <w14:schemeClr w14:val="tx1"/>
                  </w14:solidFill>
                </w14:textFill>
              </w:rPr>
              <w:t>/</w:t>
            </w:r>
          </w:p>
        </w:tc>
        <w:tc>
          <w:tcPr>
            <w:tcW w:w="1456" w:type="dxa"/>
            <w:tcBorders>
              <w:top w:val="single" w:color="auto" w:sz="4" w:space="0"/>
              <w:bottom w:val="single" w:color="auto" w:sz="4" w:space="0"/>
            </w:tcBorders>
            <w:vAlign w:val="center"/>
          </w:tcPr>
          <w:p w14:paraId="4D45856C">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ascii="Times New Roman"/>
                <w:snapToGrid w:val="0"/>
                <w:color w:val="000000" w:themeColor="text1"/>
                <w:kern w:val="21"/>
                <w:szCs w:val="24"/>
                <w14:textFill>
                  <w14:solidFill>
                    <w14:schemeClr w14:val="tx1"/>
                  </w14:solidFill>
                </w14:textFill>
              </w:rPr>
              <w:t>/</w:t>
            </w:r>
          </w:p>
        </w:tc>
        <w:tc>
          <w:tcPr>
            <w:tcW w:w="1559" w:type="dxa"/>
            <w:tcBorders>
              <w:top w:val="single" w:color="auto" w:sz="4" w:space="0"/>
              <w:bottom w:val="single" w:color="auto" w:sz="4" w:space="0"/>
            </w:tcBorders>
            <w:vAlign w:val="center"/>
          </w:tcPr>
          <w:p w14:paraId="4D5FB144">
            <w:pPr>
              <w:pStyle w:val="29"/>
              <w:spacing w:beforeLines="0" w:afterLines="0" w:line="240" w:lineRule="auto"/>
              <w:rPr>
                <w:rFonts w:hint="eastAsia" w:ascii="Times New Roman" w:eastAsia="宋体"/>
                <w:snapToGrid w:val="0"/>
                <w:color w:val="000000" w:themeColor="text1"/>
                <w:kern w:val="21"/>
                <w:szCs w:val="24"/>
                <w:lang w:eastAsia="zh-CN"/>
                <w14:textFill>
                  <w14:solidFill>
                    <w14:schemeClr w14:val="tx1"/>
                  </w14:solidFill>
                </w14:textFill>
              </w:rPr>
            </w:pPr>
            <w:r>
              <w:rPr>
                <w:rFonts w:hint="eastAsia" w:ascii="Times New Roman"/>
                <w:color w:val="000000" w:themeColor="text1"/>
                <w:szCs w:val="24"/>
                <w:lang w:eastAsia="zh-CN"/>
                <w14:textFill>
                  <w14:solidFill>
                    <w14:schemeClr w14:val="tx1"/>
                  </w14:solidFill>
                </w14:textFill>
              </w:rPr>
              <w:t>0.0546</w:t>
            </w:r>
          </w:p>
        </w:tc>
        <w:tc>
          <w:tcPr>
            <w:tcW w:w="1559" w:type="dxa"/>
            <w:tcBorders>
              <w:top w:val="single" w:color="auto" w:sz="4" w:space="0"/>
              <w:bottom w:val="single" w:color="auto" w:sz="4" w:space="0"/>
            </w:tcBorders>
            <w:vAlign w:val="center"/>
          </w:tcPr>
          <w:p w14:paraId="007EDA29">
            <w:pPr>
              <w:pStyle w:val="29"/>
              <w:spacing w:beforeLines="0" w:afterLines="0" w:line="240" w:lineRule="auto"/>
              <w:rPr>
                <w:rFonts w:ascii="Times New Roman"/>
                <w:snapToGrid w:val="0"/>
                <w:color w:val="000000" w:themeColor="text1"/>
                <w:kern w:val="21"/>
                <w:szCs w:val="24"/>
                <w:highlight w:val="none"/>
                <w14:textFill>
                  <w14:solidFill>
                    <w14:schemeClr w14:val="tx1"/>
                  </w14:solidFill>
                </w14:textFill>
              </w:rPr>
            </w:pPr>
            <w:r>
              <w:rPr>
                <w:rFonts w:hint="eastAsia" w:ascii="Times New Roman"/>
                <w:color w:val="000000" w:themeColor="text1"/>
                <w:highlight w:val="none"/>
                <w:lang w:eastAsia="zh-CN"/>
                <w14:textFill>
                  <w14:solidFill>
                    <w14:schemeClr w14:val="tx1"/>
                  </w14:solidFill>
                </w14:textFill>
              </w:rPr>
              <w:t>0.0548</w:t>
            </w:r>
          </w:p>
        </w:tc>
        <w:tc>
          <w:tcPr>
            <w:tcW w:w="1701" w:type="dxa"/>
            <w:tcBorders>
              <w:top w:val="single" w:color="auto" w:sz="4" w:space="0"/>
              <w:bottom w:val="single" w:color="auto" w:sz="4" w:space="0"/>
            </w:tcBorders>
            <w:vAlign w:val="center"/>
          </w:tcPr>
          <w:p w14:paraId="03099424">
            <w:pPr>
              <w:pStyle w:val="29"/>
              <w:spacing w:beforeLines="0" w:afterLines="0" w:line="240" w:lineRule="auto"/>
              <w:rPr>
                <w:rFonts w:hint="eastAsia" w:ascii="Times New Roman" w:eastAsia="宋体"/>
                <w:snapToGrid w:val="0"/>
                <w:color w:val="000000" w:themeColor="text1"/>
                <w:kern w:val="21"/>
                <w:szCs w:val="24"/>
                <w:lang w:eastAsia="zh-CN"/>
                <w14:textFill>
                  <w14:solidFill>
                    <w14:schemeClr w14:val="tx1"/>
                  </w14:solidFill>
                </w14:textFill>
              </w:rPr>
            </w:pPr>
            <w:r>
              <w:rPr>
                <w:rFonts w:hint="eastAsia" w:ascii="Times New Roman"/>
                <w:color w:val="000000" w:themeColor="text1"/>
                <w:szCs w:val="24"/>
                <w:lang w:eastAsia="zh-CN"/>
                <w14:textFill>
                  <w14:solidFill>
                    <w14:schemeClr w14:val="tx1"/>
                  </w14:solidFill>
                </w14:textFill>
              </w:rPr>
              <w:t>0.0546</w:t>
            </w:r>
          </w:p>
        </w:tc>
        <w:tc>
          <w:tcPr>
            <w:tcW w:w="1711" w:type="dxa"/>
            <w:tcBorders>
              <w:top w:val="single" w:color="auto" w:sz="4" w:space="0"/>
              <w:bottom w:val="single" w:color="auto" w:sz="4" w:space="0"/>
            </w:tcBorders>
            <w:vAlign w:val="center"/>
          </w:tcPr>
          <w:p w14:paraId="41462375">
            <w:pPr>
              <w:pStyle w:val="29"/>
              <w:spacing w:beforeLines="0" w:afterLines="0" w:line="240" w:lineRule="auto"/>
              <w:rPr>
                <w:rFonts w:hint="default" w:ascii="Times New Roman" w:eastAsia="宋体"/>
                <w:color w:val="000000" w:themeColor="text1"/>
                <w:szCs w:val="24"/>
                <w:lang w:val="en-US" w:eastAsia="zh-CN"/>
                <w14:textFill>
                  <w14:solidFill>
                    <w14:schemeClr w14:val="tx1"/>
                  </w14:solidFill>
                </w14:textFill>
              </w:rPr>
            </w:pPr>
            <w:r>
              <w:rPr>
                <w:rFonts w:hint="eastAsia" w:ascii="Times New Roman"/>
                <w:color w:val="000000" w:themeColor="text1"/>
                <w:szCs w:val="24"/>
                <w:highlight w:val="none"/>
                <w:lang w:eastAsia="zh-CN"/>
                <w14:textFill>
                  <w14:solidFill>
                    <w14:schemeClr w14:val="tx1"/>
                  </w14:solidFill>
                </w14:textFill>
              </w:rPr>
              <w:t>-0.00</w:t>
            </w:r>
            <w:r>
              <w:rPr>
                <w:rFonts w:hint="eastAsia" w:ascii="Times New Roman"/>
                <w:color w:val="000000" w:themeColor="text1"/>
                <w:szCs w:val="24"/>
                <w:highlight w:val="none"/>
                <w:lang w:val="en-US" w:eastAsia="zh-CN"/>
                <w14:textFill>
                  <w14:solidFill>
                    <w14:schemeClr w14:val="tx1"/>
                  </w14:solidFill>
                </w14:textFill>
              </w:rPr>
              <w:t>02</w:t>
            </w:r>
          </w:p>
        </w:tc>
      </w:tr>
      <w:tr w14:paraId="479B41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266" w:type="dxa"/>
            <w:vMerge w:val="continue"/>
            <w:vAlign w:val="center"/>
          </w:tcPr>
          <w:p w14:paraId="385B8A67">
            <w:pPr>
              <w:pStyle w:val="29"/>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701" w:type="dxa"/>
            <w:tcBorders>
              <w:top w:val="single" w:color="auto" w:sz="4" w:space="0"/>
              <w:bottom w:val="single" w:color="auto" w:sz="4" w:space="0"/>
            </w:tcBorders>
            <w:vAlign w:val="center"/>
          </w:tcPr>
          <w:p w14:paraId="34D593B5">
            <w:pPr>
              <w:pStyle w:val="29"/>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NH</w:t>
            </w:r>
            <w:r>
              <w:rPr>
                <w:rFonts w:ascii="Times New Roman"/>
                <w:snapToGrid w:val="0"/>
                <w:color w:val="000000" w:themeColor="text1"/>
                <w:kern w:val="21"/>
                <w:szCs w:val="21"/>
                <w:vertAlign w:val="subscript"/>
                <w14:textFill>
                  <w14:solidFill>
                    <w14:schemeClr w14:val="tx1"/>
                  </w14:solidFill>
                </w14:textFill>
              </w:rPr>
              <w:t>3</w:t>
            </w:r>
            <w:r>
              <w:rPr>
                <w:rFonts w:hint="eastAsia" w:ascii="Times New Roman"/>
                <w:snapToGrid w:val="0"/>
                <w:color w:val="000000" w:themeColor="text1"/>
                <w:kern w:val="21"/>
                <w:szCs w:val="21"/>
                <w14:textFill>
                  <w14:solidFill>
                    <w14:schemeClr w14:val="tx1"/>
                  </w14:solidFill>
                </w14:textFill>
              </w:rPr>
              <w:t>-</w:t>
            </w:r>
            <w:r>
              <w:rPr>
                <w:rFonts w:ascii="Times New Roman"/>
                <w:snapToGrid w:val="0"/>
                <w:color w:val="000000" w:themeColor="text1"/>
                <w:kern w:val="21"/>
                <w:szCs w:val="21"/>
                <w14:textFill>
                  <w14:solidFill>
                    <w14:schemeClr w14:val="tx1"/>
                  </w14:solidFill>
                </w14:textFill>
              </w:rPr>
              <w:t>N</w:t>
            </w:r>
          </w:p>
        </w:tc>
        <w:tc>
          <w:tcPr>
            <w:tcW w:w="1456" w:type="dxa"/>
            <w:tcBorders>
              <w:top w:val="single" w:color="auto" w:sz="4" w:space="0"/>
              <w:bottom w:val="single" w:color="auto" w:sz="4" w:space="0"/>
            </w:tcBorders>
            <w:vAlign w:val="center"/>
          </w:tcPr>
          <w:p w14:paraId="152654F5">
            <w:pPr>
              <w:pStyle w:val="29"/>
              <w:spacing w:beforeLines="0" w:afterLines="0" w:line="240" w:lineRule="auto"/>
              <w:rPr>
                <w:rFonts w:hint="eastAsia" w:ascii="Times New Roman" w:eastAsia="宋体"/>
                <w:snapToGrid w:val="0"/>
                <w:color w:val="000000" w:themeColor="text1"/>
                <w:kern w:val="21"/>
                <w:szCs w:val="24"/>
                <w:lang w:eastAsia="zh-CN"/>
                <w14:textFill>
                  <w14:solidFill>
                    <w14:schemeClr w14:val="tx1"/>
                  </w14:solidFill>
                </w14:textFill>
              </w:rPr>
            </w:pPr>
            <w:r>
              <w:rPr>
                <w:rFonts w:hint="eastAsia" w:ascii="Times New Roman"/>
                <w:color w:val="000000" w:themeColor="text1"/>
                <w:lang w:eastAsia="zh-CN"/>
                <w14:textFill>
                  <w14:solidFill>
                    <w14:schemeClr w14:val="tx1"/>
                  </w14:solidFill>
                </w14:textFill>
              </w:rPr>
              <w:t>0.0003</w:t>
            </w:r>
          </w:p>
        </w:tc>
        <w:tc>
          <w:tcPr>
            <w:tcW w:w="1379" w:type="dxa"/>
            <w:tcBorders>
              <w:top w:val="single" w:color="auto" w:sz="4" w:space="0"/>
              <w:bottom w:val="single" w:color="auto" w:sz="4" w:space="0"/>
            </w:tcBorders>
            <w:vAlign w:val="center"/>
          </w:tcPr>
          <w:p w14:paraId="5D9E25E1">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ascii="Times New Roman"/>
                <w:snapToGrid w:val="0"/>
                <w:color w:val="000000" w:themeColor="text1"/>
                <w:kern w:val="21"/>
                <w:szCs w:val="24"/>
                <w14:textFill>
                  <w14:solidFill>
                    <w14:schemeClr w14:val="tx1"/>
                  </w14:solidFill>
                </w14:textFill>
              </w:rPr>
              <w:t>/</w:t>
            </w:r>
          </w:p>
        </w:tc>
        <w:tc>
          <w:tcPr>
            <w:tcW w:w="1456" w:type="dxa"/>
            <w:tcBorders>
              <w:top w:val="single" w:color="auto" w:sz="4" w:space="0"/>
              <w:bottom w:val="single" w:color="auto" w:sz="4" w:space="0"/>
            </w:tcBorders>
            <w:vAlign w:val="center"/>
          </w:tcPr>
          <w:p w14:paraId="7083CFC1">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ascii="Times New Roman"/>
                <w:snapToGrid w:val="0"/>
                <w:color w:val="000000" w:themeColor="text1"/>
                <w:kern w:val="21"/>
                <w:szCs w:val="24"/>
                <w14:textFill>
                  <w14:solidFill>
                    <w14:schemeClr w14:val="tx1"/>
                  </w14:solidFill>
                </w14:textFill>
              </w:rPr>
              <w:t>/</w:t>
            </w:r>
          </w:p>
        </w:tc>
        <w:tc>
          <w:tcPr>
            <w:tcW w:w="1559" w:type="dxa"/>
            <w:tcBorders>
              <w:top w:val="single" w:color="auto" w:sz="4" w:space="0"/>
              <w:bottom w:val="single" w:color="auto" w:sz="4" w:space="0"/>
            </w:tcBorders>
            <w:vAlign w:val="center"/>
          </w:tcPr>
          <w:p w14:paraId="1F0CDD27">
            <w:pPr>
              <w:pStyle w:val="29"/>
              <w:spacing w:beforeLines="0" w:afterLines="0" w:line="240" w:lineRule="auto"/>
              <w:rPr>
                <w:rFonts w:hint="eastAsia" w:ascii="Times New Roman" w:eastAsia="宋体"/>
                <w:snapToGrid w:val="0"/>
                <w:color w:val="000000" w:themeColor="text1"/>
                <w:kern w:val="21"/>
                <w:szCs w:val="24"/>
                <w:lang w:eastAsia="zh-CN"/>
                <w14:textFill>
                  <w14:solidFill>
                    <w14:schemeClr w14:val="tx1"/>
                  </w14:solidFill>
                </w14:textFill>
              </w:rPr>
            </w:pPr>
            <w:r>
              <w:rPr>
                <w:rFonts w:hint="eastAsia" w:ascii="Times New Roman"/>
                <w:color w:val="000000" w:themeColor="text1"/>
                <w:szCs w:val="24"/>
                <w:lang w:eastAsia="zh-CN"/>
                <w14:textFill>
                  <w14:solidFill>
                    <w14:schemeClr w14:val="tx1"/>
                  </w14:solidFill>
                </w14:textFill>
              </w:rPr>
              <w:t>0.0003</w:t>
            </w:r>
          </w:p>
        </w:tc>
        <w:tc>
          <w:tcPr>
            <w:tcW w:w="1559" w:type="dxa"/>
            <w:tcBorders>
              <w:top w:val="single" w:color="auto" w:sz="4" w:space="0"/>
              <w:bottom w:val="single" w:color="auto" w:sz="4" w:space="0"/>
            </w:tcBorders>
            <w:vAlign w:val="center"/>
          </w:tcPr>
          <w:p w14:paraId="4880B782">
            <w:pPr>
              <w:pStyle w:val="29"/>
              <w:spacing w:beforeLines="0" w:afterLines="0" w:line="240" w:lineRule="auto"/>
              <w:rPr>
                <w:rFonts w:ascii="Times New Roman"/>
                <w:snapToGrid w:val="0"/>
                <w:color w:val="000000" w:themeColor="text1"/>
                <w:kern w:val="21"/>
                <w:szCs w:val="24"/>
                <w:highlight w:val="none"/>
                <w14:textFill>
                  <w14:solidFill>
                    <w14:schemeClr w14:val="tx1"/>
                  </w14:solidFill>
                </w14:textFill>
              </w:rPr>
            </w:pPr>
            <w:r>
              <w:rPr>
                <w:rFonts w:hint="eastAsia" w:ascii="Times New Roman"/>
                <w:color w:val="000000" w:themeColor="text1"/>
                <w:highlight w:val="none"/>
                <w:lang w:eastAsia="zh-CN"/>
                <w14:textFill>
                  <w14:solidFill>
                    <w14:schemeClr w14:val="tx1"/>
                  </w14:solidFill>
                </w14:textFill>
              </w:rPr>
              <w:t>0.0003</w:t>
            </w:r>
          </w:p>
        </w:tc>
        <w:tc>
          <w:tcPr>
            <w:tcW w:w="1701" w:type="dxa"/>
            <w:tcBorders>
              <w:top w:val="single" w:color="auto" w:sz="4" w:space="0"/>
              <w:bottom w:val="single" w:color="auto" w:sz="4" w:space="0"/>
            </w:tcBorders>
            <w:vAlign w:val="center"/>
          </w:tcPr>
          <w:p w14:paraId="569C15D9">
            <w:pPr>
              <w:pStyle w:val="29"/>
              <w:spacing w:beforeLines="0" w:afterLines="0" w:line="240" w:lineRule="auto"/>
              <w:rPr>
                <w:rFonts w:hint="eastAsia" w:ascii="Times New Roman" w:eastAsia="宋体"/>
                <w:snapToGrid w:val="0"/>
                <w:color w:val="000000" w:themeColor="text1"/>
                <w:kern w:val="21"/>
                <w:szCs w:val="24"/>
                <w:lang w:eastAsia="zh-CN"/>
                <w14:textFill>
                  <w14:solidFill>
                    <w14:schemeClr w14:val="tx1"/>
                  </w14:solidFill>
                </w14:textFill>
              </w:rPr>
            </w:pPr>
            <w:r>
              <w:rPr>
                <w:rFonts w:hint="eastAsia" w:ascii="Times New Roman"/>
                <w:color w:val="000000" w:themeColor="text1"/>
                <w:szCs w:val="24"/>
                <w:lang w:eastAsia="zh-CN"/>
                <w14:textFill>
                  <w14:solidFill>
                    <w14:schemeClr w14:val="tx1"/>
                  </w14:solidFill>
                </w14:textFill>
              </w:rPr>
              <w:t>0.0003</w:t>
            </w:r>
          </w:p>
        </w:tc>
        <w:tc>
          <w:tcPr>
            <w:tcW w:w="1711" w:type="dxa"/>
            <w:tcBorders>
              <w:top w:val="single" w:color="auto" w:sz="4" w:space="0"/>
              <w:bottom w:val="single" w:color="auto" w:sz="4" w:space="0"/>
            </w:tcBorders>
            <w:vAlign w:val="center"/>
          </w:tcPr>
          <w:p w14:paraId="74B21CB3">
            <w:pPr>
              <w:pStyle w:val="29"/>
              <w:spacing w:beforeLines="0" w:afterLines="0" w:line="240" w:lineRule="auto"/>
              <w:rPr>
                <w:rFonts w:hint="default" w:ascii="Times New Roman"/>
                <w:color w:val="000000" w:themeColor="text1"/>
                <w:szCs w:val="24"/>
                <w:lang w:val="en-US"/>
                <w14:textFill>
                  <w14:solidFill>
                    <w14:schemeClr w14:val="tx1"/>
                  </w14:solidFill>
                </w14:textFill>
              </w:rPr>
            </w:pPr>
            <w:r>
              <w:rPr>
                <w:rFonts w:hint="eastAsia" w:ascii="Times New Roman"/>
                <w:color w:val="000000" w:themeColor="text1"/>
                <w:szCs w:val="24"/>
                <w:lang w:eastAsia="zh-CN"/>
                <w14:textFill>
                  <w14:solidFill>
                    <w14:schemeClr w14:val="tx1"/>
                  </w14:solidFill>
                </w14:textFill>
              </w:rPr>
              <w:t>0</w:t>
            </w:r>
          </w:p>
        </w:tc>
      </w:tr>
      <w:tr w14:paraId="55EB49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266" w:type="dxa"/>
            <w:vMerge w:val="continue"/>
            <w:vAlign w:val="center"/>
          </w:tcPr>
          <w:p w14:paraId="0DA837D4">
            <w:pPr>
              <w:pStyle w:val="29"/>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701" w:type="dxa"/>
            <w:tcBorders>
              <w:top w:val="single" w:color="auto" w:sz="4" w:space="0"/>
              <w:bottom w:val="single" w:color="auto" w:sz="4" w:space="0"/>
            </w:tcBorders>
            <w:vAlign w:val="center"/>
          </w:tcPr>
          <w:p w14:paraId="2BAF6F84">
            <w:pPr>
              <w:pStyle w:val="29"/>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TP</w:t>
            </w:r>
          </w:p>
        </w:tc>
        <w:tc>
          <w:tcPr>
            <w:tcW w:w="1456" w:type="dxa"/>
            <w:tcBorders>
              <w:top w:val="single" w:color="auto" w:sz="4" w:space="0"/>
              <w:bottom w:val="single" w:color="auto" w:sz="4" w:space="0"/>
            </w:tcBorders>
            <w:vAlign w:val="center"/>
          </w:tcPr>
          <w:p w14:paraId="411EDA7E">
            <w:pPr>
              <w:pStyle w:val="29"/>
              <w:spacing w:beforeLines="0" w:afterLines="0" w:line="240" w:lineRule="auto"/>
              <w:rPr>
                <w:rFonts w:hint="eastAsia" w:ascii="Times New Roman" w:eastAsia="宋体"/>
                <w:snapToGrid w:val="0"/>
                <w:color w:val="000000" w:themeColor="text1"/>
                <w:kern w:val="21"/>
                <w:szCs w:val="24"/>
                <w:lang w:eastAsia="zh-CN"/>
                <w14:textFill>
                  <w14:solidFill>
                    <w14:schemeClr w14:val="tx1"/>
                  </w14:solidFill>
                </w14:textFill>
              </w:rPr>
            </w:pPr>
            <w:r>
              <w:rPr>
                <w:rFonts w:hint="eastAsia" w:ascii="Times New Roman"/>
                <w:color w:val="000000" w:themeColor="text1"/>
                <w:lang w:eastAsia="zh-CN"/>
                <w14:textFill>
                  <w14:solidFill>
                    <w14:schemeClr w14:val="tx1"/>
                  </w14:solidFill>
                </w14:textFill>
              </w:rPr>
              <w:t>0.0003</w:t>
            </w:r>
          </w:p>
        </w:tc>
        <w:tc>
          <w:tcPr>
            <w:tcW w:w="1379" w:type="dxa"/>
            <w:tcBorders>
              <w:top w:val="single" w:color="auto" w:sz="4" w:space="0"/>
              <w:bottom w:val="single" w:color="auto" w:sz="4" w:space="0"/>
            </w:tcBorders>
            <w:vAlign w:val="center"/>
          </w:tcPr>
          <w:p w14:paraId="0F1D7520">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ascii="Times New Roman"/>
                <w:snapToGrid w:val="0"/>
                <w:color w:val="000000" w:themeColor="text1"/>
                <w:kern w:val="21"/>
                <w:szCs w:val="24"/>
                <w14:textFill>
                  <w14:solidFill>
                    <w14:schemeClr w14:val="tx1"/>
                  </w14:solidFill>
                </w14:textFill>
              </w:rPr>
              <w:t>/</w:t>
            </w:r>
          </w:p>
        </w:tc>
        <w:tc>
          <w:tcPr>
            <w:tcW w:w="1456" w:type="dxa"/>
            <w:tcBorders>
              <w:top w:val="single" w:color="auto" w:sz="4" w:space="0"/>
              <w:bottom w:val="single" w:color="auto" w:sz="4" w:space="0"/>
            </w:tcBorders>
            <w:vAlign w:val="center"/>
          </w:tcPr>
          <w:p w14:paraId="64894224">
            <w:pPr>
              <w:pStyle w:val="29"/>
              <w:spacing w:beforeLines="0" w:afterLines="0" w:line="240" w:lineRule="auto"/>
              <w:rPr>
                <w:rFonts w:ascii="Times New Roman"/>
                <w:snapToGrid w:val="0"/>
                <w:color w:val="000000" w:themeColor="text1"/>
                <w:kern w:val="21"/>
                <w:szCs w:val="24"/>
                <w14:textFill>
                  <w14:solidFill>
                    <w14:schemeClr w14:val="tx1"/>
                  </w14:solidFill>
                </w14:textFill>
              </w:rPr>
            </w:pPr>
            <w:r>
              <w:rPr>
                <w:rFonts w:ascii="Times New Roman"/>
                <w:snapToGrid w:val="0"/>
                <w:color w:val="000000" w:themeColor="text1"/>
                <w:kern w:val="21"/>
                <w:szCs w:val="24"/>
                <w14:textFill>
                  <w14:solidFill>
                    <w14:schemeClr w14:val="tx1"/>
                  </w14:solidFill>
                </w14:textFill>
              </w:rPr>
              <w:t>/</w:t>
            </w:r>
          </w:p>
        </w:tc>
        <w:tc>
          <w:tcPr>
            <w:tcW w:w="1559" w:type="dxa"/>
            <w:tcBorders>
              <w:top w:val="single" w:color="auto" w:sz="4" w:space="0"/>
              <w:bottom w:val="single" w:color="auto" w:sz="4" w:space="0"/>
            </w:tcBorders>
            <w:vAlign w:val="center"/>
          </w:tcPr>
          <w:p w14:paraId="2043A573">
            <w:pPr>
              <w:pStyle w:val="29"/>
              <w:spacing w:beforeLines="0" w:afterLines="0" w:line="240" w:lineRule="auto"/>
              <w:rPr>
                <w:rFonts w:hint="eastAsia" w:ascii="Times New Roman" w:eastAsia="宋体"/>
                <w:snapToGrid w:val="0"/>
                <w:color w:val="000000" w:themeColor="text1"/>
                <w:kern w:val="21"/>
                <w:szCs w:val="24"/>
                <w:lang w:eastAsia="zh-CN"/>
                <w14:textFill>
                  <w14:solidFill>
                    <w14:schemeClr w14:val="tx1"/>
                  </w14:solidFill>
                </w14:textFill>
              </w:rPr>
            </w:pPr>
            <w:r>
              <w:rPr>
                <w:rFonts w:hint="eastAsia" w:ascii="Times New Roman"/>
                <w:color w:val="000000" w:themeColor="text1"/>
                <w:szCs w:val="24"/>
                <w:lang w:eastAsia="zh-CN"/>
                <w14:textFill>
                  <w14:solidFill>
                    <w14:schemeClr w14:val="tx1"/>
                  </w14:solidFill>
                </w14:textFill>
              </w:rPr>
              <w:t>0.0003</w:t>
            </w:r>
          </w:p>
        </w:tc>
        <w:tc>
          <w:tcPr>
            <w:tcW w:w="1559" w:type="dxa"/>
            <w:tcBorders>
              <w:top w:val="single" w:color="auto" w:sz="4" w:space="0"/>
              <w:bottom w:val="single" w:color="auto" w:sz="4" w:space="0"/>
            </w:tcBorders>
            <w:vAlign w:val="center"/>
          </w:tcPr>
          <w:p w14:paraId="698590F6">
            <w:pPr>
              <w:pStyle w:val="29"/>
              <w:spacing w:beforeLines="0" w:afterLines="0" w:line="240" w:lineRule="auto"/>
              <w:rPr>
                <w:rFonts w:ascii="Times New Roman"/>
                <w:snapToGrid w:val="0"/>
                <w:color w:val="000000" w:themeColor="text1"/>
                <w:kern w:val="21"/>
                <w:szCs w:val="24"/>
                <w:highlight w:val="none"/>
                <w14:textFill>
                  <w14:solidFill>
                    <w14:schemeClr w14:val="tx1"/>
                  </w14:solidFill>
                </w14:textFill>
              </w:rPr>
            </w:pPr>
            <w:r>
              <w:rPr>
                <w:rFonts w:hint="eastAsia" w:ascii="Times New Roman"/>
                <w:color w:val="000000" w:themeColor="text1"/>
                <w:highlight w:val="none"/>
                <w:lang w:eastAsia="zh-CN"/>
                <w14:textFill>
                  <w14:solidFill>
                    <w14:schemeClr w14:val="tx1"/>
                  </w14:solidFill>
                </w14:textFill>
              </w:rPr>
              <w:t>0.0003</w:t>
            </w:r>
          </w:p>
        </w:tc>
        <w:tc>
          <w:tcPr>
            <w:tcW w:w="1701" w:type="dxa"/>
            <w:tcBorders>
              <w:top w:val="single" w:color="auto" w:sz="4" w:space="0"/>
              <w:bottom w:val="single" w:color="auto" w:sz="4" w:space="0"/>
            </w:tcBorders>
            <w:vAlign w:val="center"/>
          </w:tcPr>
          <w:p w14:paraId="4880BD3F">
            <w:pPr>
              <w:pStyle w:val="29"/>
              <w:spacing w:beforeLines="0" w:afterLines="0" w:line="240" w:lineRule="auto"/>
              <w:rPr>
                <w:rFonts w:hint="eastAsia" w:ascii="Times New Roman" w:eastAsia="宋体"/>
                <w:snapToGrid w:val="0"/>
                <w:color w:val="000000" w:themeColor="text1"/>
                <w:kern w:val="21"/>
                <w:szCs w:val="24"/>
                <w:lang w:eastAsia="zh-CN"/>
                <w14:textFill>
                  <w14:solidFill>
                    <w14:schemeClr w14:val="tx1"/>
                  </w14:solidFill>
                </w14:textFill>
              </w:rPr>
            </w:pPr>
            <w:r>
              <w:rPr>
                <w:rFonts w:hint="eastAsia" w:ascii="Times New Roman"/>
                <w:color w:val="000000" w:themeColor="text1"/>
                <w:szCs w:val="24"/>
                <w:lang w:eastAsia="zh-CN"/>
                <w14:textFill>
                  <w14:solidFill>
                    <w14:schemeClr w14:val="tx1"/>
                  </w14:solidFill>
                </w14:textFill>
              </w:rPr>
              <w:t>0.0003</w:t>
            </w:r>
          </w:p>
        </w:tc>
        <w:tc>
          <w:tcPr>
            <w:tcW w:w="1711" w:type="dxa"/>
            <w:tcBorders>
              <w:top w:val="single" w:color="auto" w:sz="4" w:space="0"/>
              <w:bottom w:val="single" w:color="auto" w:sz="4" w:space="0"/>
            </w:tcBorders>
            <w:vAlign w:val="center"/>
          </w:tcPr>
          <w:p w14:paraId="79329EC3">
            <w:pPr>
              <w:pStyle w:val="29"/>
              <w:spacing w:beforeLines="0" w:afterLines="0" w:line="240" w:lineRule="auto"/>
              <w:rPr>
                <w:rFonts w:hint="default" w:ascii="Times New Roman"/>
                <w:color w:val="000000" w:themeColor="text1"/>
                <w:szCs w:val="24"/>
                <w:lang w:val="en-US"/>
                <w14:textFill>
                  <w14:solidFill>
                    <w14:schemeClr w14:val="tx1"/>
                  </w14:solidFill>
                </w14:textFill>
              </w:rPr>
            </w:pPr>
            <w:r>
              <w:rPr>
                <w:rFonts w:hint="eastAsia" w:ascii="Times New Roman"/>
                <w:color w:val="000000" w:themeColor="text1"/>
                <w:szCs w:val="24"/>
                <w:lang w:eastAsia="zh-CN"/>
                <w14:textFill>
                  <w14:solidFill>
                    <w14:schemeClr w14:val="tx1"/>
                  </w14:solidFill>
                </w14:textFill>
              </w:rPr>
              <w:t>0</w:t>
            </w:r>
          </w:p>
        </w:tc>
      </w:tr>
      <w:tr w14:paraId="1CBBE2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266" w:type="dxa"/>
            <w:vMerge w:val="restart"/>
            <w:tcBorders>
              <w:top w:val="single" w:color="auto" w:sz="4" w:space="0"/>
            </w:tcBorders>
            <w:vAlign w:val="center"/>
          </w:tcPr>
          <w:p w14:paraId="5D90EA87">
            <w:pPr>
              <w:pStyle w:val="29"/>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一般工业</w:t>
            </w:r>
          </w:p>
          <w:p w14:paraId="0B3A7306">
            <w:pPr>
              <w:pStyle w:val="29"/>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固体废物</w:t>
            </w:r>
          </w:p>
        </w:tc>
        <w:tc>
          <w:tcPr>
            <w:tcW w:w="1701" w:type="dxa"/>
            <w:tcBorders>
              <w:top w:val="single" w:color="auto" w:sz="4" w:space="0"/>
              <w:bottom w:val="single" w:color="auto" w:sz="4" w:space="0"/>
            </w:tcBorders>
            <w:vAlign w:val="center"/>
          </w:tcPr>
          <w:p w14:paraId="42B06F96">
            <w:pPr>
              <w:pStyle w:val="29"/>
              <w:spacing w:beforeLines="0" w:afterLines="0" w:line="24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废过滤材料</w:t>
            </w:r>
          </w:p>
        </w:tc>
        <w:tc>
          <w:tcPr>
            <w:tcW w:w="1456" w:type="dxa"/>
            <w:tcBorders>
              <w:top w:val="single" w:color="auto" w:sz="4" w:space="0"/>
              <w:bottom w:val="single" w:color="auto" w:sz="4" w:space="0"/>
            </w:tcBorders>
            <w:vAlign w:val="center"/>
          </w:tcPr>
          <w:p w14:paraId="6164D196">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0.33</w:t>
            </w:r>
          </w:p>
        </w:tc>
        <w:tc>
          <w:tcPr>
            <w:tcW w:w="1379" w:type="dxa"/>
            <w:tcBorders>
              <w:top w:val="single" w:color="auto" w:sz="4" w:space="0"/>
              <w:bottom w:val="single" w:color="auto" w:sz="4" w:space="0"/>
            </w:tcBorders>
            <w:vAlign w:val="center"/>
          </w:tcPr>
          <w:p w14:paraId="13C71EC5">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w:t>
            </w:r>
          </w:p>
        </w:tc>
        <w:tc>
          <w:tcPr>
            <w:tcW w:w="1456" w:type="dxa"/>
            <w:tcBorders>
              <w:top w:val="single" w:color="auto" w:sz="4" w:space="0"/>
              <w:bottom w:val="single" w:color="auto" w:sz="4" w:space="0"/>
            </w:tcBorders>
            <w:vAlign w:val="center"/>
          </w:tcPr>
          <w:p w14:paraId="74978CEC">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w:t>
            </w:r>
          </w:p>
        </w:tc>
        <w:tc>
          <w:tcPr>
            <w:tcW w:w="1559" w:type="dxa"/>
            <w:tcBorders>
              <w:top w:val="single" w:color="auto" w:sz="4" w:space="0"/>
              <w:bottom w:val="single" w:color="auto" w:sz="4" w:space="0"/>
            </w:tcBorders>
            <w:vAlign w:val="center"/>
          </w:tcPr>
          <w:p w14:paraId="3164161B">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0.35</w:t>
            </w:r>
          </w:p>
        </w:tc>
        <w:tc>
          <w:tcPr>
            <w:tcW w:w="1559" w:type="dxa"/>
            <w:tcBorders>
              <w:top w:val="single" w:color="auto" w:sz="4" w:space="0"/>
              <w:bottom w:val="single" w:color="auto" w:sz="4" w:space="0"/>
            </w:tcBorders>
            <w:vAlign w:val="center"/>
          </w:tcPr>
          <w:p w14:paraId="41D802A2">
            <w:pPr>
              <w:pStyle w:val="29"/>
              <w:spacing w:beforeLines="0" w:afterLines="0" w:line="240" w:lineRule="auto"/>
              <w:rPr>
                <w:rFonts w:ascii="Times New Roman"/>
                <w:color w:val="000000" w:themeColor="text1"/>
                <w:szCs w:val="24"/>
                <w:highlight w:val="none"/>
                <w14:textFill>
                  <w14:solidFill>
                    <w14:schemeClr w14:val="tx1"/>
                  </w14:solidFill>
                </w14:textFill>
              </w:rPr>
            </w:pPr>
            <w:r>
              <w:rPr>
                <w:rFonts w:ascii="Times New Roman"/>
                <w:color w:val="000000" w:themeColor="text1"/>
                <w:szCs w:val="24"/>
                <w:highlight w:val="none"/>
                <w14:textFill>
                  <w14:solidFill>
                    <w14:schemeClr w14:val="tx1"/>
                  </w14:solidFill>
                </w14:textFill>
              </w:rPr>
              <w:t>0.33</w:t>
            </w:r>
          </w:p>
        </w:tc>
        <w:tc>
          <w:tcPr>
            <w:tcW w:w="1701" w:type="dxa"/>
            <w:tcBorders>
              <w:top w:val="single" w:color="auto" w:sz="4" w:space="0"/>
              <w:bottom w:val="single" w:color="auto" w:sz="4" w:space="0"/>
            </w:tcBorders>
            <w:vAlign w:val="center"/>
          </w:tcPr>
          <w:p w14:paraId="319A4D15">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0.35</w:t>
            </w:r>
          </w:p>
        </w:tc>
        <w:tc>
          <w:tcPr>
            <w:tcW w:w="1711" w:type="dxa"/>
            <w:tcBorders>
              <w:top w:val="single" w:color="auto" w:sz="4" w:space="0"/>
              <w:bottom w:val="single" w:color="auto" w:sz="4" w:space="0"/>
            </w:tcBorders>
            <w:vAlign w:val="center"/>
          </w:tcPr>
          <w:p w14:paraId="42B3DD3C">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 xml:space="preserve">+0.0200 </w:t>
            </w:r>
          </w:p>
        </w:tc>
      </w:tr>
      <w:tr w14:paraId="4003F4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266" w:type="dxa"/>
            <w:vMerge w:val="continue"/>
            <w:vAlign w:val="center"/>
          </w:tcPr>
          <w:p w14:paraId="46083FA8">
            <w:pPr>
              <w:pStyle w:val="29"/>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701" w:type="dxa"/>
            <w:tcBorders>
              <w:top w:val="single" w:color="auto" w:sz="4" w:space="0"/>
              <w:bottom w:val="single" w:color="auto" w:sz="4" w:space="0"/>
            </w:tcBorders>
            <w:vAlign w:val="center"/>
          </w:tcPr>
          <w:p w14:paraId="0CC9A0B9">
            <w:pPr>
              <w:pStyle w:val="29"/>
              <w:spacing w:beforeLines="0" w:afterLines="0" w:line="24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废包装袋</w:t>
            </w:r>
          </w:p>
        </w:tc>
        <w:tc>
          <w:tcPr>
            <w:tcW w:w="1456" w:type="dxa"/>
            <w:tcBorders>
              <w:top w:val="single" w:color="auto" w:sz="4" w:space="0"/>
              <w:bottom w:val="single" w:color="auto" w:sz="4" w:space="0"/>
            </w:tcBorders>
            <w:vAlign w:val="center"/>
          </w:tcPr>
          <w:p w14:paraId="1730AA6D">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3.5</w:t>
            </w:r>
          </w:p>
        </w:tc>
        <w:tc>
          <w:tcPr>
            <w:tcW w:w="1379" w:type="dxa"/>
            <w:tcBorders>
              <w:top w:val="single" w:color="auto" w:sz="4" w:space="0"/>
              <w:bottom w:val="single" w:color="auto" w:sz="4" w:space="0"/>
            </w:tcBorders>
            <w:vAlign w:val="center"/>
          </w:tcPr>
          <w:p w14:paraId="72CC5BC2">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w:t>
            </w:r>
          </w:p>
        </w:tc>
        <w:tc>
          <w:tcPr>
            <w:tcW w:w="1456" w:type="dxa"/>
            <w:tcBorders>
              <w:top w:val="single" w:color="auto" w:sz="4" w:space="0"/>
              <w:bottom w:val="single" w:color="auto" w:sz="4" w:space="0"/>
            </w:tcBorders>
            <w:vAlign w:val="center"/>
          </w:tcPr>
          <w:p w14:paraId="440C1B47">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w:t>
            </w:r>
          </w:p>
        </w:tc>
        <w:tc>
          <w:tcPr>
            <w:tcW w:w="1559" w:type="dxa"/>
            <w:tcBorders>
              <w:top w:val="single" w:color="auto" w:sz="4" w:space="0"/>
              <w:bottom w:val="single" w:color="auto" w:sz="4" w:space="0"/>
            </w:tcBorders>
            <w:vAlign w:val="center"/>
          </w:tcPr>
          <w:p w14:paraId="51405D95">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3.2</w:t>
            </w:r>
          </w:p>
        </w:tc>
        <w:tc>
          <w:tcPr>
            <w:tcW w:w="1559" w:type="dxa"/>
            <w:tcBorders>
              <w:top w:val="single" w:color="auto" w:sz="4" w:space="0"/>
              <w:bottom w:val="single" w:color="auto" w:sz="4" w:space="0"/>
            </w:tcBorders>
            <w:vAlign w:val="center"/>
          </w:tcPr>
          <w:p w14:paraId="7A0CBE94">
            <w:pPr>
              <w:pStyle w:val="29"/>
              <w:spacing w:beforeLines="0" w:afterLines="0" w:line="240" w:lineRule="auto"/>
              <w:rPr>
                <w:rFonts w:ascii="Times New Roman"/>
                <w:color w:val="000000" w:themeColor="text1"/>
                <w:szCs w:val="24"/>
                <w:highlight w:val="none"/>
                <w14:textFill>
                  <w14:solidFill>
                    <w14:schemeClr w14:val="tx1"/>
                  </w14:solidFill>
                </w14:textFill>
              </w:rPr>
            </w:pPr>
            <w:r>
              <w:rPr>
                <w:rFonts w:ascii="Times New Roman"/>
                <w:color w:val="000000" w:themeColor="text1"/>
                <w:szCs w:val="24"/>
                <w:highlight w:val="none"/>
                <w14:textFill>
                  <w14:solidFill>
                    <w14:schemeClr w14:val="tx1"/>
                  </w14:solidFill>
                </w14:textFill>
              </w:rPr>
              <w:t>3.5</w:t>
            </w:r>
          </w:p>
        </w:tc>
        <w:tc>
          <w:tcPr>
            <w:tcW w:w="1701" w:type="dxa"/>
            <w:tcBorders>
              <w:top w:val="single" w:color="auto" w:sz="4" w:space="0"/>
              <w:bottom w:val="single" w:color="auto" w:sz="4" w:space="0"/>
            </w:tcBorders>
            <w:vAlign w:val="center"/>
          </w:tcPr>
          <w:p w14:paraId="068B2A10">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3.2</w:t>
            </w:r>
          </w:p>
        </w:tc>
        <w:tc>
          <w:tcPr>
            <w:tcW w:w="1711" w:type="dxa"/>
            <w:tcBorders>
              <w:top w:val="single" w:color="auto" w:sz="4" w:space="0"/>
              <w:bottom w:val="single" w:color="auto" w:sz="4" w:space="0"/>
            </w:tcBorders>
            <w:vAlign w:val="center"/>
          </w:tcPr>
          <w:p w14:paraId="23AA343C">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 xml:space="preserve">-0.3000 </w:t>
            </w:r>
          </w:p>
        </w:tc>
      </w:tr>
      <w:tr w14:paraId="10A4EA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266" w:type="dxa"/>
            <w:vMerge w:val="continue"/>
            <w:vAlign w:val="center"/>
          </w:tcPr>
          <w:p w14:paraId="30FAC44F">
            <w:pPr>
              <w:pStyle w:val="29"/>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701" w:type="dxa"/>
            <w:tcBorders>
              <w:top w:val="single" w:color="auto" w:sz="4" w:space="0"/>
              <w:bottom w:val="single" w:color="auto" w:sz="4" w:space="0"/>
            </w:tcBorders>
            <w:vAlign w:val="center"/>
          </w:tcPr>
          <w:p w14:paraId="5805A512">
            <w:pPr>
              <w:pStyle w:val="29"/>
              <w:spacing w:beforeLines="0" w:afterLines="0" w:line="24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废鸡架</w:t>
            </w:r>
          </w:p>
        </w:tc>
        <w:tc>
          <w:tcPr>
            <w:tcW w:w="1456" w:type="dxa"/>
            <w:tcBorders>
              <w:top w:val="single" w:color="auto" w:sz="4" w:space="0"/>
              <w:bottom w:val="single" w:color="auto" w:sz="4" w:space="0"/>
            </w:tcBorders>
            <w:vAlign w:val="center"/>
          </w:tcPr>
          <w:p w14:paraId="7D3043D7">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0.8</w:t>
            </w:r>
          </w:p>
        </w:tc>
        <w:tc>
          <w:tcPr>
            <w:tcW w:w="1379" w:type="dxa"/>
            <w:tcBorders>
              <w:top w:val="single" w:color="auto" w:sz="4" w:space="0"/>
              <w:bottom w:val="single" w:color="auto" w:sz="4" w:space="0"/>
            </w:tcBorders>
            <w:vAlign w:val="center"/>
          </w:tcPr>
          <w:p w14:paraId="1576966C">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w:t>
            </w:r>
          </w:p>
        </w:tc>
        <w:tc>
          <w:tcPr>
            <w:tcW w:w="1456" w:type="dxa"/>
            <w:tcBorders>
              <w:top w:val="single" w:color="auto" w:sz="4" w:space="0"/>
              <w:bottom w:val="single" w:color="auto" w:sz="4" w:space="0"/>
            </w:tcBorders>
            <w:vAlign w:val="center"/>
          </w:tcPr>
          <w:p w14:paraId="32A44123">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w:t>
            </w:r>
          </w:p>
        </w:tc>
        <w:tc>
          <w:tcPr>
            <w:tcW w:w="1559" w:type="dxa"/>
            <w:tcBorders>
              <w:top w:val="single" w:color="auto" w:sz="4" w:space="0"/>
              <w:bottom w:val="single" w:color="auto" w:sz="4" w:space="0"/>
            </w:tcBorders>
            <w:vAlign w:val="center"/>
          </w:tcPr>
          <w:p w14:paraId="627396D3">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0.8</w:t>
            </w:r>
          </w:p>
        </w:tc>
        <w:tc>
          <w:tcPr>
            <w:tcW w:w="1559" w:type="dxa"/>
            <w:tcBorders>
              <w:top w:val="single" w:color="auto" w:sz="4" w:space="0"/>
              <w:bottom w:val="single" w:color="auto" w:sz="4" w:space="0"/>
            </w:tcBorders>
            <w:vAlign w:val="center"/>
          </w:tcPr>
          <w:p w14:paraId="479BD42A">
            <w:pPr>
              <w:pStyle w:val="29"/>
              <w:spacing w:beforeLines="0" w:afterLines="0" w:line="240" w:lineRule="auto"/>
              <w:rPr>
                <w:rFonts w:ascii="Times New Roman"/>
                <w:color w:val="000000" w:themeColor="text1"/>
                <w:szCs w:val="24"/>
                <w:highlight w:val="none"/>
                <w14:textFill>
                  <w14:solidFill>
                    <w14:schemeClr w14:val="tx1"/>
                  </w14:solidFill>
                </w14:textFill>
              </w:rPr>
            </w:pPr>
            <w:r>
              <w:rPr>
                <w:rFonts w:ascii="Times New Roman"/>
                <w:color w:val="000000" w:themeColor="text1"/>
                <w:szCs w:val="24"/>
                <w:highlight w:val="none"/>
                <w14:textFill>
                  <w14:solidFill>
                    <w14:schemeClr w14:val="tx1"/>
                  </w14:solidFill>
                </w14:textFill>
              </w:rPr>
              <w:t>0.8</w:t>
            </w:r>
          </w:p>
        </w:tc>
        <w:tc>
          <w:tcPr>
            <w:tcW w:w="1701" w:type="dxa"/>
            <w:tcBorders>
              <w:top w:val="single" w:color="auto" w:sz="4" w:space="0"/>
              <w:bottom w:val="single" w:color="auto" w:sz="4" w:space="0"/>
            </w:tcBorders>
            <w:vAlign w:val="center"/>
          </w:tcPr>
          <w:p w14:paraId="7611664D">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0.8</w:t>
            </w:r>
          </w:p>
        </w:tc>
        <w:tc>
          <w:tcPr>
            <w:tcW w:w="1711" w:type="dxa"/>
            <w:tcBorders>
              <w:top w:val="single" w:color="auto" w:sz="4" w:space="0"/>
              <w:bottom w:val="single" w:color="auto" w:sz="4" w:space="0"/>
            </w:tcBorders>
            <w:vAlign w:val="center"/>
          </w:tcPr>
          <w:p w14:paraId="5B7B9CF2">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0</w:t>
            </w:r>
          </w:p>
        </w:tc>
      </w:tr>
      <w:tr w14:paraId="4D75D0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266" w:type="dxa"/>
            <w:vMerge w:val="continue"/>
            <w:vAlign w:val="center"/>
          </w:tcPr>
          <w:p w14:paraId="64A6F7F4">
            <w:pPr>
              <w:pStyle w:val="29"/>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701" w:type="dxa"/>
            <w:tcBorders>
              <w:top w:val="single" w:color="auto" w:sz="4" w:space="0"/>
              <w:bottom w:val="single" w:color="auto" w:sz="4" w:space="0"/>
            </w:tcBorders>
            <w:vAlign w:val="center"/>
          </w:tcPr>
          <w:p w14:paraId="0F62B4C5">
            <w:pPr>
              <w:pStyle w:val="29"/>
              <w:spacing w:beforeLines="0" w:afterLines="0" w:line="24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污水处理站污泥</w:t>
            </w:r>
          </w:p>
        </w:tc>
        <w:tc>
          <w:tcPr>
            <w:tcW w:w="1456" w:type="dxa"/>
            <w:tcBorders>
              <w:top w:val="single" w:color="auto" w:sz="4" w:space="0"/>
              <w:bottom w:val="single" w:color="auto" w:sz="4" w:space="0"/>
            </w:tcBorders>
            <w:vAlign w:val="center"/>
          </w:tcPr>
          <w:p w14:paraId="052883AE">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0.42</w:t>
            </w:r>
          </w:p>
        </w:tc>
        <w:tc>
          <w:tcPr>
            <w:tcW w:w="1379" w:type="dxa"/>
            <w:tcBorders>
              <w:top w:val="single" w:color="auto" w:sz="4" w:space="0"/>
              <w:bottom w:val="single" w:color="auto" w:sz="4" w:space="0"/>
            </w:tcBorders>
            <w:vAlign w:val="center"/>
          </w:tcPr>
          <w:p w14:paraId="160CABBD">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w:t>
            </w:r>
          </w:p>
        </w:tc>
        <w:tc>
          <w:tcPr>
            <w:tcW w:w="1456" w:type="dxa"/>
            <w:tcBorders>
              <w:top w:val="single" w:color="auto" w:sz="4" w:space="0"/>
              <w:bottom w:val="single" w:color="auto" w:sz="4" w:space="0"/>
            </w:tcBorders>
            <w:vAlign w:val="center"/>
          </w:tcPr>
          <w:p w14:paraId="50CF9691">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w:t>
            </w:r>
          </w:p>
        </w:tc>
        <w:tc>
          <w:tcPr>
            <w:tcW w:w="1559" w:type="dxa"/>
            <w:tcBorders>
              <w:top w:val="single" w:color="auto" w:sz="4" w:space="0"/>
              <w:bottom w:val="single" w:color="auto" w:sz="4" w:space="0"/>
            </w:tcBorders>
            <w:vAlign w:val="center"/>
          </w:tcPr>
          <w:p w14:paraId="7DDB286D">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0.45</w:t>
            </w:r>
          </w:p>
        </w:tc>
        <w:tc>
          <w:tcPr>
            <w:tcW w:w="1559" w:type="dxa"/>
            <w:tcBorders>
              <w:top w:val="single" w:color="auto" w:sz="4" w:space="0"/>
              <w:bottom w:val="single" w:color="auto" w:sz="4" w:space="0"/>
            </w:tcBorders>
            <w:vAlign w:val="center"/>
          </w:tcPr>
          <w:p w14:paraId="6B71038D">
            <w:pPr>
              <w:pStyle w:val="29"/>
              <w:spacing w:beforeLines="0" w:afterLines="0" w:line="240" w:lineRule="auto"/>
              <w:rPr>
                <w:rFonts w:ascii="Times New Roman"/>
                <w:color w:val="000000" w:themeColor="text1"/>
                <w:szCs w:val="24"/>
                <w:highlight w:val="none"/>
                <w14:textFill>
                  <w14:solidFill>
                    <w14:schemeClr w14:val="tx1"/>
                  </w14:solidFill>
                </w14:textFill>
              </w:rPr>
            </w:pPr>
            <w:r>
              <w:rPr>
                <w:rFonts w:ascii="Times New Roman"/>
                <w:color w:val="000000" w:themeColor="text1"/>
                <w:szCs w:val="24"/>
                <w:highlight w:val="none"/>
                <w14:textFill>
                  <w14:solidFill>
                    <w14:schemeClr w14:val="tx1"/>
                  </w14:solidFill>
                </w14:textFill>
              </w:rPr>
              <w:t>0.42</w:t>
            </w:r>
          </w:p>
        </w:tc>
        <w:tc>
          <w:tcPr>
            <w:tcW w:w="1701" w:type="dxa"/>
            <w:tcBorders>
              <w:top w:val="single" w:color="auto" w:sz="4" w:space="0"/>
              <w:bottom w:val="single" w:color="auto" w:sz="4" w:space="0"/>
            </w:tcBorders>
            <w:vAlign w:val="center"/>
          </w:tcPr>
          <w:p w14:paraId="7D5CDB37">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0.45</w:t>
            </w:r>
          </w:p>
        </w:tc>
        <w:tc>
          <w:tcPr>
            <w:tcW w:w="1711" w:type="dxa"/>
            <w:tcBorders>
              <w:top w:val="single" w:color="auto" w:sz="4" w:space="0"/>
              <w:bottom w:val="single" w:color="auto" w:sz="4" w:space="0"/>
            </w:tcBorders>
            <w:vAlign w:val="center"/>
          </w:tcPr>
          <w:p w14:paraId="3F7A34F1">
            <w:pPr>
              <w:pStyle w:val="29"/>
              <w:spacing w:beforeLines="0" w:afterLines="0" w:line="240" w:lineRule="auto"/>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 xml:space="preserve">+0.0300 </w:t>
            </w:r>
          </w:p>
        </w:tc>
      </w:tr>
    </w:tbl>
    <w:p w14:paraId="7B38B7D4">
      <w:pPr>
        <w:pStyle w:val="29"/>
        <w:spacing w:before="249" w:beforeLines="80" w:after="31"/>
        <w:jc w:val="left"/>
        <w:rPr>
          <w:rFonts w:hAnsi="宋体" w:cs="宋体"/>
          <w:snapToGrid w:val="0"/>
          <w:color w:val="000000" w:themeColor="text1"/>
          <w:spacing w:val="-6"/>
          <w:kern w:val="21"/>
          <w:szCs w:val="21"/>
          <w14:textFill>
            <w14:solidFill>
              <w14:schemeClr w14:val="tx1"/>
            </w14:solidFill>
          </w14:textFill>
        </w:rPr>
        <w:sectPr>
          <w:pgSz w:w="16838" w:h="11906" w:orient="landscape"/>
          <w:pgMar w:top="1134" w:right="1701" w:bottom="1134" w:left="1701" w:header="851" w:footer="992" w:gutter="0"/>
          <w:cols w:space="720" w:num="1"/>
          <w:docGrid w:type="lines" w:linePitch="312" w:charSpace="0"/>
        </w:sectPr>
      </w:pPr>
      <w:r>
        <w:rPr>
          <w:rFonts w:ascii="Times New Roman"/>
          <w:snapToGrid w:val="0"/>
          <w:color w:val="000000" w:themeColor="text1"/>
          <w:kern w:val="21"/>
          <w:szCs w:val="21"/>
          <w14:textFill>
            <w14:solidFill>
              <w14:schemeClr w14:val="tx1"/>
            </w14:solidFill>
          </w14:textFill>
        </w:rPr>
        <w:t>注：</w:t>
      </w:r>
      <w:r>
        <w:rPr>
          <w:rFonts w:hint="eastAsia" w:hAnsi="宋体" w:cs="宋体"/>
          <w:snapToGrid w:val="0"/>
          <w:color w:val="000000" w:themeColor="text1"/>
          <w:spacing w:val="-16"/>
          <w:kern w:val="21"/>
          <w:szCs w:val="21"/>
          <w14:textFill>
            <w14:solidFill>
              <w14:schemeClr w14:val="tx1"/>
            </w14:solidFill>
          </w14:textFill>
        </w:rPr>
        <w:t>⑥</w:t>
      </w:r>
      <w:r>
        <w:rPr>
          <w:rFonts w:ascii="Times New Roman"/>
          <w:snapToGrid w:val="0"/>
          <w:color w:val="000000" w:themeColor="text1"/>
          <w:spacing w:val="-16"/>
          <w:kern w:val="21"/>
          <w:szCs w:val="21"/>
          <w14:textFill>
            <w14:solidFill>
              <w14:schemeClr w14:val="tx1"/>
            </w14:solidFill>
          </w14:textFill>
        </w:rPr>
        <w:t>=</w:t>
      </w:r>
      <w:r>
        <w:rPr>
          <w:rFonts w:hint="eastAsia" w:hAnsi="宋体" w:cs="宋体"/>
          <w:snapToGrid w:val="0"/>
          <w:color w:val="000000" w:themeColor="text1"/>
          <w:spacing w:val="-6"/>
          <w:kern w:val="21"/>
          <w:szCs w:val="21"/>
          <w14:textFill>
            <w14:solidFill>
              <w14:schemeClr w14:val="tx1"/>
            </w14:solidFill>
          </w14:textFill>
        </w:rPr>
        <w:t>①</w:t>
      </w:r>
      <w:r>
        <w:rPr>
          <w:rFonts w:ascii="Times New Roman"/>
          <w:snapToGrid w:val="0"/>
          <w:color w:val="000000" w:themeColor="text1"/>
          <w:spacing w:val="-6"/>
          <w:kern w:val="21"/>
          <w:szCs w:val="21"/>
          <w14:textFill>
            <w14:solidFill>
              <w14:schemeClr w14:val="tx1"/>
            </w14:solidFill>
          </w14:textFill>
        </w:rPr>
        <w:t>+</w:t>
      </w:r>
      <w:bookmarkStart w:id="38" w:name="OLE_LINK54"/>
      <w:r>
        <w:rPr>
          <w:rFonts w:hint="eastAsia" w:hAnsi="宋体" w:cs="宋体"/>
          <w:snapToGrid w:val="0"/>
          <w:color w:val="000000" w:themeColor="text1"/>
          <w:spacing w:val="-6"/>
          <w:kern w:val="21"/>
          <w:szCs w:val="21"/>
          <w14:textFill>
            <w14:solidFill>
              <w14:schemeClr w14:val="tx1"/>
            </w14:solidFill>
          </w14:textFill>
        </w:rPr>
        <w:t>③</w:t>
      </w:r>
      <w:bookmarkEnd w:id="38"/>
      <w:r>
        <w:rPr>
          <w:rFonts w:ascii="Times New Roman"/>
          <w:snapToGrid w:val="0"/>
          <w:color w:val="000000" w:themeColor="text1"/>
          <w:spacing w:val="-6"/>
          <w:kern w:val="21"/>
          <w:szCs w:val="21"/>
          <w14:textFill>
            <w14:solidFill>
              <w14:schemeClr w14:val="tx1"/>
            </w14:solidFill>
          </w14:textFill>
        </w:rPr>
        <w:t>+</w:t>
      </w:r>
      <w:r>
        <w:rPr>
          <w:rFonts w:hint="eastAsia" w:hAnsi="宋体" w:cs="宋体"/>
          <w:snapToGrid w:val="0"/>
          <w:color w:val="000000" w:themeColor="text1"/>
          <w:spacing w:val="-6"/>
          <w:kern w:val="21"/>
          <w:szCs w:val="21"/>
          <w14:textFill>
            <w14:solidFill>
              <w14:schemeClr w14:val="tx1"/>
            </w14:solidFill>
          </w14:textFill>
        </w:rPr>
        <w:t>④</w:t>
      </w:r>
      <w:r>
        <w:rPr>
          <w:rFonts w:ascii="Times New Roman"/>
          <w:snapToGrid w:val="0"/>
          <w:color w:val="000000" w:themeColor="text1"/>
          <w:spacing w:val="-6"/>
          <w:kern w:val="21"/>
          <w:szCs w:val="21"/>
          <w14:textFill>
            <w14:solidFill>
              <w14:schemeClr w14:val="tx1"/>
            </w14:solidFill>
          </w14:textFill>
        </w:rPr>
        <w:t>-</w:t>
      </w:r>
      <w:r>
        <w:rPr>
          <w:rFonts w:hint="eastAsia" w:hAnsi="宋体" w:cs="宋体"/>
          <w:snapToGrid w:val="0"/>
          <w:color w:val="000000" w:themeColor="text1"/>
          <w:spacing w:val="-16"/>
          <w:kern w:val="21"/>
          <w:szCs w:val="21"/>
          <w14:textFill>
            <w14:solidFill>
              <w14:schemeClr w14:val="tx1"/>
            </w14:solidFill>
          </w14:textFill>
        </w:rPr>
        <w:t>⑤</w:t>
      </w:r>
      <w:r>
        <w:rPr>
          <w:rFonts w:ascii="Times New Roman"/>
          <w:snapToGrid w:val="0"/>
          <w:color w:val="000000" w:themeColor="text1"/>
          <w:spacing w:val="-16"/>
          <w:kern w:val="21"/>
          <w:szCs w:val="21"/>
          <w14:textFill>
            <w14:solidFill>
              <w14:schemeClr w14:val="tx1"/>
            </w14:solidFill>
          </w14:textFill>
        </w:rPr>
        <w:t>；</w:t>
      </w:r>
      <w:r>
        <w:rPr>
          <w:rFonts w:hint="eastAsia" w:hAnsi="宋体" w:cs="宋体"/>
          <w:snapToGrid w:val="0"/>
          <w:color w:val="000000" w:themeColor="text1"/>
          <w:spacing w:val="-6"/>
          <w:kern w:val="21"/>
          <w:szCs w:val="21"/>
          <w14:textFill>
            <w14:solidFill>
              <w14:schemeClr w14:val="tx1"/>
            </w14:solidFill>
          </w14:textFill>
        </w:rPr>
        <w:t>⑦</w:t>
      </w:r>
      <w:r>
        <w:rPr>
          <w:rFonts w:ascii="Times New Roman"/>
          <w:snapToGrid w:val="0"/>
          <w:color w:val="000000" w:themeColor="text1"/>
          <w:spacing w:val="-6"/>
          <w:kern w:val="21"/>
          <w:szCs w:val="21"/>
          <w14:textFill>
            <w14:solidFill>
              <w14:schemeClr w14:val="tx1"/>
            </w14:solidFill>
          </w14:textFill>
        </w:rPr>
        <w:t>=</w:t>
      </w:r>
      <w:r>
        <w:rPr>
          <w:rFonts w:hint="eastAsia" w:hAnsi="宋体" w:cs="宋体"/>
          <w:snapToGrid w:val="0"/>
          <w:color w:val="000000" w:themeColor="text1"/>
          <w:spacing w:val="-16"/>
          <w:kern w:val="21"/>
          <w:szCs w:val="21"/>
          <w14:textFill>
            <w14:solidFill>
              <w14:schemeClr w14:val="tx1"/>
            </w14:solidFill>
          </w14:textFill>
        </w:rPr>
        <w:t>⑥</w:t>
      </w:r>
      <w:r>
        <w:rPr>
          <w:rFonts w:ascii="Times New Roman"/>
          <w:snapToGrid w:val="0"/>
          <w:color w:val="000000" w:themeColor="text1"/>
          <w:spacing w:val="-16"/>
          <w:kern w:val="21"/>
          <w:szCs w:val="21"/>
          <w14:textFill>
            <w14:solidFill>
              <w14:schemeClr w14:val="tx1"/>
            </w14:solidFill>
          </w14:textFill>
        </w:rPr>
        <w:t>-</w:t>
      </w:r>
      <w:r>
        <w:rPr>
          <w:rFonts w:hint="eastAsia" w:hAnsi="宋体" w:cs="宋体"/>
          <w:snapToGrid w:val="0"/>
          <w:color w:val="000000" w:themeColor="text1"/>
          <w:spacing w:val="-6"/>
          <w:kern w:val="21"/>
          <w:szCs w:val="21"/>
          <w14:textFill>
            <w14:solidFill>
              <w14:schemeClr w14:val="tx1"/>
            </w14:solidFill>
          </w14:textFill>
        </w:rPr>
        <w:t>①-③</w:t>
      </w:r>
    </w:p>
    <w:p w14:paraId="59D5FF21">
      <w:pPr>
        <w:jc w:val="center"/>
        <w:rPr>
          <w:rFonts w:ascii="Calibri" w:hAnsi="Calibri"/>
          <w:sz w:val="21"/>
        </w:rPr>
      </w:pPr>
      <w:r>
        <w:rPr>
          <w:rFonts w:hint="eastAsia" w:ascii="Calibri" w:hAnsi="Calibri"/>
          <w:sz w:val="21"/>
        </w:rPr>
        <w:drawing>
          <wp:anchor distT="0" distB="0" distL="114300" distR="114300" simplePos="0" relativeHeight="251669504" behindDoc="0" locked="0" layoutInCell="1" allowOverlap="1">
            <wp:simplePos x="0" y="0"/>
            <wp:positionH relativeFrom="column">
              <wp:posOffset>7708900</wp:posOffset>
            </wp:positionH>
            <wp:positionV relativeFrom="paragraph">
              <wp:posOffset>120650</wp:posOffset>
            </wp:positionV>
            <wp:extent cx="436880" cy="635000"/>
            <wp:effectExtent l="0" t="0" r="1270" b="12700"/>
            <wp:wrapSquare wrapText="bothSides"/>
            <wp:docPr id="10" name="图片 10" descr="4e5cb703-8a9c-47cf-9ba4-4afc69e68b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e5cb703-8a9c-47cf-9ba4-4afc69e68b70"/>
                    <pic:cNvPicPr>
                      <a:picLocks noChangeAspect="1"/>
                    </pic:cNvPicPr>
                  </pic:nvPicPr>
                  <pic:blipFill>
                    <a:blip r:embed="rId23"/>
                    <a:stretch>
                      <a:fillRect/>
                    </a:stretch>
                  </pic:blipFill>
                  <pic:spPr>
                    <a:xfrm>
                      <a:off x="0" y="0"/>
                      <a:ext cx="436880" cy="635000"/>
                    </a:xfrm>
                    <a:prstGeom prst="rect">
                      <a:avLst/>
                    </a:prstGeom>
                  </pic:spPr>
                </pic:pic>
              </a:graphicData>
            </a:graphic>
          </wp:anchor>
        </w:drawing>
      </w:r>
      <w:r>
        <w:rPr>
          <w:rFonts w:hint="eastAsia" w:ascii="Calibri" w:hAnsi="Calibri"/>
          <w:sz w:val="21"/>
        </w:rPr>
        <w:drawing>
          <wp:anchor distT="0" distB="0" distL="114300" distR="114300" simplePos="0" relativeHeight="251666432" behindDoc="0" locked="0" layoutInCell="1" allowOverlap="1">
            <wp:simplePos x="0" y="0"/>
            <wp:positionH relativeFrom="column">
              <wp:posOffset>706755</wp:posOffset>
            </wp:positionH>
            <wp:positionV relativeFrom="paragraph">
              <wp:posOffset>9525</wp:posOffset>
            </wp:positionV>
            <wp:extent cx="7014845" cy="5443220"/>
            <wp:effectExtent l="0" t="0" r="14605" b="5080"/>
            <wp:wrapSquare wrapText="bothSides"/>
            <wp:docPr id="6" name="图片 6" descr="延津县政区图（0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延津县政区图（05.2.19）"/>
                    <pic:cNvPicPr>
                      <a:picLocks noChangeAspect="1"/>
                    </pic:cNvPicPr>
                  </pic:nvPicPr>
                  <pic:blipFill>
                    <a:blip r:embed="rId24"/>
                    <a:stretch>
                      <a:fillRect/>
                    </a:stretch>
                  </pic:blipFill>
                  <pic:spPr>
                    <a:xfrm>
                      <a:off x="0" y="0"/>
                      <a:ext cx="7014845" cy="5443220"/>
                    </a:xfrm>
                    <a:prstGeom prst="rect">
                      <a:avLst/>
                    </a:prstGeom>
                  </pic:spPr>
                </pic:pic>
              </a:graphicData>
            </a:graphic>
          </wp:anchor>
        </w:drawing>
      </w:r>
    </w:p>
    <w:p w14:paraId="0E3FCFCB">
      <w:pPr>
        <w:jc w:val="center"/>
        <w:rPr>
          <w:rFonts w:ascii="Calibri" w:hAnsi="Calibri"/>
          <w:sz w:val="21"/>
        </w:rPr>
      </w:pPr>
    </w:p>
    <w:p w14:paraId="72C131A8">
      <w:pPr>
        <w:jc w:val="center"/>
        <w:rPr>
          <w:rFonts w:ascii="Calibri" w:hAnsi="Calibri"/>
          <w:sz w:val="21"/>
        </w:rPr>
      </w:pPr>
    </w:p>
    <w:p w14:paraId="66121F06">
      <w:pPr>
        <w:jc w:val="center"/>
        <w:rPr>
          <w:rFonts w:ascii="Calibri" w:hAnsi="Calibri"/>
          <w:sz w:val="21"/>
        </w:rPr>
      </w:pPr>
    </w:p>
    <w:p w14:paraId="6C54D4ED">
      <w:pPr>
        <w:jc w:val="center"/>
        <w:rPr>
          <w:rFonts w:ascii="Calibri" w:hAnsi="Calibri"/>
          <w:sz w:val="21"/>
        </w:rPr>
      </w:pPr>
    </w:p>
    <w:p w14:paraId="39FBCA23">
      <w:pPr>
        <w:jc w:val="center"/>
        <w:rPr>
          <w:rFonts w:ascii="Calibri" w:hAnsi="Calibri"/>
          <w:sz w:val="21"/>
        </w:rPr>
      </w:pPr>
    </w:p>
    <w:p w14:paraId="0B3DFBB4">
      <w:pPr>
        <w:jc w:val="center"/>
        <w:rPr>
          <w:rFonts w:ascii="Calibri" w:hAnsi="Calibri"/>
          <w:sz w:val="21"/>
        </w:rPr>
      </w:pPr>
    </w:p>
    <w:p w14:paraId="7947EA02">
      <w:pPr>
        <w:rPr>
          <w:rFonts w:ascii="Calibri" w:hAnsi="Calibri"/>
          <w:sz w:val="21"/>
        </w:rPr>
      </w:pPr>
    </w:p>
    <w:p w14:paraId="55645755">
      <w:pPr>
        <w:jc w:val="center"/>
        <w:rPr>
          <w:rFonts w:ascii="黑体" w:hAnsi="黑体" w:eastAsia="黑体" w:cs="黑体"/>
        </w:rPr>
      </w:pPr>
    </w:p>
    <w:p w14:paraId="1FE992D1">
      <w:pPr>
        <w:jc w:val="center"/>
        <w:rPr>
          <w:rFonts w:ascii="黑体" w:hAnsi="黑体" w:eastAsia="黑体" w:cs="黑体"/>
        </w:rPr>
      </w:pPr>
    </w:p>
    <w:p w14:paraId="274C89B6">
      <w:pPr>
        <w:jc w:val="center"/>
        <w:rPr>
          <w:rFonts w:ascii="黑体" w:hAnsi="黑体" w:eastAsia="黑体" w:cs="黑体"/>
        </w:rPr>
      </w:pPr>
    </w:p>
    <w:p w14:paraId="429A0725">
      <w:pPr>
        <w:jc w:val="center"/>
        <w:rPr>
          <w:rFonts w:ascii="黑体" w:hAnsi="黑体" w:eastAsia="黑体" w:cs="黑体"/>
        </w:rPr>
      </w:pPr>
    </w:p>
    <w:p w14:paraId="117EBF3C">
      <w:pPr>
        <w:jc w:val="center"/>
        <w:rPr>
          <w:rFonts w:ascii="黑体" w:hAnsi="黑体" w:eastAsia="黑体" w:cs="黑体"/>
        </w:rPr>
      </w:pPr>
    </w:p>
    <w:p w14:paraId="31E68C46">
      <w:pPr>
        <w:jc w:val="center"/>
        <w:rPr>
          <w:rFonts w:ascii="黑体" w:hAnsi="黑体" w:eastAsia="黑体" w:cs="黑体"/>
        </w:rPr>
      </w:pPr>
    </w:p>
    <w:p w14:paraId="62F31743">
      <w:pPr>
        <w:jc w:val="center"/>
        <w:rPr>
          <w:rFonts w:ascii="黑体" w:hAnsi="黑体" w:eastAsia="黑体" w:cs="黑体"/>
        </w:rPr>
      </w:pPr>
    </w:p>
    <w:p w14:paraId="423E8653">
      <w:pPr>
        <w:jc w:val="center"/>
        <w:rPr>
          <w:rFonts w:ascii="黑体" w:hAnsi="黑体" w:eastAsia="黑体" w:cs="黑体"/>
        </w:rPr>
      </w:pPr>
      <w:r>
        <w:rPr>
          <w:rFonts w:ascii="Calibri" w:hAnsi="Calibri"/>
          <w:sz w:val="21"/>
        </w:rPr>
        <mc:AlternateContent>
          <mc:Choice Requires="wps">
            <w:drawing>
              <wp:anchor distT="0" distB="0" distL="114300" distR="114300" simplePos="0" relativeHeight="251667456" behindDoc="0" locked="0" layoutInCell="1" allowOverlap="1">
                <wp:simplePos x="0" y="0"/>
                <wp:positionH relativeFrom="column">
                  <wp:posOffset>1899920</wp:posOffset>
                </wp:positionH>
                <wp:positionV relativeFrom="paragraph">
                  <wp:posOffset>92710</wp:posOffset>
                </wp:positionV>
                <wp:extent cx="689610" cy="323850"/>
                <wp:effectExtent l="5080" t="4445" r="10160" b="567055"/>
                <wp:wrapNone/>
                <wp:docPr id="7" name="对话气泡: 圆角矩形 4"/>
                <wp:cNvGraphicFramePr/>
                <a:graphic xmlns:a="http://schemas.openxmlformats.org/drawingml/2006/main">
                  <a:graphicData uri="http://schemas.microsoft.com/office/word/2010/wordprocessingShape">
                    <wps:wsp>
                      <wps:cNvSpPr>
                        <a:spLocks noChangeArrowheads="1"/>
                      </wps:cNvSpPr>
                      <wps:spPr bwMode="auto">
                        <a:xfrm>
                          <a:off x="0" y="0"/>
                          <a:ext cx="689610" cy="323850"/>
                        </a:xfrm>
                        <a:prstGeom prst="wedgeRoundRectCallout">
                          <a:avLst>
                            <a:gd name="adj1" fmla="val 41895"/>
                            <a:gd name="adj2" fmla="val 211788"/>
                            <a:gd name="adj3" fmla="val 16667"/>
                          </a:avLst>
                        </a:prstGeom>
                        <a:solidFill>
                          <a:srgbClr val="FFFFFF"/>
                        </a:solidFill>
                        <a:ln w="9525">
                          <a:solidFill>
                            <a:srgbClr val="000000"/>
                          </a:solidFill>
                          <a:miter lim="800000"/>
                        </a:ln>
                      </wps:spPr>
                      <wps:txbx>
                        <w:txbxContent>
                          <w:p w14:paraId="0725314F">
                            <w:pPr>
                              <w:jc w:val="center"/>
                            </w:pPr>
                            <w:r>
                              <w:rPr>
                                <w:rFonts w:hint="eastAsia"/>
                              </w:rPr>
                              <w:t>本项目</w:t>
                            </w:r>
                          </w:p>
                        </w:txbxContent>
                      </wps:txbx>
                      <wps:bodyPr rot="0" vert="horz" wrap="square" lIns="91440" tIns="45720" rIns="91440" bIns="45720" anchor="t" anchorCtr="0" upright="1">
                        <a:noAutofit/>
                      </wps:bodyPr>
                    </wps:wsp>
                  </a:graphicData>
                </a:graphic>
              </wp:anchor>
            </w:drawing>
          </mc:Choice>
          <mc:Fallback>
            <w:pict>
              <v:shape id="对话气泡: 圆角矩形 4" o:spid="_x0000_s1026" o:spt="62" type="#_x0000_t62" style="position:absolute;left:0pt;margin-left:149.6pt;margin-top:7.3pt;height:25.5pt;width:54.3pt;z-index:251667456;mso-width-relative:page;mso-height-relative:page;" fillcolor="#FFFFFF" filled="t" stroked="t" coordsize="21600,21600" o:gfxdata="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CLllPN2AAA&#10;AAkBAAAPAAAAAAAAAAEAIAAAACIAAABkcnMvZG93bnJldi54bWxQSwECFAAUAAAACACHTuJA8VyW&#10;X5ACAAAUBQAADgAAAAAAAAABACAAAAAnAQAAZHJzL2Uyb0RvYy54bWxQSwUGAAAAAAYABgBZAQAA&#10;KQYAAAAA&#10;" adj="19849,56546,14400">
                <v:fill on="t" focussize="0,0"/>
                <v:stroke color="#000000" miterlimit="8" joinstyle="miter"/>
                <v:imagedata o:title=""/>
                <o:lock v:ext="edit" aspectratio="f"/>
                <v:textbox>
                  <w:txbxContent>
                    <w:p w14:paraId="0725314F">
                      <w:pPr>
                        <w:jc w:val="center"/>
                      </w:pPr>
                      <w:r>
                        <w:rPr>
                          <w:rFonts w:hint="eastAsia"/>
                        </w:rPr>
                        <w:t>本项目</w:t>
                      </w:r>
                    </w:p>
                  </w:txbxContent>
                </v:textbox>
              </v:shape>
            </w:pict>
          </mc:Fallback>
        </mc:AlternateContent>
      </w:r>
    </w:p>
    <w:p w14:paraId="7147C8BA">
      <w:pPr>
        <w:jc w:val="center"/>
        <w:rPr>
          <w:rFonts w:ascii="黑体" w:hAnsi="黑体" w:eastAsia="黑体" w:cs="黑体"/>
        </w:rPr>
      </w:pPr>
    </w:p>
    <w:p w14:paraId="4013C13E">
      <w:pPr>
        <w:jc w:val="center"/>
        <w:rPr>
          <w:rFonts w:ascii="黑体" w:hAnsi="黑体" w:eastAsia="黑体" w:cs="黑体"/>
        </w:rPr>
      </w:pPr>
    </w:p>
    <w:p w14:paraId="2F4939E1">
      <w:pPr>
        <w:jc w:val="center"/>
        <w:rPr>
          <w:rFonts w:ascii="黑体" w:hAnsi="黑体" w:eastAsia="黑体" w:cs="黑体"/>
        </w:rPr>
      </w:pPr>
    </w:p>
    <w:p w14:paraId="430BC769">
      <w:pPr>
        <w:jc w:val="center"/>
        <w:rPr>
          <w:rFonts w:ascii="黑体" w:hAnsi="黑体" w:eastAsia="黑体" w:cs="黑体"/>
        </w:rPr>
      </w:pPr>
      <w:r>
        <mc:AlternateContent>
          <mc:Choice Requires="wps">
            <w:drawing>
              <wp:anchor distT="0" distB="0" distL="114300" distR="114300" simplePos="0" relativeHeight="251668480" behindDoc="0" locked="0" layoutInCell="1" allowOverlap="1">
                <wp:simplePos x="0" y="0"/>
                <wp:positionH relativeFrom="column">
                  <wp:posOffset>2494280</wp:posOffset>
                </wp:positionH>
                <wp:positionV relativeFrom="paragraph">
                  <wp:posOffset>116205</wp:posOffset>
                </wp:positionV>
                <wp:extent cx="76200" cy="76200"/>
                <wp:effectExtent l="6350" t="13970" r="31750" b="24130"/>
                <wp:wrapNone/>
                <wp:docPr id="8" name="等腰三角形 8"/>
                <wp:cNvGraphicFramePr/>
                <a:graphic xmlns:a="http://schemas.openxmlformats.org/drawingml/2006/main">
                  <a:graphicData uri="http://schemas.microsoft.com/office/word/2010/wordprocessingShape">
                    <wps:wsp>
                      <wps:cNvSpPr/>
                      <wps:spPr>
                        <a:xfrm rot="10500000" flipH="1" flipV="1">
                          <a:off x="3694430" y="3577590"/>
                          <a:ext cx="76200" cy="76200"/>
                        </a:xfrm>
                        <a:prstGeom prst="triangle">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flip:x y;margin-left:196.4pt;margin-top:9.15pt;height:6pt;width:6pt;rotation:11468800f;z-index:251668480;v-text-anchor:middle;mso-width-relative:page;mso-height-relative:page;" fillcolor="#FF0000" filled="t" stroked="t" coordsize="21600,21600" o:gfxdata="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KTj&#10;rDHWAAAACQEAAA8AAAAAAAAAAQAgAAAAIgAAAGRycy9kb3ducmV2LnhtbFBLAQIUABQAAAAIAIdO&#10;4kCeu/CllwIAAC0FAAAOAAAAAAAAAAEAIAAAACUBAABkcnMvZTJvRG9jLnhtbFBLBQYAAAAABgAG&#10;AFkBAAAuBgAAAAA=&#10;" adj="10800">
                <v:fill on="t" focussize="0,0"/>
                <v:stroke weight="1pt" color="#FF0000 [2404]" miterlimit="8" joinstyle="miter"/>
                <v:imagedata o:title=""/>
                <o:lock v:ext="edit" aspectratio="f"/>
              </v:shape>
            </w:pict>
          </mc:Fallback>
        </mc:AlternateContent>
      </w:r>
    </w:p>
    <w:p w14:paraId="64282EF2">
      <w:pPr>
        <w:jc w:val="center"/>
        <w:rPr>
          <w:rFonts w:ascii="黑体" w:hAnsi="黑体" w:eastAsia="黑体" w:cs="黑体"/>
        </w:rPr>
      </w:pPr>
    </w:p>
    <w:p w14:paraId="6194944E">
      <w:pPr>
        <w:jc w:val="center"/>
        <w:rPr>
          <w:rFonts w:ascii="黑体" w:hAnsi="黑体" w:eastAsia="黑体" w:cs="黑体"/>
        </w:rPr>
      </w:pPr>
    </w:p>
    <w:p w14:paraId="6FC1C6E4">
      <w:pPr>
        <w:jc w:val="center"/>
        <w:rPr>
          <w:rFonts w:ascii="黑体" w:hAnsi="黑体" w:eastAsia="黑体" w:cs="黑体"/>
        </w:rPr>
      </w:pPr>
    </w:p>
    <w:p w14:paraId="4ADAA133">
      <w:pPr>
        <w:jc w:val="center"/>
        <w:rPr>
          <w:rFonts w:ascii="黑体" w:hAnsi="黑体" w:eastAsia="黑体" w:cs="黑体"/>
        </w:rPr>
      </w:pPr>
    </w:p>
    <w:p w14:paraId="438B86AE">
      <w:pPr>
        <w:jc w:val="center"/>
        <w:rPr>
          <w:rFonts w:ascii="黑体" w:hAnsi="黑体" w:eastAsia="黑体" w:cs="黑体"/>
        </w:rPr>
      </w:pPr>
    </w:p>
    <w:p w14:paraId="57E6CBBE">
      <w:pPr>
        <w:jc w:val="center"/>
        <w:rPr>
          <w:rFonts w:ascii="黑体" w:hAnsi="黑体" w:eastAsia="黑体" w:cs="黑体"/>
        </w:rPr>
      </w:pPr>
    </w:p>
    <w:p w14:paraId="7A17A084">
      <w:pPr>
        <w:jc w:val="center"/>
        <w:rPr>
          <w:rFonts w:ascii="黑体" w:hAnsi="黑体" w:eastAsia="黑体" w:cs="黑体"/>
        </w:rPr>
      </w:pPr>
    </w:p>
    <w:p w14:paraId="378C86E4">
      <w:pPr>
        <w:jc w:val="center"/>
        <w:rPr>
          <w:rFonts w:ascii="黑体" w:hAnsi="黑体" w:eastAsia="黑体" w:cs="黑体"/>
        </w:rPr>
      </w:pPr>
    </w:p>
    <w:p w14:paraId="77793691">
      <w:pPr>
        <w:jc w:val="center"/>
        <w:rPr>
          <w:rFonts w:ascii="黑体" w:hAnsi="黑体" w:eastAsia="黑体" w:cs="黑体"/>
        </w:rPr>
      </w:pPr>
      <w:r>
        <w:rPr>
          <w:rFonts w:hint="eastAsia" w:ascii="黑体" w:hAnsi="黑体" w:eastAsia="黑体" w:cs="黑体"/>
        </w:rPr>
        <w:t>附图一  本项目地理位置图</w:t>
      </w:r>
    </w:p>
    <w:p w14:paraId="3679F083">
      <w:pPr>
        <w:pStyle w:val="29"/>
        <w:spacing w:before="249" w:beforeLines="80" w:after="31"/>
        <w:jc w:val="left"/>
        <w:rPr>
          <w:color w:val="000000" w:themeColor="text1"/>
          <w14:textFill>
            <w14:solidFill>
              <w14:schemeClr w14:val="tx1"/>
            </w14:solidFill>
          </w14:textFill>
        </w:rPr>
        <w:sectPr>
          <w:footerReference r:id="rId4" w:type="default"/>
          <w:pgSz w:w="16838" w:h="11906" w:orient="landscape"/>
          <w:pgMar w:top="1134" w:right="1701" w:bottom="1134" w:left="1701" w:header="851" w:footer="992" w:gutter="0"/>
          <w:cols w:space="720" w:num="1"/>
          <w:docGrid w:type="lines" w:linePitch="312" w:charSpace="0"/>
        </w:sectPr>
      </w:pPr>
    </w:p>
    <w:p w14:paraId="3D73B979">
      <w:pPr>
        <w:rPr>
          <w:rFonts w:ascii="Calibri" w:hAnsi="Calibri"/>
          <w:sz w:val="21"/>
        </w:rPr>
      </w:pPr>
    </w:p>
    <w:p w14:paraId="371AA224">
      <w:pPr>
        <w:rPr>
          <w:rFonts w:ascii="Calibri" w:hAnsi="Calibri"/>
          <w:sz w:val="21"/>
        </w:rPr>
      </w:pPr>
    </w:p>
    <w:p w14:paraId="629F7FD0">
      <w:pPr>
        <w:rPr>
          <w:rFonts w:ascii="Calibri" w:hAnsi="Calibri"/>
          <w:sz w:val="21"/>
        </w:rPr>
      </w:pPr>
      <w:r>
        <w:rPr>
          <w:rFonts w:ascii="Calibri" w:hAnsi="Calibri"/>
          <w:sz w:val="21"/>
        </w:rPr>
        <mc:AlternateContent>
          <mc:Choice Requires="wps">
            <w:drawing>
              <wp:anchor distT="0" distB="0" distL="114300" distR="114300" simplePos="0" relativeHeight="251665408" behindDoc="0" locked="0" layoutInCell="1" allowOverlap="1">
                <wp:simplePos x="0" y="0"/>
                <wp:positionH relativeFrom="column">
                  <wp:posOffset>68580</wp:posOffset>
                </wp:positionH>
                <wp:positionV relativeFrom="paragraph">
                  <wp:posOffset>3665220</wp:posOffset>
                </wp:positionV>
                <wp:extent cx="689610" cy="323850"/>
                <wp:effectExtent l="5080" t="4445" r="10160" b="567055"/>
                <wp:wrapNone/>
                <wp:docPr id="936132939" name="对话气泡: 圆角矩形 4"/>
                <wp:cNvGraphicFramePr/>
                <a:graphic xmlns:a="http://schemas.openxmlformats.org/drawingml/2006/main">
                  <a:graphicData uri="http://schemas.microsoft.com/office/word/2010/wordprocessingShape">
                    <wps:wsp>
                      <wps:cNvSpPr>
                        <a:spLocks noChangeArrowheads="1"/>
                      </wps:cNvSpPr>
                      <wps:spPr bwMode="auto">
                        <a:xfrm>
                          <a:off x="0" y="0"/>
                          <a:ext cx="689610" cy="323850"/>
                        </a:xfrm>
                        <a:prstGeom prst="wedgeRoundRectCallout">
                          <a:avLst>
                            <a:gd name="adj1" fmla="val 41895"/>
                            <a:gd name="adj2" fmla="val 211788"/>
                            <a:gd name="adj3" fmla="val 16667"/>
                          </a:avLst>
                        </a:prstGeom>
                        <a:solidFill>
                          <a:srgbClr val="FFFFFF"/>
                        </a:solidFill>
                        <a:ln w="9525">
                          <a:solidFill>
                            <a:srgbClr val="000000"/>
                          </a:solidFill>
                          <a:miter lim="800000"/>
                        </a:ln>
                      </wps:spPr>
                      <wps:txbx>
                        <w:txbxContent>
                          <w:p w14:paraId="6F24BD1E">
                            <w:pPr>
                              <w:jc w:val="center"/>
                            </w:pPr>
                            <w:r>
                              <w:rPr>
                                <w:rFonts w:hint="eastAsia"/>
                              </w:rPr>
                              <w:t>本项目</w:t>
                            </w:r>
                          </w:p>
                        </w:txbxContent>
                      </wps:txbx>
                      <wps:bodyPr rot="0" vert="horz" wrap="square" lIns="91440" tIns="45720" rIns="91440" bIns="45720" anchor="t" anchorCtr="0" upright="1">
                        <a:noAutofit/>
                      </wps:bodyPr>
                    </wps:wsp>
                  </a:graphicData>
                </a:graphic>
              </wp:anchor>
            </w:drawing>
          </mc:Choice>
          <mc:Fallback>
            <w:pict>
              <v:shape id="对话气泡: 圆角矩形 4" o:spid="_x0000_s1026" o:spt="62" type="#_x0000_t62" style="position:absolute;left:0pt;margin-left:5.4pt;margin-top:288.6pt;height:25.5pt;width:54.3pt;z-index:251665408;mso-width-relative:page;mso-height-relative:page;" fillcolor="#FFFFFF" filled="t" stroked="t" coordsize="21600,21600" o:gfxdata="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0kqgTZAAAACgEAAA8AAAAAAAAAAQAgAAAAIgAAAGRycy9kb3ducmV2LnhtbFBLAQIUABQAAAAI&#10;AIdO4kDh7yp2lwIAABwFAAAOAAAAAAAAAAEAIAAAACgBAABkcnMvZTJvRG9jLnhtbFBLBQYAAAAA&#10;BgAGAFkBAAAxBgAAAAA=&#10;" adj="19849,56546,14400">
                <v:fill on="t" focussize="0,0"/>
                <v:stroke color="#000000" miterlimit="8" joinstyle="miter"/>
                <v:imagedata o:title=""/>
                <o:lock v:ext="edit" aspectratio="f"/>
                <v:textbox>
                  <w:txbxContent>
                    <w:p w14:paraId="6F24BD1E">
                      <w:pPr>
                        <w:jc w:val="center"/>
                      </w:pPr>
                      <w:r>
                        <w:rPr>
                          <w:rFonts w:hint="eastAsia"/>
                        </w:rPr>
                        <w:t>本项目</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636270</wp:posOffset>
                </wp:positionH>
                <wp:positionV relativeFrom="paragraph">
                  <wp:posOffset>4436745</wp:posOffset>
                </wp:positionV>
                <wp:extent cx="128905" cy="135255"/>
                <wp:effectExtent l="8890" t="7620" r="14605" b="9525"/>
                <wp:wrapNone/>
                <wp:docPr id="9" name="任意多边形 9"/>
                <wp:cNvGraphicFramePr/>
                <a:graphic xmlns:a="http://schemas.openxmlformats.org/drawingml/2006/main">
                  <a:graphicData uri="http://schemas.microsoft.com/office/word/2010/wordprocessingShape">
                    <wps:wsp>
                      <wps:cNvSpPr/>
                      <wps:spPr>
                        <a:xfrm>
                          <a:off x="1716405" y="5553075"/>
                          <a:ext cx="128905" cy="135255"/>
                        </a:xfrm>
                        <a:custGeom>
                          <a:avLst/>
                          <a:gdLst>
                            <a:gd name="connisteX0" fmla="*/ 55880 w 128905"/>
                            <a:gd name="connsiteY0" fmla="*/ 0 h 135255"/>
                            <a:gd name="connisteX1" fmla="*/ 128905 w 128905"/>
                            <a:gd name="connsiteY1" fmla="*/ 27940 h 135255"/>
                            <a:gd name="connisteX2" fmla="*/ 73025 w 128905"/>
                            <a:gd name="connsiteY2" fmla="*/ 135255 h 135255"/>
                            <a:gd name="connisteX3" fmla="*/ 0 w 128905"/>
                            <a:gd name="connsiteY3" fmla="*/ 100965 h 135255"/>
                            <a:gd name="connisteX4" fmla="*/ 55880 w 128905"/>
                            <a:gd name="connsiteY4" fmla="*/ 0 h 13525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128905" h="135255">
                              <a:moveTo>
                                <a:pt x="55880" y="0"/>
                              </a:moveTo>
                              <a:lnTo>
                                <a:pt x="128905" y="27940"/>
                              </a:lnTo>
                              <a:lnTo>
                                <a:pt x="73025" y="135255"/>
                              </a:lnTo>
                              <a:lnTo>
                                <a:pt x="0" y="100965"/>
                              </a:lnTo>
                              <a:lnTo>
                                <a:pt x="55880" y="0"/>
                              </a:lnTo>
                              <a:close/>
                            </a:path>
                          </a:pathLst>
                        </a:cu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50.1pt;margin-top:349.35pt;height:10.65pt;width:10.15pt;z-index:251664384;mso-width-relative:page;mso-height-relative:page;" filled="f" stroked="t" coordsize="128905,135255" o:gfxdata="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C3wxjC2QAAAAsBAAAPAAAAAAAAAAEAIAAAACIAAABkcnMvZG93bnJldi54bWxQ&#10;SwECFAAUAAAACACHTuJAtuh5rhMDAABECAAADgAAAAAAAAABACAAAAAoAQAAZHJzL2Uyb0RvYy54&#10;bWxQSwUGAAAAAAYABgBZAQAArQYAAAAA&#10;" path="m55880,0l128905,27940,73025,135255,0,100965,55880,0xe">
                <v:path o:connectlocs="55880,0;128905,27940;73025,135255;0,100965;55880,0" o:connectangles="0,0,0,0,0"/>
                <v:fill on="f" focussize="0,0"/>
                <v:stroke weight="1pt" color="#000000 [3213]" miterlimit="8" joinstyle="miter"/>
                <v:imagedata o:title=""/>
                <o:lock v:ext="edit" aspectratio="f"/>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1435100</wp:posOffset>
                </wp:positionH>
                <wp:positionV relativeFrom="paragraph">
                  <wp:posOffset>4925060</wp:posOffset>
                </wp:positionV>
                <wp:extent cx="719455" cy="216535"/>
                <wp:effectExtent l="0" t="14605" r="4445" b="16510"/>
                <wp:wrapNone/>
                <wp:docPr id="5" name="直接箭头连接符 5"/>
                <wp:cNvGraphicFramePr/>
                <a:graphic xmlns:a="http://schemas.openxmlformats.org/drawingml/2006/main">
                  <a:graphicData uri="http://schemas.microsoft.com/office/word/2010/wordprocessingShape">
                    <wps:wsp>
                      <wps:cNvCnPr/>
                      <wps:spPr>
                        <a:xfrm flipH="1" flipV="1">
                          <a:off x="2515235" y="6041390"/>
                          <a:ext cx="719455" cy="216535"/>
                        </a:xfrm>
                        <a:prstGeom prst="straightConnector1">
                          <a:avLst/>
                        </a:prstGeom>
                        <a:ln>
                          <a:solidFill>
                            <a:schemeClr val="tx1"/>
                          </a:solidFill>
                          <a:headEnd type="none" w="med" len="med"/>
                          <a:tailEnd type="triangle" w="med" len="me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113pt;margin-top:387.8pt;height:17.05pt;width:56.65pt;z-index:251663360;mso-width-relative:page;mso-height-relative:page;" filled="f" stroked="t" coordsize="21600,21600" o:gfxdata="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IbsTzdwAAAALAQAADwAAAAAAAAABACAAAAAiAAAAZHJz&#10;L2Rvd25yZXYueG1sUEsBAhQAFAAAAAgAh07iQIhjcos5AgAAQgQAAA4AAAAAAAAAAQAgAAAAKwEA&#10;AGRycy9lMm9Eb2MueG1sUEsFBgAAAAAGAAYAWQEAANYFAAAAAA==&#10;">
                <v:fill on="f" focussize="0,0"/>
                <v:stroke weight="1pt" color="#000000 [3213]" miterlimit="8" joinstyle="miter" endarrow="block"/>
                <v:imagedata o:title=""/>
                <o:lock v:ext="edit" aspectratio="f"/>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2149475</wp:posOffset>
                </wp:positionH>
                <wp:positionV relativeFrom="paragraph">
                  <wp:posOffset>5147310</wp:posOffset>
                </wp:positionV>
                <wp:extent cx="531495" cy="508000"/>
                <wp:effectExtent l="6350" t="6350" r="14605" b="19050"/>
                <wp:wrapNone/>
                <wp:docPr id="4" name="矩形 4"/>
                <wp:cNvGraphicFramePr/>
                <a:graphic xmlns:a="http://schemas.openxmlformats.org/drawingml/2006/main">
                  <a:graphicData uri="http://schemas.microsoft.com/office/word/2010/wordprocessingShape">
                    <wps:wsp>
                      <wps:cNvSpPr/>
                      <wps:spPr>
                        <a:xfrm>
                          <a:off x="3229610" y="6263640"/>
                          <a:ext cx="531495" cy="508000"/>
                        </a:xfrm>
                        <a:prstGeom prst="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9.25pt;margin-top:405.3pt;height:40pt;width:41.85pt;z-index:251662336;v-text-anchor:middle;mso-width-relative:page;mso-height-relative:page;" filled="f" stroked="t" coordsize="21600,21600" o:gfxdata="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3F/JWtkAAAALAQAADwAAAAAAAAABACAAAAAiAAAAZHJz&#10;L2Rvd25yZXYueG1sUEsBAhQAFAAAAAgAh07iQIK3whJ1AgAA1gQAAA4AAAAAAAAAAQAgAAAAKAEA&#10;AGRycy9lMm9Eb2MueG1sUEsFBgAAAAAGAAYAWQEAAA8GAAAAAA==&#10;">
                <v:fill on="f" focussize="0,0"/>
                <v:stroke weight="1pt" color="#000000 [3213]" miterlimit="8" joinstyle="miter"/>
                <v:imagedata o:title=""/>
                <o:lock v:ext="edit" aspectratio="f"/>
              </v:rect>
            </w:pict>
          </mc:Fallback>
        </mc:AlternateContent>
      </w:r>
      <w:r>
        <w:drawing>
          <wp:anchor distT="0" distB="0" distL="114300" distR="114300" simplePos="0" relativeHeight="251661312" behindDoc="0" locked="0" layoutInCell="1" allowOverlap="1">
            <wp:simplePos x="0" y="0"/>
            <wp:positionH relativeFrom="column">
              <wp:posOffset>-27305</wp:posOffset>
            </wp:positionH>
            <wp:positionV relativeFrom="paragraph">
              <wp:posOffset>4053840</wp:posOffset>
            </wp:positionV>
            <wp:extent cx="1454150" cy="1224280"/>
            <wp:effectExtent l="12700" t="12700" r="19050" b="20320"/>
            <wp:wrapSquare wrapText="bothSides"/>
            <wp:docPr id="2" name="图片 2" descr="448c283c-1a65-4799-9576-67de55b497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48c283c-1a65-4799-9576-67de55b4970c"/>
                    <pic:cNvPicPr>
                      <a:picLocks noChangeAspect="1"/>
                    </pic:cNvPicPr>
                  </pic:nvPicPr>
                  <pic:blipFill>
                    <a:blip r:embed="rId25"/>
                    <a:stretch>
                      <a:fillRect/>
                    </a:stretch>
                  </pic:blipFill>
                  <pic:spPr>
                    <a:xfrm>
                      <a:off x="0" y="0"/>
                      <a:ext cx="1454150" cy="1224280"/>
                    </a:xfrm>
                    <a:prstGeom prst="rect">
                      <a:avLst/>
                    </a:prstGeom>
                    <a:ln w="12700">
                      <a:solidFill>
                        <a:schemeClr val="tx1"/>
                      </a:solidFill>
                    </a:ln>
                  </pic:spPr>
                </pic:pic>
              </a:graphicData>
            </a:graphic>
          </wp:anchor>
        </w:drawing>
      </w:r>
      <w:r>
        <w:drawing>
          <wp:anchor distT="0" distB="0" distL="114300" distR="114300" simplePos="0" relativeHeight="251660288" behindDoc="0" locked="0" layoutInCell="1" allowOverlap="1">
            <wp:simplePos x="0" y="0"/>
            <wp:positionH relativeFrom="column">
              <wp:posOffset>-463550</wp:posOffset>
            </wp:positionH>
            <wp:positionV relativeFrom="paragraph">
              <wp:posOffset>26670</wp:posOffset>
            </wp:positionV>
            <wp:extent cx="6489700" cy="7860030"/>
            <wp:effectExtent l="9525" t="9525" r="15875" b="17145"/>
            <wp:wrapSquare wrapText="bothSides"/>
            <wp:docPr id="1" name="图片 638" descr="榆林规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38" descr="榆林规划图1"/>
                    <pic:cNvPicPr>
                      <a:picLocks noChangeAspect="1"/>
                    </pic:cNvPicPr>
                  </pic:nvPicPr>
                  <pic:blipFill>
                    <a:blip r:embed="rId26"/>
                    <a:stretch>
                      <a:fillRect/>
                    </a:stretch>
                  </pic:blipFill>
                  <pic:spPr>
                    <a:xfrm>
                      <a:off x="0" y="0"/>
                      <a:ext cx="6489700" cy="7860030"/>
                    </a:xfrm>
                    <a:prstGeom prst="rect">
                      <a:avLst/>
                    </a:prstGeom>
                    <a:noFill/>
                    <a:ln w="9525" cap="flat" cmpd="sng">
                      <a:solidFill>
                        <a:srgbClr val="0000FF"/>
                      </a:solidFill>
                      <a:prstDash val="solid"/>
                      <a:miter/>
                      <a:headEnd type="none" w="med" len="med"/>
                      <a:tailEnd type="none" w="med" len="med"/>
                    </a:ln>
                  </pic:spPr>
                </pic:pic>
              </a:graphicData>
            </a:graphic>
          </wp:anchor>
        </w:drawing>
      </w:r>
    </w:p>
    <w:p w14:paraId="46A65361">
      <w:pPr>
        <w:jc w:val="center"/>
        <w:rPr>
          <w:sz w:val="21"/>
        </w:rPr>
      </w:pPr>
      <w:r>
        <w:rPr>
          <w:rFonts w:eastAsia="黑体"/>
        </w:rPr>
        <w:t>附图二  本项目</w:t>
      </w:r>
      <w:r>
        <w:rPr>
          <w:rFonts w:hint="eastAsia" w:eastAsia="黑体"/>
        </w:rPr>
        <w:t>土地利用</w:t>
      </w:r>
      <w:r>
        <w:rPr>
          <w:rFonts w:eastAsia="黑体"/>
        </w:rPr>
        <w:t>规划位置图</w:t>
      </w:r>
    </w:p>
    <w:p w14:paraId="70F476F1">
      <w:pPr>
        <w:pStyle w:val="29"/>
        <w:spacing w:before="249" w:beforeLines="80" w:after="31"/>
        <w:jc w:val="left"/>
        <w:rPr>
          <w:color w:val="000000" w:themeColor="text1"/>
          <w14:textFill>
            <w14:solidFill>
              <w14:schemeClr w14:val="tx1"/>
            </w14:solidFill>
          </w14:textFill>
        </w:rPr>
        <w:sectPr>
          <w:pgSz w:w="11906" w:h="16838"/>
          <w:pgMar w:top="1134" w:right="1701" w:bottom="1134" w:left="1701" w:header="851" w:footer="992" w:gutter="0"/>
          <w:cols w:space="720" w:num="1"/>
          <w:docGrid w:type="lines" w:linePitch="312" w:charSpace="0"/>
        </w:sectPr>
      </w:pPr>
    </w:p>
    <w:p w14:paraId="0BF5FB43">
      <w:pPr>
        <w:rPr>
          <w:rFonts w:ascii="Calibri" w:hAnsi="Calibri"/>
          <w:sz w:val="21"/>
        </w:rPr>
      </w:pPr>
      <w:r>
        <w:rPr>
          <w:sz w:val="21"/>
        </w:rPr>
        <mc:AlternateContent>
          <mc:Choice Requires="wps">
            <w:drawing>
              <wp:anchor distT="0" distB="0" distL="114300" distR="114300" simplePos="0" relativeHeight="251692032" behindDoc="0" locked="0" layoutInCell="1" allowOverlap="1">
                <wp:simplePos x="0" y="0"/>
                <wp:positionH relativeFrom="column">
                  <wp:posOffset>2129155</wp:posOffset>
                </wp:positionH>
                <wp:positionV relativeFrom="paragraph">
                  <wp:posOffset>180340</wp:posOffset>
                </wp:positionV>
                <wp:extent cx="83185" cy="95250"/>
                <wp:effectExtent l="6350" t="6350" r="24765" b="12700"/>
                <wp:wrapNone/>
                <wp:docPr id="40" name="椭圆 40"/>
                <wp:cNvGraphicFramePr/>
                <a:graphic xmlns:a="http://schemas.openxmlformats.org/drawingml/2006/main">
                  <a:graphicData uri="http://schemas.microsoft.com/office/word/2010/wordprocessingShape">
                    <wps:wsp>
                      <wps:cNvSpPr/>
                      <wps:spPr>
                        <a:xfrm>
                          <a:off x="3562985" y="826135"/>
                          <a:ext cx="83185" cy="95250"/>
                        </a:xfrm>
                        <a:prstGeom prst="ellipse">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67.65pt;margin-top:14.2pt;height:7.5pt;width:6.55pt;z-index:251692032;v-text-anchor:middle;mso-width-relative:page;mso-height-relative:page;" filled="f" stroked="t" coordsize="21600,21600" o:gfxdata="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roh+1NcAAAAJAQAADwAAAAAAAAABACAAAAAiAAAAZHJzL2Rv&#10;d25yZXYueG1sUEsBAhQAFAAAAAgAh07iQFdtIHx0AgAA2AQAAA4AAAAAAAAAAQAgAAAAJgEAAGRy&#10;cy9lMm9Eb2MueG1sUEsFBgAAAAAGAAYAWQEAAAwGAAAAAA==&#10;">
                <v:fill on="f" focussize="0,0"/>
                <v:stroke weight="1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2324100</wp:posOffset>
                </wp:positionH>
                <wp:positionV relativeFrom="paragraph">
                  <wp:posOffset>73660</wp:posOffset>
                </wp:positionV>
                <wp:extent cx="761365" cy="294005"/>
                <wp:effectExtent l="0" t="0" r="635" b="10795"/>
                <wp:wrapNone/>
                <wp:docPr id="46" name="文本框 46"/>
                <wp:cNvGraphicFramePr/>
                <a:graphic xmlns:a="http://schemas.openxmlformats.org/drawingml/2006/main">
                  <a:graphicData uri="http://schemas.microsoft.com/office/word/2010/wordprocessingShape">
                    <wps:wsp>
                      <wps:cNvSpPr txBox="1"/>
                      <wps:spPr>
                        <a:xfrm>
                          <a:off x="3404235" y="793750"/>
                          <a:ext cx="761365" cy="2940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F07A95">
                            <w:r>
                              <w:rPr>
                                <w:rFonts w:hint="eastAsia"/>
                              </w:rPr>
                              <w:t>DA001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3pt;margin-top:5.8pt;height:23.15pt;width:59.95pt;z-index:251696128;mso-width-relative:page;mso-height-relative:page;" filled="f" stroked="f" coordsize="21600,21600" o:gfxdata="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O0Rhl2wAAAAkBAAAPAAAAAAAAAAEA&#10;IAAAACIAAABkcnMvZG93bnJldi54bWxQSwECFAAUAAAACACHTuJARo82+0UCAAByBAAADgAAAAAA&#10;AAABACAAAAAqAQAAZHJzL2Uyb0RvYy54bWxQSwUGAAAAAAYABgBZAQAA4QUAAAAA&#10;">
                <v:fill on="f" focussize="0,0"/>
                <v:stroke on="f" weight="0.5pt"/>
                <v:imagedata o:title=""/>
                <o:lock v:ext="edit" aspectratio="f"/>
                <v:textbox>
                  <w:txbxContent>
                    <w:p w14:paraId="44F07A95">
                      <w:r>
                        <w:rPr>
                          <w:rFonts w:hint="eastAsia"/>
                        </w:rPr>
                        <w:t>DA001</w:t>
                      </w:r>
                    </w:p>
                  </w:txbxContent>
                </v:textbox>
              </v:shape>
            </w:pict>
          </mc:Fallback>
        </mc:AlternateContent>
      </w:r>
      <w:r>
        <w:rPr>
          <w:rFonts w:hint="eastAsia" w:ascii="Calibri" w:hAnsi="Calibri"/>
          <w:sz w:val="21"/>
        </w:rPr>
        <w:drawing>
          <wp:anchor distT="0" distB="0" distL="114300" distR="114300" simplePos="0" relativeHeight="251695104" behindDoc="0" locked="0" layoutInCell="1" allowOverlap="1">
            <wp:simplePos x="0" y="0"/>
            <wp:positionH relativeFrom="column">
              <wp:posOffset>4930140</wp:posOffset>
            </wp:positionH>
            <wp:positionV relativeFrom="paragraph">
              <wp:posOffset>78105</wp:posOffset>
            </wp:positionV>
            <wp:extent cx="436880" cy="635000"/>
            <wp:effectExtent l="0" t="0" r="1270" b="12700"/>
            <wp:wrapSquare wrapText="bothSides"/>
            <wp:docPr id="44" name="图片 44" descr="4e5cb703-8a9c-47cf-9ba4-4afc69e68b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4e5cb703-8a9c-47cf-9ba4-4afc69e68b70"/>
                    <pic:cNvPicPr>
                      <a:picLocks noChangeAspect="1"/>
                    </pic:cNvPicPr>
                  </pic:nvPicPr>
                  <pic:blipFill>
                    <a:blip r:embed="rId23"/>
                    <a:stretch>
                      <a:fillRect/>
                    </a:stretch>
                  </pic:blipFill>
                  <pic:spPr>
                    <a:xfrm>
                      <a:off x="0" y="0"/>
                      <a:ext cx="436880" cy="635000"/>
                    </a:xfrm>
                    <a:prstGeom prst="rect">
                      <a:avLst/>
                    </a:prstGeom>
                  </pic:spPr>
                </pic:pic>
              </a:graphicData>
            </a:graphic>
          </wp:anchor>
        </w:drawing>
      </w:r>
      <w:r>
        <w:rPr>
          <w:sz w:val="21"/>
        </w:rPr>
        <mc:AlternateContent>
          <mc:Choice Requires="wps">
            <w:drawing>
              <wp:anchor distT="0" distB="0" distL="114300" distR="114300" simplePos="0" relativeHeight="251659264" behindDoc="0" locked="0" layoutInCell="1" allowOverlap="1">
                <wp:simplePos x="0" y="0"/>
                <wp:positionH relativeFrom="column">
                  <wp:posOffset>90805</wp:posOffset>
                </wp:positionH>
                <wp:positionV relativeFrom="paragraph">
                  <wp:posOffset>19050</wp:posOffset>
                </wp:positionV>
                <wp:extent cx="5292725" cy="8401050"/>
                <wp:effectExtent l="4445" t="4445" r="17780" b="14605"/>
                <wp:wrapNone/>
                <wp:docPr id="42" name="文本框 42"/>
                <wp:cNvGraphicFramePr/>
                <a:graphic xmlns:a="http://schemas.openxmlformats.org/drawingml/2006/main">
                  <a:graphicData uri="http://schemas.microsoft.com/office/word/2010/wordprocessingShape">
                    <wps:wsp>
                      <wps:cNvSpPr txBox="1"/>
                      <wps:spPr>
                        <a:xfrm>
                          <a:off x="1170940" y="662305"/>
                          <a:ext cx="5292725" cy="8401050"/>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CC293B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15pt;margin-top:1.5pt;height:661.5pt;width:416.75pt;z-index:251659264;mso-width-relative:page;mso-height-relative:page;" filled="f" stroked="t" coordsize="21600,21600" o:gfxdata="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b6aIwNkAAAAJAQAADwAAAAAAAAABACAAAAAiAAAAZHJzL2Rvd25yZXYueG1sUEsBAhQAFAAAAAgA&#10;h07iQIUPm7RdAgAAnAQAAA4AAAAAAAAAAQAgAAAAKAEAAGRycy9lMm9Eb2MueG1sUEsFBgAAAAAG&#10;AAYAWQEAAPcFAAAAAA==&#10;">
                <v:fill on="f" focussize="0,0"/>
                <v:stroke weight="0.5pt" color="#000000 [3204]" joinstyle="round"/>
                <v:imagedata o:title=""/>
                <o:lock v:ext="edit" aspectratio="f"/>
                <v:textbox>
                  <w:txbxContent>
                    <w:p w14:paraId="2CC293BC"/>
                  </w:txbxContent>
                </v:textbox>
              </v:shape>
            </w:pict>
          </mc:Fallback>
        </mc:AlternateContent>
      </w:r>
    </w:p>
    <w:p w14:paraId="1A729BE2">
      <w:pPr>
        <w:rPr>
          <w:rFonts w:ascii="Calibri" w:hAnsi="Calibri"/>
          <w:sz w:val="21"/>
        </w:rPr>
      </w:pPr>
      <w:r>
        <w:rPr>
          <w:sz w:val="21"/>
        </w:rPr>
        <mc:AlternateContent>
          <mc:Choice Requires="wps">
            <w:drawing>
              <wp:anchor distT="0" distB="0" distL="114300" distR="114300" simplePos="0" relativeHeight="251681792" behindDoc="0" locked="0" layoutInCell="1" allowOverlap="1">
                <wp:simplePos x="0" y="0"/>
                <wp:positionH relativeFrom="column">
                  <wp:posOffset>1429385</wp:posOffset>
                </wp:positionH>
                <wp:positionV relativeFrom="paragraph">
                  <wp:posOffset>148590</wp:posOffset>
                </wp:positionV>
                <wp:extent cx="1463675" cy="389890"/>
                <wp:effectExtent l="4445" t="4445" r="17780" b="5715"/>
                <wp:wrapNone/>
                <wp:docPr id="28" name="文本框 28"/>
                <wp:cNvGraphicFramePr/>
                <a:graphic xmlns:a="http://schemas.openxmlformats.org/drawingml/2006/main">
                  <a:graphicData uri="http://schemas.microsoft.com/office/word/2010/wordprocessingShape">
                    <wps:wsp>
                      <wps:cNvSpPr txBox="1"/>
                      <wps:spPr>
                        <a:xfrm>
                          <a:off x="2832100" y="960755"/>
                          <a:ext cx="1463675" cy="3898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19755EA">
                            <w:pPr>
                              <w:spacing w:line="360" w:lineRule="auto"/>
                              <w:jc w:val="center"/>
                            </w:pPr>
                            <w:r>
                              <w:rPr>
                                <w:rFonts w:hint="eastAsia"/>
                              </w:rPr>
                              <w:t>锅炉房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2.55pt;margin-top:11.7pt;height:30.7pt;width:115.25pt;z-index:251681792;mso-width-relative:page;mso-height-relative:page;" fillcolor="#FFFFFF [3201]" filled="t" stroked="t" coordsize="21600,21600" o:gfxdata="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8EKyDVAAAACQEAAA8AAAAAAAAAAQAgAAAAIgAAAGRycy9kb3ducmV2LnhtbFBLAQIUABQA&#10;AAAIAIdO4kA2irn9ZQIAAMUEAAAOAAAAAAAAAAEAIAAAACQBAABkcnMvZTJvRG9jLnhtbFBLBQYA&#10;AAAABgAGAFkBAAD7BQAAAAA=&#10;">
                <v:fill on="t" focussize="0,0"/>
                <v:stroke weight="0.5pt" color="#000000 [3213]" joinstyle="round"/>
                <v:imagedata o:title=""/>
                <o:lock v:ext="edit" aspectratio="f"/>
                <v:textbox>
                  <w:txbxContent>
                    <w:p w14:paraId="119755EA">
                      <w:pPr>
                        <w:spacing w:line="360" w:lineRule="auto"/>
                        <w:jc w:val="center"/>
                      </w:pPr>
                      <w:r>
                        <w:rPr>
                          <w:rFonts w:hint="eastAsia"/>
                        </w:rPr>
                        <w:t>锅炉房</w:t>
                      </w:r>
                    </w:p>
                  </w:txbxContent>
                </v:textbox>
              </v:shape>
            </w:pict>
          </mc:Fallback>
        </mc:AlternateContent>
      </w:r>
    </w:p>
    <w:p w14:paraId="5E6AAD4D">
      <w:pPr>
        <w:rPr>
          <w:rFonts w:ascii="Calibri" w:hAnsi="Calibri"/>
          <w:sz w:val="21"/>
        </w:rPr>
      </w:pPr>
    </w:p>
    <w:p w14:paraId="31EBE4E1">
      <w:pPr>
        <w:rPr>
          <w:rFonts w:ascii="Calibri" w:hAnsi="Calibri"/>
          <w:sz w:val="21"/>
        </w:rPr>
      </w:pPr>
      <w:r>
        <w:rPr>
          <w:sz w:val="21"/>
        </w:rPr>
        <mc:AlternateContent>
          <mc:Choice Requires="wps">
            <w:drawing>
              <wp:anchor distT="0" distB="0" distL="114300" distR="114300" simplePos="0" relativeHeight="251697152" behindDoc="0" locked="0" layoutInCell="1" allowOverlap="1">
                <wp:simplePos x="0" y="0"/>
                <wp:positionH relativeFrom="column">
                  <wp:posOffset>1974850</wp:posOffset>
                </wp:positionH>
                <wp:positionV relativeFrom="paragraph">
                  <wp:posOffset>194310</wp:posOffset>
                </wp:positionV>
                <wp:extent cx="666750" cy="274955"/>
                <wp:effectExtent l="0" t="0" r="0" b="10795"/>
                <wp:wrapNone/>
                <wp:docPr id="47" name="文本框 47"/>
                <wp:cNvGraphicFramePr/>
                <a:graphic xmlns:a="http://schemas.openxmlformats.org/drawingml/2006/main">
                  <a:graphicData uri="http://schemas.microsoft.com/office/word/2010/wordprocessingShape">
                    <wps:wsp>
                      <wps:cNvSpPr txBox="1"/>
                      <wps:spPr>
                        <a:xfrm>
                          <a:off x="3171190" y="1519555"/>
                          <a:ext cx="666750" cy="274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1E607">
                            <w:r>
                              <w:rPr>
                                <w:rFonts w:hint="eastAsia"/>
                              </w:rPr>
                              <w:t>DA002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5.5pt;margin-top:15.3pt;height:21.65pt;width:52.5pt;z-index:251697152;mso-width-relative:page;mso-height-relative:page;" filled="f" stroked="f" coordsize="21600,21600" o:gfxdata="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MQWp5TbAAAACQEAAA8AAAAAAAAAAQAg&#10;AAAAIgAAAGRycy9kb3ducmV2LnhtbFBLAQIUABQAAAAIAIdO4kBSix3LRAIAAHMEAAAOAAAAAAAA&#10;AAEAIAAAACoBAABkcnMvZTJvRG9jLnhtbFBLBQYAAAAABgAGAFkBAADgBQAAAAA=&#10;">
                <v:fill on="f" focussize="0,0"/>
                <v:stroke on="f" weight="0.5pt"/>
                <v:imagedata o:title=""/>
                <o:lock v:ext="edit" aspectratio="f"/>
                <v:textbox>
                  <w:txbxContent>
                    <w:p w14:paraId="5CA1E607">
                      <w:r>
                        <w:rPr>
                          <w:rFonts w:hint="eastAsia"/>
                        </w:rPr>
                        <w:t>DA002</w:t>
                      </w:r>
                    </w:p>
                  </w:txbxContent>
                </v:textbox>
              </v:shape>
            </w:pict>
          </mc:Fallback>
        </mc:AlternateContent>
      </w:r>
    </w:p>
    <w:p w14:paraId="117DD5EE">
      <w:pPr>
        <w:rPr>
          <w:rFonts w:ascii="Calibri" w:hAnsi="Calibri"/>
          <w:sz w:val="21"/>
        </w:rPr>
      </w:pPr>
      <w:r>
        <w:rPr>
          <w:sz w:val="21"/>
        </w:rPr>
        <mc:AlternateContent>
          <mc:Choice Requires="wps">
            <w:drawing>
              <wp:anchor distT="0" distB="0" distL="114300" distR="114300" simplePos="0" relativeHeight="251693056" behindDoc="0" locked="0" layoutInCell="1" allowOverlap="1">
                <wp:simplePos x="0" y="0"/>
                <wp:positionH relativeFrom="column">
                  <wp:posOffset>1856740</wp:posOffset>
                </wp:positionH>
                <wp:positionV relativeFrom="paragraph">
                  <wp:posOffset>175895</wp:posOffset>
                </wp:positionV>
                <wp:extent cx="83185" cy="95250"/>
                <wp:effectExtent l="6350" t="6350" r="24765" b="12700"/>
                <wp:wrapNone/>
                <wp:docPr id="41" name="椭圆 41"/>
                <wp:cNvGraphicFramePr/>
                <a:graphic xmlns:a="http://schemas.openxmlformats.org/drawingml/2006/main">
                  <a:graphicData uri="http://schemas.microsoft.com/office/word/2010/wordprocessingShape">
                    <wps:wsp>
                      <wps:cNvSpPr/>
                      <wps:spPr>
                        <a:xfrm>
                          <a:off x="0" y="0"/>
                          <a:ext cx="83185" cy="95250"/>
                        </a:xfrm>
                        <a:prstGeom prst="ellipse">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6.2pt;margin-top:13.85pt;height:7.5pt;width:6.55pt;z-index:251693056;v-text-anchor:middle;mso-width-relative:page;mso-height-relative:page;" filled="f" stroked="t" coordsize="21600,21600" o:gfxdata="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egoh51wAAAAkBAAAPAAAAAAAAAAEAIAAAACIAAABkcnMvZG93bnJldi54bWxQSwEC&#10;FAAUAAAACACHTuJA2kCA+mcCAADNBAAADgAAAAAAAAABACAAAAAmAQAAZHJzL2Uyb0RvYy54bWxQ&#10;SwUGAAAAAAYABgBZAQAA/wUAAAAA&#10;">
                <v:fill on="f" focussize="0,0"/>
                <v:stroke weight="1pt" color="#000000 [3213]" miterlimit="8" joinstyle="miter"/>
                <v:imagedata o:title=""/>
                <o:lock v:ext="edit" aspectratio="f"/>
              </v:shape>
            </w:pict>
          </mc:Fallback>
        </mc:AlternateContent>
      </w:r>
    </w:p>
    <w:p w14:paraId="14D58572">
      <w:pPr>
        <w:rPr>
          <w:rFonts w:ascii="Calibri" w:hAnsi="Calibri"/>
          <w:sz w:val="21"/>
        </w:rPr>
      </w:pPr>
      <w:r>
        <w:rPr>
          <w:sz w:val="21"/>
        </w:rPr>
        <mc:AlternateContent>
          <mc:Choice Requires="wps">
            <w:drawing>
              <wp:anchor distT="0" distB="0" distL="114300" distR="114300" simplePos="0" relativeHeight="251682816" behindDoc="0" locked="0" layoutInCell="1" allowOverlap="1">
                <wp:simplePos x="0" y="0"/>
                <wp:positionH relativeFrom="column">
                  <wp:posOffset>254000</wp:posOffset>
                </wp:positionH>
                <wp:positionV relativeFrom="paragraph">
                  <wp:posOffset>107315</wp:posOffset>
                </wp:positionV>
                <wp:extent cx="5039360" cy="1756410"/>
                <wp:effectExtent l="4445" t="4445" r="23495" b="10795"/>
                <wp:wrapNone/>
                <wp:docPr id="31" name="文本框 31"/>
                <wp:cNvGraphicFramePr/>
                <a:graphic xmlns:a="http://schemas.openxmlformats.org/drawingml/2006/main">
                  <a:graphicData uri="http://schemas.microsoft.com/office/word/2010/wordprocessingShape">
                    <wps:wsp>
                      <wps:cNvSpPr txBox="1"/>
                      <wps:spPr>
                        <a:xfrm>
                          <a:off x="1334135" y="1818005"/>
                          <a:ext cx="5039360" cy="17564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5FD00AC">
                            <w:pPr>
                              <w:rPr>
                                <w:color w:val="000000" w:themeColor="text1"/>
                                <w14:textFill>
                                  <w14:solidFill>
                                    <w14:schemeClr w14:val="tx1"/>
                                  </w14:solidFill>
                                </w14:textFill>
                              </w:rPr>
                            </w:pPr>
                          </w:p>
                          <w:p w14:paraId="1EF8E1F8">
                            <w:pPr>
                              <w:rPr>
                                <w:color w:val="000000" w:themeColor="text1"/>
                                <w14:textFill>
                                  <w14:solidFill>
                                    <w14:schemeClr w14:val="tx1"/>
                                  </w14:solidFill>
                                </w14:textFill>
                              </w:rPr>
                            </w:pPr>
                          </w:p>
                          <w:p w14:paraId="69A3494A">
                            <w:pPr>
                              <w:rPr>
                                <w:color w:val="000000" w:themeColor="text1"/>
                                <w14:textFill>
                                  <w14:solidFill>
                                    <w14:schemeClr w14:val="tx1"/>
                                  </w14:solidFill>
                                </w14:textFill>
                              </w:rPr>
                            </w:pPr>
                          </w:p>
                          <w:p w14:paraId="2B135EF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生产车间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pt;margin-top:8.45pt;height:138.3pt;width:396.8pt;z-index:251682816;mso-width-relative:page;mso-height-relative:page;" fillcolor="#FFFFFF [3201]" filled="t" stroked="t" coordsize="21600,21600" o:gfxdata="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sHs2XWAAAACQEAAA8AAAAAAAAAAQAgAAAAIgAAAGRycy9kb3ducmV2LnhtbFBLAQIU&#10;ABQAAAAIAIdO4kCbGYXcZwIAAMYEAAAOAAAAAAAAAAEAIAAAACUBAABkcnMvZTJvRG9jLnhtbFBL&#10;BQYAAAAABgAGAFkBAAD+BQAAAAA=&#10;">
                <v:fill on="t" focussize="0,0"/>
                <v:stroke weight="0.5pt" color="#000000 [3204]" joinstyle="round"/>
                <v:imagedata o:title=""/>
                <o:lock v:ext="edit" aspectratio="f"/>
                <v:textbox>
                  <w:txbxContent>
                    <w:p w14:paraId="55FD00AC">
                      <w:pPr>
                        <w:rPr>
                          <w:color w:val="000000" w:themeColor="text1"/>
                          <w14:textFill>
                            <w14:solidFill>
                              <w14:schemeClr w14:val="tx1"/>
                            </w14:solidFill>
                          </w14:textFill>
                        </w:rPr>
                      </w:pPr>
                    </w:p>
                    <w:p w14:paraId="1EF8E1F8">
                      <w:pPr>
                        <w:rPr>
                          <w:color w:val="000000" w:themeColor="text1"/>
                          <w14:textFill>
                            <w14:solidFill>
                              <w14:schemeClr w14:val="tx1"/>
                            </w14:solidFill>
                          </w14:textFill>
                        </w:rPr>
                      </w:pPr>
                    </w:p>
                    <w:p w14:paraId="69A3494A">
                      <w:pPr>
                        <w:rPr>
                          <w:color w:val="000000" w:themeColor="text1"/>
                          <w14:textFill>
                            <w14:solidFill>
                              <w14:schemeClr w14:val="tx1"/>
                            </w14:solidFill>
                          </w14:textFill>
                        </w:rPr>
                      </w:pPr>
                    </w:p>
                    <w:p w14:paraId="2B135EF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生产车间</w:t>
                      </w:r>
                    </w:p>
                  </w:txbxContent>
                </v:textbox>
              </v:shape>
            </w:pict>
          </mc:Fallback>
        </mc:AlternateContent>
      </w:r>
    </w:p>
    <w:p w14:paraId="095DE77C">
      <w:pPr>
        <w:rPr>
          <w:rFonts w:ascii="Calibri" w:hAnsi="Calibri"/>
          <w:sz w:val="21"/>
        </w:rPr>
      </w:pPr>
    </w:p>
    <w:p w14:paraId="072678C5">
      <w:pPr>
        <w:rPr>
          <w:rFonts w:ascii="Calibri" w:hAnsi="Calibri"/>
          <w:sz w:val="21"/>
        </w:rPr>
      </w:pPr>
    </w:p>
    <w:p w14:paraId="02FF5EEC">
      <w:pPr>
        <w:rPr>
          <w:rFonts w:ascii="Calibri" w:hAnsi="Calibri"/>
          <w:sz w:val="21"/>
        </w:rPr>
      </w:pPr>
    </w:p>
    <w:p w14:paraId="465FC417">
      <w:pPr>
        <w:rPr>
          <w:rFonts w:ascii="Calibri" w:hAnsi="Calibri"/>
          <w:sz w:val="21"/>
        </w:rPr>
      </w:pPr>
    </w:p>
    <w:p w14:paraId="70141334">
      <w:pPr>
        <w:rPr>
          <w:rFonts w:ascii="Calibri" w:hAnsi="Calibri"/>
          <w:sz w:val="21"/>
        </w:rPr>
      </w:pPr>
    </w:p>
    <w:p w14:paraId="669837E4">
      <w:pPr>
        <w:rPr>
          <w:rFonts w:ascii="Calibri" w:hAnsi="Calibri"/>
          <w:sz w:val="21"/>
        </w:rPr>
      </w:pPr>
    </w:p>
    <w:p w14:paraId="615FA6D2">
      <w:pPr>
        <w:rPr>
          <w:rFonts w:ascii="Calibri" w:hAnsi="Calibri"/>
          <w:sz w:val="21"/>
        </w:rPr>
      </w:pPr>
    </w:p>
    <w:p w14:paraId="6BB16849">
      <w:pPr>
        <w:rPr>
          <w:rFonts w:ascii="Calibri" w:hAnsi="Calibri"/>
          <w:sz w:val="21"/>
        </w:rPr>
      </w:pPr>
    </w:p>
    <w:p w14:paraId="40D06543">
      <w:pPr>
        <w:rPr>
          <w:rFonts w:ascii="Calibri" w:hAnsi="Calibri"/>
          <w:sz w:val="21"/>
        </w:rPr>
      </w:pPr>
    </w:p>
    <w:p w14:paraId="2B5C3403">
      <w:pPr>
        <w:rPr>
          <w:rFonts w:ascii="Calibri" w:hAnsi="Calibri"/>
          <w:sz w:val="21"/>
        </w:rPr>
      </w:pPr>
      <w:r>
        <w:rPr>
          <w:sz w:val="21"/>
        </w:rPr>
        <mc:AlternateContent>
          <mc:Choice Requires="wps">
            <w:drawing>
              <wp:anchor distT="0" distB="0" distL="114300" distR="114300" simplePos="0" relativeHeight="251685888" behindDoc="0" locked="0" layoutInCell="1" allowOverlap="1">
                <wp:simplePos x="0" y="0"/>
                <wp:positionH relativeFrom="column">
                  <wp:posOffset>3848100</wp:posOffset>
                </wp:positionH>
                <wp:positionV relativeFrom="paragraph">
                  <wp:posOffset>76835</wp:posOffset>
                </wp:positionV>
                <wp:extent cx="1455420" cy="2469515"/>
                <wp:effectExtent l="4445" t="4445" r="6985" b="21590"/>
                <wp:wrapNone/>
                <wp:docPr id="34" name="文本框 34"/>
                <wp:cNvGraphicFramePr/>
                <a:graphic xmlns:a="http://schemas.openxmlformats.org/drawingml/2006/main">
                  <a:graphicData uri="http://schemas.microsoft.com/office/word/2010/wordprocessingShape">
                    <wps:wsp>
                      <wps:cNvSpPr txBox="1"/>
                      <wps:spPr>
                        <a:xfrm>
                          <a:off x="4677410" y="4244975"/>
                          <a:ext cx="1455420" cy="24695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2008195"/>
                          <w:p w14:paraId="17BD7CF8"/>
                          <w:p w14:paraId="44F3D663"/>
                          <w:p w14:paraId="550AF0D9"/>
                          <w:p w14:paraId="5CD85FD7"/>
                          <w:p w14:paraId="56794F3F"/>
                          <w:p w14:paraId="07D36026">
                            <w:pPr>
                              <w:jc w:val="center"/>
                            </w:pPr>
                            <w:r>
                              <w:rPr>
                                <w:rFonts w:hint="eastAsia"/>
                              </w:rPr>
                              <w:t>成品库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3pt;margin-top:6.05pt;height:194.45pt;width:114.6pt;z-index:251685888;mso-width-relative:page;mso-height-relative:page;" fillcolor="#FFFFFF [3201]" filled="t" stroked="t" coordsize="21600,21600" o:gfxdata="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NrCmTtYAAAAKAQAADwAAAAAAAAABACAAAAAiAAAAZHJzL2Rvd25yZXYueG1sUEsBAhQA&#10;FAAAAAgAh07iQOGA9XtmAgAAxgQAAA4AAAAAAAAAAQAgAAAAJQEAAGRycy9lMm9Eb2MueG1sUEsF&#10;BgAAAAAGAAYAWQEAAP0FAAAAAA==&#10;">
                <v:fill on="t" focussize="0,0"/>
                <v:stroke weight="0.5pt" color="#000000 [3204]" joinstyle="round"/>
                <v:imagedata o:title=""/>
                <o:lock v:ext="edit" aspectratio="f"/>
                <v:textbox>
                  <w:txbxContent>
                    <w:p w14:paraId="32008195"/>
                    <w:p w14:paraId="17BD7CF8"/>
                    <w:p w14:paraId="44F3D663"/>
                    <w:p w14:paraId="550AF0D9"/>
                    <w:p w14:paraId="5CD85FD7"/>
                    <w:p w14:paraId="56794F3F"/>
                    <w:p w14:paraId="07D36026">
                      <w:pPr>
                        <w:jc w:val="center"/>
                      </w:pPr>
                      <w:r>
                        <w:rPr>
                          <w:rFonts w:hint="eastAsia"/>
                        </w:rPr>
                        <w:t>成品库</w:t>
                      </w:r>
                    </w:p>
                  </w:txbxContent>
                </v:textbox>
              </v:shape>
            </w:pict>
          </mc:Fallback>
        </mc:AlternateContent>
      </w:r>
    </w:p>
    <w:p w14:paraId="1A08F90A">
      <w:pPr>
        <w:rPr>
          <w:rFonts w:ascii="Calibri" w:hAnsi="Calibri"/>
          <w:sz w:val="21"/>
        </w:rPr>
      </w:pPr>
    </w:p>
    <w:p w14:paraId="7A69A29D">
      <w:pPr>
        <w:rPr>
          <w:rFonts w:ascii="Calibri" w:hAnsi="Calibri"/>
          <w:sz w:val="21"/>
        </w:rPr>
      </w:pPr>
    </w:p>
    <w:p w14:paraId="175E7A2B">
      <w:pPr>
        <w:rPr>
          <w:rFonts w:ascii="Calibri" w:hAnsi="Calibri"/>
          <w:sz w:val="21"/>
        </w:rPr>
      </w:pPr>
    </w:p>
    <w:p w14:paraId="530DF283">
      <w:pPr>
        <w:rPr>
          <w:rFonts w:ascii="Calibri" w:hAnsi="Calibri"/>
          <w:sz w:val="21"/>
        </w:rPr>
      </w:pPr>
    </w:p>
    <w:p w14:paraId="7B69CD10">
      <w:pPr>
        <w:rPr>
          <w:rFonts w:ascii="Calibri" w:hAnsi="Calibri"/>
          <w:sz w:val="21"/>
        </w:rPr>
      </w:pPr>
      <w:r>
        <w:rPr>
          <w:sz w:val="21"/>
        </w:rPr>
        <mc:AlternateContent>
          <mc:Choice Requires="wps">
            <w:drawing>
              <wp:anchor distT="0" distB="0" distL="114300" distR="114300" simplePos="0" relativeHeight="251683840" behindDoc="0" locked="0" layoutInCell="1" allowOverlap="1">
                <wp:simplePos x="0" y="0"/>
                <wp:positionH relativeFrom="column">
                  <wp:posOffset>264795</wp:posOffset>
                </wp:positionH>
                <wp:positionV relativeFrom="paragraph">
                  <wp:posOffset>185420</wp:posOffset>
                </wp:positionV>
                <wp:extent cx="1514475" cy="1628775"/>
                <wp:effectExtent l="4445" t="4445" r="5080" b="5080"/>
                <wp:wrapNone/>
                <wp:docPr id="32" name="文本框 32"/>
                <wp:cNvGraphicFramePr/>
                <a:graphic xmlns:a="http://schemas.openxmlformats.org/drawingml/2006/main">
                  <a:graphicData uri="http://schemas.microsoft.com/office/word/2010/wordprocessingShape">
                    <wps:wsp>
                      <wps:cNvSpPr txBox="1"/>
                      <wps:spPr>
                        <a:xfrm>
                          <a:off x="1716405" y="4469765"/>
                          <a:ext cx="1514475" cy="16287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C7A10F5">
                            <w:pPr>
                              <w:rPr>
                                <w:color w:val="000000" w:themeColor="text1"/>
                                <w14:textFill>
                                  <w14:solidFill>
                                    <w14:schemeClr w14:val="tx1"/>
                                  </w14:solidFill>
                                </w14:textFill>
                              </w:rPr>
                            </w:pPr>
                          </w:p>
                          <w:p w14:paraId="21A11FA5">
                            <w:pPr>
                              <w:rPr>
                                <w:color w:val="000000" w:themeColor="text1"/>
                                <w14:textFill>
                                  <w14:solidFill>
                                    <w14:schemeClr w14:val="tx1"/>
                                  </w14:solidFill>
                                </w14:textFill>
                              </w:rPr>
                            </w:pPr>
                          </w:p>
                          <w:p w14:paraId="3EBF0779">
                            <w:pPr>
                              <w:rPr>
                                <w:color w:val="000000" w:themeColor="text1"/>
                                <w14:textFill>
                                  <w14:solidFill>
                                    <w14:schemeClr w14:val="tx1"/>
                                  </w14:solidFill>
                                </w14:textFill>
                              </w:rPr>
                            </w:pPr>
                          </w:p>
                          <w:p w14:paraId="11DE9F52">
                            <w:pPr>
                              <w:jc w:val="center"/>
                              <w:rPr>
                                <w:color w:val="000000" w:themeColor="text1"/>
                                <w14:textFill>
                                  <w14:solidFill>
                                    <w14:schemeClr w14:val="tx1"/>
                                  </w14:solidFill>
                                </w14:textFill>
                              </w:rPr>
                            </w:pPr>
                            <w:r>
                              <w:rPr>
                                <w:color w:val="000000" w:themeColor="text1"/>
                                <w14:textFill>
                                  <w14:solidFill>
                                    <w14:schemeClr w14:val="tx1"/>
                                  </w14:solidFill>
                                </w14:textFill>
                              </w:rPr>
                              <w:t>包材库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5pt;margin-top:14.6pt;height:128.25pt;width:119.25pt;z-index:251683840;mso-width-relative:page;mso-height-relative:page;" fillcolor="#FFFFFF [3201]" filled="t" stroked="t" coordsize="21600,21600" o:gfxdata="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g66ro1QAAAAkBAAAPAAAAAAAAAAEAIAAAACIAAABkcnMvZG93bnJldi54bWxQSwECFAAU&#10;AAAACACHTuJAsEG8tmYCAADGBAAADgAAAAAAAAABACAAAAAkAQAAZHJzL2Uyb0RvYy54bWxQSwUG&#10;AAAAAAYABgBZAQAA/AUAAAAA&#10;">
                <v:fill on="t" focussize="0,0"/>
                <v:stroke weight="0.5pt" color="#000000 [3204]" joinstyle="round"/>
                <v:imagedata o:title=""/>
                <o:lock v:ext="edit" aspectratio="f"/>
                <v:textbox>
                  <w:txbxContent>
                    <w:p w14:paraId="6C7A10F5">
                      <w:pPr>
                        <w:rPr>
                          <w:color w:val="000000" w:themeColor="text1"/>
                          <w14:textFill>
                            <w14:solidFill>
                              <w14:schemeClr w14:val="tx1"/>
                            </w14:solidFill>
                          </w14:textFill>
                        </w:rPr>
                      </w:pPr>
                    </w:p>
                    <w:p w14:paraId="21A11FA5">
                      <w:pPr>
                        <w:rPr>
                          <w:color w:val="000000" w:themeColor="text1"/>
                          <w14:textFill>
                            <w14:solidFill>
                              <w14:schemeClr w14:val="tx1"/>
                            </w14:solidFill>
                          </w14:textFill>
                        </w:rPr>
                      </w:pPr>
                    </w:p>
                    <w:p w14:paraId="3EBF0779">
                      <w:pPr>
                        <w:rPr>
                          <w:color w:val="000000" w:themeColor="text1"/>
                          <w14:textFill>
                            <w14:solidFill>
                              <w14:schemeClr w14:val="tx1"/>
                            </w14:solidFill>
                          </w14:textFill>
                        </w:rPr>
                      </w:pPr>
                    </w:p>
                    <w:p w14:paraId="11DE9F52">
                      <w:pPr>
                        <w:jc w:val="center"/>
                        <w:rPr>
                          <w:color w:val="000000" w:themeColor="text1"/>
                          <w14:textFill>
                            <w14:solidFill>
                              <w14:schemeClr w14:val="tx1"/>
                            </w14:solidFill>
                          </w14:textFill>
                        </w:rPr>
                      </w:pPr>
                      <w:r>
                        <w:rPr>
                          <w:color w:val="000000" w:themeColor="text1"/>
                          <w14:textFill>
                            <w14:solidFill>
                              <w14:schemeClr w14:val="tx1"/>
                            </w14:solidFill>
                          </w14:textFill>
                        </w:rPr>
                        <w:t>包材库</w:t>
                      </w:r>
                    </w:p>
                  </w:txbxContent>
                </v:textbox>
              </v:shape>
            </w:pict>
          </mc:Fallback>
        </mc:AlternateContent>
      </w:r>
    </w:p>
    <w:p w14:paraId="357D7CD6">
      <w:pPr>
        <w:rPr>
          <w:rFonts w:ascii="Calibri" w:hAnsi="Calibri"/>
          <w:sz w:val="21"/>
        </w:rPr>
      </w:pPr>
    </w:p>
    <w:p w14:paraId="0C7D29D9">
      <w:pPr>
        <w:rPr>
          <w:rFonts w:ascii="Calibri" w:hAnsi="Calibri"/>
          <w:sz w:val="21"/>
        </w:rPr>
      </w:pPr>
    </w:p>
    <w:p w14:paraId="72B0BF19">
      <w:pPr>
        <w:rPr>
          <w:rFonts w:ascii="Calibri" w:hAnsi="Calibri"/>
          <w:sz w:val="21"/>
        </w:rPr>
      </w:pPr>
    </w:p>
    <w:p w14:paraId="16F208F8">
      <w:pPr>
        <w:rPr>
          <w:rFonts w:ascii="Calibri" w:hAnsi="Calibri"/>
          <w:sz w:val="21"/>
        </w:rPr>
      </w:pPr>
    </w:p>
    <w:p w14:paraId="27202A7A">
      <w:pPr>
        <w:rPr>
          <w:rFonts w:ascii="Calibri" w:hAnsi="Calibri"/>
          <w:sz w:val="21"/>
        </w:rPr>
      </w:pPr>
      <w:r>
        <w:rPr>
          <w:sz w:val="21"/>
        </w:rPr>
        <mc:AlternateContent>
          <mc:Choice Requires="wps">
            <w:drawing>
              <wp:anchor distT="0" distB="0" distL="114300" distR="114300" simplePos="0" relativeHeight="251684864" behindDoc="0" locked="0" layoutInCell="1" allowOverlap="1">
                <wp:simplePos x="0" y="0"/>
                <wp:positionH relativeFrom="column">
                  <wp:posOffset>1838960</wp:posOffset>
                </wp:positionH>
                <wp:positionV relativeFrom="paragraph">
                  <wp:posOffset>60325</wp:posOffset>
                </wp:positionV>
                <wp:extent cx="727710" cy="770890"/>
                <wp:effectExtent l="4445" t="4445" r="10795" b="5715"/>
                <wp:wrapNone/>
                <wp:docPr id="33" name="文本框 33"/>
                <wp:cNvGraphicFramePr/>
                <a:graphic xmlns:a="http://schemas.openxmlformats.org/drawingml/2006/main">
                  <a:graphicData uri="http://schemas.microsoft.com/office/word/2010/wordprocessingShape">
                    <wps:wsp>
                      <wps:cNvSpPr txBox="1"/>
                      <wps:spPr>
                        <a:xfrm>
                          <a:off x="2997835" y="5197475"/>
                          <a:ext cx="727710" cy="7708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1AF4893"/>
                          <w:p w14:paraId="25AA358C">
                            <w:pPr>
                              <w:jc w:val="center"/>
                            </w:pPr>
                            <w:r>
                              <w:rPr>
                                <w:rFonts w:hint="eastAsia"/>
                              </w:rPr>
                              <w:t>冷库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4.8pt;margin-top:4.75pt;height:60.7pt;width:57.3pt;z-index:251684864;mso-width-relative:page;mso-height-relative:page;" fillcolor="#FFFFFF [3201]" filled="t" stroked="t" coordsize="21600,21600" o:gfxdata="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y1wvY1gAAAAkBAAAPAAAAAAAAAAEAIAAAACIAAABkcnMvZG93bnJldi54bWxQSwEC&#10;FAAUAAAACACHTuJAe8qbamgCAADEBAAADgAAAAAAAAABACAAAAAlAQAAZHJzL2Uyb0RvYy54bWxQ&#10;SwUGAAAAAAYABgBZAQAA/wUAAAAA&#10;">
                <v:fill on="t" focussize="0,0"/>
                <v:stroke weight="0.5pt" color="#000000 [3204]" joinstyle="round"/>
                <v:imagedata o:title=""/>
                <o:lock v:ext="edit" aspectratio="f"/>
                <v:textbox>
                  <w:txbxContent>
                    <w:p w14:paraId="11AF4893"/>
                    <w:p w14:paraId="25AA358C">
                      <w:pPr>
                        <w:jc w:val="center"/>
                      </w:pPr>
                      <w:r>
                        <w:rPr>
                          <w:rFonts w:hint="eastAsia"/>
                        </w:rPr>
                        <w:t>冷库</w:t>
                      </w:r>
                    </w:p>
                  </w:txbxContent>
                </v:textbox>
              </v:shape>
            </w:pict>
          </mc:Fallback>
        </mc:AlternateContent>
      </w:r>
    </w:p>
    <w:p w14:paraId="61B429ED">
      <w:pPr>
        <w:rPr>
          <w:rFonts w:ascii="Calibri" w:hAnsi="Calibri"/>
          <w:sz w:val="21"/>
        </w:rPr>
      </w:pPr>
    </w:p>
    <w:p w14:paraId="2DBA46EB">
      <w:pPr>
        <w:rPr>
          <w:rFonts w:ascii="Calibri" w:hAnsi="Calibri"/>
          <w:sz w:val="21"/>
        </w:rPr>
      </w:pPr>
      <w:r>
        <w:rPr>
          <w:sz w:val="21"/>
        </w:rPr>
        <mc:AlternateContent>
          <mc:Choice Requires="wps">
            <w:drawing>
              <wp:anchor distT="0" distB="0" distL="114300" distR="114300" simplePos="0" relativeHeight="251686912" behindDoc="0" locked="0" layoutInCell="1" allowOverlap="1">
                <wp:simplePos x="0" y="0"/>
                <wp:positionH relativeFrom="column">
                  <wp:posOffset>3888740</wp:posOffset>
                </wp:positionH>
                <wp:positionV relativeFrom="paragraph">
                  <wp:posOffset>189230</wp:posOffset>
                </wp:positionV>
                <wp:extent cx="1420495" cy="502920"/>
                <wp:effectExtent l="4445" t="4445" r="22860" b="6985"/>
                <wp:wrapNone/>
                <wp:docPr id="35" name="文本框 35"/>
                <wp:cNvGraphicFramePr/>
                <a:graphic xmlns:a="http://schemas.openxmlformats.org/drawingml/2006/main">
                  <a:graphicData uri="http://schemas.microsoft.com/office/word/2010/wordprocessingShape">
                    <wps:wsp>
                      <wps:cNvSpPr txBox="1"/>
                      <wps:spPr>
                        <a:xfrm>
                          <a:off x="0" y="0"/>
                          <a:ext cx="1420495" cy="5029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1110F99">
                            <w:pPr>
                              <w:spacing w:line="480" w:lineRule="auto"/>
                              <w:jc w:val="center"/>
                            </w:pPr>
                            <w:r>
                              <w:rPr>
                                <w:rFonts w:hint="eastAsia"/>
                              </w:rPr>
                              <w:t>一般固废间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6.2pt;margin-top:14.9pt;height:39.6pt;width:111.85pt;z-index:251686912;mso-width-relative:page;mso-height-relative:page;" fillcolor="#FFFFFF [3201]" filled="t" stroked="t" coordsize="21600,21600" o:gfxdata="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aYPk&#10;1gAAAAoBAAAPAAAAAAAAAAEAIAAAACIAAABkcnMvZG93bnJldi54bWxQSwECFAAUAAAACACHTuJA&#10;mzbmRVwCAAC5BAAADgAAAAAAAAABACAAAAAlAQAAZHJzL2Uyb0RvYy54bWxQSwUGAAAAAAYABgBZ&#10;AQAA8wUAAAAA&#10;">
                <v:fill on="t" focussize="0,0"/>
                <v:stroke weight="0.5pt" color="#000000 [3204]" joinstyle="round"/>
                <v:imagedata o:title=""/>
                <o:lock v:ext="edit" aspectratio="f"/>
                <v:textbox>
                  <w:txbxContent>
                    <w:p w14:paraId="41110F99">
                      <w:pPr>
                        <w:spacing w:line="480" w:lineRule="auto"/>
                        <w:jc w:val="center"/>
                      </w:pPr>
                      <w:r>
                        <w:rPr>
                          <w:rFonts w:hint="eastAsia"/>
                        </w:rPr>
                        <w:t>一般固废间</w:t>
                      </w:r>
                    </w:p>
                  </w:txbxContent>
                </v:textbox>
              </v:shape>
            </w:pict>
          </mc:Fallback>
        </mc:AlternateContent>
      </w:r>
    </w:p>
    <w:p w14:paraId="50BB39A4">
      <w:pPr>
        <w:rPr>
          <w:rFonts w:ascii="Calibri" w:hAnsi="Calibri"/>
          <w:sz w:val="21"/>
        </w:rPr>
      </w:pPr>
    </w:p>
    <w:p w14:paraId="505651E3">
      <w:pPr>
        <w:rPr>
          <w:rFonts w:ascii="Calibri" w:hAnsi="Calibri"/>
          <w:sz w:val="21"/>
        </w:rPr>
      </w:pPr>
      <w:r>
        <w:rPr>
          <w:sz w:val="21"/>
        </w:rPr>
        <mc:AlternateContent>
          <mc:Choice Requires="wps">
            <w:drawing>
              <wp:anchor distT="0" distB="0" distL="114300" distR="114300" simplePos="0" relativeHeight="251688960" behindDoc="0" locked="0" layoutInCell="1" allowOverlap="1">
                <wp:simplePos x="0" y="0"/>
                <wp:positionH relativeFrom="column">
                  <wp:posOffset>1823720</wp:posOffset>
                </wp:positionH>
                <wp:positionV relativeFrom="paragraph">
                  <wp:posOffset>135890</wp:posOffset>
                </wp:positionV>
                <wp:extent cx="752475" cy="1090930"/>
                <wp:effectExtent l="4445" t="4445" r="5080" b="9525"/>
                <wp:wrapNone/>
                <wp:docPr id="37" name="文本框 37"/>
                <wp:cNvGraphicFramePr/>
                <a:graphic xmlns:a="http://schemas.openxmlformats.org/drawingml/2006/main">
                  <a:graphicData uri="http://schemas.microsoft.com/office/word/2010/wordprocessingShape">
                    <wps:wsp>
                      <wps:cNvSpPr txBox="1"/>
                      <wps:spPr>
                        <a:xfrm>
                          <a:off x="0" y="0"/>
                          <a:ext cx="752475" cy="10909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FE1C48"/>
                          <w:p w14:paraId="690C249F">
                            <w:r>
                              <w:rPr>
                                <w:rFonts w:hint="eastAsia"/>
                              </w:rPr>
                              <w:t>厂区污水处理站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6pt;margin-top:10.7pt;height:85.9pt;width:59.25pt;z-index:251688960;mso-width-relative:page;mso-height-relative:page;" fillcolor="#FFFFFF [3201]" filled="t" stroked="t" coordsize="21600,21600" o:gfxdata="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IA&#10;t5bXAAAACgEAAA8AAAAAAAAAAQAgAAAAIgAAAGRycy9kb3ducmV2LnhtbFBLAQIUABQAAAAIAIdO&#10;4kCEYnZ1XQIAALkEAAAOAAAAAAAAAAEAIAAAACYBAABkcnMvZTJvRG9jLnhtbFBLBQYAAAAABgAG&#10;AFkBAAD1BQAAAAA=&#10;">
                <v:fill on="t" focussize="0,0"/>
                <v:stroke weight="0.5pt" color="#000000 [3204]" joinstyle="round"/>
                <v:imagedata o:title=""/>
                <o:lock v:ext="edit" aspectratio="f"/>
                <v:textbox>
                  <w:txbxContent>
                    <w:p w14:paraId="0BFE1C48"/>
                    <w:p w14:paraId="690C249F">
                      <w:r>
                        <w:rPr>
                          <w:rFonts w:hint="eastAsia"/>
                        </w:rPr>
                        <w:t>厂区污水处理站</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266700</wp:posOffset>
                </wp:positionH>
                <wp:positionV relativeFrom="paragraph">
                  <wp:posOffset>137160</wp:posOffset>
                </wp:positionV>
                <wp:extent cx="727710" cy="770890"/>
                <wp:effectExtent l="4445" t="4445" r="10795" b="5715"/>
                <wp:wrapNone/>
                <wp:docPr id="39" name="文本框 39"/>
                <wp:cNvGraphicFramePr/>
                <a:graphic xmlns:a="http://schemas.openxmlformats.org/drawingml/2006/main">
                  <a:graphicData uri="http://schemas.microsoft.com/office/word/2010/wordprocessingShape">
                    <wps:wsp>
                      <wps:cNvSpPr txBox="1"/>
                      <wps:spPr>
                        <a:xfrm>
                          <a:off x="0" y="0"/>
                          <a:ext cx="727710" cy="7708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F931F85"/>
                          <w:p w14:paraId="77C2E696">
                            <w:r>
                              <w:rPr>
                                <w:rFonts w:hint="eastAsia"/>
                              </w:rPr>
                              <w:t>原料库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pt;margin-top:10.8pt;height:60.7pt;width:57.3pt;z-index:251691008;mso-width-relative:page;mso-height-relative:page;" fillcolor="#FFFFFF [3201]" filled="t" stroked="t" coordsize="21600,21600" o:gfxdata="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uSn3NUA&#10;AAAJAQAADwAAAAAAAAABACAAAAAiAAAAZHJzL2Rvd25yZXYueG1sUEsBAhQAFAAAAAgAh07iQGQ0&#10;uEFbAgAAuAQAAA4AAAAAAAAAAQAgAAAAJAEAAGRycy9lMm9Eb2MueG1sUEsFBgAAAAAGAAYAWQEA&#10;APEFAAAAAA==&#10;">
                <v:fill on="t" focussize="0,0"/>
                <v:stroke weight="0.5pt" color="#000000 [3204]" joinstyle="round"/>
                <v:imagedata o:title=""/>
                <o:lock v:ext="edit" aspectratio="f"/>
                <v:textbox>
                  <w:txbxContent>
                    <w:p w14:paraId="7F931F85"/>
                    <w:p w14:paraId="77C2E696">
                      <w:r>
                        <w:rPr>
                          <w:rFonts w:hint="eastAsia"/>
                        </w:rPr>
                        <w:t>原料库</w:t>
                      </w:r>
                    </w:p>
                  </w:txbxContent>
                </v:textbox>
              </v:shape>
            </w:pict>
          </mc:Fallback>
        </mc:AlternateContent>
      </w:r>
    </w:p>
    <w:p w14:paraId="0C73A6AE">
      <w:pPr>
        <w:rPr>
          <w:rFonts w:ascii="Calibri" w:hAnsi="Calibri"/>
          <w:sz w:val="21"/>
        </w:rPr>
      </w:pPr>
    </w:p>
    <w:p w14:paraId="2F98CB61">
      <w:pPr>
        <w:rPr>
          <w:rFonts w:ascii="Calibri" w:hAnsi="Calibri"/>
          <w:sz w:val="21"/>
        </w:rPr>
      </w:pPr>
    </w:p>
    <w:p w14:paraId="46755F45">
      <w:pPr>
        <w:rPr>
          <w:rFonts w:ascii="Calibri" w:hAnsi="Calibri"/>
          <w:sz w:val="21"/>
        </w:rPr>
      </w:pPr>
    </w:p>
    <w:p w14:paraId="6DD5FEDD">
      <w:pPr>
        <w:rPr>
          <w:rFonts w:ascii="Calibri" w:hAnsi="Calibri"/>
          <w:sz w:val="21"/>
        </w:rPr>
      </w:pPr>
    </w:p>
    <w:p w14:paraId="17CAE244">
      <w:pPr>
        <w:rPr>
          <w:rFonts w:ascii="Calibri" w:hAnsi="Calibri"/>
          <w:sz w:val="21"/>
        </w:rPr>
      </w:pPr>
      <w:r>
        <w:rPr>
          <w:sz w:val="21"/>
        </w:rPr>
        <mc:AlternateContent>
          <mc:Choice Requires="wps">
            <w:drawing>
              <wp:anchor distT="0" distB="0" distL="114300" distR="114300" simplePos="0" relativeHeight="251689984" behindDoc="0" locked="0" layoutInCell="1" allowOverlap="1">
                <wp:simplePos x="0" y="0"/>
                <wp:positionH relativeFrom="column">
                  <wp:posOffset>270510</wp:posOffset>
                </wp:positionH>
                <wp:positionV relativeFrom="paragraph">
                  <wp:posOffset>24130</wp:posOffset>
                </wp:positionV>
                <wp:extent cx="727710" cy="1540510"/>
                <wp:effectExtent l="4445" t="4445" r="10795" b="17145"/>
                <wp:wrapNone/>
                <wp:docPr id="38" name="文本框 38"/>
                <wp:cNvGraphicFramePr/>
                <a:graphic xmlns:a="http://schemas.openxmlformats.org/drawingml/2006/main">
                  <a:graphicData uri="http://schemas.microsoft.com/office/word/2010/wordprocessingShape">
                    <wps:wsp>
                      <wps:cNvSpPr txBox="1"/>
                      <wps:spPr>
                        <a:xfrm>
                          <a:off x="0" y="0"/>
                          <a:ext cx="727710" cy="15405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67EEF47"/>
                          <w:p w14:paraId="42122DBD"/>
                          <w:p w14:paraId="74B18764"/>
                          <w:p w14:paraId="3F8B090E">
                            <w:r>
                              <w:rPr>
                                <w:rFonts w:hint="eastAsia"/>
                              </w:rPr>
                              <w:t>办公区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3pt;margin-top:1.9pt;height:121.3pt;width:57.3pt;z-index:251689984;mso-width-relative:page;mso-height-relative:page;" fillcolor="#FFFFFF [3201]" filled="t" stroked="t" coordsize="21600,21600" o:gfxdata="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PDqcM1QAAAAgB&#10;AAAPAAAAAAAAAAEAIAAAACIAAABkcnMvZG93bnJldi54bWxQSwECFAAUAAAACACHTuJAK/icjVcC&#10;AAC5BAAADgAAAAAAAAABACAAAAAkAQAAZHJzL2Uyb0RvYy54bWxQSwUGAAAAAAYABgBZAQAA7QUA&#10;AAAA&#10;">
                <v:fill on="t" focussize="0,0"/>
                <v:stroke weight="0.5pt" color="#000000 [3204]" joinstyle="round"/>
                <v:imagedata o:title=""/>
                <o:lock v:ext="edit" aspectratio="f"/>
                <v:textbox>
                  <w:txbxContent>
                    <w:p w14:paraId="267EEF47"/>
                    <w:p w14:paraId="42122DBD"/>
                    <w:p w14:paraId="74B18764"/>
                    <w:p w14:paraId="3F8B090E">
                      <w:r>
                        <w:rPr>
                          <w:rFonts w:hint="eastAsia"/>
                        </w:rPr>
                        <w:t>办公区</w:t>
                      </w:r>
                    </w:p>
                  </w:txbxContent>
                </v:textbox>
              </v:shape>
            </w:pict>
          </mc:Fallback>
        </mc:AlternateContent>
      </w:r>
    </w:p>
    <w:p w14:paraId="5A32B258">
      <w:pPr>
        <w:rPr>
          <w:rFonts w:ascii="Calibri" w:hAnsi="Calibri"/>
          <w:sz w:val="21"/>
        </w:rPr>
      </w:pPr>
    </w:p>
    <w:p w14:paraId="098C273A">
      <w:pPr>
        <w:rPr>
          <w:rFonts w:ascii="Calibri" w:hAnsi="Calibri"/>
          <w:sz w:val="21"/>
        </w:rPr>
      </w:pPr>
    </w:p>
    <w:p w14:paraId="13C61DA7">
      <w:pPr>
        <w:rPr>
          <w:rFonts w:ascii="Calibri" w:hAnsi="Calibri"/>
          <w:sz w:val="21"/>
        </w:rPr>
      </w:pPr>
    </w:p>
    <w:p w14:paraId="24C095EF">
      <w:pPr>
        <w:rPr>
          <w:rFonts w:ascii="Calibri" w:hAnsi="Calibri"/>
          <w:sz w:val="21"/>
        </w:rPr>
      </w:pPr>
    </w:p>
    <w:p w14:paraId="3B9F6512">
      <w:pPr>
        <w:rPr>
          <w:rFonts w:ascii="Calibri" w:hAnsi="Calibri"/>
          <w:sz w:val="21"/>
        </w:rPr>
      </w:pPr>
    </w:p>
    <w:p w14:paraId="1BA9E99C">
      <w:pPr>
        <w:rPr>
          <w:rFonts w:ascii="Calibri" w:hAnsi="Calibri"/>
          <w:sz w:val="21"/>
        </w:rPr>
      </w:pPr>
      <w:r>
        <w:rPr>
          <w:sz w:val="21"/>
        </w:rPr>
        <mc:AlternateContent>
          <mc:Choice Requires="wps">
            <w:drawing>
              <wp:anchor distT="0" distB="0" distL="114300" distR="114300" simplePos="0" relativeHeight="251687936" behindDoc="0" locked="0" layoutInCell="1" allowOverlap="1">
                <wp:simplePos x="0" y="0"/>
                <wp:positionH relativeFrom="column">
                  <wp:posOffset>3544570</wp:posOffset>
                </wp:positionH>
                <wp:positionV relativeFrom="paragraph">
                  <wp:posOffset>20955</wp:posOffset>
                </wp:positionV>
                <wp:extent cx="814070" cy="424815"/>
                <wp:effectExtent l="4445" t="4445" r="19685" b="8890"/>
                <wp:wrapNone/>
                <wp:docPr id="36" name="文本框 36"/>
                <wp:cNvGraphicFramePr/>
                <a:graphic xmlns:a="http://schemas.openxmlformats.org/drawingml/2006/main">
                  <a:graphicData uri="http://schemas.microsoft.com/office/word/2010/wordprocessingShape">
                    <wps:wsp>
                      <wps:cNvSpPr txBox="1"/>
                      <wps:spPr>
                        <a:xfrm>
                          <a:off x="0" y="0"/>
                          <a:ext cx="814070" cy="4248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7B43B25">
                            <w:pPr>
                              <w:spacing w:line="360" w:lineRule="auto"/>
                              <w:jc w:val="center"/>
                            </w:pPr>
                            <w:r>
                              <w:rPr>
                                <w:rFonts w:hint="eastAsia"/>
                              </w:rPr>
                              <w:t>门卫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9.1pt;margin-top:1.65pt;height:33.45pt;width:64.1pt;z-index:251687936;mso-width-relative:page;mso-height-relative:page;" fillcolor="#FFFFFF [3201]" filled="t" stroked="t" coordsize="21600,21600" o:gfxdata="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LuEojWAAAA&#10;CAEAAA8AAAAAAAAAAQAgAAAAIgAAAGRycy9kb3ducmV2LnhtbFBLAQIUABQAAAAIAIdO4kB0dcxk&#10;WAIAALgEAAAOAAAAAAAAAAEAIAAAACUBAABkcnMvZTJvRG9jLnhtbFBLBQYAAAAABgAGAFkBAADv&#10;BQAAAAA=&#10;">
                <v:fill on="t" focussize="0,0"/>
                <v:stroke weight="0.5pt" color="#000000 [3204]" joinstyle="round"/>
                <v:imagedata o:title=""/>
                <o:lock v:ext="edit" aspectratio="f"/>
                <v:textbox>
                  <w:txbxContent>
                    <w:p w14:paraId="67B43B25">
                      <w:pPr>
                        <w:spacing w:line="360" w:lineRule="auto"/>
                        <w:jc w:val="center"/>
                      </w:pPr>
                      <w:r>
                        <w:rPr>
                          <w:rFonts w:hint="eastAsia"/>
                        </w:rPr>
                        <w:t>门卫</w:t>
                      </w:r>
                    </w:p>
                  </w:txbxContent>
                </v:textbox>
              </v:shape>
            </w:pict>
          </mc:Fallback>
        </mc:AlternateContent>
      </w:r>
    </w:p>
    <w:p w14:paraId="7C6ABA94">
      <w:pPr>
        <w:rPr>
          <w:rFonts w:ascii="Calibri" w:hAnsi="Calibri"/>
          <w:sz w:val="21"/>
        </w:rPr>
      </w:pPr>
      <w:r>
        <w:rPr>
          <w:sz w:val="21"/>
        </w:rPr>
        <mc:AlternateContent>
          <mc:Choice Requires="wps">
            <w:drawing>
              <wp:anchor distT="0" distB="0" distL="114300" distR="114300" simplePos="0" relativeHeight="251694080" behindDoc="0" locked="0" layoutInCell="1" allowOverlap="1">
                <wp:simplePos x="0" y="0"/>
                <wp:positionH relativeFrom="column">
                  <wp:posOffset>2425700</wp:posOffset>
                </wp:positionH>
                <wp:positionV relativeFrom="paragraph">
                  <wp:posOffset>118110</wp:posOffset>
                </wp:positionV>
                <wp:extent cx="1090295" cy="306705"/>
                <wp:effectExtent l="0" t="0" r="14605" b="17145"/>
                <wp:wrapNone/>
                <wp:docPr id="43" name="文本框 43"/>
                <wp:cNvGraphicFramePr/>
                <a:graphic xmlns:a="http://schemas.openxmlformats.org/drawingml/2006/main">
                  <a:graphicData uri="http://schemas.microsoft.com/office/word/2010/wordprocessingShape">
                    <wps:wsp>
                      <wps:cNvSpPr txBox="1"/>
                      <wps:spPr>
                        <a:xfrm>
                          <a:off x="3822700" y="8971915"/>
                          <a:ext cx="1090295" cy="30670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389528FC">
                            <w:pPr>
                              <w:jc w:val="center"/>
                            </w:pPr>
                            <w:r>
                              <w:rPr>
                                <w:rFonts w:hint="eastAsia"/>
                              </w:rPr>
                              <w:t>大门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1pt;margin-top:9.3pt;height:24.15pt;width:85.85pt;z-index:251694080;mso-width-relative:page;mso-height-relative:page;" fillcolor="#FFFFFF [3212]" filled="t" stroked="f" coordsize="21600,21600" o:gfxdata="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EaCR&#10;b9UAAAAJAQAADwAAAAAAAAABACAAAAAiAAAAZHJzL2Rvd25yZXYueG1sUEsBAhQAFAAAAAgAh07i&#10;QJdvJfReAgAAnQQAAA4AAAAAAAAAAQAgAAAAJAEAAGRycy9lMm9Eb2MueG1sUEsFBgAAAAAGAAYA&#10;WQEAAPQFAAAAAA==&#10;">
                <v:fill on="t" focussize="0,0"/>
                <v:stroke on="f" weight="0.5pt"/>
                <v:imagedata o:title=""/>
                <o:lock v:ext="edit" aspectratio="f"/>
                <v:textbox>
                  <w:txbxContent>
                    <w:p w14:paraId="389528FC">
                      <w:pPr>
                        <w:jc w:val="center"/>
                      </w:pPr>
                      <w:r>
                        <w:rPr>
                          <w:rFonts w:hint="eastAsia"/>
                        </w:rPr>
                        <w:t>大门</w:t>
                      </w:r>
                    </w:p>
                  </w:txbxContent>
                </v:textbox>
              </v:shape>
            </w:pict>
          </mc:Fallback>
        </mc:AlternateContent>
      </w:r>
    </w:p>
    <w:p w14:paraId="7AD02185">
      <w:pPr>
        <w:rPr>
          <w:rFonts w:ascii="Calibri" w:hAnsi="Calibri"/>
          <w:sz w:val="21"/>
        </w:rPr>
      </w:pPr>
      <w:r>
        <w:rPr>
          <w:sz w:val="21"/>
        </w:rPr>
        <mc:AlternateContent>
          <mc:Choice Requires="wps">
            <w:drawing>
              <wp:anchor distT="0" distB="0" distL="114300" distR="114300" simplePos="0" relativeHeight="251698176" behindDoc="0" locked="0" layoutInCell="1" allowOverlap="1">
                <wp:simplePos x="0" y="0"/>
                <wp:positionH relativeFrom="column">
                  <wp:posOffset>4269105</wp:posOffset>
                </wp:positionH>
                <wp:positionV relativeFrom="paragraph">
                  <wp:posOffset>150495</wp:posOffset>
                </wp:positionV>
                <wp:extent cx="1132840" cy="317500"/>
                <wp:effectExtent l="4445" t="4445" r="5715" b="20955"/>
                <wp:wrapNone/>
                <wp:docPr id="48" name="文本框 48"/>
                <wp:cNvGraphicFramePr/>
                <a:graphic xmlns:a="http://schemas.openxmlformats.org/drawingml/2006/main">
                  <a:graphicData uri="http://schemas.microsoft.com/office/word/2010/wordprocessingShape">
                    <wps:wsp>
                      <wps:cNvSpPr txBox="1"/>
                      <wps:spPr>
                        <a:xfrm>
                          <a:off x="5425440" y="9229725"/>
                          <a:ext cx="1132840" cy="317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6322820">
                            <w:r>
                              <w:rPr>
                                <w:rFonts w:hint="eastAsia"/>
                              </w:rPr>
                              <w:t>比例尺1：330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6.15pt;margin-top:11.85pt;height:25pt;width:89.2pt;z-index:251698176;mso-width-relative:page;mso-height-relative:page;" fillcolor="#FFFFFF [3201]" filled="t" stroked="t" coordsize="21600,21600" o:gfxdata="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SPUWn1gAAAAkBAAAPAAAAAAAAAAEAIAAAACIAAABkcnMvZG93bnJldi54bWxQSwECFAAU&#10;AAAACACHTuJA61htlmUCAADFBAAADgAAAAAAAAABACAAAAAlAQAAZHJzL2Uyb0RvYy54bWxQSwUG&#10;AAAAAAYABgBZAQAA/AUAAAAA&#10;">
                <v:fill on="t" focussize="0,0"/>
                <v:stroke weight="0.5pt" color="#000000 [3204]" joinstyle="round"/>
                <v:imagedata o:title=""/>
                <o:lock v:ext="edit" aspectratio="f"/>
                <v:textbox>
                  <w:txbxContent>
                    <w:p w14:paraId="06322820">
                      <w:r>
                        <w:rPr>
                          <w:rFonts w:hint="eastAsia"/>
                        </w:rPr>
                        <w:t>比例尺1：330</w:t>
                      </w:r>
                    </w:p>
                  </w:txbxContent>
                </v:textbox>
              </v:shape>
            </w:pict>
          </mc:Fallback>
        </mc:AlternateContent>
      </w:r>
    </w:p>
    <w:p w14:paraId="1A4F1129">
      <w:pPr>
        <w:rPr>
          <w:rFonts w:ascii="Calibri" w:hAnsi="Calibri"/>
          <w:sz w:val="21"/>
        </w:rPr>
      </w:pPr>
    </w:p>
    <w:p w14:paraId="0F39C9D3">
      <w:pPr>
        <w:rPr>
          <w:rFonts w:ascii="Calibri" w:hAnsi="Calibri"/>
          <w:sz w:val="21"/>
        </w:rPr>
      </w:pPr>
    </w:p>
    <w:p w14:paraId="4DBEB463">
      <w:pPr>
        <w:jc w:val="center"/>
        <w:rPr>
          <w:rFonts w:ascii="Calibri" w:hAnsi="Calibri"/>
          <w:sz w:val="21"/>
        </w:rPr>
      </w:pPr>
      <w:r>
        <w:rPr>
          <w:rFonts w:hint="eastAsia" w:ascii="黑体" w:hAnsi="黑体" w:eastAsia="黑体" w:cs="黑体"/>
        </w:rPr>
        <w:t>附图三  本项目平面布置图</w:t>
      </w:r>
    </w:p>
    <w:p w14:paraId="3BD2B86D">
      <w:pPr>
        <w:pStyle w:val="29"/>
        <w:spacing w:before="249" w:beforeLines="80" w:after="31"/>
        <w:jc w:val="left"/>
        <w:rPr>
          <w:color w:val="000000" w:themeColor="text1"/>
          <w14:textFill>
            <w14:solidFill>
              <w14:schemeClr w14:val="tx1"/>
            </w14:solidFill>
          </w14:textFill>
        </w:rPr>
        <w:sectPr>
          <w:pgSz w:w="11906" w:h="16838"/>
          <w:pgMar w:top="1134" w:right="1701" w:bottom="1134" w:left="1701" w:header="851" w:footer="992" w:gutter="0"/>
          <w:cols w:space="720" w:num="1"/>
          <w:docGrid w:type="lines" w:linePitch="312" w:charSpace="0"/>
        </w:sectPr>
      </w:pPr>
    </w:p>
    <w:p w14:paraId="25318821">
      <w:pPr>
        <w:rPr>
          <w:rFonts w:ascii="Calibri" w:hAnsi="Calibri"/>
          <w:sz w:val="21"/>
          <w:szCs w:val="22"/>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6"/>
        <w:gridCol w:w="4236"/>
      </w:tblGrid>
      <w:tr w14:paraId="704F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7A6B18ED">
            <w:pPr>
              <w:rPr>
                <w:rFonts w:hint="eastAsia" w:ascii="Calibri" w:hAnsi="Calibri" w:eastAsia="宋体"/>
                <w:sz w:val="21"/>
                <w:szCs w:val="22"/>
                <w:vertAlign w:val="baseline"/>
                <w:lang w:eastAsia="zh-CN"/>
              </w:rPr>
            </w:pPr>
            <w:r>
              <w:rPr>
                <w:rFonts w:hint="eastAsia" w:ascii="Calibri" w:hAnsi="Calibri" w:eastAsia="宋体"/>
                <w:sz w:val="21"/>
                <w:szCs w:val="22"/>
                <w:vertAlign w:val="baseline"/>
                <w:lang w:eastAsia="zh-CN"/>
              </w:rPr>
              <w:drawing>
                <wp:inline distT="0" distB="0" distL="114300" distR="114300">
                  <wp:extent cx="2567305" cy="1924685"/>
                  <wp:effectExtent l="0" t="0" r="4445" b="18415"/>
                  <wp:docPr id="11" name="图片 11" descr="495901f6a0239f2763248f1d7b46aa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95901f6a0239f2763248f1d7b46aa14"/>
                          <pic:cNvPicPr>
                            <a:picLocks noChangeAspect="1"/>
                          </pic:cNvPicPr>
                        </pic:nvPicPr>
                        <pic:blipFill>
                          <a:blip r:embed="rId27"/>
                          <a:stretch>
                            <a:fillRect/>
                          </a:stretch>
                        </pic:blipFill>
                        <pic:spPr>
                          <a:xfrm>
                            <a:off x="0" y="0"/>
                            <a:ext cx="2567305" cy="1924685"/>
                          </a:xfrm>
                          <a:prstGeom prst="rect">
                            <a:avLst/>
                          </a:prstGeom>
                        </pic:spPr>
                      </pic:pic>
                    </a:graphicData>
                  </a:graphic>
                </wp:inline>
              </w:drawing>
            </w:r>
          </w:p>
        </w:tc>
        <w:tc>
          <w:tcPr>
            <w:tcW w:w="4261" w:type="dxa"/>
          </w:tcPr>
          <w:p w14:paraId="270AC458">
            <w:pPr>
              <w:rPr>
                <w:rFonts w:hint="eastAsia" w:ascii="Calibri" w:hAnsi="Calibri" w:eastAsia="宋体"/>
                <w:sz w:val="21"/>
                <w:szCs w:val="22"/>
                <w:vertAlign w:val="baseline"/>
                <w:lang w:eastAsia="zh-CN"/>
              </w:rPr>
            </w:pPr>
            <w:r>
              <w:rPr>
                <w:rFonts w:hint="eastAsia" w:ascii="Calibri" w:hAnsi="Calibri" w:eastAsia="宋体"/>
                <w:sz w:val="21"/>
                <w:szCs w:val="22"/>
                <w:vertAlign w:val="baseline"/>
                <w:lang w:eastAsia="zh-CN"/>
              </w:rPr>
              <w:drawing>
                <wp:inline distT="0" distB="0" distL="114300" distR="114300">
                  <wp:extent cx="2551430" cy="1912620"/>
                  <wp:effectExtent l="0" t="0" r="1270" b="11430"/>
                  <wp:docPr id="12" name="图片 12" descr="da1e5231e5287cfe5a6d4f5283001f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a1e5231e5287cfe5a6d4f5283001f3e"/>
                          <pic:cNvPicPr>
                            <a:picLocks noChangeAspect="1"/>
                          </pic:cNvPicPr>
                        </pic:nvPicPr>
                        <pic:blipFill>
                          <a:blip r:embed="rId28"/>
                          <a:stretch>
                            <a:fillRect/>
                          </a:stretch>
                        </pic:blipFill>
                        <pic:spPr>
                          <a:xfrm>
                            <a:off x="0" y="0"/>
                            <a:ext cx="2551430" cy="1912620"/>
                          </a:xfrm>
                          <a:prstGeom prst="rect">
                            <a:avLst/>
                          </a:prstGeom>
                        </pic:spPr>
                      </pic:pic>
                    </a:graphicData>
                  </a:graphic>
                </wp:inline>
              </w:drawing>
            </w:r>
          </w:p>
        </w:tc>
      </w:tr>
      <w:tr w14:paraId="6D74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F11D490">
            <w:pPr>
              <w:jc w:val="center"/>
              <w:rPr>
                <w:rFonts w:hint="default" w:ascii="Calibri" w:hAnsi="Calibri" w:eastAsia="宋体"/>
                <w:sz w:val="21"/>
                <w:szCs w:val="22"/>
                <w:vertAlign w:val="baseline"/>
                <w:lang w:val="en-US" w:eastAsia="zh-CN"/>
              </w:rPr>
            </w:pPr>
            <w:r>
              <w:rPr>
                <w:rFonts w:hint="eastAsia" w:ascii="Calibri" w:hAnsi="Calibri"/>
                <w:sz w:val="21"/>
                <w:szCs w:val="22"/>
                <w:vertAlign w:val="baseline"/>
                <w:lang w:val="en-US" w:eastAsia="zh-CN"/>
              </w:rPr>
              <w:t>厂区南侧</w:t>
            </w:r>
          </w:p>
        </w:tc>
        <w:tc>
          <w:tcPr>
            <w:tcW w:w="4261" w:type="dxa"/>
          </w:tcPr>
          <w:p w14:paraId="6FD3E4B4">
            <w:pPr>
              <w:jc w:val="center"/>
              <w:rPr>
                <w:rFonts w:hint="default" w:ascii="Calibri" w:hAnsi="Calibri" w:eastAsia="宋体"/>
                <w:sz w:val="21"/>
                <w:szCs w:val="22"/>
                <w:vertAlign w:val="baseline"/>
                <w:lang w:val="en-US" w:eastAsia="zh-CN"/>
              </w:rPr>
            </w:pPr>
            <w:r>
              <w:rPr>
                <w:rFonts w:hint="eastAsia" w:ascii="Calibri" w:hAnsi="Calibri"/>
                <w:sz w:val="21"/>
                <w:szCs w:val="22"/>
                <w:vertAlign w:val="baseline"/>
                <w:lang w:val="en-US" w:eastAsia="zh-CN"/>
              </w:rPr>
              <w:t>厂区北侧</w:t>
            </w:r>
          </w:p>
        </w:tc>
      </w:tr>
      <w:tr w14:paraId="1DAB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3DC53DF">
            <w:pPr>
              <w:rPr>
                <w:rFonts w:hint="eastAsia" w:ascii="Calibri" w:hAnsi="Calibri" w:eastAsia="宋体"/>
                <w:sz w:val="21"/>
                <w:szCs w:val="22"/>
                <w:vertAlign w:val="baseline"/>
                <w:lang w:eastAsia="zh-CN"/>
              </w:rPr>
            </w:pPr>
            <w:r>
              <w:rPr>
                <w:rFonts w:hint="eastAsia" w:ascii="Calibri" w:hAnsi="Calibri" w:eastAsia="宋体"/>
                <w:sz w:val="21"/>
                <w:szCs w:val="22"/>
                <w:vertAlign w:val="baseline"/>
                <w:lang w:eastAsia="zh-CN"/>
              </w:rPr>
              <w:drawing>
                <wp:inline distT="0" distB="0" distL="114300" distR="114300">
                  <wp:extent cx="2584450" cy="1897380"/>
                  <wp:effectExtent l="0" t="0" r="0" b="0"/>
                  <wp:docPr id="13" name="图片 13" descr="fd24594ada89ec7f128b9ec5c00c9b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d24594ada89ec7f128b9ec5c00c9b8b"/>
                          <pic:cNvPicPr>
                            <a:picLocks noChangeAspect="1"/>
                          </pic:cNvPicPr>
                        </pic:nvPicPr>
                        <pic:blipFill>
                          <a:blip r:embed="rId29"/>
                          <a:srcRect l="-668" t="1419"/>
                          <a:stretch>
                            <a:fillRect/>
                          </a:stretch>
                        </pic:blipFill>
                        <pic:spPr>
                          <a:xfrm>
                            <a:off x="0" y="0"/>
                            <a:ext cx="2584450" cy="1897380"/>
                          </a:xfrm>
                          <a:prstGeom prst="rect">
                            <a:avLst/>
                          </a:prstGeom>
                        </pic:spPr>
                      </pic:pic>
                    </a:graphicData>
                  </a:graphic>
                </wp:inline>
              </w:drawing>
            </w:r>
          </w:p>
        </w:tc>
        <w:tc>
          <w:tcPr>
            <w:tcW w:w="4261" w:type="dxa"/>
          </w:tcPr>
          <w:p w14:paraId="5BB93F66">
            <w:pPr>
              <w:rPr>
                <w:rFonts w:hint="eastAsia" w:ascii="Calibri" w:hAnsi="Calibri" w:eastAsia="宋体"/>
                <w:sz w:val="21"/>
                <w:szCs w:val="22"/>
                <w:vertAlign w:val="baseline"/>
                <w:lang w:eastAsia="zh-CN"/>
              </w:rPr>
            </w:pPr>
            <w:r>
              <w:rPr>
                <w:rFonts w:hint="eastAsia" w:ascii="Calibri" w:hAnsi="Calibri" w:eastAsia="宋体"/>
                <w:sz w:val="21"/>
                <w:szCs w:val="22"/>
                <w:vertAlign w:val="baseline"/>
                <w:lang w:eastAsia="zh-CN"/>
              </w:rPr>
              <w:drawing>
                <wp:inline distT="0" distB="0" distL="114300" distR="114300">
                  <wp:extent cx="2551430" cy="1912620"/>
                  <wp:effectExtent l="0" t="0" r="1270" b="11430"/>
                  <wp:docPr id="14" name="图片 14" descr="9f42805f0e43ff24c7482d6a075929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9f42805f0e43ff24c7482d6a075929b8"/>
                          <pic:cNvPicPr>
                            <a:picLocks noChangeAspect="1"/>
                          </pic:cNvPicPr>
                        </pic:nvPicPr>
                        <pic:blipFill>
                          <a:blip r:embed="rId30"/>
                          <a:stretch>
                            <a:fillRect/>
                          </a:stretch>
                        </pic:blipFill>
                        <pic:spPr>
                          <a:xfrm>
                            <a:off x="0" y="0"/>
                            <a:ext cx="2551430" cy="1912620"/>
                          </a:xfrm>
                          <a:prstGeom prst="rect">
                            <a:avLst/>
                          </a:prstGeom>
                        </pic:spPr>
                      </pic:pic>
                    </a:graphicData>
                  </a:graphic>
                </wp:inline>
              </w:drawing>
            </w:r>
          </w:p>
        </w:tc>
      </w:tr>
      <w:tr w14:paraId="4FA4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543D371">
            <w:pPr>
              <w:jc w:val="center"/>
              <w:rPr>
                <w:rFonts w:hint="default" w:ascii="Calibri" w:hAnsi="Calibri" w:eastAsia="宋体"/>
                <w:sz w:val="21"/>
                <w:szCs w:val="22"/>
                <w:vertAlign w:val="baseline"/>
                <w:lang w:val="en-US" w:eastAsia="zh-CN"/>
              </w:rPr>
            </w:pPr>
            <w:r>
              <w:rPr>
                <w:rFonts w:hint="eastAsia" w:ascii="Calibri" w:hAnsi="Calibri"/>
                <w:sz w:val="21"/>
                <w:szCs w:val="22"/>
                <w:vertAlign w:val="baseline"/>
                <w:lang w:val="en-US" w:eastAsia="zh-CN"/>
              </w:rPr>
              <w:t>厂区东侧</w:t>
            </w:r>
          </w:p>
        </w:tc>
        <w:tc>
          <w:tcPr>
            <w:tcW w:w="4261" w:type="dxa"/>
          </w:tcPr>
          <w:p w14:paraId="2E065AD1">
            <w:pPr>
              <w:jc w:val="center"/>
              <w:rPr>
                <w:rFonts w:hint="default" w:ascii="Calibri" w:hAnsi="Calibri" w:eastAsia="宋体"/>
                <w:sz w:val="21"/>
                <w:szCs w:val="22"/>
                <w:vertAlign w:val="baseline"/>
                <w:lang w:val="en-US" w:eastAsia="zh-CN"/>
              </w:rPr>
            </w:pPr>
            <w:r>
              <w:rPr>
                <w:rFonts w:hint="eastAsia" w:ascii="Calibri" w:hAnsi="Calibri"/>
                <w:sz w:val="21"/>
                <w:szCs w:val="22"/>
                <w:vertAlign w:val="baseline"/>
                <w:lang w:val="en-US" w:eastAsia="zh-CN"/>
              </w:rPr>
              <w:t>厂区西侧</w:t>
            </w:r>
          </w:p>
        </w:tc>
      </w:tr>
    </w:tbl>
    <w:p w14:paraId="318AB4BE">
      <w:pPr>
        <w:rPr>
          <w:rFonts w:ascii="Calibri" w:hAnsi="Calibri"/>
          <w:sz w:val="21"/>
          <w:szCs w:val="22"/>
        </w:rPr>
      </w:pPr>
    </w:p>
    <w:p w14:paraId="41648596">
      <w:pPr>
        <w:jc w:val="center"/>
        <w:rPr>
          <w:rFonts w:ascii="黑体" w:hAnsi="黑体" w:eastAsia="黑体"/>
        </w:rPr>
      </w:pPr>
      <w:r>
        <w:rPr>
          <w:rFonts w:hint="eastAsia" w:ascii="黑体" w:hAnsi="黑体" w:eastAsia="黑体"/>
        </w:rPr>
        <w:t xml:space="preserve">附图四 </w:t>
      </w:r>
      <w:r>
        <w:rPr>
          <w:rFonts w:hint="eastAsia" w:ascii="黑体" w:hAnsi="黑体" w:eastAsia="黑体"/>
          <w:lang w:val="en-US" w:eastAsia="zh-CN"/>
        </w:rPr>
        <w:t>厂区四周环境</w:t>
      </w:r>
      <w:r>
        <w:rPr>
          <w:rFonts w:hint="eastAsia" w:ascii="黑体" w:hAnsi="黑体" w:eastAsia="黑体"/>
        </w:rPr>
        <w:t>图片</w:t>
      </w:r>
      <w:r>
        <w:rPr>
          <w:rFonts w:ascii="黑体" w:hAnsi="黑体" w:eastAsia="黑体"/>
        </w:rPr>
        <w:t xml:space="preserve"> </w:t>
      </w:r>
    </w:p>
    <w:p w14:paraId="5651FA6B">
      <w:pPr>
        <w:pStyle w:val="29"/>
        <w:spacing w:before="249" w:beforeLines="80" w:after="31"/>
        <w:jc w:val="left"/>
        <w:rPr>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7262CB09">
      <w:pPr>
        <w:rPr>
          <w:rFonts w:ascii="Calibri" w:hAnsi="Calibri"/>
          <w:sz w:val="21"/>
        </w:rPr>
      </w:pPr>
    </w:p>
    <w:p w14:paraId="0975E3FD">
      <w:pPr>
        <w:jc w:val="center"/>
        <w:rPr>
          <w:rFonts w:ascii="Calibri" w:hAnsi="Calibri"/>
          <w:sz w:val="21"/>
        </w:rPr>
      </w:pPr>
      <w:r>
        <w:rPr>
          <w:sz w:val="21"/>
        </w:rPr>
        <mc:AlternateContent>
          <mc:Choice Requires="wps">
            <w:drawing>
              <wp:anchor distT="0" distB="0" distL="114300" distR="114300" simplePos="0" relativeHeight="251680768" behindDoc="0" locked="0" layoutInCell="1" allowOverlap="1">
                <wp:simplePos x="0" y="0"/>
                <wp:positionH relativeFrom="column">
                  <wp:posOffset>4722495</wp:posOffset>
                </wp:positionH>
                <wp:positionV relativeFrom="paragraph">
                  <wp:posOffset>2984500</wp:posOffset>
                </wp:positionV>
                <wp:extent cx="615950" cy="287655"/>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615950" cy="287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A15020">
                            <w:pPr>
                              <w:rPr>
                                <w:color w:val="FFFF00"/>
                                <w:sz w:val="21"/>
                                <w:szCs w:val="21"/>
                              </w:rPr>
                            </w:pPr>
                            <w:r>
                              <w:rPr>
                                <w:rFonts w:hint="eastAsia"/>
                                <w:color w:val="FFFF00"/>
                                <w:sz w:val="21"/>
                                <w:szCs w:val="21"/>
                              </w:rPr>
                              <w:t>夹堤村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85pt;margin-top:235pt;height:22.65pt;width:48.5pt;z-index:251680768;mso-width-relative:page;mso-height-relative:page;" filled="f" stroked="f" coordsize="21600,21600" o:gfxdata="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2rMYZtsAAAALAQAADwAAAAAAAAABACAAAAAiAAAAZHJz&#10;L2Rvd25yZXYueG1sUEsBAhQAFAAAAAgAh07iQKl6ffs6AgAAZwQAAA4AAAAAAAAAAQAgAAAAKgEA&#10;AGRycy9lMm9Eb2MueG1sUEsFBgAAAAAGAAYAWQEAANYFAAAAAA==&#10;">
                <v:fill on="f" focussize="0,0"/>
                <v:stroke on="f" weight="0.5pt"/>
                <v:imagedata o:title=""/>
                <o:lock v:ext="edit" aspectratio="f"/>
                <v:textbox>
                  <w:txbxContent>
                    <w:p w14:paraId="4FA15020">
                      <w:pPr>
                        <w:rPr>
                          <w:color w:val="FFFF00"/>
                          <w:sz w:val="21"/>
                          <w:szCs w:val="21"/>
                        </w:rPr>
                      </w:pPr>
                      <w:r>
                        <w:rPr>
                          <w:rFonts w:hint="eastAsia"/>
                          <w:color w:val="FFFF00"/>
                          <w:sz w:val="21"/>
                          <w:szCs w:val="21"/>
                        </w:rPr>
                        <w:t>夹堤村</w:t>
                      </w:r>
                    </w:p>
                  </w:txbxContent>
                </v:textbox>
              </v:shape>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6021070</wp:posOffset>
                </wp:positionH>
                <wp:positionV relativeFrom="paragraph">
                  <wp:posOffset>465455</wp:posOffset>
                </wp:positionV>
                <wp:extent cx="615950" cy="28765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615950" cy="287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8E2E77">
                            <w:pPr>
                              <w:rPr>
                                <w:color w:val="FFFF00"/>
                                <w:sz w:val="21"/>
                                <w:szCs w:val="21"/>
                              </w:rPr>
                            </w:pPr>
                            <w:r>
                              <w:rPr>
                                <w:rFonts w:hint="eastAsia"/>
                                <w:color w:val="FFFF00"/>
                                <w:sz w:val="21"/>
                                <w:szCs w:val="21"/>
                              </w:rPr>
                              <w:t>王村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4.1pt;margin-top:36.65pt;height:22.65pt;width:48.5pt;z-index:251679744;mso-width-relative:page;mso-height-relative:page;" filled="f" stroked="f" coordsize="21600,21600" o:gfxdata="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QuiNsAAAALAQAADwAAAAAAAAABACAAAAAiAAAAZHJz&#10;L2Rvd25yZXYueG1sUEsBAhQAFAAAAAgAh07iQPMFvhM6AgAAZwQAAA4AAAAAAAAAAQAgAAAAKgEA&#10;AGRycy9lMm9Eb2MueG1sUEsFBgAAAAAGAAYAWQEAANYFAAAAAA==&#10;">
                <v:fill on="f" focussize="0,0"/>
                <v:stroke on="f" weight="0.5pt"/>
                <v:imagedata o:title=""/>
                <o:lock v:ext="edit" aspectratio="f"/>
                <v:textbox>
                  <w:txbxContent>
                    <w:p w14:paraId="4B8E2E77">
                      <w:pPr>
                        <w:rPr>
                          <w:color w:val="FFFF00"/>
                          <w:sz w:val="21"/>
                          <w:szCs w:val="21"/>
                        </w:rPr>
                      </w:pPr>
                      <w:r>
                        <w:rPr>
                          <w:rFonts w:hint="eastAsia"/>
                          <w:color w:val="FFFF00"/>
                          <w:sz w:val="21"/>
                          <w:szCs w:val="21"/>
                        </w:rPr>
                        <w:t>王村</w:t>
                      </w:r>
                    </w:p>
                  </w:txbxContent>
                </v:textbox>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3465195</wp:posOffset>
                </wp:positionH>
                <wp:positionV relativeFrom="paragraph">
                  <wp:posOffset>2533015</wp:posOffset>
                </wp:positionV>
                <wp:extent cx="403860" cy="28765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403860" cy="287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AC4E7">
                            <w:pPr>
                              <w:rPr>
                                <w:color w:val="FFFF00"/>
                                <w:sz w:val="21"/>
                                <w:szCs w:val="21"/>
                              </w:rPr>
                            </w:pPr>
                            <w:r>
                              <w:rPr>
                                <w:rFonts w:hint="eastAsia"/>
                                <w:color w:val="FFFF00"/>
                                <w:sz w:val="18"/>
                                <w:szCs w:val="18"/>
                              </w:rPr>
                              <w:t>15m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2.85pt;margin-top:199.45pt;height:22.65pt;width:31.8pt;z-index:251678720;mso-width-relative:page;mso-height-relative:page;" filled="f" stroked="f" coordsize="21600,21600" o:gfxdata="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5BUY43QAAAAsBAAAPAAAAAAAAAAEAIAAAACIA&#10;AABkcnMvZG93bnJldi54bWxQSwECFAAUAAAACACHTuJA+EO/uj0CAABnBAAADgAAAAAAAAABACAA&#10;AAAsAQAAZHJzL2Uyb0RvYy54bWxQSwUGAAAAAAYABgBZAQAA2wUAAAAA&#10;">
                <v:fill on="f" focussize="0,0"/>
                <v:stroke on="f" weight="0.5pt"/>
                <v:imagedata o:title=""/>
                <o:lock v:ext="edit" aspectratio="f"/>
                <v:textbox>
                  <w:txbxContent>
                    <w:p w14:paraId="1A5AC4E7">
                      <w:pPr>
                        <w:rPr>
                          <w:color w:val="FFFF00"/>
                          <w:sz w:val="21"/>
                          <w:szCs w:val="21"/>
                        </w:rPr>
                      </w:pPr>
                      <w:r>
                        <w:rPr>
                          <w:rFonts w:hint="eastAsia"/>
                          <w:color w:val="FFFF00"/>
                          <w:sz w:val="18"/>
                          <w:szCs w:val="18"/>
                        </w:rPr>
                        <w:t>15m</w:t>
                      </w: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3228340</wp:posOffset>
                </wp:positionH>
                <wp:positionV relativeFrom="paragraph">
                  <wp:posOffset>1813560</wp:posOffset>
                </wp:positionV>
                <wp:extent cx="5238750" cy="3121025"/>
                <wp:effectExtent l="7620" t="6985" r="11430" b="15240"/>
                <wp:wrapNone/>
                <wp:docPr id="21" name="任意多边形 21"/>
                <wp:cNvGraphicFramePr/>
                <a:graphic xmlns:a="http://schemas.openxmlformats.org/drawingml/2006/main">
                  <a:graphicData uri="http://schemas.microsoft.com/office/word/2010/wordprocessingShape">
                    <wps:wsp>
                      <wps:cNvSpPr/>
                      <wps:spPr>
                        <a:xfrm>
                          <a:off x="4291965" y="2731770"/>
                          <a:ext cx="5238750" cy="3121025"/>
                        </a:xfrm>
                        <a:custGeom>
                          <a:avLst/>
                          <a:gdLst>
                            <a:gd name="connisteX0" fmla="*/ 196215 w 5255260"/>
                            <a:gd name="connsiteY0" fmla="*/ 1518920 h 3121025"/>
                            <a:gd name="connisteX1" fmla="*/ 212725 w 5255260"/>
                            <a:gd name="connsiteY1" fmla="*/ 1228090 h 3121025"/>
                            <a:gd name="connisteX2" fmla="*/ 324485 w 5255260"/>
                            <a:gd name="connsiteY2" fmla="*/ 1069975 h 3121025"/>
                            <a:gd name="connisteX3" fmla="*/ 459105 w 5255260"/>
                            <a:gd name="connsiteY3" fmla="*/ 628015 h 3121025"/>
                            <a:gd name="connisteX4" fmla="*/ 548640 w 5255260"/>
                            <a:gd name="connsiteY4" fmla="*/ 342265 h 3121025"/>
                            <a:gd name="connisteX5" fmla="*/ 627380 w 5255260"/>
                            <a:gd name="connsiteY5" fmla="*/ 0 h 3121025"/>
                            <a:gd name="connisteX6" fmla="*/ 823595 w 5255260"/>
                            <a:gd name="connsiteY6" fmla="*/ 34290 h 3121025"/>
                            <a:gd name="connisteX7" fmla="*/ 862965 w 5255260"/>
                            <a:gd name="connsiteY7" fmla="*/ 90170 h 3121025"/>
                            <a:gd name="connisteX8" fmla="*/ 1635760 w 5255260"/>
                            <a:gd name="connsiteY8" fmla="*/ 236220 h 3121025"/>
                            <a:gd name="connisteX9" fmla="*/ 1602105 w 5255260"/>
                            <a:gd name="connsiteY9" fmla="*/ 331470 h 3121025"/>
                            <a:gd name="connisteX10" fmla="*/ 1798320 w 5255260"/>
                            <a:gd name="connsiteY10" fmla="*/ 370840 h 3121025"/>
                            <a:gd name="connisteX11" fmla="*/ 1865630 w 5255260"/>
                            <a:gd name="connsiteY11" fmla="*/ 275590 h 3121025"/>
                            <a:gd name="connisteX12" fmla="*/ 1994535 w 5255260"/>
                            <a:gd name="connsiteY12" fmla="*/ 303530 h 3121025"/>
                            <a:gd name="connisteX13" fmla="*/ 2016760 w 5255260"/>
                            <a:gd name="connsiteY13" fmla="*/ 196215 h 3121025"/>
                            <a:gd name="connisteX14" fmla="*/ 2145665 w 5255260"/>
                            <a:gd name="connsiteY14" fmla="*/ 230505 h 3121025"/>
                            <a:gd name="connisteX15" fmla="*/ 2106295 w 5255260"/>
                            <a:gd name="connsiteY15" fmla="*/ 375920 h 3121025"/>
                            <a:gd name="connisteX16" fmla="*/ 3103880 w 5255260"/>
                            <a:gd name="connsiteY16" fmla="*/ 466090 h 3121025"/>
                            <a:gd name="connisteX17" fmla="*/ 4056380 w 5255260"/>
                            <a:gd name="connsiteY17" fmla="*/ 527050 h 3121025"/>
                            <a:gd name="connisteX18" fmla="*/ 4711700 w 5255260"/>
                            <a:gd name="connsiteY18" fmla="*/ 544195 h 3121025"/>
                            <a:gd name="connisteX19" fmla="*/ 5059045 w 5255260"/>
                            <a:gd name="connsiteY19" fmla="*/ 599440 h 3121025"/>
                            <a:gd name="connisteX20" fmla="*/ 5255260 w 5255260"/>
                            <a:gd name="connsiteY20" fmla="*/ 661670 h 3121025"/>
                            <a:gd name="connisteX21" fmla="*/ 5255260 w 5255260"/>
                            <a:gd name="connsiteY21" fmla="*/ 1053465 h 3121025"/>
                            <a:gd name="connisteX22" fmla="*/ 3238500 w 5255260"/>
                            <a:gd name="connsiteY22" fmla="*/ 852170 h 3121025"/>
                            <a:gd name="connisteX23" fmla="*/ 3215640 w 5255260"/>
                            <a:gd name="connsiteY23" fmla="*/ 952500 h 3121025"/>
                            <a:gd name="connisteX24" fmla="*/ 3092450 w 5255260"/>
                            <a:gd name="connsiteY24" fmla="*/ 930275 h 3121025"/>
                            <a:gd name="connisteX25" fmla="*/ 2784475 w 5255260"/>
                            <a:gd name="connsiteY25" fmla="*/ 2073275 h 3121025"/>
                            <a:gd name="connisteX26" fmla="*/ 2672715 w 5255260"/>
                            <a:gd name="connsiteY26" fmla="*/ 2085340 h 3121025"/>
                            <a:gd name="connisteX27" fmla="*/ 2560320 w 5255260"/>
                            <a:gd name="connsiteY27" fmla="*/ 2571750 h 3121025"/>
                            <a:gd name="connisteX28" fmla="*/ 2621915 w 5255260"/>
                            <a:gd name="connsiteY28" fmla="*/ 2628265 h 3121025"/>
                            <a:gd name="connisteX29" fmla="*/ 2543810 w 5255260"/>
                            <a:gd name="connsiteY29" fmla="*/ 2807970 h 3121025"/>
                            <a:gd name="connisteX30" fmla="*/ 2532380 w 5255260"/>
                            <a:gd name="connsiteY30" fmla="*/ 2767965 h 3121025"/>
                            <a:gd name="connisteX31" fmla="*/ 2139950 w 5255260"/>
                            <a:gd name="connsiteY31" fmla="*/ 2689225 h 3121025"/>
                            <a:gd name="connisteX32" fmla="*/ 2117725 w 5255260"/>
                            <a:gd name="connsiteY32" fmla="*/ 2790190 h 3121025"/>
                            <a:gd name="connisteX33" fmla="*/ 1949450 w 5255260"/>
                            <a:gd name="connsiteY33" fmla="*/ 2767965 h 3121025"/>
                            <a:gd name="connisteX34" fmla="*/ 1905000 w 5255260"/>
                            <a:gd name="connsiteY34" fmla="*/ 2847340 h 3121025"/>
                            <a:gd name="connisteX35" fmla="*/ 1725295 w 5255260"/>
                            <a:gd name="connsiteY35" fmla="*/ 2780030 h 3121025"/>
                            <a:gd name="connisteX36" fmla="*/ 1770380 w 5255260"/>
                            <a:gd name="connsiteY36" fmla="*/ 2611755 h 3121025"/>
                            <a:gd name="connisteX37" fmla="*/ 1675130 w 5255260"/>
                            <a:gd name="connsiteY37" fmla="*/ 2566670 h 3121025"/>
                            <a:gd name="connisteX38" fmla="*/ 1551940 w 5255260"/>
                            <a:gd name="connsiteY38" fmla="*/ 3060065 h 3121025"/>
                            <a:gd name="connisteX39" fmla="*/ 1305560 w 5255260"/>
                            <a:gd name="connsiteY39" fmla="*/ 3009265 h 3121025"/>
                            <a:gd name="connisteX40" fmla="*/ 1322070 w 5255260"/>
                            <a:gd name="connsiteY40" fmla="*/ 2903220 h 3121025"/>
                            <a:gd name="connisteX41" fmla="*/ 1165225 w 5255260"/>
                            <a:gd name="connsiteY41" fmla="*/ 2852420 h 3121025"/>
                            <a:gd name="connisteX42" fmla="*/ 1086485 w 5255260"/>
                            <a:gd name="connsiteY42" fmla="*/ 2852420 h 3121025"/>
                            <a:gd name="connisteX43" fmla="*/ 1019810 w 5255260"/>
                            <a:gd name="connsiteY43" fmla="*/ 3121025 h 3121025"/>
                            <a:gd name="connisteX44" fmla="*/ 683260 w 5255260"/>
                            <a:gd name="connsiteY44" fmla="*/ 3070225 h 3121025"/>
                            <a:gd name="connisteX45" fmla="*/ 762000 w 5255260"/>
                            <a:gd name="connsiteY45" fmla="*/ 2813050 h 3121025"/>
                            <a:gd name="connisteX46" fmla="*/ 520700 w 5255260"/>
                            <a:gd name="connsiteY46" fmla="*/ 2701290 h 3121025"/>
                            <a:gd name="connisteX47" fmla="*/ 554355 w 5255260"/>
                            <a:gd name="connsiteY47" fmla="*/ 2522220 h 3121025"/>
                            <a:gd name="connisteX48" fmla="*/ 156845 w 5255260"/>
                            <a:gd name="connsiteY48" fmla="*/ 2421255 h 3121025"/>
                            <a:gd name="connisteX49" fmla="*/ 89535 w 5255260"/>
                            <a:gd name="connsiteY49" fmla="*/ 2593975 h 3121025"/>
                            <a:gd name="connisteX50" fmla="*/ 0 w 5255260"/>
                            <a:gd name="connsiteY50" fmla="*/ 2555240 h 3121025"/>
                            <a:gd name="connisteX51" fmla="*/ 280035 w 5255260"/>
                            <a:gd name="connsiteY51" fmla="*/ 1591945 h 3121025"/>
                            <a:gd name="connisteX52" fmla="*/ 196215 w 5255260"/>
                            <a:gd name="connsiteY52" fmla="*/ 1518920 h 31210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 ang="0">
                              <a:pos x="connisteX20" y="connsiteY20"/>
                            </a:cxn>
                            <a:cxn ang="0">
                              <a:pos x="connisteX21" y="connsiteY21"/>
                            </a:cxn>
                            <a:cxn ang="0">
                              <a:pos x="connisteX22" y="connsiteY22"/>
                            </a:cxn>
                            <a:cxn ang="0">
                              <a:pos x="connisteX23" y="connsiteY23"/>
                            </a:cxn>
                            <a:cxn ang="0">
                              <a:pos x="connisteX24" y="connsiteY24"/>
                            </a:cxn>
                            <a:cxn ang="0">
                              <a:pos x="connisteX25" y="connsiteY25"/>
                            </a:cxn>
                            <a:cxn ang="0">
                              <a:pos x="connisteX26" y="connsiteY26"/>
                            </a:cxn>
                            <a:cxn ang="0">
                              <a:pos x="connisteX27" y="connsiteY27"/>
                            </a:cxn>
                            <a:cxn ang="0">
                              <a:pos x="connisteX28" y="connsiteY28"/>
                            </a:cxn>
                            <a:cxn ang="0">
                              <a:pos x="connisteX29" y="connsiteY29"/>
                            </a:cxn>
                            <a:cxn ang="0">
                              <a:pos x="connisteX30" y="connsiteY30"/>
                            </a:cxn>
                            <a:cxn ang="0">
                              <a:pos x="connisteX31" y="connsiteY31"/>
                            </a:cxn>
                            <a:cxn ang="0">
                              <a:pos x="connisteX32" y="connsiteY32"/>
                            </a:cxn>
                            <a:cxn ang="0">
                              <a:pos x="connisteX33" y="connsiteY33"/>
                            </a:cxn>
                            <a:cxn ang="0">
                              <a:pos x="connisteX34" y="connsiteY34"/>
                            </a:cxn>
                            <a:cxn ang="0">
                              <a:pos x="connisteX35" y="connsiteY35"/>
                            </a:cxn>
                            <a:cxn ang="0">
                              <a:pos x="connisteX36" y="connsiteY36"/>
                            </a:cxn>
                            <a:cxn ang="0">
                              <a:pos x="connisteX37" y="connsiteY37"/>
                            </a:cxn>
                            <a:cxn ang="0">
                              <a:pos x="connisteX38" y="connsiteY38"/>
                            </a:cxn>
                            <a:cxn ang="0">
                              <a:pos x="connisteX39" y="connsiteY39"/>
                            </a:cxn>
                            <a:cxn ang="0">
                              <a:pos x="connisteX40" y="connsiteY40"/>
                            </a:cxn>
                            <a:cxn ang="0">
                              <a:pos x="connisteX41" y="connsiteY41"/>
                            </a:cxn>
                            <a:cxn ang="0">
                              <a:pos x="connisteX42" y="connsiteY42"/>
                            </a:cxn>
                            <a:cxn ang="0">
                              <a:pos x="connisteX43" y="connsiteY43"/>
                            </a:cxn>
                            <a:cxn ang="0">
                              <a:pos x="connisteX44" y="connsiteY44"/>
                            </a:cxn>
                            <a:cxn ang="0">
                              <a:pos x="connisteX45" y="connsiteY45"/>
                            </a:cxn>
                            <a:cxn ang="0">
                              <a:pos x="connisteX46" y="connsiteY46"/>
                            </a:cxn>
                            <a:cxn ang="0">
                              <a:pos x="connisteX47" y="connsiteY47"/>
                            </a:cxn>
                            <a:cxn ang="0">
                              <a:pos x="connisteX48" y="connsiteY48"/>
                            </a:cxn>
                            <a:cxn ang="0">
                              <a:pos x="connisteX49" y="connsiteY49"/>
                            </a:cxn>
                            <a:cxn ang="0">
                              <a:pos x="connisteX50" y="connsiteY50"/>
                            </a:cxn>
                            <a:cxn ang="0">
                              <a:pos x="connisteX51" y="connsiteY51"/>
                            </a:cxn>
                            <a:cxn ang="0">
                              <a:pos x="connisteX52" y="connsiteY52"/>
                            </a:cxn>
                          </a:cxnLst>
                          <a:rect l="l" t="t" r="r" b="b"/>
                          <a:pathLst>
                            <a:path w="5255260" h="3121025">
                              <a:moveTo>
                                <a:pt x="196215" y="1518920"/>
                              </a:moveTo>
                              <a:lnTo>
                                <a:pt x="212725" y="1228090"/>
                              </a:lnTo>
                              <a:lnTo>
                                <a:pt x="324485" y="1069975"/>
                              </a:lnTo>
                              <a:lnTo>
                                <a:pt x="459105" y="628015"/>
                              </a:lnTo>
                              <a:lnTo>
                                <a:pt x="548640" y="342265"/>
                              </a:lnTo>
                              <a:lnTo>
                                <a:pt x="627380" y="0"/>
                              </a:lnTo>
                              <a:lnTo>
                                <a:pt x="823595" y="34290"/>
                              </a:lnTo>
                              <a:lnTo>
                                <a:pt x="862965" y="90170"/>
                              </a:lnTo>
                              <a:lnTo>
                                <a:pt x="1635760" y="236220"/>
                              </a:lnTo>
                              <a:lnTo>
                                <a:pt x="1602105" y="331470"/>
                              </a:lnTo>
                              <a:lnTo>
                                <a:pt x="1798320" y="370840"/>
                              </a:lnTo>
                              <a:lnTo>
                                <a:pt x="1865630" y="275590"/>
                              </a:lnTo>
                              <a:lnTo>
                                <a:pt x="1994535" y="303530"/>
                              </a:lnTo>
                              <a:lnTo>
                                <a:pt x="2016760" y="196215"/>
                              </a:lnTo>
                              <a:lnTo>
                                <a:pt x="2145665" y="230505"/>
                              </a:lnTo>
                              <a:lnTo>
                                <a:pt x="2106295" y="375920"/>
                              </a:lnTo>
                              <a:lnTo>
                                <a:pt x="3103880" y="466090"/>
                              </a:lnTo>
                              <a:lnTo>
                                <a:pt x="4056380" y="527050"/>
                              </a:lnTo>
                              <a:lnTo>
                                <a:pt x="4711700" y="544195"/>
                              </a:lnTo>
                              <a:lnTo>
                                <a:pt x="5059045" y="599440"/>
                              </a:lnTo>
                              <a:lnTo>
                                <a:pt x="5255260" y="661670"/>
                              </a:lnTo>
                              <a:lnTo>
                                <a:pt x="5255260" y="1053465"/>
                              </a:lnTo>
                              <a:lnTo>
                                <a:pt x="3238500" y="852170"/>
                              </a:lnTo>
                              <a:lnTo>
                                <a:pt x="3215640" y="952500"/>
                              </a:lnTo>
                              <a:lnTo>
                                <a:pt x="3092450" y="930275"/>
                              </a:lnTo>
                              <a:lnTo>
                                <a:pt x="2784475" y="2073275"/>
                              </a:lnTo>
                              <a:lnTo>
                                <a:pt x="2672715" y="2085340"/>
                              </a:lnTo>
                              <a:lnTo>
                                <a:pt x="2560320" y="2571750"/>
                              </a:lnTo>
                              <a:lnTo>
                                <a:pt x="2621915" y="2628265"/>
                              </a:lnTo>
                              <a:lnTo>
                                <a:pt x="2543810" y="2807970"/>
                              </a:lnTo>
                              <a:lnTo>
                                <a:pt x="2532380" y="2767965"/>
                              </a:lnTo>
                              <a:lnTo>
                                <a:pt x="2139950" y="2689225"/>
                              </a:lnTo>
                              <a:lnTo>
                                <a:pt x="2117725" y="2790190"/>
                              </a:lnTo>
                              <a:lnTo>
                                <a:pt x="1949450" y="2767965"/>
                              </a:lnTo>
                              <a:lnTo>
                                <a:pt x="1905000" y="2847340"/>
                              </a:lnTo>
                              <a:lnTo>
                                <a:pt x="1725295" y="2780030"/>
                              </a:lnTo>
                              <a:lnTo>
                                <a:pt x="1770380" y="2611755"/>
                              </a:lnTo>
                              <a:lnTo>
                                <a:pt x="1675130" y="2566670"/>
                              </a:lnTo>
                              <a:lnTo>
                                <a:pt x="1551940" y="3060065"/>
                              </a:lnTo>
                              <a:lnTo>
                                <a:pt x="1305560" y="3009265"/>
                              </a:lnTo>
                              <a:lnTo>
                                <a:pt x="1322070" y="2903220"/>
                              </a:lnTo>
                              <a:lnTo>
                                <a:pt x="1165225" y="2852420"/>
                              </a:lnTo>
                              <a:lnTo>
                                <a:pt x="1086485" y="2852420"/>
                              </a:lnTo>
                              <a:lnTo>
                                <a:pt x="1019810" y="3121025"/>
                              </a:lnTo>
                              <a:lnTo>
                                <a:pt x="683260" y="3070225"/>
                              </a:lnTo>
                              <a:lnTo>
                                <a:pt x="762000" y="2813050"/>
                              </a:lnTo>
                              <a:lnTo>
                                <a:pt x="520700" y="2701290"/>
                              </a:lnTo>
                              <a:lnTo>
                                <a:pt x="554355" y="2522220"/>
                              </a:lnTo>
                              <a:lnTo>
                                <a:pt x="156845" y="2421255"/>
                              </a:lnTo>
                              <a:lnTo>
                                <a:pt x="89535" y="2593975"/>
                              </a:lnTo>
                              <a:lnTo>
                                <a:pt x="0" y="2555240"/>
                              </a:lnTo>
                              <a:lnTo>
                                <a:pt x="280035" y="1591945"/>
                              </a:lnTo>
                              <a:lnTo>
                                <a:pt x="196215" y="1518920"/>
                              </a:lnTo>
                              <a:close/>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54.2pt;margin-top:142.8pt;height:245.75pt;width:412.5pt;z-index:251674624;mso-width-relative:page;mso-height-relative:page;" filled="f" stroked="t" coordsize="5255260,3121025" o:gfxdata="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&#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" path="m196215,1518920l212725,1228090,324485,1069975,459105,628015,548640,342265,627380,0,823595,34290,862965,90170,1635760,236220,1602105,331470,1798320,370840,1865630,275590,1994535,303530,2016760,196215,2145665,230505,2106295,375920,3103880,466090,4056380,527050,4711700,544195,5059045,599440,5255260,661670,5255260,1053465,3238500,852170,3215640,952500,3092450,930275,2784475,2073275,2672715,2085340,2560320,2571750,2621915,2628265,2543810,2807970,2532380,2767965,2139950,2689225,2117725,2790190,1949450,2767965,1905000,2847340,1725295,2780030,1770380,2611755,1675130,2566670,1551940,3060065,1305560,3009265,1322070,2903220,1165225,2852420,1086485,2852420,1019810,3121025,683260,3070225,762000,2813050,520700,2701290,554355,2522220,156845,2421255,89535,2593975,0,2555240,280035,1591945,196215,1518920xe">
                <v:path o:connectlocs="195598,1518920;212056,1228090;323465,1069975;457662,628015;546916,342265;625409,0;821007,34290;860253,90170;1630621,236220;1597071,331470;1792670,370840;1859768,275590;1988268,303530;2010424,196215;2138924,230505;2099677,375920;3094128,466090;4043636,527050;4696897,544195;5043151,599440;5238750,661670;5238750,1053465;3228325,852170;3205537,952500;3082734,930275;2775727,2073275;2664318,2085340;2552276,2571750;2613677,2628265;2535818,2807970;2524424,2767965;2133227,2689225;2111071,2790190;1943325,2767965;1899015,2847340;1719874,2780030;1764818,2611755;1669867,2566670;1547064,3060065;1301458,3009265;1317916,2903220;1161564,2852420;1083071,2852420;1016606,3121025;681113,3070225;759606,2813050;519064,2701290;552613,2522220;156352,2421255;89253,2593975;0,2555240;279155,1591945;195598,1518920" o:connectangles="0,0,0,0,0,0,0,0,0,0,0,0,0,0,0,0,0,0,0,0,0,0,0,0,0,0,0,0,0,0,0,0,0,0,0,0,0,0,0,0,0,0,0,0,0,0,0,0,0,0,0,0,0"/>
                <v:fill on="f" focussize="0,0"/>
                <v:stroke weight="1pt" color="#FFFF00 [2404]" miterlimit="8" joinstyle="miter"/>
                <v:imagedata o:title=""/>
                <o:lock v:ext="edit" aspectratio="f"/>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4337685</wp:posOffset>
                </wp:positionH>
                <wp:positionV relativeFrom="paragraph">
                  <wp:posOffset>1550670</wp:posOffset>
                </wp:positionV>
                <wp:extent cx="615950" cy="287655"/>
                <wp:effectExtent l="0" t="0" r="12700" b="17145"/>
                <wp:wrapNone/>
                <wp:docPr id="22" name="文本框 22"/>
                <wp:cNvGraphicFramePr/>
                <a:graphic xmlns:a="http://schemas.openxmlformats.org/drawingml/2006/main">
                  <a:graphicData uri="http://schemas.microsoft.com/office/word/2010/wordprocessingShape">
                    <wps:wsp>
                      <wps:cNvSpPr txBox="1"/>
                      <wps:spPr>
                        <a:xfrm>
                          <a:off x="7221855" y="1466215"/>
                          <a:ext cx="615950" cy="287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95D50F">
                            <w:pPr>
                              <w:rPr>
                                <w:color w:val="FFFF00"/>
                                <w:sz w:val="21"/>
                                <w:szCs w:val="21"/>
                              </w:rPr>
                            </w:pPr>
                            <w:r>
                              <w:rPr>
                                <w:rFonts w:hint="eastAsia"/>
                                <w:color w:val="FFFF00"/>
                                <w:sz w:val="18"/>
                                <w:szCs w:val="18"/>
                              </w:rPr>
                              <w:t>645m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1.55pt;margin-top:122.1pt;height:22.65pt;width:48.5pt;z-index:251675648;mso-width-relative:page;mso-height-relative:page;" filled="f" stroked="f" coordsize="21600,21600" o:gfxdata="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seqT32wAAAAsBAAAPAAAAAAAAAAEA&#10;IAAAACIAAABkcnMvZG93bnJldi54bWxQSwECFAAUAAAACACHTuJAevbrQUUCAABzBAAADgAAAAAA&#10;AAABACAAAAAqAQAAZHJzL2Uyb0RvYy54bWxQSwUGAAAAAAYABgBZAQAA4QUAAAAA&#10;">
                <v:fill on="f" focussize="0,0"/>
                <v:stroke on="f" weight="0.5pt"/>
                <v:imagedata o:title=""/>
                <o:lock v:ext="edit" aspectratio="f"/>
                <v:textbox>
                  <w:txbxContent>
                    <w:p w14:paraId="7795D50F">
                      <w:pPr>
                        <w:rPr>
                          <w:color w:val="FFFF00"/>
                          <w:sz w:val="21"/>
                          <w:szCs w:val="21"/>
                        </w:rPr>
                      </w:pPr>
                      <w:r>
                        <w:rPr>
                          <w:rFonts w:hint="eastAsia"/>
                          <w:color w:val="FFFF00"/>
                          <w:sz w:val="18"/>
                          <w:szCs w:val="18"/>
                        </w:rPr>
                        <w:t>645m</w:t>
                      </w:r>
                    </w:p>
                  </w:txbxContent>
                </v:textbox>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3630295</wp:posOffset>
                </wp:positionH>
                <wp:positionV relativeFrom="paragraph">
                  <wp:posOffset>1345565</wp:posOffset>
                </wp:positionV>
                <wp:extent cx="1762125" cy="1042035"/>
                <wp:effectExtent l="0" t="0" r="9525" b="5715"/>
                <wp:wrapNone/>
                <wp:docPr id="23" name="直接箭头连接符 23"/>
                <wp:cNvGraphicFramePr/>
                <a:graphic xmlns:a="http://schemas.openxmlformats.org/drawingml/2006/main">
                  <a:graphicData uri="http://schemas.microsoft.com/office/word/2010/wordprocessingShape">
                    <wps:wsp>
                      <wps:cNvCnPr/>
                      <wps:spPr>
                        <a:xfrm flipV="1">
                          <a:off x="4574540" y="3245485"/>
                          <a:ext cx="1762125" cy="1042035"/>
                        </a:xfrm>
                        <a:prstGeom prst="straightConnector1">
                          <a:avLst/>
                        </a:prstGeom>
                        <a:ln>
                          <a:solidFill>
                            <a:srgbClr val="FFFF00"/>
                          </a:solidFill>
                          <a:headEnd type="triangle" w="med" len="med"/>
                          <a:tailEnd type="triangle" w="med" len="me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85.85pt;margin-top:105.95pt;height:82.05pt;width:138.75pt;z-index:251676672;mso-width-relative:page;mso-height-relative:page;" filled="f" stroked="t" coordsize="21600,21600" o:gfxdata="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VIc2O2wAAAAsBAAAPAAAAAAAAAAEAIAAAACIAAABkcnMvZG93bnJl&#10;di54bWxQSwECFAAUAAAACACHTuJAM4I0njMCAABABAAADgAAAAAAAAABACAAAAAqAQAAZHJzL2Uy&#10;b0RvYy54bWxQSwUGAAAAAAYABgBZAQAAzwUAAAAA&#10;">
                <v:fill on="f" focussize="0,0"/>
                <v:stroke weight="1pt" color="#FFFF00 [3204]" miterlimit="8" joinstyle="miter" startarrow="block" endarrow="block"/>
                <v:imagedata o:title=""/>
                <o:lock v:ext="edit" aspectratio="f"/>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5318125</wp:posOffset>
                </wp:positionH>
                <wp:positionV relativeFrom="paragraph">
                  <wp:posOffset>66675</wp:posOffset>
                </wp:positionV>
                <wp:extent cx="2286000" cy="1463040"/>
                <wp:effectExtent l="6985" t="2540" r="12065" b="20320"/>
                <wp:wrapNone/>
                <wp:docPr id="20" name="任意多边形 20"/>
                <wp:cNvGraphicFramePr/>
                <a:graphic xmlns:a="http://schemas.openxmlformats.org/drawingml/2006/main">
                  <a:graphicData uri="http://schemas.microsoft.com/office/word/2010/wordprocessingShape">
                    <wps:wsp>
                      <wps:cNvSpPr/>
                      <wps:spPr>
                        <a:xfrm>
                          <a:off x="6398260" y="984885"/>
                          <a:ext cx="2286000" cy="1463040"/>
                        </a:xfrm>
                        <a:custGeom>
                          <a:avLst/>
                          <a:gdLst>
                            <a:gd name="connisteX0" fmla="*/ 203835 w 2286000"/>
                            <a:gd name="connsiteY0" fmla="*/ 0 h 1463040"/>
                            <a:gd name="connisteX1" fmla="*/ 121920 w 2286000"/>
                            <a:gd name="connsiteY1" fmla="*/ 367665 h 1463040"/>
                            <a:gd name="connisteX2" fmla="*/ 292100 w 2286000"/>
                            <a:gd name="connsiteY2" fmla="*/ 448310 h 1463040"/>
                            <a:gd name="connisteX3" fmla="*/ 0 w 2286000"/>
                            <a:gd name="connsiteY3" fmla="*/ 1047750 h 1463040"/>
                            <a:gd name="connisteX4" fmla="*/ 74295 w 2286000"/>
                            <a:gd name="connsiteY4" fmla="*/ 1278890 h 1463040"/>
                            <a:gd name="connisteX5" fmla="*/ 687070 w 2286000"/>
                            <a:gd name="connsiteY5" fmla="*/ 1298575 h 1463040"/>
                            <a:gd name="connisteX6" fmla="*/ 734695 w 2286000"/>
                            <a:gd name="connsiteY6" fmla="*/ 1183640 h 1463040"/>
                            <a:gd name="connisteX7" fmla="*/ 1285875 w 2286000"/>
                            <a:gd name="connsiteY7" fmla="*/ 1313180 h 1463040"/>
                            <a:gd name="connisteX8" fmla="*/ 1843405 w 2286000"/>
                            <a:gd name="connsiteY8" fmla="*/ 1463040 h 1463040"/>
                            <a:gd name="connisteX9" fmla="*/ 1891030 w 2286000"/>
                            <a:gd name="connsiteY9" fmla="*/ 1339850 h 1463040"/>
                            <a:gd name="connisteX10" fmla="*/ 2265045 w 2286000"/>
                            <a:gd name="connsiteY10" fmla="*/ 1346200 h 1463040"/>
                            <a:gd name="connisteX11" fmla="*/ 2244725 w 2286000"/>
                            <a:gd name="connsiteY11" fmla="*/ 1257935 h 1463040"/>
                            <a:gd name="connisteX12" fmla="*/ 2088515 w 2286000"/>
                            <a:gd name="connsiteY12" fmla="*/ 1244600 h 1463040"/>
                            <a:gd name="connisteX13" fmla="*/ 2068195 w 2286000"/>
                            <a:gd name="connsiteY13" fmla="*/ 1075055 h 1463040"/>
                            <a:gd name="connisteX14" fmla="*/ 2286000 w 2286000"/>
                            <a:gd name="connsiteY14" fmla="*/ 1027430 h 1463040"/>
                            <a:gd name="connisteX15" fmla="*/ 2224405 w 2286000"/>
                            <a:gd name="connsiteY15" fmla="*/ 774700 h 1463040"/>
                            <a:gd name="connisteX16" fmla="*/ 2286000 w 2286000"/>
                            <a:gd name="connsiteY16" fmla="*/ 462915 h 1463040"/>
                            <a:gd name="connisteX17" fmla="*/ 1911350 w 2286000"/>
                            <a:gd name="connsiteY17" fmla="*/ 374015 h 1463040"/>
                            <a:gd name="connisteX18" fmla="*/ 2081530 w 2286000"/>
                            <a:gd name="connsiteY18" fmla="*/ 0 h 146304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Lst>
                          <a:rect l="l" t="t" r="r" b="b"/>
                          <a:pathLst>
                            <a:path w="2286000" h="1463040">
                              <a:moveTo>
                                <a:pt x="203835" y="0"/>
                              </a:moveTo>
                              <a:lnTo>
                                <a:pt x="121920" y="367665"/>
                              </a:lnTo>
                              <a:lnTo>
                                <a:pt x="292100" y="448310"/>
                              </a:lnTo>
                              <a:lnTo>
                                <a:pt x="0" y="1047750"/>
                              </a:lnTo>
                              <a:lnTo>
                                <a:pt x="74295" y="1278890"/>
                              </a:lnTo>
                              <a:lnTo>
                                <a:pt x="687070" y="1298575"/>
                              </a:lnTo>
                              <a:lnTo>
                                <a:pt x="734695" y="1183640"/>
                              </a:lnTo>
                              <a:lnTo>
                                <a:pt x="1285875" y="1313180"/>
                              </a:lnTo>
                              <a:lnTo>
                                <a:pt x="1843405" y="1463040"/>
                              </a:lnTo>
                              <a:lnTo>
                                <a:pt x="1891030" y="1339850"/>
                              </a:lnTo>
                              <a:lnTo>
                                <a:pt x="2265045" y="1346200"/>
                              </a:lnTo>
                              <a:lnTo>
                                <a:pt x="2244725" y="1257935"/>
                              </a:lnTo>
                              <a:lnTo>
                                <a:pt x="2088515" y="1244600"/>
                              </a:lnTo>
                              <a:lnTo>
                                <a:pt x="2068195" y="1075055"/>
                              </a:lnTo>
                              <a:lnTo>
                                <a:pt x="2286000" y="1027430"/>
                              </a:lnTo>
                              <a:lnTo>
                                <a:pt x="2224405" y="774700"/>
                              </a:lnTo>
                              <a:lnTo>
                                <a:pt x="2286000" y="462915"/>
                              </a:lnTo>
                              <a:lnTo>
                                <a:pt x="1911350" y="374015"/>
                              </a:lnTo>
                              <a:lnTo>
                                <a:pt x="2081530" y="0"/>
                              </a:lnTo>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418.75pt;margin-top:5.25pt;height:115.2pt;width:180pt;z-index:251673600;mso-width-relative:page;mso-height-relative:page;" filled="f" stroked="t" coordsize="2286000,1463040" o:gfxdata="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" path="m203835,0l121920,367665,292100,448310,0,1047750,74295,1278890,687070,1298575,734695,1183640,1285875,1313180,1843405,1463040,1891030,1339850,2265045,1346200,2244725,1257935,2088515,1244600,2068195,1075055,2286000,1027430,2224405,774700,2286000,462915,1911350,374015,2081530,0e">
                <v:path o:connectlocs="203835,0;121920,367665;292100,448310;0,1047750;74295,1278890;687070,1298575;734695,1183640;1285875,1313180;1843405,1463040;1891030,1339850;2265045,1346200;2244725,1257935;2088515,1244600;2068195,1075055;2286000,1027430;2224405,774700;2286000,462915;1911350,374015;2081530,0" o:connectangles="0,0,0,0,0,0,0,0,0,0,0,0,0,0,0,0,0,0,0"/>
                <v:fill on="f" focussize="0,0"/>
                <v:stroke weight="1pt" color="#FFFF00 [2404]" miterlimit="8" joinstyle="miter"/>
                <v:imagedata o:title=""/>
                <o:lock v:ext="edit" aspectratio="f"/>
              </v:shape>
            </w:pict>
          </mc:Fallback>
        </mc:AlternateContent>
      </w:r>
      <w:r>
        <w:rPr>
          <w:rFonts w:hint="eastAsia" w:ascii="Calibri" w:hAnsi="Calibri"/>
          <w:sz w:val="21"/>
        </w:rPr>
        <w:drawing>
          <wp:anchor distT="0" distB="0" distL="114300" distR="114300" simplePos="0" relativeHeight="251672576" behindDoc="0" locked="0" layoutInCell="1" allowOverlap="1">
            <wp:simplePos x="0" y="0"/>
            <wp:positionH relativeFrom="column">
              <wp:posOffset>8028940</wp:posOffset>
            </wp:positionH>
            <wp:positionV relativeFrom="paragraph">
              <wp:posOffset>84455</wp:posOffset>
            </wp:positionV>
            <wp:extent cx="436880" cy="635000"/>
            <wp:effectExtent l="0" t="0" r="1270" b="12700"/>
            <wp:wrapNone/>
            <wp:docPr id="19" name="图片 19" descr="4e5cb703-8a9c-47cf-9ba4-4afc69e68b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4e5cb703-8a9c-47cf-9ba4-4afc69e68b70"/>
                    <pic:cNvPicPr>
                      <a:picLocks noChangeAspect="1"/>
                    </pic:cNvPicPr>
                  </pic:nvPicPr>
                  <pic:blipFill>
                    <a:blip r:embed="rId23"/>
                    <a:stretch>
                      <a:fillRect/>
                    </a:stretch>
                  </pic:blipFill>
                  <pic:spPr>
                    <a:xfrm>
                      <a:off x="0" y="0"/>
                      <a:ext cx="436880" cy="635000"/>
                    </a:xfrm>
                    <a:prstGeom prst="rect">
                      <a:avLst/>
                    </a:prstGeom>
                  </pic:spPr>
                </pic:pic>
              </a:graphicData>
            </a:graphic>
          </wp:anchor>
        </w:drawing>
      </w:r>
      <w:r>
        <w:rPr>
          <w:rFonts w:ascii="Calibri" w:hAnsi="Calibri"/>
          <w:sz w:val="21"/>
        </w:rPr>
        <mc:AlternateContent>
          <mc:Choice Requires="wps">
            <w:drawing>
              <wp:anchor distT="0" distB="0" distL="114300" distR="114300" simplePos="0" relativeHeight="251671552" behindDoc="0" locked="0" layoutInCell="1" allowOverlap="1">
                <wp:simplePos x="0" y="0"/>
                <wp:positionH relativeFrom="column">
                  <wp:posOffset>2851150</wp:posOffset>
                </wp:positionH>
                <wp:positionV relativeFrom="paragraph">
                  <wp:posOffset>1523365</wp:posOffset>
                </wp:positionV>
                <wp:extent cx="689610" cy="323850"/>
                <wp:effectExtent l="5080" t="4445" r="10160" b="567055"/>
                <wp:wrapNone/>
                <wp:docPr id="18" name="对话气泡: 圆角矩形 4"/>
                <wp:cNvGraphicFramePr/>
                <a:graphic xmlns:a="http://schemas.openxmlformats.org/drawingml/2006/main">
                  <a:graphicData uri="http://schemas.microsoft.com/office/word/2010/wordprocessingShape">
                    <wps:wsp>
                      <wps:cNvSpPr>
                        <a:spLocks noChangeArrowheads="1"/>
                      </wps:cNvSpPr>
                      <wps:spPr bwMode="auto">
                        <a:xfrm>
                          <a:off x="0" y="0"/>
                          <a:ext cx="689610" cy="323850"/>
                        </a:xfrm>
                        <a:prstGeom prst="wedgeRoundRectCallout">
                          <a:avLst>
                            <a:gd name="adj1" fmla="val 41895"/>
                            <a:gd name="adj2" fmla="val 211788"/>
                            <a:gd name="adj3" fmla="val 16667"/>
                          </a:avLst>
                        </a:prstGeom>
                        <a:solidFill>
                          <a:srgbClr val="FFFFFF"/>
                        </a:solidFill>
                        <a:ln w="9525">
                          <a:solidFill>
                            <a:srgbClr val="000000"/>
                          </a:solidFill>
                          <a:miter lim="800000"/>
                        </a:ln>
                      </wps:spPr>
                      <wps:txbx>
                        <w:txbxContent>
                          <w:p w14:paraId="4E0241EE">
                            <w:pPr>
                              <w:jc w:val="center"/>
                            </w:pPr>
                            <w:r>
                              <w:rPr>
                                <w:rFonts w:hint="eastAsia"/>
                              </w:rPr>
                              <w:t>本项目</w:t>
                            </w:r>
                          </w:p>
                        </w:txbxContent>
                      </wps:txbx>
                      <wps:bodyPr rot="0" vert="horz" wrap="square" lIns="91440" tIns="45720" rIns="91440" bIns="45720" anchor="t" anchorCtr="0" upright="1">
                        <a:noAutofit/>
                      </wps:bodyPr>
                    </wps:wsp>
                  </a:graphicData>
                </a:graphic>
              </wp:anchor>
            </w:drawing>
          </mc:Choice>
          <mc:Fallback>
            <w:pict>
              <v:shape id="对话气泡: 圆角矩形 4" o:spid="_x0000_s1026" o:spt="62" type="#_x0000_t62" style="position:absolute;left:0pt;margin-left:224.5pt;margin-top:119.95pt;height:25.5pt;width:54.3pt;z-index:251671552;mso-width-relative:page;mso-height-relative:page;" fillcolor="#FFFFFF" filled="t" stroked="t" coordsize="21600,21600" o:gfxdata="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1DqCS&#10;2gAAAAsBAAAPAAAAAAAAAAEAIAAAACIAAABkcnMvZG93bnJldi54bWxQSwECFAAUAAAACACHTuJA&#10;Aaku4JECAAAVBQAADgAAAAAAAAABACAAAAApAQAAZHJzL2Uyb0RvYy54bWxQSwUGAAAAAAYABgBZ&#10;AQAALAYAAAAA&#10;" adj="19849,56546,14400">
                <v:fill on="t" focussize="0,0"/>
                <v:stroke color="#000000" miterlimit="8" joinstyle="miter"/>
                <v:imagedata o:title=""/>
                <o:lock v:ext="edit" aspectratio="f"/>
                <v:textbox>
                  <w:txbxContent>
                    <w:p w14:paraId="4E0241EE">
                      <w:pPr>
                        <w:jc w:val="center"/>
                      </w:pPr>
                      <w:r>
                        <w:rPr>
                          <w:rFonts w:hint="eastAsia"/>
                        </w:rPr>
                        <w:t>本项目</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3365500</wp:posOffset>
                </wp:positionH>
                <wp:positionV relativeFrom="paragraph">
                  <wp:posOffset>2327275</wp:posOffset>
                </wp:positionV>
                <wp:extent cx="264795" cy="530225"/>
                <wp:effectExtent l="7620" t="8890" r="13335" b="13335"/>
                <wp:wrapNone/>
                <wp:docPr id="17" name="任意多边形 17"/>
                <wp:cNvGraphicFramePr/>
                <a:graphic xmlns:a="http://schemas.openxmlformats.org/drawingml/2006/main">
                  <a:graphicData uri="http://schemas.microsoft.com/office/word/2010/wordprocessingShape">
                    <wps:wsp>
                      <wps:cNvSpPr/>
                      <wps:spPr>
                        <a:xfrm>
                          <a:off x="4445635" y="3245485"/>
                          <a:ext cx="264795" cy="530225"/>
                        </a:xfrm>
                        <a:custGeom>
                          <a:avLst/>
                          <a:gdLst>
                            <a:gd name="connisteX0" fmla="*/ 128905 w 292100"/>
                            <a:gd name="connsiteY0" fmla="*/ 0 h 530225"/>
                            <a:gd name="connisteX1" fmla="*/ 292100 w 292100"/>
                            <a:gd name="connsiteY1" fmla="*/ 60325 h 530225"/>
                            <a:gd name="connisteX2" fmla="*/ 176530 w 292100"/>
                            <a:gd name="connsiteY2" fmla="*/ 530225 h 530225"/>
                            <a:gd name="connisteX3" fmla="*/ 0 w 292100"/>
                            <a:gd name="connsiteY3" fmla="*/ 462280 h 530225"/>
                            <a:gd name="connisteX4" fmla="*/ 128905 w 292100"/>
                            <a:gd name="connsiteY4" fmla="*/ 0 h 5302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292100" h="530225">
                              <a:moveTo>
                                <a:pt x="128905" y="0"/>
                              </a:moveTo>
                              <a:lnTo>
                                <a:pt x="292100" y="60325"/>
                              </a:lnTo>
                              <a:lnTo>
                                <a:pt x="176530" y="530225"/>
                              </a:lnTo>
                              <a:lnTo>
                                <a:pt x="0" y="462280"/>
                              </a:lnTo>
                              <a:lnTo>
                                <a:pt x="128905" y="0"/>
                              </a:lnTo>
                              <a:close/>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65pt;margin-top:183.25pt;height:41.75pt;width:20.85pt;z-index:251670528;mso-width-relative:page;mso-height-relative:page;" filled="f" stroked="t" coordsize="292100,530225" o:gfxdata="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" path="m128905,0l292100,60325,176530,530225,0,462280,128905,0xe">
                <v:path o:connectlocs="116855,0;264795,60325;160028,530225;0,462280;116855,0" o:connectangles="0,0,0,0,0"/>
                <v:fill on="f" focussize="0,0"/>
                <v:stroke weight="1pt" color="#FF0000 [2404]" miterlimit="8" joinstyle="miter"/>
                <v:imagedata o:title=""/>
                <o:lock v:ext="edit" aspectratio="f"/>
              </v:shape>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3609340</wp:posOffset>
                </wp:positionH>
                <wp:positionV relativeFrom="paragraph">
                  <wp:posOffset>2526030</wp:posOffset>
                </wp:positionV>
                <wp:extent cx="67310" cy="39370"/>
                <wp:effectExtent l="17780" t="31750" r="29210" b="43180"/>
                <wp:wrapNone/>
                <wp:docPr id="24" name="直接箭头连接符 24"/>
                <wp:cNvGraphicFramePr/>
                <a:graphic xmlns:a="http://schemas.openxmlformats.org/drawingml/2006/main">
                  <a:graphicData uri="http://schemas.microsoft.com/office/word/2010/wordprocessingShape">
                    <wps:wsp>
                      <wps:cNvCnPr/>
                      <wps:spPr>
                        <a:xfrm>
                          <a:off x="0" y="0"/>
                          <a:ext cx="67310" cy="39370"/>
                        </a:xfrm>
                        <a:prstGeom prst="straightConnector1">
                          <a:avLst/>
                        </a:prstGeom>
                        <a:ln>
                          <a:solidFill>
                            <a:srgbClr val="FFFF00"/>
                          </a:solidFill>
                          <a:headEnd type="triangle" w="med" len="med"/>
                          <a:tailEnd type="triangle" w="med" len="me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84.2pt;margin-top:198.9pt;height:3.1pt;width:5.3pt;z-index:251677696;mso-width-relative:page;mso-height-relative:page;" filled="f" stroked="t" coordsize="21600,21600" o:gfxdata="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V2KpwNkAAAAL&#10;AQAADwAAAAAAAAABACAAAAAiAAAAZHJzL2Rvd25yZXYueG1sUEsBAhQAFAAAAAgAh07iQNdCoT8b&#10;AgAAJgQAAA4AAAAAAAAAAQAgAAAAKAEAAGRycy9lMm9Eb2MueG1sUEsFBgAAAAAGAAYAWQEAALUF&#10;AAAAAA==&#10;">
                <v:fill on="f" focussize="0,0"/>
                <v:stroke weight="1pt" color="#FFFF00 [3204]" miterlimit="8" joinstyle="miter" startarrow="block" endarrow="block"/>
                <v:imagedata o:title=""/>
                <o:lock v:ext="edit" aspectratio="f"/>
              </v:shape>
            </w:pict>
          </mc:Fallback>
        </mc:AlternateContent>
      </w:r>
      <w:r>
        <w:rPr>
          <w:rFonts w:hint="eastAsia" w:ascii="Calibri" w:hAnsi="Calibri"/>
          <w:sz w:val="21"/>
        </w:rPr>
        <w:drawing>
          <wp:inline distT="0" distB="0" distL="114300" distR="114300">
            <wp:extent cx="8441690" cy="5187315"/>
            <wp:effectExtent l="9525" t="9525" r="26035" b="22860"/>
            <wp:docPr id="16" name="图片 16" descr="d5caa32b-ea04-432e-9532-2cd1152946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5caa32b-ea04-432e-9532-2cd1152946f6"/>
                    <pic:cNvPicPr>
                      <a:picLocks noChangeAspect="1"/>
                    </pic:cNvPicPr>
                  </pic:nvPicPr>
                  <pic:blipFill>
                    <a:blip r:embed="rId31"/>
                    <a:srcRect r="924" b="6362"/>
                    <a:stretch>
                      <a:fillRect/>
                    </a:stretch>
                  </pic:blipFill>
                  <pic:spPr>
                    <a:xfrm>
                      <a:off x="0" y="0"/>
                      <a:ext cx="8441690" cy="5187315"/>
                    </a:xfrm>
                    <a:prstGeom prst="rect">
                      <a:avLst/>
                    </a:prstGeom>
                    <a:ln w="9525">
                      <a:solidFill>
                        <a:schemeClr val="tx1"/>
                      </a:solidFill>
                    </a:ln>
                  </pic:spPr>
                </pic:pic>
              </a:graphicData>
            </a:graphic>
          </wp:inline>
        </w:drawing>
      </w:r>
    </w:p>
    <w:p w14:paraId="48AE8FDF">
      <w:pPr>
        <w:jc w:val="center"/>
        <w:rPr>
          <w:color w:val="000000" w:themeColor="text1"/>
          <w14:textFill>
            <w14:solidFill>
              <w14:schemeClr w14:val="tx1"/>
            </w14:solidFill>
          </w14:textFill>
        </w:rPr>
        <w:sectPr>
          <w:pgSz w:w="16838" w:h="11906" w:orient="landscape"/>
          <w:pgMar w:top="1134" w:right="1701" w:bottom="1134" w:left="1701" w:header="851" w:footer="992" w:gutter="0"/>
          <w:cols w:space="425" w:num="1"/>
          <w:docGrid w:type="lines" w:linePitch="312" w:charSpace="0"/>
        </w:sectPr>
      </w:pPr>
      <w:r>
        <w:rPr>
          <w:rFonts w:eastAsia="黑体"/>
        </w:rPr>
        <w:t>附件</w:t>
      </w:r>
      <w:r>
        <w:rPr>
          <w:rFonts w:hint="eastAsia" w:eastAsia="黑体"/>
        </w:rPr>
        <w:t>五</w:t>
      </w:r>
      <w:r>
        <w:rPr>
          <w:rFonts w:eastAsia="黑体"/>
        </w:rPr>
        <w:t xml:space="preserve">  本项目四周环境概况图</w:t>
      </w:r>
    </w:p>
    <w:p w14:paraId="028BA241">
      <w:pPr>
        <w:jc w:val="center"/>
        <w:rPr>
          <w:rFonts w:ascii="Calibri" w:hAnsi="Calibri"/>
          <w:sz w:val="21"/>
        </w:rPr>
      </w:pPr>
      <w:r>
        <w:rPr>
          <w:rFonts w:ascii="Calibri" w:hAnsi="Calibri"/>
          <w:sz w:val="21"/>
        </w:rPr>
        <w:t xml:space="preserve"> </w:t>
      </w:r>
    </w:p>
    <w:p w14:paraId="36ECCB9B">
      <w:pPr>
        <w:pStyle w:val="29"/>
        <w:spacing w:before="192" w:beforeLines="80" w:after="24"/>
        <w:jc w:val="left"/>
        <w:rPr>
          <w:rFonts w:ascii="Times New Roman"/>
          <w:snapToGrid w:val="0"/>
          <w:spacing w:val="-6"/>
          <w:kern w:val="21"/>
          <w:szCs w:val="24"/>
        </w:rPr>
      </w:pPr>
      <w:r>
        <w:rPr>
          <w:rFonts w:ascii="Times New Roman"/>
          <w:snapToGrid w:val="0"/>
          <w:spacing w:val="-6"/>
          <w:kern w:val="21"/>
          <w:szCs w:val="24"/>
        </w:rPr>
        <w:t>附件1</w:t>
      </w:r>
    </w:p>
    <w:p w14:paraId="325EEE16">
      <w:pPr>
        <w:pStyle w:val="29"/>
        <w:spacing w:before="249" w:beforeLines="80" w:after="31"/>
        <w:jc w:val="left"/>
      </w:pPr>
      <w:r>
        <w:drawing>
          <wp:inline distT="0" distB="0" distL="114300" distR="114300">
            <wp:extent cx="5273040" cy="7578725"/>
            <wp:effectExtent l="0" t="0" r="3810" b="3175"/>
            <wp:docPr id="6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pic:cNvPicPr>
                      <a:picLocks noChangeAspect="1"/>
                    </pic:cNvPicPr>
                  </pic:nvPicPr>
                  <pic:blipFill>
                    <a:blip r:embed="rId32"/>
                    <a:stretch>
                      <a:fillRect/>
                    </a:stretch>
                  </pic:blipFill>
                  <pic:spPr>
                    <a:xfrm>
                      <a:off x="0" y="0"/>
                      <a:ext cx="5273040" cy="7578725"/>
                    </a:xfrm>
                    <a:prstGeom prst="rect">
                      <a:avLst/>
                    </a:prstGeom>
                    <a:noFill/>
                    <a:ln>
                      <a:noFill/>
                    </a:ln>
                  </pic:spPr>
                </pic:pic>
              </a:graphicData>
            </a:graphic>
          </wp:inline>
        </w:drawing>
      </w:r>
    </w:p>
    <w:p w14:paraId="31810B14">
      <w:pPr>
        <w:pStyle w:val="29"/>
        <w:spacing w:before="249" w:beforeLines="80" w:after="31"/>
        <w:jc w:val="left"/>
      </w:pPr>
    </w:p>
    <w:p w14:paraId="7D892BF7">
      <w:pPr>
        <w:pStyle w:val="29"/>
        <w:spacing w:before="249" w:beforeLines="80" w:after="31"/>
        <w:jc w:val="left"/>
        <w:rPr>
          <w:rFonts w:ascii="Times New Roman"/>
          <w:snapToGrid w:val="0"/>
          <w:spacing w:val="-6"/>
          <w:kern w:val="21"/>
          <w:szCs w:val="24"/>
        </w:rPr>
      </w:pPr>
      <w:r>
        <w:rPr>
          <w:rFonts w:hint="eastAsia" w:ascii="Times New Roman"/>
          <w:snapToGrid w:val="0"/>
          <w:spacing w:val="-6"/>
          <w:kern w:val="21"/>
          <w:szCs w:val="24"/>
        </w:rPr>
        <w:t>附件2</w:t>
      </w:r>
    </w:p>
    <w:p w14:paraId="20CBAFD1">
      <w:pPr>
        <w:pStyle w:val="29"/>
        <w:spacing w:before="249" w:beforeLines="80" w:after="31"/>
        <w:jc w:val="left"/>
        <w:rPr>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bookmarkStart w:id="39" w:name="_GoBack"/>
      <w:r>
        <w:rPr>
          <w:rFonts w:hint="eastAsia" w:ascii="Calibri" w:hAnsi="Calibri"/>
          <w:sz w:val="21"/>
        </w:rPr>
        <w:drawing>
          <wp:inline distT="0" distB="0" distL="114300" distR="114300">
            <wp:extent cx="5527675" cy="7741285"/>
            <wp:effectExtent l="0" t="0" r="15875" b="12065"/>
            <wp:docPr id="50" name="图片 50" descr="备案证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备案证明"/>
                    <pic:cNvPicPr>
                      <a:picLocks noChangeAspect="1"/>
                    </pic:cNvPicPr>
                  </pic:nvPicPr>
                  <pic:blipFill>
                    <a:blip r:embed="rId33"/>
                    <a:stretch>
                      <a:fillRect/>
                    </a:stretch>
                  </pic:blipFill>
                  <pic:spPr>
                    <a:xfrm>
                      <a:off x="0" y="0"/>
                      <a:ext cx="5527675" cy="7741285"/>
                    </a:xfrm>
                    <a:prstGeom prst="rect">
                      <a:avLst/>
                    </a:prstGeom>
                  </pic:spPr>
                </pic:pic>
              </a:graphicData>
            </a:graphic>
          </wp:inline>
        </w:drawing>
      </w:r>
      <w:bookmarkEnd w:id="39"/>
    </w:p>
    <w:p w14:paraId="0B80AD14">
      <w:pPr>
        <w:pStyle w:val="29"/>
        <w:spacing w:before="249" w:beforeLines="80" w:after="31"/>
        <w:jc w:val="lef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附件3</w:t>
      </w:r>
    </w:p>
    <w:p w14:paraId="243E21AE">
      <w:pPr>
        <w:rPr>
          <w:color w:val="000000" w:themeColor="text1"/>
          <w14:textFill>
            <w14:solidFill>
              <w14:schemeClr w14:val="tx1"/>
            </w14:solidFill>
          </w14:textFill>
        </w:rPr>
      </w:pPr>
      <w:r>
        <w:rPr>
          <w:rFonts w:hint="eastAsia"/>
          <w:color w:val="000000" w:themeColor="text1"/>
          <w14:textFill>
            <w14:solidFill>
              <w14:schemeClr w14:val="tx1"/>
            </w14:solidFill>
          </w14:textFill>
        </w:rPr>
        <w:drawing>
          <wp:inline distT="0" distB="0" distL="114300" distR="114300">
            <wp:extent cx="5452745" cy="8317230"/>
            <wp:effectExtent l="0" t="0" r="14605" b="7620"/>
            <wp:docPr id="51" name="图片 51" descr="新乡市朝东食品厂环保备案公告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新乡市朝东食品厂环保备案公告_new"/>
                    <pic:cNvPicPr>
                      <a:picLocks noChangeAspect="1"/>
                    </pic:cNvPicPr>
                  </pic:nvPicPr>
                  <pic:blipFill>
                    <a:blip r:embed="rId34"/>
                    <a:srcRect t="3788" b="1002"/>
                    <a:stretch>
                      <a:fillRect/>
                    </a:stretch>
                  </pic:blipFill>
                  <pic:spPr>
                    <a:xfrm>
                      <a:off x="0" y="0"/>
                      <a:ext cx="5452745" cy="8317230"/>
                    </a:xfrm>
                    <a:prstGeom prst="rect">
                      <a:avLst/>
                    </a:prstGeom>
                  </pic:spPr>
                </pic:pic>
              </a:graphicData>
            </a:graphic>
          </wp:inline>
        </w:drawing>
      </w:r>
    </w:p>
    <w:p w14:paraId="70F31DDE">
      <w:pPr>
        <w:rPr>
          <w:rFonts w:hint="default" w:eastAsia="宋体"/>
          <w:color w:val="000000" w:themeColor="text1"/>
          <w:lang w:val="en-US" w:eastAsia="zh-CN"/>
          <w14:textFill>
            <w14:solidFill>
              <w14:schemeClr w14:val="tx1"/>
            </w14:solidFill>
          </w14:textFill>
        </w:rPr>
      </w:pPr>
      <w:r>
        <w:rPr>
          <w:rFonts w:hint="eastAsia"/>
          <w:lang w:val="en-US" w:eastAsia="zh-CN"/>
        </w:rPr>
        <w:t>附件4</w:t>
      </w:r>
    </w:p>
    <w:p w14:paraId="337DDF70">
      <w:pPr>
        <w:rPr>
          <w:rFonts w:hint="eastAsia" w:ascii="Times New Roman"/>
          <w:snapToGrid w:val="0"/>
          <w:spacing w:val="-6"/>
          <w:kern w:val="21"/>
          <w:szCs w:val="24"/>
        </w:rPr>
      </w:pPr>
      <w:r>
        <w:drawing>
          <wp:anchor distT="0" distB="0" distL="114300" distR="114300" simplePos="0" relativeHeight="251700224" behindDoc="0" locked="0" layoutInCell="1" allowOverlap="1">
            <wp:simplePos x="0" y="0"/>
            <wp:positionH relativeFrom="column">
              <wp:posOffset>-274955</wp:posOffset>
            </wp:positionH>
            <wp:positionV relativeFrom="paragraph">
              <wp:posOffset>60325</wp:posOffset>
            </wp:positionV>
            <wp:extent cx="5829935" cy="8264525"/>
            <wp:effectExtent l="0" t="0" r="18415" b="3175"/>
            <wp:wrapNone/>
            <wp:docPr id="5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6"/>
                    <pic:cNvPicPr>
                      <a:picLocks noChangeAspect="1"/>
                    </pic:cNvPicPr>
                  </pic:nvPicPr>
                  <pic:blipFill>
                    <a:blip r:embed="rId35"/>
                    <a:stretch>
                      <a:fillRect/>
                    </a:stretch>
                  </pic:blipFill>
                  <pic:spPr>
                    <a:xfrm>
                      <a:off x="0" y="0"/>
                      <a:ext cx="5829935" cy="8264525"/>
                    </a:xfrm>
                    <a:prstGeom prst="rect">
                      <a:avLst/>
                    </a:prstGeom>
                    <a:noFill/>
                    <a:ln>
                      <a:noFill/>
                    </a:ln>
                  </pic:spPr>
                </pic:pic>
              </a:graphicData>
            </a:graphic>
          </wp:anchor>
        </w:drawing>
      </w:r>
      <w:r>
        <w:rPr>
          <w:rFonts w:hint="eastAsia" w:ascii="Times New Roman"/>
          <w:snapToGrid w:val="0"/>
          <w:spacing w:val="-6"/>
          <w:kern w:val="21"/>
          <w:szCs w:val="24"/>
        </w:rPr>
        <w:br w:type="page"/>
      </w:r>
    </w:p>
    <w:p w14:paraId="45609CBC">
      <w:pPr>
        <w:rPr>
          <w:rFonts w:hint="eastAsia" w:ascii="Times New Roman" w:hAnsi="Times New Roman" w:eastAsia="宋体" w:cs="Times New Roman"/>
          <w:kern w:val="2"/>
          <w:sz w:val="24"/>
          <w:szCs w:val="24"/>
          <w:lang w:val="en-US" w:eastAsia="zh-CN" w:bidi="ar-SA"/>
        </w:rPr>
      </w:pPr>
      <w:r>
        <w:drawing>
          <wp:anchor distT="0" distB="0" distL="114300" distR="114300" simplePos="0" relativeHeight="251701248" behindDoc="0" locked="0" layoutInCell="1" allowOverlap="1">
            <wp:simplePos x="0" y="0"/>
            <wp:positionH relativeFrom="column">
              <wp:posOffset>-359410</wp:posOffset>
            </wp:positionH>
            <wp:positionV relativeFrom="paragraph">
              <wp:posOffset>133350</wp:posOffset>
            </wp:positionV>
            <wp:extent cx="5834380" cy="7976235"/>
            <wp:effectExtent l="0" t="0" r="13970" b="5715"/>
            <wp:wrapNone/>
            <wp:docPr id="5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7"/>
                    <pic:cNvPicPr>
                      <a:picLocks noChangeAspect="1"/>
                    </pic:cNvPicPr>
                  </pic:nvPicPr>
                  <pic:blipFill>
                    <a:blip r:embed="rId36"/>
                    <a:stretch>
                      <a:fillRect/>
                    </a:stretch>
                  </pic:blipFill>
                  <pic:spPr>
                    <a:xfrm>
                      <a:off x="0" y="0"/>
                      <a:ext cx="5834380" cy="7976235"/>
                    </a:xfrm>
                    <a:prstGeom prst="rect">
                      <a:avLst/>
                    </a:prstGeom>
                    <a:noFill/>
                    <a:ln>
                      <a:noFill/>
                    </a:ln>
                  </pic:spPr>
                </pic:pic>
              </a:graphicData>
            </a:graphic>
          </wp:anchor>
        </w:drawing>
      </w:r>
      <w:r>
        <w:rPr>
          <w:rFonts w:hint="eastAsia" w:ascii="Times New Roman" w:hAnsi="Times New Roman" w:eastAsia="宋体" w:cs="Times New Roman"/>
          <w:kern w:val="2"/>
          <w:sz w:val="24"/>
          <w:szCs w:val="24"/>
          <w:lang w:val="en-US" w:eastAsia="zh-CN" w:bidi="ar-SA"/>
        </w:rPr>
        <w:br w:type="page"/>
      </w:r>
    </w:p>
    <w:p w14:paraId="38A6A496">
      <w:pPr>
        <w:rPr>
          <w:rFonts w:hint="eastAsia" w:ascii="Times New Roman" w:hAnsi="Times New Roman" w:eastAsia="宋体" w:cs="Times New Roman"/>
          <w:kern w:val="2"/>
          <w:sz w:val="24"/>
          <w:szCs w:val="24"/>
          <w:lang w:val="en-US" w:eastAsia="zh-CN" w:bidi="ar-SA"/>
        </w:rPr>
      </w:pPr>
      <w:r>
        <w:drawing>
          <wp:anchor distT="0" distB="0" distL="114300" distR="114300" simplePos="0" relativeHeight="251702272" behindDoc="0" locked="0" layoutInCell="1" allowOverlap="1">
            <wp:simplePos x="0" y="0"/>
            <wp:positionH relativeFrom="column">
              <wp:posOffset>-305435</wp:posOffset>
            </wp:positionH>
            <wp:positionV relativeFrom="paragraph">
              <wp:posOffset>20955</wp:posOffset>
            </wp:positionV>
            <wp:extent cx="5937250" cy="8420100"/>
            <wp:effectExtent l="0" t="0" r="6350" b="0"/>
            <wp:wrapNone/>
            <wp:docPr id="5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8"/>
                    <pic:cNvPicPr>
                      <a:picLocks noChangeAspect="1"/>
                    </pic:cNvPicPr>
                  </pic:nvPicPr>
                  <pic:blipFill>
                    <a:blip r:embed="rId37"/>
                    <a:stretch>
                      <a:fillRect/>
                    </a:stretch>
                  </pic:blipFill>
                  <pic:spPr>
                    <a:xfrm>
                      <a:off x="0" y="0"/>
                      <a:ext cx="5937250" cy="8420100"/>
                    </a:xfrm>
                    <a:prstGeom prst="rect">
                      <a:avLst/>
                    </a:prstGeom>
                    <a:noFill/>
                    <a:ln>
                      <a:noFill/>
                    </a:ln>
                  </pic:spPr>
                </pic:pic>
              </a:graphicData>
            </a:graphic>
          </wp:anchor>
        </w:drawing>
      </w:r>
      <w:r>
        <w:rPr>
          <w:rFonts w:hint="eastAsia" w:ascii="Times New Roman" w:hAnsi="Times New Roman" w:eastAsia="宋体" w:cs="Times New Roman"/>
          <w:kern w:val="2"/>
          <w:sz w:val="24"/>
          <w:szCs w:val="24"/>
          <w:lang w:val="en-US" w:eastAsia="zh-CN" w:bidi="ar-SA"/>
        </w:rPr>
        <w:br w:type="page"/>
      </w:r>
    </w:p>
    <w:p w14:paraId="2709FF48">
      <w:pPr>
        <w:rPr>
          <w:rFonts w:hint="eastAsia" w:ascii="Times New Roman" w:hAnsi="Times New Roman" w:eastAsia="宋体" w:cs="Times New Roman"/>
          <w:kern w:val="2"/>
          <w:sz w:val="24"/>
          <w:szCs w:val="24"/>
          <w:lang w:val="en-US" w:eastAsia="zh-CN" w:bidi="ar-SA"/>
        </w:rPr>
        <w:sectPr>
          <w:pgSz w:w="11906" w:h="16838"/>
          <w:pgMar w:top="1440" w:right="1800" w:bottom="1440" w:left="1800" w:header="851" w:footer="992" w:gutter="0"/>
          <w:cols w:space="425" w:num="1"/>
          <w:docGrid w:type="lines" w:linePitch="312" w:charSpace="0"/>
        </w:sectPr>
      </w:pPr>
    </w:p>
    <w:p w14:paraId="02944E15">
      <w:pPr>
        <w:rPr>
          <w:rFonts w:hint="eastAsia" w:ascii="Times New Roman" w:hAnsi="Times New Roman" w:eastAsia="宋体" w:cs="Times New Roman"/>
          <w:kern w:val="2"/>
          <w:sz w:val="24"/>
          <w:szCs w:val="24"/>
          <w:lang w:val="en-US" w:eastAsia="zh-CN" w:bidi="ar-SA"/>
        </w:rPr>
        <w:sectPr>
          <w:pgSz w:w="11906" w:h="16838"/>
          <w:pgMar w:top="1440" w:right="1800" w:bottom="1440" w:left="1800" w:header="851" w:footer="992" w:gutter="0"/>
          <w:cols w:space="425" w:num="1"/>
          <w:docGrid w:type="lines" w:linePitch="312" w:charSpace="0"/>
        </w:sectPr>
      </w:pPr>
      <w:r>
        <w:drawing>
          <wp:anchor distT="0" distB="0" distL="114300" distR="114300" simplePos="0" relativeHeight="251703296" behindDoc="0" locked="0" layoutInCell="1" allowOverlap="1">
            <wp:simplePos x="0" y="0"/>
            <wp:positionH relativeFrom="column">
              <wp:posOffset>-264160</wp:posOffset>
            </wp:positionH>
            <wp:positionV relativeFrom="paragraph">
              <wp:posOffset>96520</wp:posOffset>
            </wp:positionV>
            <wp:extent cx="5875655" cy="8184515"/>
            <wp:effectExtent l="0" t="0" r="10795" b="6985"/>
            <wp:wrapNone/>
            <wp:docPr id="5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9"/>
                    <pic:cNvPicPr>
                      <a:picLocks noChangeAspect="1"/>
                    </pic:cNvPicPr>
                  </pic:nvPicPr>
                  <pic:blipFill>
                    <a:blip r:embed="rId38"/>
                    <a:stretch>
                      <a:fillRect/>
                    </a:stretch>
                  </pic:blipFill>
                  <pic:spPr>
                    <a:xfrm>
                      <a:off x="0" y="0"/>
                      <a:ext cx="5875655" cy="8184515"/>
                    </a:xfrm>
                    <a:prstGeom prst="rect">
                      <a:avLst/>
                    </a:prstGeom>
                    <a:noFill/>
                    <a:ln>
                      <a:noFill/>
                    </a:ln>
                  </pic:spPr>
                </pic:pic>
              </a:graphicData>
            </a:graphic>
          </wp:anchor>
        </w:drawing>
      </w:r>
    </w:p>
    <w:p w14:paraId="0FA40633">
      <w:pPr>
        <w:rPr>
          <w:rFonts w:hint="eastAsia" w:ascii="Times New Roman" w:hAnsi="Times New Roman" w:eastAsia="宋体" w:cs="Times New Roman"/>
          <w:kern w:val="2"/>
          <w:sz w:val="24"/>
          <w:szCs w:val="24"/>
          <w:lang w:val="en-US" w:eastAsia="zh-CN" w:bidi="ar-SA"/>
        </w:rPr>
        <w:sectPr>
          <w:pgSz w:w="11906" w:h="16838"/>
          <w:pgMar w:top="1440" w:right="1800" w:bottom="1440" w:left="1800" w:header="851" w:footer="992" w:gutter="0"/>
          <w:cols w:space="425" w:num="1"/>
          <w:docGrid w:type="lines" w:linePitch="312" w:charSpace="0"/>
        </w:sectPr>
      </w:pPr>
      <w:r>
        <w:drawing>
          <wp:anchor distT="0" distB="0" distL="114300" distR="114300" simplePos="0" relativeHeight="251704320" behindDoc="0" locked="0" layoutInCell="1" allowOverlap="1">
            <wp:simplePos x="0" y="0"/>
            <wp:positionH relativeFrom="column">
              <wp:posOffset>-434340</wp:posOffset>
            </wp:positionH>
            <wp:positionV relativeFrom="paragraph">
              <wp:posOffset>102235</wp:posOffset>
            </wp:positionV>
            <wp:extent cx="6175375" cy="8523605"/>
            <wp:effectExtent l="0" t="0" r="15875" b="10795"/>
            <wp:wrapNone/>
            <wp:docPr id="5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0"/>
                    <pic:cNvPicPr>
                      <a:picLocks noChangeAspect="1"/>
                    </pic:cNvPicPr>
                  </pic:nvPicPr>
                  <pic:blipFill>
                    <a:blip r:embed="rId39"/>
                    <a:stretch>
                      <a:fillRect/>
                    </a:stretch>
                  </pic:blipFill>
                  <pic:spPr>
                    <a:xfrm>
                      <a:off x="0" y="0"/>
                      <a:ext cx="6175375" cy="8523605"/>
                    </a:xfrm>
                    <a:prstGeom prst="rect">
                      <a:avLst/>
                    </a:prstGeom>
                    <a:noFill/>
                    <a:ln>
                      <a:noFill/>
                    </a:ln>
                  </pic:spPr>
                </pic:pic>
              </a:graphicData>
            </a:graphic>
          </wp:anchor>
        </w:drawing>
      </w:r>
    </w:p>
    <w:p w14:paraId="1E7D3F7B">
      <w:pPr>
        <w:rPr>
          <w:rFonts w:hint="eastAsia" w:ascii="Times New Roman" w:hAnsi="Times New Roman" w:eastAsia="宋体" w:cs="Times New Roman"/>
          <w:kern w:val="2"/>
          <w:sz w:val="24"/>
          <w:szCs w:val="24"/>
          <w:lang w:val="en-US" w:eastAsia="zh-CN" w:bidi="ar-SA"/>
        </w:rPr>
      </w:pPr>
    </w:p>
    <w:p w14:paraId="48EED626">
      <w:pPr>
        <w:bidi w:val="0"/>
        <w:jc w:val="left"/>
        <w:rPr>
          <w:rFonts w:hint="eastAsia" w:ascii="Times New Roman" w:hAnsi="Times New Roman" w:eastAsia="宋体" w:cs="Times New Roman"/>
          <w:kern w:val="2"/>
          <w:sz w:val="24"/>
          <w:szCs w:val="24"/>
          <w:lang w:val="en-US" w:eastAsia="zh-CN" w:bidi="ar-SA"/>
        </w:rPr>
        <w:sectPr>
          <w:pgSz w:w="11906" w:h="16838"/>
          <w:pgMar w:top="1440" w:right="1800" w:bottom="1440" w:left="1800" w:header="851" w:footer="992" w:gutter="0"/>
          <w:cols w:space="425" w:num="1"/>
          <w:docGrid w:type="lines" w:linePitch="312" w:charSpace="0"/>
        </w:sectPr>
      </w:pPr>
      <w:r>
        <w:drawing>
          <wp:anchor distT="0" distB="0" distL="114300" distR="114300" simplePos="0" relativeHeight="251705344" behindDoc="0" locked="0" layoutInCell="1" allowOverlap="1">
            <wp:simplePos x="0" y="0"/>
            <wp:positionH relativeFrom="column">
              <wp:posOffset>-74295</wp:posOffset>
            </wp:positionH>
            <wp:positionV relativeFrom="paragraph">
              <wp:posOffset>166370</wp:posOffset>
            </wp:positionV>
            <wp:extent cx="5809615" cy="8293100"/>
            <wp:effectExtent l="0" t="0" r="635" b="12700"/>
            <wp:wrapNone/>
            <wp:docPr id="5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1"/>
                    <pic:cNvPicPr>
                      <a:picLocks noChangeAspect="1"/>
                    </pic:cNvPicPr>
                  </pic:nvPicPr>
                  <pic:blipFill>
                    <a:blip r:embed="rId40"/>
                    <a:stretch>
                      <a:fillRect/>
                    </a:stretch>
                  </pic:blipFill>
                  <pic:spPr>
                    <a:xfrm>
                      <a:off x="0" y="0"/>
                      <a:ext cx="5809615" cy="8293100"/>
                    </a:xfrm>
                    <a:prstGeom prst="rect">
                      <a:avLst/>
                    </a:prstGeom>
                    <a:noFill/>
                    <a:ln>
                      <a:noFill/>
                    </a:ln>
                  </pic:spPr>
                </pic:pic>
              </a:graphicData>
            </a:graphic>
          </wp:anchor>
        </w:drawing>
      </w:r>
    </w:p>
    <w:p w14:paraId="28993B0F">
      <w:pPr>
        <w:bidi w:val="0"/>
        <w:jc w:val="left"/>
        <w:rPr>
          <w:rFonts w:hint="eastAsia" w:ascii="Times New Roman" w:hAnsi="Times New Roman" w:eastAsia="宋体" w:cs="Times New Roman"/>
          <w:kern w:val="2"/>
          <w:sz w:val="24"/>
          <w:szCs w:val="24"/>
          <w:lang w:val="en-US" w:eastAsia="zh-CN" w:bidi="ar-SA"/>
        </w:rPr>
      </w:pPr>
    </w:p>
    <w:p w14:paraId="352A2CE7">
      <w:pPr>
        <w:bidi w:val="0"/>
        <w:jc w:val="left"/>
        <w:rPr>
          <w:rFonts w:hint="eastAsia" w:ascii="Times New Roman" w:hAnsi="Times New Roman" w:eastAsia="宋体" w:cs="Times New Roman"/>
          <w:kern w:val="2"/>
          <w:sz w:val="24"/>
          <w:szCs w:val="24"/>
          <w:lang w:val="en-US" w:eastAsia="zh-CN" w:bidi="ar-SA"/>
        </w:rPr>
      </w:pPr>
    </w:p>
    <w:p w14:paraId="6513721B">
      <w:pPr>
        <w:pStyle w:val="29"/>
        <w:spacing w:before="249" w:beforeLines="80" w:after="31"/>
        <w:jc w:val="left"/>
        <w:rPr>
          <w:rFonts w:hint="eastAsia" w:ascii="Times New Roman" w:eastAsia="宋体"/>
          <w:snapToGrid w:val="0"/>
          <w:spacing w:val="-6"/>
          <w:kern w:val="21"/>
          <w:szCs w:val="24"/>
          <w:lang w:val="en-US" w:eastAsia="zh-CN"/>
        </w:rPr>
      </w:pPr>
      <w:r>
        <w:rPr>
          <w:rFonts w:hint="eastAsia" w:ascii="宋体" w:hAnsi="宋体" w:eastAsia="宋体"/>
          <w:sz w:val="36"/>
          <w:lang w:eastAsia="zh-CN"/>
        </w:rPr>
        <w:drawing>
          <wp:anchor distT="0" distB="0" distL="114300" distR="114300" simplePos="0" relativeHeight="251707392" behindDoc="0" locked="0" layoutInCell="1" allowOverlap="1">
            <wp:simplePos x="0" y="0"/>
            <wp:positionH relativeFrom="column">
              <wp:posOffset>65405</wp:posOffset>
            </wp:positionH>
            <wp:positionV relativeFrom="paragraph">
              <wp:posOffset>457835</wp:posOffset>
            </wp:positionV>
            <wp:extent cx="5273040" cy="7783830"/>
            <wp:effectExtent l="0" t="0" r="3810" b="7620"/>
            <wp:wrapTopAndBottom/>
            <wp:docPr id="64" name="图片 64" descr="f25452d2-2e7a-4e15-a849-8998a47e6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f25452d2-2e7a-4e15-a849-8998a47e6925"/>
                    <pic:cNvPicPr>
                      <a:picLocks noChangeAspect="1"/>
                    </pic:cNvPicPr>
                  </pic:nvPicPr>
                  <pic:blipFill>
                    <a:blip r:embed="rId41"/>
                    <a:stretch>
                      <a:fillRect/>
                    </a:stretch>
                  </pic:blipFill>
                  <pic:spPr>
                    <a:xfrm>
                      <a:off x="0" y="0"/>
                      <a:ext cx="5273040" cy="7783830"/>
                    </a:xfrm>
                    <a:prstGeom prst="rect">
                      <a:avLst/>
                    </a:prstGeom>
                  </pic:spPr>
                </pic:pic>
              </a:graphicData>
            </a:graphic>
          </wp:anchor>
        </w:drawing>
      </w:r>
      <w:r>
        <w:rPr>
          <w:rFonts w:hint="eastAsia" w:ascii="Times New Roman"/>
          <w:snapToGrid w:val="0"/>
          <w:spacing w:val="-6"/>
          <w:kern w:val="21"/>
          <w:szCs w:val="24"/>
        </w:rPr>
        <w:t>附件</w:t>
      </w:r>
      <w:r>
        <w:rPr>
          <w:rFonts w:hint="eastAsia" w:ascii="Times New Roman"/>
          <w:snapToGrid w:val="0"/>
          <w:spacing w:val="-6"/>
          <w:kern w:val="21"/>
          <w:szCs w:val="24"/>
          <w:lang w:val="en-US" w:eastAsia="zh-CN"/>
        </w:rPr>
        <w:t>5</w:t>
      </w:r>
    </w:p>
    <w:p w14:paraId="56D49601">
      <w:pPr>
        <w:jc w:val="center"/>
        <w:rPr>
          <w:rFonts w:ascii="宋体" w:hAnsi="宋体"/>
          <w:sz w:val="36"/>
        </w:rPr>
      </w:pPr>
    </w:p>
    <w:p w14:paraId="1AC2EBA1">
      <w:pPr>
        <w:jc w:val="center"/>
      </w:pPr>
      <w:r>
        <w:drawing>
          <wp:inline distT="0" distB="0" distL="114300" distR="114300">
            <wp:extent cx="5270500" cy="7342505"/>
            <wp:effectExtent l="0" t="0" r="6350" b="10795"/>
            <wp:docPr id="6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8"/>
                    <pic:cNvPicPr>
                      <a:picLocks noChangeAspect="1"/>
                    </pic:cNvPicPr>
                  </pic:nvPicPr>
                  <pic:blipFill>
                    <a:blip r:embed="rId42"/>
                    <a:srcRect l="-2843" t="2413" r="2843" b="-2413"/>
                    <a:stretch>
                      <a:fillRect/>
                    </a:stretch>
                  </pic:blipFill>
                  <pic:spPr>
                    <a:xfrm>
                      <a:off x="0" y="0"/>
                      <a:ext cx="5270500" cy="7342505"/>
                    </a:xfrm>
                    <a:prstGeom prst="rect">
                      <a:avLst/>
                    </a:prstGeom>
                    <a:noFill/>
                    <a:ln>
                      <a:noFill/>
                    </a:ln>
                  </pic:spPr>
                </pic:pic>
              </a:graphicData>
            </a:graphic>
          </wp:inline>
        </w:drawing>
      </w:r>
    </w:p>
    <w:p w14:paraId="2AEB6DEF">
      <w:pPr>
        <w:jc w:val="center"/>
      </w:pPr>
    </w:p>
    <w:p w14:paraId="6202F700">
      <w:pPr>
        <w:jc w:val="center"/>
      </w:pPr>
    </w:p>
    <w:p w14:paraId="0E911601">
      <w:pPr>
        <w:jc w:val="center"/>
      </w:pPr>
    </w:p>
    <w:p w14:paraId="17CC83E3">
      <w:pPr>
        <w:jc w:val="center"/>
        <w:rPr>
          <w:rFonts w:hint="eastAsia"/>
          <w:lang w:eastAsia="zh-CN"/>
        </w:rPr>
      </w:pPr>
    </w:p>
    <w:p w14:paraId="587F77FB">
      <w:pPr>
        <w:adjustRightInd w:val="0"/>
        <w:snapToGrid w:val="0"/>
        <w:spacing w:line="360" w:lineRule="auto"/>
        <w:jc w:val="center"/>
        <w:rPr>
          <w:rFonts w:hint="eastAsia" w:ascii="黑体" w:hAnsi="黑体" w:eastAsia="黑体"/>
          <w:sz w:val="32"/>
          <w:szCs w:val="32"/>
        </w:rPr>
      </w:pPr>
    </w:p>
    <w:p w14:paraId="41E4C0F5">
      <w:pPr>
        <w:adjustRightInd w:val="0"/>
        <w:snapToGrid w:val="0"/>
        <w:spacing w:line="360" w:lineRule="auto"/>
        <w:jc w:val="center"/>
        <w:rPr>
          <w:rFonts w:hint="eastAsia" w:ascii="黑体" w:hAnsi="黑体" w:eastAsia="黑体"/>
          <w:sz w:val="32"/>
          <w:szCs w:val="32"/>
        </w:rPr>
      </w:pPr>
      <w:r>
        <w:rPr>
          <w:rFonts w:hint="eastAsia" w:ascii="黑体" w:hAnsi="黑体" w:eastAsia="黑体"/>
          <w:sz w:val="32"/>
          <w:szCs w:val="32"/>
        </w:rPr>
        <w:t>河南朝东食品有限公司</w:t>
      </w:r>
    </w:p>
    <w:p w14:paraId="5BC64948">
      <w:pPr>
        <w:adjustRightInd w:val="0"/>
        <w:snapToGrid w:val="0"/>
        <w:spacing w:line="360" w:lineRule="auto"/>
        <w:jc w:val="center"/>
        <w:rPr>
          <w:rFonts w:hint="eastAsia" w:ascii="黑体" w:hAnsi="黑体" w:eastAsia="黑体" w:cs="Times New Roman"/>
          <w:sz w:val="32"/>
          <w:szCs w:val="32"/>
        </w:rPr>
      </w:pPr>
      <w:r>
        <w:rPr>
          <w:rFonts w:hint="eastAsia" w:ascii="黑体" w:hAnsi="黑体" w:eastAsia="黑体"/>
          <w:sz w:val="32"/>
          <w:szCs w:val="32"/>
          <w:lang w:eastAsia="zh-CN"/>
        </w:rPr>
        <w:t>《</w:t>
      </w:r>
      <w:r>
        <w:rPr>
          <w:rFonts w:hint="eastAsia" w:ascii="黑体" w:hAnsi="黑体" w:eastAsia="黑体"/>
          <w:sz w:val="32"/>
          <w:szCs w:val="32"/>
        </w:rPr>
        <w:t>年产1500吨鸡汁素肠改建项目</w:t>
      </w:r>
      <w:r>
        <w:rPr>
          <w:rFonts w:hint="eastAsia" w:ascii="黑体" w:hAnsi="黑体" w:eastAsia="黑体" w:cs="Times New Roman"/>
          <w:sz w:val="32"/>
          <w:szCs w:val="32"/>
        </w:rPr>
        <w:t>环境影响报告表</w:t>
      </w:r>
      <w:r>
        <w:rPr>
          <w:rFonts w:hint="eastAsia" w:ascii="黑体" w:hAnsi="黑体" w:eastAsia="黑体"/>
          <w:sz w:val="32"/>
          <w:szCs w:val="32"/>
          <w:lang w:eastAsia="zh-CN"/>
        </w:rPr>
        <w:t>》</w:t>
      </w:r>
    </w:p>
    <w:p w14:paraId="6478EE25">
      <w:pPr>
        <w:adjustRightInd w:val="0"/>
        <w:snapToGrid w:val="0"/>
        <w:spacing w:line="360" w:lineRule="auto"/>
        <w:jc w:val="center"/>
        <w:rPr>
          <w:rFonts w:hint="eastAsia" w:ascii="黑体" w:hAnsi="黑体" w:eastAsia="黑体"/>
          <w:sz w:val="32"/>
          <w:szCs w:val="32"/>
          <w:lang w:val="en-US" w:eastAsia="zh-CN"/>
        </w:rPr>
      </w:pPr>
      <w:r>
        <w:rPr>
          <w:rFonts w:hint="eastAsia" w:ascii="黑体" w:hAnsi="黑体" w:eastAsia="黑体"/>
          <w:sz w:val="32"/>
          <w:szCs w:val="32"/>
        </w:rPr>
        <w:t>技术函审意见</w:t>
      </w:r>
      <w:r>
        <w:rPr>
          <w:rFonts w:hint="eastAsia" w:ascii="黑体" w:hAnsi="黑体" w:eastAsia="黑体"/>
          <w:sz w:val="32"/>
          <w:szCs w:val="32"/>
          <w:lang w:val="en-US" w:eastAsia="zh-CN"/>
        </w:rPr>
        <w:t>修改说明</w:t>
      </w:r>
    </w:p>
    <w:p w14:paraId="46A6A810">
      <w:pPr>
        <w:adjustRightInd w:val="0"/>
        <w:snapToGrid w:val="0"/>
        <w:spacing w:line="360" w:lineRule="auto"/>
        <w:jc w:val="center"/>
        <w:rPr>
          <w:rFonts w:hint="eastAsia" w:ascii="黑体" w:hAnsi="黑体" w:eastAsia="黑体"/>
          <w:sz w:val="24"/>
          <w:szCs w:val="24"/>
          <w:lang w:val="en-US" w:eastAsia="zh-CN"/>
        </w:rPr>
      </w:pPr>
    </w:p>
    <w:p w14:paraId="627B3B65">
      <w:pPr>
        <w:adjustRightInd w:val="0"/>
        <w:snapToGrid w:val="0"/>
        <w:spacing w:line="360" w:lineRule="auto"/>
        <w:jc w:val="center"/>
        <w:rPr>
          <w:rFonts w:hint="eastAsia" w:ascii="黑体" w:hAnsi="黑体" w:eastAsia="黑体"/>
          <w:sz w:val="32"/>
          <w:szCs w:val="32"/>
          <w:lang w:val="en-US" w:eastAsia="zh-CN"/>
        </w:rPr>
      </w:pPr>
      <w:r>
        <w:rPr>
          <w:rFonts w:hint="eastAsia" w:ascii="黑体" w:hAnsi="黑体" w:eastAsia="黑体"/>
          <w:sz w:val="24"/>
          <w:szCs w:val="24"/>
          <w:lang w:val="en-US" w:eastAsia="zh-CN"/>
        </w:rPr>
        <w:t xml:space="preserve">表1  </w:t>
      </w:r>
      <w:r>
        <w:rPr>
          <w:rFonts w:hint="eastAsia" w:ascii="黑体" w:hAnsi="黑体" w:eastAsia="黑体"/>
          <w:sz w:val="24"/>
          <w:szCs w:val="24"/>
        </w:rPr>
        <w:t>技术函审意见</w:t>
      </w:r>
      <w:r>
        <w:rPr>
          <w:rFonts w:hint="eastAsia" w:ascii="黑体" w:hAnsi="黑体" w:eastAsia="黑体"/>
          <w:sz w:val="24"/>
          <w:szCs w:val="24"/>
          <w:lang w:val="en-US" w:eastAsia="zh-CN"/>
        </w:rPr>
        <w:t>修改说明</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3979"/>
        <w:gridCol w:w="3673"/>
      </w:tblGrid>
      <w:tr w14:paraId="5EED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04" w:type="dxa"/>
            <w:noWrap w:val="0"/>
            <w:vAlign w:val="center"/>
          </w:tcPr>
          <w:p w14:paraId="4362B5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序号</w:t>
            </w:r>
          </w:p>
        </w:tc>
        <w:tc>
          <w:tcPr>
            <w:tcW w:w="4230" w:type="dxa"/>
            <w:noWrap w:val="0"/>
            <w:vAlign w:val="center"/>
          </w:tcPr>
          <w:p w14:paraId="1DAEAB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修改意见</w:t>
            </w:r>
          </w:p>
        </w:tc>
        <w:tc>
          <w:tcPr>
            <w:tcW w:w="3870" w:type="dxa"/>
            <w:noWrap w:val="0"/>
            <w:vAlign w:val="center"/>
          </w:tcPr>
          <w:p w14:paraId="70AF86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修改说明</w:t>
            </w:r>
          </w:p>
        </w:tc>
      </w:tr>
      <w:tr w14:paraId="7D87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04" w:type="dxa"/>
            <w:noWrap w:val="0"/>
            <w:vAlign w:val="center"/>
          </w:tcPr>
          <w:p w14:paraId="4B37E8A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1</w:t>
            </w:r>
          </w:p>
        </w:tc>
        <w:tc>
          <w:tcPr>
            <w:tcW w:w="4230" w:type="dxa"/>
            <w:noWrap w:val="0"/>
            <w:vAlign w:val="center"/>
          </w:tcPr>
          <w:p w14:paraId="21BA847E">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补充延津县发展和改革委员会备案，完善项目与《</w:t>
            </w:r>
            <w:r>
              <w:rPr>
                <w:rFonts w:hint="eastAsia" w:ascii="宋体" w:hAnsi="宋体" w:eastAsia="宋体" w:cs="宋体"/>
                <w:sz w:val="24"/>
                <w:szCs w:val="24"/>
                <w:vertAlign w:val="baseline"/>
                <w:lang w:val="en-US" w:eastAsia="zh-CN"/>
              </w:rPr>
              <w:t>“十四五”推</w:t>
            </w:r>
            <w:r>
              <w:rPr>
                <w:rFonts w:hint="default" w:ascii="Times New Roman" w:hAnsi="Times New Roman" w:eastAsia="宋体" w:cs="Times New Roman"/>
                <w:sz w:val="24"/>
                <w:szCs w:val="24"/>
                <w:vertAlign w:val="baseline"/>
                <w:lang w:val="en-US" w:eastAsia="zh-CN"/>
              </w:rPr>
              <w:t>进沿黄重点地区工业项目入园及严控高污染、高耗水、高耗能项目的通知》相符性分析。</w:t>
            </w:r>
          </w:p>
        </w:tc>
        <w:tc>
          <w:tcPr>
            <w:tcW w:w="3870" w:type="dxa"/>
            <w:noWrap w:val="0"/>
            <w:vAlign w:val="center"/>
          </w:tcPr>
          <w:p w14:paraId="12A1C590">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eastAsia="黑体"/>
                <w:color w:val="000000"/>
                <w:lang w:val="en-US" w:eastAsia="zh-CN"/>
              </w:rPr>
            </w:pPr>
            <w:r>
              <w:rPr>
                <w:rFonts w:hint="eastAsia" w:ascii="Times New Roman" w:hAnsi="Times New Roman" w:eastAsia="宋体" w:cs="Times New Roman"/>
                <w:sz w:val="24"/>
                <w:szCs w:val="24"/>
                <w:vertAlign w:val="baseline"/>
                <w:lang w:val="en-US" w:eastAsia="zh-CN"/>
              </w:rPr>
              <w:t>已完善</w:t>
            </w:r>
            <w:r>
              <w:rPr>
                <w:rFonts w:hint="default" w:ascii="Times New Roman" w:hAnsi="Times New Roman" w:eastAsia="宋体" w:cs="Times New Roman"/>
                <w:sz w:val="24"/>
                <w:szCs w:val="24"/>
                <w:vertAlign w:val="baseline"/>
                <w:lang w:val="en-US" w:eastAsia="zh-CN"/>
              </w:rPr>
              <w:t>本项目与备案</w:t>
            </w:r>
            <w:r>
              <w:rPr>
                <w:rFonts w:hint="eastAsia" w:ascii="Times New Roman" w:hAnsi="Times New Roman" w:eastAsia="宋体" w:cs="Times New Roman"/>
                <w:sz w:val="24"/>
                <w:szCs w:val="24"/>
                <w:vertAlign w:val="baseline"/>
                <w:lang w:val="en-US" w:eastAsia="zh-CN"/>
              </w:rPr>
              <w:t>内容一致</w:t>
            </w:r>
            <w:r>
              <w:rPr>
                <w:rFonts w:hint="default" w:ascii="Times New Roman" w:hAnsi="Times New Roman" w:eastAsia="宋体" w:cs="Times New Roman"/>
                <w:sz w:val="24"/>
                <w:szCs w:val="24"/>
                <w:vertAlign w:val="baseline"/>
                <w:lang w:val="en-US" w:eastAsia="zh-CN"/>
              </w:rPr>
              <w:t>性分析</w:t>
            </w:r>
            <w:r>
              <w:rPr>
                <w:rFonts w:hint="eastAsia" w:ascii="Times New Roman" w:hAnsi="Times New Roman" w:eastAsia="宋体" w:cs="Times New Roman"/>
                <w:sz w:val="24"/>
                <w:szCs w:val="24"/>
                <w:vertAlign w:val="baseline"/>
                <w:lang w:val="en-US" w:eastAsia="zh-CN"/>
              </w:rPr>
              <w:t>，见报告表P3。已核实本项目不在</w:t>
            </w:r>
            <w:r>
              <w:rPr>
                <w:rFonts w:hint="default" w:ascii="Times New Roman" w:hAnsi="Times New Roman" w:eastAsia="宋体" w:cs="Times New Roman"/>
                <w:sz w:val="24"/>
                <w:szCs w:val="24"/>
                <w:vertAlign w:val="baseline"/>
                <w:lang w:val="en-US" w:eastAsia="zh-CN"/>
              </w:rPr>
              <w:t>沿黄重点地区</w:t>
            </w:r>
            <w:r>
              <w:rPr>
                <w:rFonts w:hint="eastAsia" w:ascii="Times New Roman" w:hAnsi="Times New Roman" w:eastAsia="宋体" w:cs="Times New Roman"/>
                <w:sz w:val="24"/>
                <w:szCs w:val="24"/>
                <w:vertAlign w:val="baseline"/>
                <w:lang w:val="en-US" w:eastAsia="zh-CN"/>
              </w:rPr>
              <w:t>。</w:t>
            </w:r>
          </w:p>
        </w:tc>
      </w:tr>
      <w:tr w14:paraId="525C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04" w:type="dxa"/>
            <w:noWrap w:val="0"/>
            <w:vAlign w:val="center"/>
          </w:tcPr>
          <w:p w14:paraId="278D9C0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2</w:t>
            </w:r>
          </w:p>
        </w:tc>
        <w:tc>
          <w:tcPr>
            <w:tcW w:w="4230" w:type="dxa"/>
            <w:noWrap w:val="0"/>
            <w:vAlign w:val="center"/>
          </w:tcPr>
          <w:p w14:paraId="051CD5DB">
            <w:pPr>
              <w:snapToGrid w:val="0"/>
              <w:spacing w:line="500" w:lineRule="atLeast"/>
              <w:jc w:val="both"/>
              <w:rPr>
                <w:rFonts w:hint="default" w:ascii="Times New Roman" w:hAnsi="Times New Roman" w:eastAsia="CESI宋体-GB13000" w:cs="Times New Roman"/>
                <w:sz w:val="24"/>
                <w:szCs w:val="24"/>
                <w:highlight w:val="none"/>
                <w:lang w:val="en-US" w:eastAsia="zh-CN"/>
              </w:rPr>
            </w:pPr>
            <w:r>
              <w:rPr>
                <w:rFonts w:hint="default" w:ascii="Times New Roman" w:hAnsi="Times New Roman" w:eastAsia="CESI宋体-GB13000" w:cs="Times New Roman"/>
                <w:sz w:val="24"/>
                <w:szCs w:val="24"/>
                <w:highlight w:val="none"/>
                <w:lang w:val="en-US" w:eastAsia="zh-CN"/>
              </w:rPr>
              <w:t>核实现有工程存在问题，并提出整改措施和时限。</w:t>
            </w:r>
          </w:p>
        </w:tc>
        <w:tc>
          <w:tcPr>
            <w:tcW w:w="3870" w:type="dxa"/>
            <w:noWrap w:val="0"/>
            <w:vAlign w:val="center"/>
          </w:tcPr>
          <w:p w14:paraId="3098DC9C">
            <w:pPr>
              <w:snapToGrid w:val="0"/>
              <w:spacing w:line="500" w:lineRule="atLeast"/>
              <w:jc w:val="both"/>
              <w:rPr>
                <w:rFonts w:hint="default" w:ascii="Times New Roman" w:hAnsi="Times New Roman" w:eastAsia="CESI宋体-GB13000" w:cs="Times New Roman"/>
                <w:sz w:val="24"/>
                <w:szCs w:val="24"/>
                <w:highlight w:val="none"/>
                <w:lang w:val="en-US" w:eastAsia="zh-CN"/>
              </w:rPr>
            </w:pPr>
            <w:r>
              <w:rPr>
                <w:rFonts w:hint="eastAsia" w:ascii="Times New Roman" w:hAnsi="Times New Roman" w:eastAsia="CESI宋体-GB13000" w:cs="Times New Roman"/>
                <w:sz w:val="24"/>
                <w:szCs w:val="24"/>
                <w:highlight w:val="none"/>
                <w:lang w:val="en-US" w:eastAsia="zh-CN"/>
              </w:rPr>
              <w:t>已补充，见</w:t>
            </w:r>
            <w:r>
              <w:rPr>
                <w:rFonts w:hint="default" w:ascii="Times New Roman" w:hAnsi="Times New Roman" w:eastAsia="CESI宋体-GB13000" w:cs="Times New Roman"/>
                <w:sz w:val="24"/>
                <w:szCs w:val="24"/>
                <w:highlight w:val="none"/>
                <w:lang w:val="en-US" w:eastAsia="zh-CN"/>
              </w:rPr>
              <w:t>报告表P3</w:t>
            </w:r>
            <w:r>
              <w:rPr>
                <w:rFonts w:hint="eastAsia" w:eastAsia="CESI宋体-GB13000" w:cs="Times New Roman"/>
                <w:sz w:val="24"/>
                <w:szCs w:val="24"/>
                <w:highlight w:val="none"/>
                <w:lang w:val="en-US" w:eastAsia="zh-CN"/>
              </w:rPr>
              <w:t>5</w:t>
            </w:r>
            <w:r>
              <w:rPr>
                <w:rFonts w:hint="default" w:ascii="Times New Roman" w:hAnsi="Times New Roman" w:eastAsia="CESI宋体-GB13000" w:cs="Times New Roman"/>
                <w:sz w:val="24"/>
                <w:szCs w:val="24"/>
                <w:highlight w:val="none"/>
                <w:lang w:val="en-US" w:eastAsia="zh-CN"/>
              </w:rPr>
              <w:t>。</w:t>
            </w:r>
          </w:p>
        </w:tc>
      </w:tr>
      <w:tr w14:paraId="0009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04" w:type="dxa"/>
            <w:noWrap w:val="0"/>
            <w:vAlign w:val="center"/>
          </w:tcPr>
          <w:p w14:paraId="64888A4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3</w:t>
            </w:r>
          </w:p>
        </w:tc>
        <w:tc>
          <w:tcPr>
            <w:tcW w:w="4230" w:type="dxa"/>
            <w:noWrap w:val="0"/>
            <w:vAlign w:val="center"/>
          </w:tcPr>
          <w:p w14:paraId="681905C6">
            <w:pPr>
              <w:snapToGrid w:val="0"/>
              <w:spacing w:line="500" w:lineRule="atLeast"/>
              <w:jc w:val="both"/>
              <w:rPr>
                <w:rFonts w:hint="default" w:ascii="Times New Roman" w:hAnsi="Times New Roman" w:eastAsia="CESI宋体-GB13000" w:cs="Times New Roman"/>
                <w:sz w:val="24"/>
                <w:szCs w:val="24"/>
                <w:highlight w:val="none"/>
                <w:lang w:val="en-US" w:eastAsia="zh-CN"/>
              </w:rPr>
            </w:pPr>
            <w:r>
              <w:rPr>
                <w:rFonts w:hint="default" w:ascii="Times New Roman" w:hAnsi="Times New Roman" w:eastAsia="CESI宋体-GB13000" w:cs="Times New Roman"/>
                <w:sz w:val="24"/>
                <w:szCs w:val="24"/>
                <w:highlight w:val="none"/>
                <w:lang w:val="en-US" w:eastAsia="zh-CN"/>
              </w:rPr>
              <w:t>补充项目完成后全厂污染物排放情况及变化情况一览表。</w:t>
            </w:r>
          </w:p>
        </w:tc>
        <w:tc>
          <w:tcPr>
            <w:tcW w:w="3870" w:type="dxa"/>
            <w:noWrap w:val="0"/>
            <w:vAlign w:val="center"/>
          </w:tcPr>
          <w:p w14:paraId="3DD4325F">
            <w:pPr>
              <w:snapToGrid w:val="0"/>
              <w:spacing w:line="500" w:lineRule="atLeast"/>
              <w:jc w:val="both"/>
              <w:rPr>
                <w:rFonts w:hint="default" w:ascii="Times New Roman" w:hAnsi="Times New Roman" w:eastAsia="CESI宋体-GB13000" w:cs="Times New Roman"/>
                <w:sz w:val="24"/>
                <w:szCs w:val="24"/>
                <w:highlight w:val="none"/>
                <w:lang w:val="en-US" w:eastAsia="zh-CN"/>
              </w:rPr>
            </w:pPr>
            <w:r>
              <w:rPr>
                <w:rFonts w:hint="eastAsia" w:ascii="Times New Roman" w:hAnsi="Times New Roman" w:eastAsia="CESI宋体-GB13000" w:cs="Times New Roman"/>
                <w:sz w:val="24"/>
                <w:szCs w:val="24"/>
                <w:highlight w:val="none"/>
                <w:lang w:val="en-US" w:eastAsia="zh-CN"/>
              </w:rPr>
              <w:t>已补充，见报告</w:t>
            </w:r>
            <w:r>
              <w:rPr>
                <w:rFonts w:hint="default" w:ascii="Times New Roman" w:hAnsi="Times New Roman" w:eastAsia="CESI宋体-GB13000" w:cs="Times New Roman"/>
                <w:sz w:val="24"/>
                <w:szCs w:val="24"/>
                <w:highlight w:val="none"/>
                <w:lang w:val="en-US" w:eastAsia="zh-CN"/>
              </w:rPr>
              <w:t>表P5</w:t>
            </w:r>
            <w:r>
              <w:rPr>
                <w:rFonts w:hint="eastAsia" w:eastAsia="CESI宋体-GB13000" w:cs="Times New Roman"/>
                <w:sz w:val="24"/>
                <w:szCs w:val="24"/>
                <w:highlight w:val="none"/>
                <w:lang w:val="en-US" w:eastAsia="zh-CN"/>
              </w:rPr>
              <w:t>7</w:t>
            </w:r>
            <w:r>
              <w:rPr>
                <w:rFonts w:hint="eastAsia" w:ascii="Times New Roman" w:hAnsi="Times New Roman" w:eastAsia="CESI宋体-GB13000" w:cs="Times New Roman"/>
                <w:sz w:val="24"/>
                <w:szCs w:val="24"/>
                <w:highlight w:val="none"/>
                <w:lang w:val="en-US" w:eastAsia="zh-CN"/>
              </w:rPr>
              <w:t>。</w:t>
            </w:r>
          </w:p>
        </w:tc>
      </w:tr>
      <w:tr w14:paraId="39D4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04" w:type="dxa"/>
            <w:noWrap w:val="0"/>
            <w:vAlign w:val="center"/>
          </w:tcPr>
          <w:p w14:paraId="37AE8D6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4</w:t>
            </w:r>
          </w:p>
        </w:tc>
        <w:tc>
          <w:tcPr>
            <w:tcW w:w="4230" w:type="dxa"/>
            <w:noWrap w:val="0"/>
            <w:vAlign w:val="center"/>
          </w:tcPr>
          <w:p w14:paraId="58FFB31F">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核实废气、废水产排源强，完善废水用于农灌的可行性分析，补充暂存措施及配套</w:t>
            </w:r>
            <w:r>
              <w:rPr>
                <w:rFonts w:hint="eastAsia" w:ascii="Times New Roman" w:hAnsi="Times New Roman" w:eastAsia="宋体" w:cs="Times New Roman"/>
                <w:sz w:val="24"/>
                <w:szCs w:val="24"/>
                <w:vertAlign w:val="baseline"/>
                <w:lang w:val="en-US" w:eastAsia="zh-CN"/>
              </w:rPr>
              <w:t>管</w:t>
            </w:r>
            <w:r>
              <w:rPr>
                <w:rFonts w:hint="default" w:ascii="Times New Roman" w:hAnsi="Times New Roman" w:eastAsia="宋体" w:cs="Times New Roman"/>
                <w:sz w:val="24"/>
                <w:szCs w:val="24"/>
                <w:vertAlign w:val="baseline"/>
                <w:lang w:val="en-US" w:eastAsia="zh-CN"/>
              </w:rPr>
              <w:t>网方案。完善污水站脱臭措施，核实环保投资。</w:t>
            </w:r>
          </w:p>
        </w:tc>
        <w:tc>
          <w:tcPr>
            <w:tcW w:w="3870" w:type="dxa"/>
            <w:noWrap w:val="0"/>
            <w:vAlign w:val="center"/>
          </w:tcPr>
          <w:p w14:paraId="0ED51B18">
            <w:pPr>
              <w:snapToGrid w:val="0"/>
              <w:spacing w:line="500" w:lineRule="atLeast"/>
              <w:jc w:val="both"/>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已核实废气、废水产排源强，见报告表P</w:t>
            </w:r>
            <w:r>
              <w:rPr>
                <w:rFonts w:hint="eastAsia" w:cs="Times New Roman"/>
                <w:sz w:val="24"/>
                <w:szCs w:val="24"/>
                <w:vertAlign w:val="baseline"/>
                <w:lang w:val="en-US" w:eastAsia="zh-CN"/>
              </w:rPr>
              <w:t>40</w:t>
            </w:r>
            <w:r>
              <w:rPr>
                <w:rFonts w:hint="default" w:ascii="Times New Roman" w:hAnsi="Times New Roman" w:eastAsia="宋体" w:cs="Times New Roman"/>
                <w:sz w:val="24"/>
                <w:szCs w:val="24"/>
                <w:vertAlign w:val="baseline"/>
                <w:lang w:val="en-US" w:eastAsia="zh-CN"/>
              </w:rPr>
              <w:t>-P50。已完善废水用于农灌的可行性分析，补充暂存措施及配套官网方案，见报告表P43-P44。已完善污水站脱臭措施，见报告表P4</w:t>
            </w:r>
            <w:r>
              <w:rPr>
                <w:rFonts w:hint="eastAsia" w:cs="Times New Roman"/>
                <w:sz w:val="24"/>
                <w:szCs w:val="24"/>
                <w:vertAlign w:val="baseline"/>
                <w:lang w:val="en-US" w:eastAsia="zh-CN"/>
              </w:rPr>
              <w:t>9</w:t>
            </w:r>
            <w:r>
              <w:rPr>
                <w:rFonts w:hint="default" w:ascii="Times New Roman" w:hAnsi="Times New Roman" w:eastAsia="宋体" w:cs="Times New Roman"/>
                <w:sz w:val="24"/>
                <w:szCs w:val="24"/>
                <w:vertAlign w:val="baseline"/>
                <w:lang w:val="en-US" w:eastAsia="zh-CN"/>
              </w:rPr>
              <w:t>。已核实环保投资，见报告表P1。已补充</w:t>
            </w:r>
            <w:r>
              <w:rPr>
                <w:rFonts w:hint="default" w:ascii="Times New Roman" w:hAnsi="Times New Roman" w:eastAsia="CESI宋体-GB13000" w:cs="Times New Roman"/>
                <w:sz w:val="24"/>
                <w:szCs w:val="24"/>
                <w:highlight w:val="none"/>
                <w:lang w:eastAsia="zh-CN"/>
              </w:rPr>
              <w:t>补充厂界</w:t>
            </w:r>
            <w:r>
              <w:rPr>
                <w:rFonts w:hint="default" w:ascii="Times New Roman" w:hAnsi="Times New Roman" w:eastAsia="CESI宋体-GB13000" w:cs="Times New Roman"/>
                <w:sz w:val="24"/>
                <w:szCs w:val="24"/>
                <w:highlight w:val="none"/>
                <w:lang w:val="en-US" w:eastAsia="zh-CN"/>
              </w:rPr>
              <w:t>H</w:t>
            </w:r>
            <w:r>
              <w:rPr>
                <w:rFonts w:hint="default" w:ascii="Times New Roman" w:hAnsi="Times New Roman" w:eastAsia="CESI宋体-GB13000" w:cs="Times New Roman"/>
                <w:sz w:val="24"/>
                <w:szCs w:val="24"/>
                <w:highlight w:val="none"/>
                <w:vertAlign w:val="subscript"/>
                <w:lang w:val="en-US" w:eastAsia="zh-CN"/>
              </w:rPr>
              <w:t>2</w:t>
            </w:r>
            <w:r>
              <w:rPr>
                <w:rFonts w:hint="default" w:ascii="Times New Roman" w:hAnsi="Times New Roman" w:eastAsia="CESI宋体-GB13000" w:cs="Times New Roman"/>
                <w:sz w:val="24"/>
                <w:szCs w:val="24"/>
                <w:highlight w:val="none"/>
                <w:lang w:val="en-US" w:eastAsia="zh-CN"/>
              </w:rPr>
              <w:t>S、NH</w:t>
            </w:r>
            <w:r>
              <w:rPr>
                <w:rFonts w:hint="default" w:ascii="Times New Roman" w:hAnsi="Times New Roman" w:eastAsia="CESI宋体-GB13000" w:cs="Times New Roman"/>
                <w:sz w:val="24"/>
                <w:szCs w:val="24"/>
                <w:highlight w:val="none"/>
                <w:vertAlign w:val="subscript"/>
                <w:lang w:val="en-US" w:eastAsia="zh-CN"/>
              </w:rPr>
              <w:t>3</w:t>
            </w:r>
            <w:r>
              <w:rPr>
                <w:rFonts w:hint="default" w:ascii="Times New Roman" w:hAnsi="Times New Roman" w:eastAsia="CESI宋体-GB13000" w:cs="Times New Roman"/>
                <w:sz w:val="24"/>
                <w:szCs w:val="24"/>
                <w:highlight w:val="none"/>
                <w:lang w:val="en-US" w:eastAsia="zh-CN"/>
              </w:rPr>
              <w:t>达标分析，</w:t>
            </w:r>
            <w:r>
              <w:rPr>
                <w:rFonts w:hint="default" w:ascii="Times New Roman" w:hAnsi="Times New Roman" w:eastAsia="宋体" w:cs="Times New Roman"/>
                <w:sz w:val="24"/>
                <w:szCs w:val="24"/>
                <w:vertAlign w:val="baseline"/>
                <w:lang w:val="en-US" w:eastAsia="zh-CN"/>
              </w:rPr>
              <w:t>见报告表P4</w:t>
            </w:r>
            <w:r>
              <w:rPr>
                <w:rFonts w:hint="eastAsia" w:cs="Times New Roman"/>
                <w:sz w:val="24"/>
                <w:szCs w:val="24"/>
                <w:vertAlign w:val="baseline"/>
                <w:lang w:val="en-US" w:eastAsia="zh-CN"/>
              </w:rPr>
              <w:t>9</w:t>
            </w:r>
            <w:r>
              <w:rPr>
                <w:rFonts w:hint="default" w:ascii="Times New Roman" w:hAnsi="Times New Roman" w:eastAsia="宋体" w:cs="Times New Roman"/>
                <w:sz w:val="24"/>
                <w:szCs w:val="24"/>
                <w:vertAlign w:val="baseline"/>
                <w:lang w:val="en-US" w:eastAsia="zh-CN"/>
              </w:rPr>
              <w:t>。</w:t>
            </w:r>
          </w:p>
        </w:tc>
      </w:tr>
    </w:tbl>
    <w:p w14:paraId="07FB502B">
      <w:pPr>
        <w:snapToGrid w:val="0"/>
        <w:spacing w:line="500" w:lineRule="atLeast"/>
        <w:rPr>
          <w:rFonts w:ascii="Times New Roman" w:hAnsi="Times New Roman"/>
          <w:sz w:val="28"/>
          <w:szCs w:val="28"/>
        </w:rPr>
      </w:pPr>
    </w:p>
    <w:p w14:paraId="2FDB9301"/>
    <w:p w14:paraId="46B7F7B1">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panose1 w:val="020B0504020202030204"/>
    <w:charset w:val="00"/>
    <w:family w:val="swiss"/>
    <w:pitch w:val="default"/>
    <w:sig w:usb0="00000007" w:usb1="00000000" w:usb2="00000000" w:usb3="00000000" w:csb0="00000093"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MS Mincho">
    <w:panose1 w:val="02020609040205080304"/>
    <w:charset w:val="80"/>
    <w:family w:val="modern"/>
    <w:pitch w:val="default"/>
    <w:sig w:usb0="A00002BF" w:usb1="68C7FCFB" w:usb2="00000010" w:usb3="00000000" w:csb0="4002009F" w:csb1="DFD70000"/>
  </w:font>
  <w:font w:name="Cambria Math">
    <w:panose1 w:val="02040503050406030204"/>
    <w:charset w:val="00"/>
    <w:family w:val="roman"/>
    <w:pitch w:val="default"/>
    <w:sig w:usb0="E00006FF" w:usb1="420024FF" w:usb2="02000000"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CESI宋体-GB13000">
    <w:altName w:val="宋体"/>
    <w:panose1 w:val="02000500000000000000"/>
    <w:charset w:val="86"/>
    <w:family w:val="auto"/>
    <w:pitch w:val="default"/>
    <w:sig w:usb0="00000000" w:usb1="00000000" w:usb2="00000016" w:usb3="00000000" w:csb0="0004000F"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3796"/>
    </w:sdtPr>
    <w:sdtContent>
      <w:p w14:paraId="0AB8025F">
        <w:pPr>
          <w:pStyle w:val="14"/>
          <w:jc w:val="cente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02B9D">
    <w:pPr>
      <w:pStyle w:val="14"/>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644337"/>
    <w:multiLevelType w:val="singleLevel"/>
    <w:tmpl w:val="83644337"/>
    <w:lvl w:ilvl="0" w:tentative="0">
      <w:start w:val="1"/>
      <w:numFmt w:val="decimal"/>
      <w:suff w:val="nothing"/>
      <w:lvlText w:val="%1、"/>
      <w:lvlJc w:val="left"/>
    </w:lvl>
  </w:abstractNum>
  <w:abstractNum w:abstractNumId="1">
    <w:nsid w:val="AB458FF7"/>
    <w:multiLevelType w:val="singleLevel"/>
    <w:tmpl w:val="AB458FF7"/>
    <w:lvl w:ilvl="0" w:tentative="0">
      <w:start w:val="6"/>
      <w:numFmt w:val="decimal"/>
      <w:suff w:val="nothing"/>
      <w:lvlText w:val="（%1）"/>
      <w:lvlJc w:val="left"/>
    </w:lvl>
  </w:abstractNum>
  <w:abstractNum w:abstractNumId="2">
    <w:nsid w:val="C267480D"/>
    <w:multiLevelType w:val="singleLevel"/>
    <w:tmpl w:val="C267480D"/>
    <w:lvl w:ilvl="0" w:tentative="0">
      <w:start w:val="2"/>
      <w:numFmt w:val="decimal"/>
      <w:suff w:val="nothing"/>
      <w:lvlText w:val="%1）"/>
      <w:lvlJc w:val="left"/>
    </w:lvl>
  </w:abstractNum>
  <w:abstractNum w:abstractNumId="3">
    <w:nsid w:val="D35CF3AD"/>
    <w:multiLevelType w:val="singleLevel"/>
    <w:tmpl w:val="D35CF3AD"/>
    <w:lvl w:ilvl="0" w:tentative="0">
      <w:start w:val="1"/>
      <w:numFmt w:val="chineseCounting"/>
      <w:suff w:val="nothing"/>
      <w:lvlText w:val="%1、"/>
      <w:lvlJc w:val="left"/>
      <w:rPr>
        <w:rFonts w:hint="eastAsia"/>
      </w:rPr>
    </w:lvl>
  </w:abstractNum>
  <w:abstractNum w:abstractNumId="4">
    <w:nsid w:val="D41740A8"/>
    <w:multiLevelType w:val="singleLevel"/>
    <w:tmpl w:val="D41740A8"/>
    <w:lvl w:ilvl="0" w:tentative="0">
      <w:start w:val="1"/>
      <w:numFmt w:val="decimal"/>
      <w:suff w:val="nothing"/>
      <w:lvlText w:val="%1、"/>
      <w:lvlJc w:val="left"/>
    </w:lvl>
  </w:abstractNum>
  <w:abstractNum w:abstractNumId="5">
    <w:nsid w:val="E777905B"/>
    <w:multiLevelType w:val="singleLevel"/>
    <w:tmpl w:val="E777905B"/>
    <w:lvl w:ilvl="0" w:tentative="0">
      <w:start w:val="1"/>
      <w:numFmt w:val="decimal"/>
      <w:suff w:val="nothing"/>
      <w:lvlText w:val="%1）"/>
      <w:lvlJc w:val="left"/>
    </w:lvl>
  </w:abstractNum>
  <w:abstractNum w:abstractNumId="6">
    <w:nsid w:val="02513850"/>
    <w:multiLevelType w:val="singleLevel"/>
    <w:tmpl w:val="02513850"/>
    <w:lvl w:ilvl="0" w:tentative="0">
      <w:start w:val="1"/>
      <w:numFmt w:val="decimal"/>
      <w:suff w:val="nothing"/>
      <w:lvlText w:val="%1）"/>
      <w:lvlJc w:val="left"/>
    </w:lvl>
  </w:abstractNum>
  <w:abstractNum w:abstractNumId="7">
    <w:nsid w:val="129CBCA7"/>
    <w:multiLevelType w:val="singleLevel"/>
    <w:tmpl w:val="129CBCA7"/>
    <w:lvl w:ilvl="0" w:tentative="0">
      <w:start w:val="5"/>
      <w:numFmt w:val="chineseCounting"/>
      <w:suff w:val="nothing"/>
      <w:lvlText w:val="%1、"/>
      <w:lvlJc w:val="left"/>
      <w:rPr>
        <w:rFonts w:hint="eastAsia"/>
      </w:rPr>
    </w:lvl>
  </w:abstractNum>
  <w:abstractNum w:abstractNumId="8">
    <w:nsid w:val="1CE4FEC0"/>
    <w:multiLevelType w:val="singleLevel"/>
    <w:tmpl w:val="1CE4FEC0"/>
    <w:lvl w:ilvl="0" w:tentative="0">
      <w:start w:val="1"/>
      <w:numFmt w:val="decimal"/>
      <w:suff w:val="nothing"/>
      <w:lvlText w:val="%1、"/>
      <w:lvlJc w:val="left"/>
    </w:lvl>
  </w:abstractNum>
  <w:abstractNum w:abstractNumId="9">
    <w:nsid w:val="2A733B2C"/>
    <w:multiLevelType w:val="singleLevel"/>
    <w:tmpl w:val="2A733B2C"/>
    <w:lvl w:ilvl="0" w:tentative="0">
      <w:start w:val="1"/>
      <w:numFmt w:val="decimal"/>
      <w:suff w:val="nothing"/>
      <w:lvlText w:val="%1）"/>
      <w:lvlJc w:val="left"/>
    </w:lvl>
  </w:abstractNum>
  <w:abstractNum w:abstractNumId="10">
    <w:nsid w:val="4A47177B"/>
    <w:multiLevelType w:val="singleLevel"/>
    <w:tmpl w:val="4A47177B"/>
    <w:lvl w:ilvl="0" w:tentative="0">
      <w:start w:val="1"/>
      <w:numFmt w:val="decimal"/>
      <w:suff w:val="space"/>
      <w:lvlText w:val="%1."/>
      <w:lvlJc w:val="left"/>
      <w:pPr>
        <w:ind w:left="425" w:hanging="425"/>
      </w:pPr>
      <w:rPr>
        <w:rFonts w:hint="default"/>
      </w:rPr>
    </w:lvl>
  </w:abstractNum>
  <w:abstractNum w:abstractNumId="11">
    <w:nsid w:val="577A734F"/>
    <w:multiLevelType w:val="singleLevel"/>
    <w:tmpl w:val="577A734F"/>
    <w:lvl w:ilvl="0" w:tentative="0">
      <w:start w:val="1"/>
      <w:numFmt w:val="chineseCounting"/>
      <w:suff w:val="nothing"/>
      <w:lvlText w:val="%1、"/>
      <w:lvlJc w:val="left"/>
      <w:rPr>
        <w:rFonts w:hint="eastAsia"/>
        <w:sz w:val="24"/>
        <w:szCs w:val="24"/>
      </w:rPr>
    </w:lvl>
  </w:abstractNum>
  <w:abstractNum w:abstractNumId="12">
    <w:nsid w:val="5EDBED60"/>
    <w:multiLevelType w:val="singleLevel"/>
    <w:tmpl w:val="5EDBED60"/>
    <w:lvl w:ilvl="0" w:tentative="0">
      <w:start w:val="2"/>
      <w:numFmt w:val="chineseCounting"/>
      <w:suff w:val="nothing"/>
      <w:lvlText w:val="（%1）"/>
      <w:lvlJc w:val="left"/>
      <w:rPr>
        <w:rFonts w:hint="eastAsia"/>
      </w:rPr>
    </w:lvl>
  </w:abstractNum>
  <w:abstractNum w:abstractNumId="13">
    <w:nsid w:val="7C202B6A"/>
    <w:multiLevelType w:val="singleLevel"/>
    <w:tmpl w:val="7C202B6A"/>
    <w:lvl w:ilvl="0" w:tentative="0">
      <w:start w:val="2"/>
      <w:numFmt w:val="chineseCounting"/>
      <w:suff w:val="nothing"/>
      <w:lvlText w:val="（%1）"/>
      <w:lvlJc w:val="left"/>
      <w:rPr>
        <w:rFonts w:hint="eastAsia"/>
      </w:rPr>
    </w:lvl>
  </w:abstractNum>
  <w:num w:numId="1">
    <w:abstractNumId w:val="4"/>
  </w:num>
  <w:num w:numId="2">
    <w:abstractNumId w:val="5"/>
  </w:num>
  <w:num w:numId="3">
    <w:abstractNumId w:val="10"/>
  </w:num>
  <w:num w:numId="4">
    <w:abstractNumId w:val="1"/>
  </w:num>
  <w:num w:numId="5">
    <w:abstractNumId w:val="3"/>
  </w:num>
  <w:num w:numId="6">
    <w:abstractNumId w:val="12"/>
  </w:num>
  <w:num w:numId="7">
    <w:abstractNumId w:val="13"/>
  </w:num>
  <w:num w:numId="8">
    <w:abstractNumId w:val="8"/>
  </w:num>
  <w:num w:numId="9">
    <w:abstractNumId w:val="11"/>
  </w:num>
  <w:num w:numId="10">
    <w:abstractNumId w:val="0"/>
  </w:num>
  <w:num w:numId="11">
    <w:abstractNumId w:val="2"/>
  </w:num>
  <w:num w:numId="12">
    <w:abstractNumId w:val="6"/>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2E0"/>
    <w:rsid w:val="00001672"/>
    <w:rsid w:val="00001969"/>
    <w:rsid w:val="00003B76"/>
    <w:rsid w:val="0000499A"/>
    <w:rsid w:val="00004A65"/>
    <w:rsid w:val="00005700"/>
    <w:rsid w:val="000058F2"/>
    <w:rsid w:val="00005903"/>
    <w:rsid w:val="0000596A"/>
    <w:rsid w:val="000065B7"/>
    <w:rsid w:val="00006938"/>
    <w:rsid w:val="00006DE7"/>
    <w:rsid w:val="000110E2"/>
    <w:rsid w:val="00011299"/>
    <w:rsid w:val="000116C3"/>
    <w:rsid w:val="00012948"/>
    <w:rsid w:val="000134B2"/>
    <w:rsid w:val="000139B7"/>
    <w:rsid w:val="0001405A"/>
    <w:rsid w:val="00015B3A"/>
    <w:rsid w:val="00016D7F"/>
    <w:rsid w:val="000172CE"/>
    <w:rsid w:val="00017662"/>
    <w:rsid w:val="00017A56"/>
    <w:rsid w:val="00017D3B"/>
    <w:rsid w:val="00020F0F"/>
    <w:rsid w:val="0002197B"/>
    <w:rsid w:val="00021BEB"/>
    <w:rsid w:val="000221DC"/>
    <w:rsid w:val="000228F2"/>
    <w:rsid w:val="000228F9"/>
    <w:rsid w:val="00022ACE"/>
    <w:rsid w:val="0002391C"/>
    <w:rsid w:val="00023B2B"/>
    <w:rsid w:val="000247A8"/>
    <w:rsid w:val="000249B0"/>
    <w:rsid w:val="00025047"/>
    <w:rsid w:val="00025899"/>
    <w:rsid w:val="00025F1D"/>
    <w:rsid w:val="000260E8"/>
    <w:rsid w:val="00026631"/>
    <w:rsid w:val="00026B74"/>
    <w:rsid w:val="00026BDD"/>
    <w:rsid w:val="00027AF5"/>
    <w:rsid w:val="00027D4F"/>
    <w:rsid w:val="00030601"/>
    <w:rsid w:val="0003085E"/>
    <w:rsid w:val="00030D5B"/>
    <w:rsid w:val="0003178E"/>
    <w:rsid w:val="000318EF"/>
    <w:rsid w:val="000319C1"/>
    <w:rsid w:val="00031EE2"/>
    <w:rsid w:val="0003277A"/>
    <w:rsid w:val="00032926"/>
    <w:rsid w:val="00032D04"/>
    <w:rsid w:val="00033812"/>
    <w:rsid w:val="00033E5C"/>
    <w:rsid w:val="000351A4"/>
    <w:rsid w:val="00035DB2"/>
    <w:rsid w:val="00036A5B"/>
    <w:rsid w:val="00037268"/>
    <w:rsid w:val="0003756F"/>
    <w:rsid w:val="00037804"/>
    <w:rsid w:val="00040363"/>
    <w:rsid w:val="00040A33"/>
    <w:rsid w:val="000419BE"/>
    <w:rsid w:val="00042225"/>
    <w:rsid w:val="000436DB"/>
    <w:rsid w:val="000439F9"/>
    <w:rsid w:val="00044608"/>
    <w:rsid w:val="00044994"/>
    <w:rsid w:val="00044D77"/>
    <w:rsid w:val="00045C14"/>
    <w:rsid w:val="00046F5F"/>
    <w:rsid w:val="000474D0"/>
    <w:rsid w:val="00047502"/>
    <w:rsid w:val="000519BB"/>
    <w:rsid w:val="0005247E"/>
    <w:rsid w:val="000530B2"/>
    <w:rsid w:val="0005469E"/>
    <w:rsid w:val="00055138"/>
    <w:rsid w:val="00055551"/>
    <w:rsid w:val="00057466"/>
    <w:rsid w:val="00057A17"/>
    <w:rsid w:val="000600F1"/>
    <w:rsid w:val="000617BB"/>
    <w:rsid w:val="00062184"/>
    <w:rsid w:val="00062E63"/>
    <w:rsid w:val="0006317E"/>
    <w:rsid w:val="000634BA"/>
    <w:rsid w:val="0006418B"/>
    <w:rsid w:val="000641AE"/>
    <w:rsid w:val="00064661"/>
    <w:rsid w:val="000646B4"/>
    <w:rsid w:val="00064D9A"/>
    <w:rsid w:val="00065BDC"/>
    <w:rsid w:val="00065EC9"/>
    <w:rsid w:val="000663EC"/>
    <w:rsid w:val="0006724A"/>
    <w:rsid w:val="00067610"/>
    <w:rsid w:val="00070600"/>
    <w:rsid w:val="000716F0"/>
    <w:rsid w:val="000717FE"/>
    <w:rsid w:val="00072F1C"/>
    <w:rsid w:val="00074C1C"/>
    <w:rsid w:val="000754FA"/>
    <w:rsid w:val="00075587"/>
    <w:rsid w:val="00075F9D"/>
    <w:rsid w:val="00076136"/>
    <w:rsid w:val="0007736C"/>
    <w:rsid w:val="000774DF"/>
    <w:rsid w:val="00077F7D"/>
    <w:rsid w:val="00080A94"/>
    <w:rsid w:val="000810BE"/>
    <w:rsid w:val="00081F4B"/>
    <w:rsid w:val="00082BE1"/>
    <w:rsid w:val="00082E6D"/>
    <w:rsid w:val="000836C9"/>
    <w:rsid w:val="000836D7"/>
    <w:rsid w:val="00083F40"/>
    <w:rsid w:val="00084A11"/>
    <w:rsid w:val="00084F6C"/>
    <w:rsid w:val="000858D7"/>
    <w:rsid w:val="00085A6B"/>
    <w:rsid w:val="000863C0"/>
    <w:rsid w:val="00086493"/>
    <w:rsid w:val="00086DB8"/>
    <w:rsid w:val="0008763C"/>
    <w:rsid w:val="000903A8"/>
    <w:rsid w:val="00091647"/>
    <w:rsid w:val="00091743"/>
    <w:rsid w:val="00091A31"/>
    <w:rsid w:val="000922E1"/>
    <w:rsid w:val="0009252F"/>
    <w:rsid w:val="00092763"/>
    <w:rsid w:val="000928C4"/>
    <w:rsid w:val="00094A9C"/>
    <w:rsid w:val="00095360"/>
    <w:rsid w:val="0009552A"/>
    <w:rsid w:val="000962AF"/>
    <w:rsid w:val="00096D63"/>
    <w:rsid w:val="000A0385"/>
    <w:rsid w:val="000A08AB"/>
    <w:rsid w:val="000A08BB"/>
    <w:rsid w:val="000A14D7"/>
    <w:rsid w:val="000A162A"/>
    <w:rsid w:val="000A2FE5"/>
    <w:rsid w:val="000A372A"/>
    <w:rsid w:val="000A386E"/>
    <w:rsid w:val="000A3C1D"/>
    <w:rsid w:val="000A4026"/>
    <w:rsid w:val="000A4114"/>
    <w:rsid w:val="000A47BD"/>
    <w:rsid w:val="000A49D8"/>
    <w:rsid w:val="000A5352"/>
    <w:rsid w:val="000A556F"/>
    <w:rsid w:val="000A6088"/>
    <w:rsid w:val="000A6D45"/>
    <w:rsid w:val="000A7261"/>
    <w:rsid w:val="000A76D0"/>
    <w:rsid w:val="000B0375"/>
    <w:rsid w:val="000B03E4"/>
    <w:rsid w:val="000B1126"/>
    <w:rsid w:val="000B1890"/>
    <w:rsid w:val="000B18E6"/>
    <w:rsid w:val="000B2F96"/>
    <w:rsid w:val="000B3530"/>
    <w:rsid w:val="000B368A"/>
    <w:rsid w:val="000B420B"/>
    <w:rsid w:val="000B44D5"/>
    <w:rsid w:val="000B47A0"/>
    <w:rsid w:val="000B5871"/>
    <w:rsid w:val="000B6AEC"/>
    <w:rsid w:val="000B6B05"/>
    <w:rsid w:val="000B6CFD"/>
    <w:rsid w:val="000B706F"/>
    <w:rsid w:val="000B71E1"/>
    <w:rsid w:val="000B730D"/>
    <w:rsid w:val="000C09B2"/>
    <w:rsid w:val="000C1512"/>
    <w:rsid w:val="000C1B81"/>
    <w:rsid w:val="000C1C7E"/>
    <w:rsid w:val="000C2166"/>
    <w:rsid w:val="000C2ACD"/>
    <w:rsid w:val="000C2C9D"/>
    <w:rsid w:val="000C3013"/>
    <w:rsid w:val="000C313C"/>
    <w:rsid w:val="000C3B25"/>
    <w:rsid w:val="000C4544"/>
    <w:rsid w:val="000C487D"/>
    <w:rsid w:val="000C535F"/>
    <w:rsid w:val="000C6005"/>
    <w:rsid w:val="000C60EE"/>
    <w:rsid w:val="000C6890"/>
    <w:rsid w:val="000C7DD5"/>
    <w:rsid w:val="000D0814"/>
    <w:rsid w:val="000D0ADF"/>
    <w:rsid w:val="000D10E0"/>
    <w:rsid w:val="000D1446"/>
    <w:rsid w:val="000D14AD"/>
    <w:rsid w:val="000D15A5"/>
    <w:rsid w:val="000D17F0"/>
    <w:rsid w:val="000D1D38"/>
    <w:rsid w:val="000D2B6D"/>
    <w:rsid w:val="000D47D8"/>
    <w:rsid w:val="000D6BD9"/>
    <w:rsid w:val="000D6EB7"/>
    <w:rsid w:val="000D73B1"/>
    <w:rsid w:val="000D7810"/>
    <w:rsid w:val="000D7CF0"/>
    <w:rsid w:val="000D7FAE"/>
    <w:rsid w:val="000D7FD2"/>
    <w:rsid w:val="000E1405"/>
    <w:rsid w:val="000E1DF8"/>
    <w:rsid w:val="000E217E"/>
    <w:rsid w:val="000E2643"/>
    <w:rsid w:val="000E3177"/>
    <w:rsid w:val="000E3A1D"/>
    <w:rsid w:val="000E3D83"/>
    <w:rsid w:val="000E4D9E"/>
    <w:rsid w:val="000E6957"/>
    <w:rsid w:val="000E6E14"/>
    <w:rsid w:val="000E6F16"/>
    <w:rsid w:val="000E763A"/>
    <w:rsid w:val="000E7E37"/>
    <w:rsid w:val="000F07DD"/>
    <w:rsid w:val="000F0A19"/>
    <w:rsid w:val="000F0F62"/>
    <w:rsid w:val="000F1764"/>
    <w:rsid w:val="000F17FD"/>
    <w:rsid w:val="000F1A84"/>
    <w:rsid w:val="000F1E5D"/>
    <w:rsid w:val="000F35C2"/>
    <w:rsid w:val="000F3E30"/>
    <w:rsid w:val="000F4264"/>
    <w:rsid w:val="000F4F89"/>
    <w:rsid w:val="000F55A4"/>
    <w:rsid w:val="000F561E"/>
    <w:rsid w:val="000F6364"/>
    <w:rsid w:val="000F6630"/>
    <w:rsid w:val="001007D6"/>
    <w:rsid w:val="001019BB"/>
    <w:rsid w:val="00101B92"/>
    <w:rsid w:val="00101EB3"/>
    <w:rsid w:val="00102E8C"/>
    <w:rsid w:val="0010366B"/>
    <w:rsid w:val="00103824"/>
    <w:rsid w:val="00103C37"/>
    <w:rsid w:val="00103EF7"/>
    <w:rsid w:val="00104618"/>
    <w:rsid w:val="00104A68"/>
    <w:rsid w:val="0010529D"/>
    <w:rsid w:val="00105588"/>
    <w:rsid w:val="00106A36"/>
    <w:rsid w:val="001073F6"/>
    <w:rsid w:val="00107559"/>
    <w:rsid w:val="00107732"/>
    <w:rsid w:val="00107D96"/>
    <w:rsid w:val="00107DCC"/>
    <w:rsid w:val="00110FF7"/>
    <w:rsid w:val="00111A82"/>
    <w:rsid w:val="001120D1"/>
    <w:rsid w:val="00112199"/>
    <w:rsid w:val="001124AB"/>
    <w:rsid w:val="00112D00"/>
    <w:rsid w:val="00112D16"/>
    <w:rsid w:val="00113C2B"/>
    <w:rsid w:val="00113EBE"/>
    <w:rsid w:val="00113F0A"/>
    <w:rsid w:val="00114951"/>
    <w:rsid w:val="00115594"/>
    <w:rsid w:val="001159BF"/>
    <w:rsid w:val="00115D25"/>
    <w:rsid w:val="00116EE3"/>
    <w:rsid w:val="00117052"/>
    <w:rsid w:val="00117F50"/>
    <w:rsid w:val="00120329"/>
    <w:rsid w:val="001216BD"/>
    <w:rsid w:val="00122CF8"/>
    <w:rsid w:val="00123A25"/>
    <w:rsid w:val="00123B9C"/>
    <w:rsid w:val="001247B8"/>
    <w:rsid w:val="00124856"/>
    <w:rsid w:val="00124893"/>
    <w:rsid w:val="00125579"/>
    <w:rsid w:val="00125608"/>
    <w:rsid w:val="001267CB"/>
    <w:rsid w:val="001268BA"/>
    <w:rsid w:val="0012720F"/>
    <w:rsid w:val="00127CCB"/>
    <w:rsid w:val="001300EA"/>
    <w:rsid w:val="00131614"/>
    <w:rsid w:val="001317CE"/>
    <w:rsid w:val="001318BF"/>
    <w:rsid w:val="00132130"/>
    <w:rsid w:val="00132D42"/>
    <w:rsid w:val="00132DF7"/>
    <w:rsid w:val="00132E3C"/>
    <w:rsid w:val="00133FF8"/>
    <w:rsid w:val="00134285"/>
    <w:rsid w:val="00134C3B"/>
    <w:rsid w:val="001356F4"/>
    <w:rsid w:val="00135D80"/>
    <w:rsid w:val="001361D3"/>
    <w:rsid w:val="00140736"/>
    <w:rsid w:val="001413B8"/>
    <w:rsid w:val="0014187C"/>
    <w:rsid w:val="0014262B"/>
    <w:rsid w:val="0014314B"/>
    <w:rsid w:val="00143A41"/>
    <w:rsid w:val="00143B8B"/>
    <w:rsid w:val="0014580B"/>
    <w:rsid w:val="001458EB"/>
    <w:rsid w:val="00146628"/>
    <w:rsid w:val="0014686F"/>
    <w:rsid w:val="00150F15"/>
    <w:rsid w:val="00152D6A"/>
    <w:rsid w:val="001534E3"/>
    <w:rsid w:val="001546FC"/>
    <w:rsid w:val="001555B9"/>
    <w:rsid w:val="001566AF"/>
    <w:rsid w:val="0015683A"/>
    <w:rsid w:val="00157C8B"/>
    <w:rsid w:val="00157D37"/>
    <w:rsid w:val="0016009A"/>
    <w:rsid w:val="00162B7B"/>
    <w:rsid w:val="00163613"/>
    <w:rsid w:val="00164094"/>
    <w:rsid w:val="00164236"/>
    <w:rsid w:val="00164384"/>
    <w:rsid w:val="00164577"/>
    <w:rsid w:val="00164D71"/>
    <w:rsid w:val="00165644"/>
    <w:rsid w:val="00165680"/>
    <w:rsid w:val="00165E33"/>
    <w:rsid w:val="00166828"/>
    <w:rsid w:val="001669FC"/>
    <w:rsid w:val="00167007"/>
    <w:rsid w:val="00167159"/>
    <w:rsid w:val="00167258"/>
    <w:rsid w:val="00170B31"/>
    <w:rsid w:val="00170D22"/>
    <w:rsid w:val="0017139D"/>
    <w:rsid w:val="001727A3"/>
    <w:rsid w:val="001729FD"/>
    <w:rsid w:val="0017374D"/>
    <w:rsid w:val="00174CB5"/>
    <w:rsid w:val="00174F05"/>
    <w:rsid w:val="00175012"/>
    <w:rsid w:val="001771E9"/>
    <w:rsid w:val="00177DBB"/>
    <w:rsid w:val="00180AC2"/>
    <w:rsid w:val="00180E0E"/>
    <w:rsid w:val="001810D6"/>
    <w:rsid w:val="00181DA4"/>
    <w:rsid w:val="00183B29"/>
    <w:rsid w:val="00184639"/>
    <w:rsid w:val="00185BA1"/>
    <w:rsid w:val="00185EF6"/>
    <w:rsid w:val="001863DF"/>
    <w:rsid w:val="00186A64"/>
    <w:rsid w:val="001904E8"/>
    <w:rsid w:val="001905A9"/>
    <w:rsid w:val="0019124F"/>
    <w:rsid w:val="001916E6"/>
    <w:rsid w:val="0019269A"/>
    <w:rsid w:val="00193115"/>
    <w:rsid w:val="001937DC"/>
    <w:rsid w:val="00193CB3"/>
    <w:rsid w:val="001944D5"/>
    <w:rsid w:val="001948F6"/>
    <w:rsid w:val="00194DF4"/>
    <w:rsid w:val="00195216"/>
    <w:rsid w:val="001957B0"/>
    <w:rsid w:val="00195957"/>
    <w:rsid w:val="001968EB"/>
    <w:rsid w:val="00196BCA"/>
    <w:rsid w:val="00197AAB"/>
    <w:rsid w:val="00197ECF"/>
    <w:rsid w:val="001A01AE"/>
    <w:rsid w:val="001A09D4"/>
    <w:rsid w:val="001A0AA6"/>
    <w:rsid w:val="001A1321"/>
    <w:rsid w:val="001A14EC"/>
    <w:rsid w:val="001A2AE7"/>
    <w:rsid w:val="001A2DE5"/>
    <w:rsid w:val="001A47EE"/>
    <w:rsid w:val="001A4AAE"/>
    <w:rsid w:val="001A501E"/>
    <w:rsid w:val="001A5B44"/>
    <w:rsid w:val="001A5BCF"/>
    <w:rsid w:val="001A66C7"/>
    <w:rsid w:val="001A67E1"/>
    <w:rsid w:val="001A6ABB"/>
    <w:rsid w:val="001A752A"/>
    <w:rsid w:val="001B00C9"/>
    <w:rsid w:val="001B1364"/>
    <w:rsid w:val="001B1C9D"/>
    <w:rsid w:val="001B289D"/>
    <w:rsid w:val="001B2B2C"/>
    <w:rsid w:val="001B37EF"/>
    <w:rsid w:val="001B3FB0"/>
    <w:rsid w:val="001B406F"/>
    <w:rsid w:val="001B40FA"/>
    <w:rsid w:val="001B4B13"/>
    <w:rsid w:val="001B4B63"/>
    <w:rsid w:val="001B6897"/>
    <w:rsid w:val="001B6ACB"/>
    <w:rsid w:val="001C1054"/>
    <w:rsid w:val="001C17DF"/>
    <w:rsid w:val="001C1810"/>
    <w:rsid w:val="001C1BF9"/>
    <w:rsid w:val="001C45C9"/>
    <w:rsid w:val="001C50CD"/>
    <w:rsid w:val="001C5A93"/>
    <w:rsid w:val="001C5F41"/>
    <w:rsid w:val="001C60FF"/>
    <w:rsid w:val="001C6FE0"/>
    <w:rsid w:val="001C7E17"/>
    <w:rsid w:val="001D0E70"/>
    <w:rsid w:val="001D0E7D"/>
    <w:rsid w:val="001D1823"/>
    <w:rsid w:val="001D1834"/>
    <w:rsid w:val="001D186D"/>
    <w:rsid w:val="001D1F00"/>
    <w:rsid w:val="001D20F0"/>
    <w:rsid w:val="001D23F2"/>
    <w:rsid w:val="001D29A4"/>
    <w:rsid w:val="001D2D6D"/>
    <w:rsid w:val="001D35A6"/>
    <w:rsid w:val="001D35E8"/>
    <w:rsid w:val="001D38B1"/>
    <w:rsid w:val="001D3DC9"/>
    <w:rsid w:val="001D5196"/>
    <w:rsid w:val="001D600C"/>
    <w:rsid w:val="001D712A"/>
    <w:rsid w:val="001D76EC"/>
    <w:rsid w:val="001D7A45"/>
    <w:rsid w:val="001D7D2C"/>
    <w:rsid w:val="001E0E86"/>
    <w:rsid w:val="001E1C2E"/>
    <w:rsid w:val="001E1C4E"/>
    <w:rsid w:val="001E1D63"/>
    <w:rsid w:val="001E25A0"/>
    <w:rsid w:val="001E2658"/>
    <w:rsid w:val="001E2DA2"/>
    <w:rsid w:val="001E35CF"/>
    <w:rsid w:val="001E497B"/>
    <w:rsid w:val="001E5517"/>
    <w:rsid w:val="001E5712"/>
    <w:rsid w:val="001E58C3"/>
    <w:rsid w:val="001E5E07"/>
    <w:rsid w:val="001E6868"/>
    <w:rsid w:val="001E7CFF"/>
    <w:rsid w:val="001E7DCE"/>
    <w:rsid w:val="001F0E94"/>
    <w:rsid w:val="001F2589"/>
    <w:rsid w:val="001F2DE3"/>
    <w:rsid w:val="001F3512"/>
    <w:rsid w:val="001F48A5"/>
    <w:rsid w:val="001F4E87"/>
    <w:rsid w:val="001F50E3"/>
    <w:rsid w:val="001F55EE"/>
    <w:rsid w:val="001F57EB"/>
    <w:rsid w:val="001F5C57"/>
    <w:rsid w:val="001F6174"/>
    <w:rsid w:val="001F76B4"/>
    <w:rsid w:val="00200C35"/>
    <w:rsid w:val="00201535"/>
    <w:rsid w:val="002015E4"/>
    <w:rsid w:val="0020231D"/>
    <w:rsid w:val="002024D9"/>
    <w:rsid w:val="0020251E"/>
    <w:rsid w:val="002034F2"/>
    <w:rsid w:val="002035DC"/>
    <w:rsid w:val="00203E16"/>
    <w:rsid w:val="00203E1E"/>
    <w:rsid w:val="002043BE"/>
    <w:rsid w:val="00204470"/>
    <w:rsid w:val="00204827"/>
    <w:rsid w:val="00204E08"/>
    <w:rsid w:val="002064CF"/>
    <w:rsid w:val="00207370"/>
    <w:rsid w:val="002074A8"/>
    <w:rsid w:val="0021042D"/>
    <w:rsid w:val="0021059D"/>
    <w:rsid w:val="00210CF6"/>
    <w:rsid w:val="002117E4"/>
    <w:rsid w:val="00212219"/>
    <w:rsid w:val="00212300"/>
    <w:rsid w:val="0021448B"/>
    <w:rsid w:val="00215A9E"/>
    <w:rsid w:val="002161ED"/>
    <w:rsid w:val="0021681C"/>
    <w:rsid w:val="00217937"/>
    <w:rsid w:val="00217DA5"/>
    <w:rsid w:val="002202A1"/>
    <w:rsid w:val="002216EC"/>
    <w:rsid w:val="0022198A"/>
    <w:rsid w:val="00221DB2"/>
    <w:rsid w:val="00221DBA"/>
    <w:rsid w:val="00222146"/>
    <w:rsid w:val="0022328C"/>
    <w:rsid w:val="00224028"/>
    <w:rsid w:val="002242CD"/>
    <w:rsid w:val="002254FC"/>
    <w:rsid w:val="0022685F"/>
    <w:rsid w:val="0022698B"/>
    <w:rsid w:val="00226A1C"/>
    <w:rsid w:val="002313C3"/>
    <w:rsid w:val="00231A18"/>
    <w:rsid w:val="00232E1B"/>
    <w:rsid w:val="00232E81"/>
    <w:rsid w:val="00233589"/>
    <w:rsid w:val="002338A7"/>
    <w:rsid w:val="0023403B"/>
    <w:rsid w:val="002347CA"/>
    <w:rsid w:val="00234BCD"/>
    <w:rsid w:val="002353EF"/>
    <w:rsid w:val="00237AA9"/>
    <w:rsid w:val="002413D5"/>
    <w:rsid w:val="00242B5F"/>
    <w:rsid w:val="00242D62"/>
    <w:rsid w:val="002437CD"/>
    <w:rsid w:val="00244030"/>
    <w:rsid w:val="002445BE"/>
    <w:rsid w:val="002452DD"/>
    <w:rsid w:val="00245797"/>
    <w:rsid w:val="00245949"/>
    <w:rsid w:val="002462A3"/>
    <w:rsid w:val="0025062D"/>
    <w:rsid w:val="00250FF5"/>
    <w:rsid w:val="00251773"/>
    <w:rsid w:val="00251FCF"/>
    <w:rsid w:val="0025264C"/>
    <w:rsid w:val="00253114"/>
    <w:rsid w:val="00253B8A"/>
    <w:rsid w:val="00253C98"/>
    <w:rsid w:val="0025615E"/>
    <w:rsid w:val="002563FE"/>
    <w:rsid w:val="00256739"/>
    <w:rsid w:val="002567F2"/>
    <w:rsid w:val="0025797D"/>
    <w:rsid w:val="00260058"/>
    <w:rsid w:val="00260883"/>
    <w:rsid w:val="00260ABE"/>
    <w:rsid w:val="002617E5"/>
    <w:rsid w:val="00261C23"/>
    <w:rsid w:val="00261C8A"/>
    <w:rsid w:val="00261D36"/>
    <w:rsid w:val="00261EBB"/>
    <w:rsid w:val="002622E4"/>
    <w:rsid w:val="00262E85"/>
    <w:rsid w:val="00262E8F"/>
    <w:rsid w:val="00263268"/>
    <w:rsid w:val="00263705"/>
    <w:rsid w:val="00263E9A"/>
    <w:rsid w:val="002644E5"/>
    <w:rsid w:val="00264F25"/>
    <w:rsid w:val="0026577B"/>
    <w:rsid w:val="00265C2B"/>
    <w:rsid w:val="00266B9E"/>
    <w:rsid w:val="0026709E"/>
    <w:rsid w:val="0026720E"/>
    <w:rsid w:val="00267C4F"/>
    <w:rsid w:val="00270541"/>
    <w:rsid w:val="00270889"/>
    <w:rsid w:val="00270C0F"/>
    <w:rsid w:val="00270CE6"/>
    <w:rsid w:val="002713EA"/>
    <w:rsid w:val="002717F8"/>
    <w:rsid w:val="00271A73"/>
    <w:rsid w:val="00272272"/>
    <w:rsid w:val="00272BEA"/>
    <w:rsid w:val="00272C1E"/>
    <w:rsid w:val="00273246"/>
    <w:rsid w:val="0027373C"/>
    <w:rsid w:val="00274168"/>
    <w:rsid w:val="00274772"/>
    <w:rsid w:val="00274B29"/>
    <w:rsid w:val="00276865"/>
    <w:rsid w:val="00277016"/>
    <w:rsid w:val="00277408"/>
    <w:rsid w:val="002802FE"/>
    <w:rsid w:val="00281229"/>
    <w:rsid w:val="0028156E"/>
    <w:rsid w:val="002815C0"/>
    <w:rsid w:val="00281842"/>
    <w:rsid w:val="00281E50"/>
    <w:rsid w:val="002820CA"/>
    <w:rsid w:val="002825F0"/>
    <w:rsid w:val="0028311C"/>
    <w:rsid w:val="00283B5E"/>
    <w:rsid w:val="00283E04"/>
    <w:rsid w:val="00283E37"/>
    <w:rsid w:val="00284098"/>
    <w:rsid w:val="0028422D"/>
    <w:rsid w:val="002842CF"/>
    <w:rsid w:val="00284442"/>
    <w:rsid w:val="00284721"/>
    <w:rsid w:val="00284EA2"/>
    <w:rsid w:val="00285413"/>
    <w:rsid w:val="0028546F"/>
    <w:rsid w:val="0028571F"/>
    <w:rsid w:val="002907F5"/>
    <w:rsid w:val="002909BC"/>
    <w:rsid w:val="0029155E"/>
    <w:rsid w:val="0029210F"/>
    <w:rsid w:val="00292608"/>
    <w:rsid w:val="00292F89"/>
    <w:rsid w:val="00294095"/>
    <w:rsid w:val="0029438E"/>
    <w:rsid w:val="00295471"/>
    <w:rsid w:val="0029652F"/>
    <w:rsid w:val="002968B1"/>
    <w:rsid w:val="00296DFC"/>
    <w:rsid w:val="00297D68"/>
    <w:rsid w:val="002A0F7B"/>
    <w:rsid w:val="002A10AF"/>
    <w:rsid w:val="002A14BF"/>
    <w:rsid w:val="002A172E"/>
    <w:rsid w:val="002A213D"/>
    <w:rsid w:val="002A2AD9"/>
    <w:rsid w:val="002A4DF5"/>
    <w:rsid w:val="002A57F0"/>
    <w:rsid w:val="002A5A3A"/>
    <w:rsid w:val="002A71FD"/>
    <w:rsid w:val="002A7A06"/>
    <w:rsid w:val="002B191A"/>
    <w:rsid w:val="002B1BF9"/>
    <w:rsid w:val="002B1C50"/>
    <w:rsid w:val="002B1E00"/>
    <w:rsid w:val="002B1F15"/>
    <w:rsid w:val="002B271B"/>
    <w:rsid w:val="002B3B85"/>
    <w:rsid w:val="002B49AE"/>
    <w:rsid w:val="002B4D8A"/>
    <w:rsid w:val="002B5C89"/>
    <w:rsid w:val="002B5D59"/>
    <w:rsid w:val="002B6A48"/>
    <w:rsid w:val="002C0B09"/>
    <w:rsid w:val="002C0C6A"/>
    <w:rsid w:val="002C0CD2"/>
    <w:rsid w:val="002C13F9"/>
    <w:rsid w:val="002C4332"/>
    <w:rsid w:val="002C4C63"/>
    <w:rsid w:val="002C4CF6"/>
    <w:rsid w:val="002C5B87"/>
    <w:rsid w:val="002C5D5F"/>
    <w:rsid w:val="002C6382"/>
    <w:rsid w:val="002C6F11"/>
    <w:rsid w:val="002C7871"/>
    <w:rsid w:val="002D03E2"/>
    <w:rsid w:val="002D187E"/>
    <w:rsid w:val="002D22AE"/>
    <w:rsid w:val="002D2AFD"/>
    <w:rsid w:val="002D3909"/>
    <w:rsid w:val="002D411C"/>
    <w:rsid w:val="002D4B28"/>
    <w:rsid w:val="002D6C55"/>
    <w:rsid w:val="002D6E5E"/>
    <w:rsid w:val="002D7363"/>
    <w:rsid w:val="002E037F"/>
    <w:rsid w:val="002E0826"/>
    <w:rsid w:val="002E0D75"/>
    <w:rsid w:val="002E13B7"/>
    <w:rsid w:val="002E1DAE"/>
    <w:rsid w:val="002E2519"/>
    <w:rsid w:val="002E274E"/>
    <w:rsid w:val="002E4872"/>
    <w:rsid w:val="002E4FE5"/>
    <w:rsid w:val="002E5637"/>
    <w:rsid w:val="002E675E"/>
    <w:rsid w:val="002E6C08"/>
    <w:rsid w:val="002F0256"/>
    <w:rsid w:val="002F03CC"/>
    <w:rsid w:val="002F03E6"/>
    <w:rsid w:val="002F12A8"/>
    <w:rsid w:val="002F20C8"/>
    <w:rsid w:val="002F2105"/>
    <w:rsid w:val="002F233D"/>
    <w:rsid w:val="002F2B70"/>
    <w:rsid w:val="002F39F2"/>
    <w:rsid w:val="002F3C12"/>
    <w:rsid w:val="002F3D69"/>
    <w:rsid w:val="002F40E4"/>
    <w:rsid w:val="002F45C0"/>
    <w:rsid w:val="002F4A7D"/>
    <w:rsid w:val="002F56B7"/>
    <w:rsid w:val="002F6F59"/>
    <w:rsid w:val="002F7413"/>
    <w:rsid w:val="002F7B24"/>
    <w:rsid w:val="002F7E75"/>
    <w:rsid w:val="00300675"/>
    <w:rsid w:val="00301073"/>
    <w:rsid w:val="00302E0B"/>
    <w:rsid w:val="003036B9"/>
    <w:rsid w:val="003038BD"/>
    <w:rsid w:val="0030630B"/>
    <w:rsid w:val="00306911"/>
    <w:rsid w:val="00307105"/>
    <w:rsid w:val="00307A6D"/>
    <w:rsid w:val="00307E0D"/>
    <w:rsid w:val="003109BC"/>
    <w:rsid w:val="0031141D"/>
    <w:rsid w:val="00311615"/>
    <w:rsid w:val="00311C24"/>
    <w:rsid w:val="00311C3D"/>
    <w:rsid w:val="003124A6"/>
    <w:rsid w:val="003143DD"/>
    <w:rsid w:val="00314F22"/>
    <w:rsid w:val="00315EC3"/>
    <w:rsid w:val="00316BD8"/>
    <w:rsid w:val="00317172"/>
    <w:rsid w:val="00317F99"/>
    <w:rsid w:val="00320228"/>
    <w:rsid w:val="00320657"/>
    <w:rsid w:val="00320907"/>
    <w:rsid w:val="00321D20"/>
    <w:rsid w:val="00322B9C"/>
    <w:rsid w:val="00322F28"/>
    <w:rsid w:val="00323CCC"/>
    <w:rsid w:val="003253FE"/>
    <w:rsid w:val="00325809"/>
    <w:rsid w:val="00325F79"/>
    <w:rsid w:val="00326900"/>
    <w:rsid w:val="00326CA3"/>
    <w:rsid w:val="00327DE6"/>
    <w:rsid w:val="00330829"/>
    <w:rsid w:val="00330C9C"/>
    <w:rsid w:val="00332146"/>
    <w:rsid w:val="00333374"/>
    <w:rsid w:val="00333612"/>
    <w:rsid w:val="00333ACC"/>
    <w:rsid w:val="00333BE1"/>
    <w:rsid w:val="00333D77"/>
    <w:rsid w:val="00333DDA"/>
    <w:rsid w:val="00334463"/>
    <w:rsid w:val="003345F5"/>
    <w:rsid w:val="00334933"/>
    <w:rsid w:val="00334E11"/>
    <w:rsid w:val="0033563D"/>
    <w:rsid w:val="00335BC6"/>
    <w:rsid w:val="00335CE0"/>
    <w:rsid w:val="0033609E"/>
    <w:rsid w:val="00336B57"/>
    <w:rsid w:val="00336CEB"/>
    <w:rsid w:val="003379DC"/>
    <w:rsid w:val="0034014F"/>
    <w:rsid w:val="003407D4"/>
    <w:rsid w:val="003410C8"/>
    <w:rsid w:val="003416AE"/>
    <w:rsid w:val="003427ED"/>
    <w:rsid w:val="00342C31"/>
    <w:rsid w:val="00343D55"/>
    <w:rsid w:val="00343E64"/>
    <w:rsid w:val="00344464"/>
    <w:rsid w:val="003448C2"/>
    <w:rsid w:val="003454BC"/>
    <w:rsid w:val="00345534"/>
    <w:rsid w:val="003461C7"/>
    <w:rsid w:val="0034687D"/>
    <w:rsid w:val="003468DE"/>
    <w:rsid w:val="00347537"/>
    <w:rsid w:val="00347944"/>
    <w:rsid w:val="00350B1F"/>
    <w:rsid w:val="00350CBB"/>
    <w:rsid w:val="00351A9B"/>
    <w:rsid w:val="0035257F"/>
    <w:rsid w:val="00352D1F"/>
    <w:rsid w:val="003536EE"/>
    <w:rsid w:val="0035446E"/>
    <w:rsid w:val="00355E53"/>
    <w:rsid w:val="00356F8F"/>
    <w:rsid w:val="003573FF"/>
    <w:rsid w:val="00357BFA"/>
    <w:rsid w:val="0036007D"/>
    <w:rsid w:val="00360695"/>
    <w:rsid w:val="003614F9"/>
    <w:rsid w:val="00361809"/>
    <w:rsid w:val="003618BF"/>
    <w:rsid w:val="00361C50"/>
    <w:rsid w:val="00362644"/>
    <w:rsid w:val="00362C5D"/>
    <w:rsid w:val="0036362C"/>
    <w:rsid w:val="003641F0"/>
    <w:rsid w:val="00365D92"/>
    <w:rsid w:val="00365DE6"/>
    <w:rsid w:val="00365ECB"/>
    <w:rsid w:val="00366183"/>
    <w:rsid w:val="00366FB3"/>
    <w:rsid w:val="00367130"/>
    <w:rsid w:val="003676FD"/>
    <w:rsid w:val="003678AB"/>
    <w:rsid w:val="00367DAF"/>
    <w:rsid w:val="0037154C"/>
    <w:rsid w:val="003739A8"/>
    <w:rsid w:val="00373C3C"/>
    <w:rsid w:val="00373CD9"/>
    <w:rsid w:val="00374A3E"/>
    <w:rsid w:val="00374B70"/>
    <w:rsid w:val="00375738"/>
    <w:rsid w:val="00375BBA"/>
    <w:rsid w:val="00376899"/>
    <w:rsid w:val="00376A3C"/>
    <w:rsid w:val="00376C1C"/>
    <w:rsid w:val="00376CAD"/>
    <w:rsid w:val="0037779C"/>
    <w:rsid w:val="003779A4"/>
    <w:rsid w:val="00377B58"/>
    <w:rsid w:val="00380074"/>
    <w:rsid w:val="00382080"/>
    <w:rsid w:val="00382189"/>
    <w:rsid w:val="003824EB"/>
    <w:rsid w:val="003835E2"/>
    <w:rsid w:val="00383A80"/>
    <w:rsid w:val="00383BCE"/>
    <w:rsid w:val="00383EDA"/>
    <w:rsid w:val="003844C2"/>
    <w:rsid w:val="00384D12"/>
    <w:rsid w:val="00386D86"/>
    <w:rsid w:val="00391836"/>
    <w:rsid w:val="0039312B"/>
    <w:rsid w:val="003933B9"/>
    <w:rsid w:val="00393A70"/>
    <w:rsid w:val="00393C87"/>
    <w:rsid w:val="0039457F"/>
    <w:rsid w:val="00394EB6"/>
    <w:rsid w:val="00395EB3"/>
    <w:rsid w:val="003971BB"/>
    <w:rsid w:val="003971CD"/>
    <w:rsid w:val="0039725E"/>
    <w:rsid w:val="003A0305"/>
    <w:rsid w:val="003A0D8B"/>
    <w:rsid w:val="003A1E79"/>
    <w:rsid w:val="003A1F41"/>
    <w:rsid w:val="003A2E17"/>
    <w:rsid w:val="003A322E"/>
    <w:rsid w:val="003A3E0D"/>
    <w:rsid w:val="003A41E8"/>
    <w:rsid w:val="003A47D9"/>
    <w:rsid w:val="003A54F4"/>
    <w:rsid w:val="003A58E4"/>
    <w:rsid w:val="003A5E0D"/>
    <w:rsid w:val="003A5F4D"/>
    <w:rsid w:val="003A6682"/>
    <w:rsid w:val="003A6776"/>
    <w:rsid w:val="003A67B6"/>
    <w:rsid w:val="003A6ECB"/>
    <w:rsid w:val="003A6FEA"/>
    <w:rsid w:val="003B0184"/>
    <w:rsid w:val="003B0EB0"/>
    <w:rsid w:val="003B1429"/>
    <w:rsid w:val="003B189F"/>
    <w:rsid w:val="003B2945"/>
    <w:rsid w:val="003B4504"/>
    <w:rsid w:val="003B5B89"/>
    <w:rsid w:val="003B6B39"/>
    <w:rsid w:val="003B6C35"/>
    <w:rsid w:val="003B6D35"/>
    <w:rsid w:val="003B7024"/>
    <w:rsid w:val="003B72CE"/>
    <w:rsid w:val="003B7827"/>
    <w:rsid w:val="003B79ED"/>
    <w:rsid w:val="003C06A1"/>
    <w:rsid w:val="003C0930"/>
    <w:rsid w:val="003C0F91"/>
    <w:rsid w:val="003C16A4"/>
    <w:rsid w:val="003C24A8"/>
    <w:rsid w:val="003C2865"/>
    <w:rsid w:val="003C2AE3"/>
    <w:rsid w:val="003C3410"/>
    <w:rsid w:val="003C366A"/>
    <w:rsid w:val="003C3BCB"/>
    <w:rsid w:val="003C48C8"/>
    <w:rsid w:val="003C4B68"/>
    <w:rsid w:val="003C5BB9"/>
    <w:rsid w:val="003C5C4F"/>
    <w:rsid w:val="003C5D31"/>
    <w:rsid w:val="003C5EF2"/>
    <w:rsid w:val="003C7322"/>
    <w:rsid w:val="003C73EE"/>
    <w:rsid w:val="003C76CD"/>
    <w:rsid w:val="003C793D"/>
    <w:rsid w:val="003C7AAE"/>
    <w:rsid w:val="003C7C3A"/>
    <w:rsid w:val="003C7E8D"/>
    <w:rsid w:val="003D124A"/>
    <w:rsid w:val="003D16F1"/>
    <w:rsid w:val="003D2FA6"/>
    <w:rsid w:val="003D40A9"/>
    <w:rsid w:val="003D4308"/>
    <w:rsid w:val="003D45AD"/>
    <w:rsid w:val="003D548F"/>
    <w:rsid w:val="003D5F1B"/>
    <w:rsid w:val="003D6304"/>
    <w:rsid w:val="003D6B9A"/>
    <w:rsid w:val="003D7309"/>
    <w:rsid w:val="003D73FB"/>
    <w:rsid w:val="003D756C"/>
    <w:rsid w:val="003D78DA"/>
    <w:rsid w:val="003D7A22"/>
    <w:rsid w:val="003D7E03"/>
    <w:rsid w:val="003E0F19"/>
    <w:rsid w:val="003E17EB"/>
    <w:rsid w:val="003E18AE"/>
    <w:rsid w:val="003E278F"/>
    <w:rsid w:val="003E3095"/>
    <w:rsid w:val="003E30B4"/>
    <w:rsid w:val="003E5499"/>
    <w:rsid w:val="003E5607"/>
    <w:rsid w:val="003E5D92"/>
    <w:rsid w:val="003E6174"/>
    <w:rsid w:val="003E62B6"/>
    <w:rsid w:val="003E6621"/>
    <w:rsid w:val="003E6782"/>
    <w:rsid w:val="003E6D13"/>
    <w:rsid w:val="003E6EEA"/>
    <w:rsid w:val="003E6F60"/>
    <w:rsid w:val="003E78E5"/>
    <w:rsid w:val="003E7D6D"/>
    <w:rsid w:val="003F02E8"/>
    <w:rsid w:val="003F08D2"/>
    <w:rsid w:val="003F10C0"/>
    <w:rsid w:val="003F1212"/>
    <w:rsid w:val="003F14D3"/>
    <w:rsid w:val="003F1645"/>
    <w:rsid w:val="003F1FA6"/>
    <w:rsid w:val="003F230A"/>
    <w:rsid w:val="003F3190"/>
    <w:rsid w:val="003F3D34"/>
    <w:rsid w:val="003F3EAF"/>
    <w:rsid w:val="003F3ED6"/>
    <w:rsid w:val="003F45DC"/>
    <w:rsid w:val="003F4C03"/>
    <w:rsid w:val="003F4D62"/>
    <w:rsid w:val="003F59FE"/>
    <w:rsid w:val="003F6E27"/>
    <w:rsid w:val="00400CEF"/>
    <w:rsid w:val="00401064"/>
    <w:rsid w:val="00401308"/>
    <w:rsid w:val="00402312"/>
    <w:rsid w:val="00402C00"/>
    <w:rsid w:val="004036C9"/>
    <w:rsid w:val="0040376F"/>
    <w:rsid w:val="004040E6"/>
    <w:rsid w:val="0040421C"/>
    <w:rsid w:val="00404491"/>
    <w:rsid w:val="00405119"/>
    <w:rsid w:val="00405257"/>
    <w:rsid w:val="0040546A"/>
    <w:rsid w:val="00405476"/>
    <w:rsid w:val="004054C7"/>
    <w:rsid w:val="00405516"/>
    <w:rsid w:val="0040753C"/>
    <w:rsid w:val="00407B27"/>
    <w:rsid w:val="004100A0"/>
    <w:rsid w:val="00410190"/>
    <w:rsid w:val="004109A0"/>
    <w:rsid w:val="00410B4B"/>
    <w:rsid w:val="004138FD"/>
    <w:rsid w:val="004143DB"/>
    <w:rsid w:val="004144DE"/>
    <w:rsid w:val="0041474C"/>
    <w:rsid w:val="00414949"/>
    <w:rsid w:val="00414B94"/>
    <w:rsid w:val="004150D6"/>
    <w:rsid w:val="0041511B"/>
    <w:rsid w:val="00415219"/>
    <w:rsid w:val="0041608E"/>
    <w:rsid w:val="004167E2"/>
    <w:rsid w:val="00416989"/>
    <w:rsid w:val="00416E32"/>
    <w:rsid w:val="00417150"/>
    <w:rsid w:val="00417750"/>
    <w:rsid w:val="00417C35"/>
    <w:rsid w:val="00420496"/>
    <w:rsid w:val="00420A6A"/>
    <w:rsid w:val="00421941"/>
    <w:rsid w:val="00421AED"/>
    <w:rsid w:val="00421D06"/>
    <w:rsid w:val="004226B1"/>
    <w:rsid w:val="00422DE3"/>
    <w:rsid w:val="0042380F"/>
    <w:rsid w:val="00423F5F"/>
    <w:rsid w:val="00424C52"/>
    <w:rsid w:val="00426B4D"/>
    <w:rsid w:val="00427C22"/>
    <w:rsid w:val="00427EA2"/>
    <w:rsid w:val="00430151"/>
    <w:rsid w:val="00430E1F"/>
    <w:rsid w:val="00431011"/>
    <w:rsid w:val="0043113F"/>
    <w:rsid w:val="00431521"/>
    <w:rsid w:val="004318B2"/>
    <w:rsid w:val="00433CAA"/>
    <w:rsid w:val="004349A1"/>
    <w:rsid w:val="00434C40"/>
    <w:rsid w:val="00434E82"/>
    <w:rsid w:val="00434E87"/>
    <w:rsid w:val="00435525"/>
    <w:rsid w:val="00436512"/>
    <w:rsid w:val="00440BA4"/>
    <w:rsid w:val="00441FF0"/>
    <w:rsid w:val="0044248F"/>
    <w:rsid w:val="0044322A"/>
    <w:rsid w:val="00443D58"/>
    <w:rsid w:val="004444BF"/>
    <w:rsid w:val="00445623"/>
    <w:rsid w:val="0044585F"/>
    <w:rsid w:val="00446F2A"/>
    <w:rsid w:val="00450C72"/>
    <w:rsid w:val="00450EA3"/>
    <w:rsid w:val="00450F11"/>
    <w:rsid w:val="00452119"/>
    <w:rsid w:val="00452153"/>
    <w:rsid w:val="00452EFD"/>
    <w:rsid w:val="00452FBF"/>
    <w:rsid w:val="0045320E"/>
    <w:rsid w:val="00453596"/>
    <w:rsid w:val="0045453A"/>
    <w:rsid w:val="00454842"/>
    <w:rsid w:val="004558CD"/>
    <w:rsid w:val="00456F89"/>
    <w:rsid w:val="0045720E"/>
    <w:rsid w:val="0045736B"/>
    <w:rsid w:val="0045747B"/>
    <w:rsid w:val="00457DEC"/>
    <w:rsid w:val="00460020"/>
    <w:rsid w:val="004603D2"/>
    <w:rsid w:val="00461F9E"/>
    <w:rsid w:val="0046228C"/>
    <w:rsid w:val="00462A77"/>
    <w:rsid w:val="004648CF"/>
    <w:rsid w:val="004655C1"/>
    <w:rsid w:val="004672DE"/>
    <w:rsid w:val="0047072B"/>
    <w:rsid w:val="00470866"/>
    <w:rsid w:val="00470C0C"/>
    <w:rsid w:val="00470E08"/>
    <w:rsid w:val="00471308"/>
    <w:rsid w:val="00471CD9"/>
    <w:rsid w:val="00472C68"/>
    <w:rsid w:val="0047328D"/>
    <w:rsid w:val="004735FF"/>
    <w:rsid w:val="0047400B"/>
    <w:rsid w:val="0047486C"/>
    <w:rsid w:val="00474F80"/>
    <w:rsid w:val="004751BD"/>
    <w:rsid w:val="004755E4"/>
    <w:rsid w:val="00475928"/>
    <w:rsid w:val="00475B57"/>
    <w:rsid w:val="00476075"/>
    <w:rsid w:val="00476E72"/>
    <w:rsid w:val="004770EC"/>
    <w:rsid w:val="004778C4"/>
    <w:rsid w:val="00480276"/>
    <w:rsid w:val="00481C2D"/>
    <w:rsid w:val="00481F07"/>
    <w:rsid w:val="00482A32"/>
    <w:rsid w:val="004838E1"/>
    <w:rsid w:val="00484375"/>
    <w:rsid w:val="00484E97"/>
    <w:rsid w:val="0048598E"/>
    <w:rsid w:val="00485B74"/>
    <w:rsid w:val="00485D25"/>
    <w:rsid w:val="00485DBA"/>
    <w:rsid w:val="00486781"/>
    <w:rsid w:val="00487235"/>
    <w:rsid w:val="00487AEE"/>
    <w:rsid w:val="00487EA5"/>
    <w:rsid w:val="00487F47"/>
    <w:rsid w:val="00490085"/>
    <w:rsid w:val="00490EC3"/>
    <w:rsid w:val="004911F1"/>
    <w:rsid w:val="00491553"/>
    <w:rsid w:val="00491561"/>
    <w:rsid w:val="0049211F"/>
    <w:rsid w:val="0049229F"/>
    <w:rsid w:val="00492ACD"/>
    <w:rsid w:val="0049304A"/>
    <w:rsid w:val="004934A5"/>
    <w:rsid w:val="00494E8E"/>
    <w:rsid w:val="00495243"/>
    <w:rsid w:val="004952E0"/>
    <w:rsid w:val="00495D6D"/>
    <w:rsid w:val="00496CBA"/>
    <w:rsid w:val="00496FB6"/>
    <w:rsid w:val="00497F6A"/>
    <w:rsid w:val="004A08AE"/>
    <w:rsid w:val="004A0BBE"/>
    <w:rsid w:val="004A13B2"/>
    <w:rsid w:val="004A14E7"/>
    <w:rsid w:val="004A2576"/>
    <w:rsid w:val="004A2580"/>
    <w:rsid w:val="004A2861"/>
    <w:rsid w:val="004A2D74"/>
    <w:rsid w:val="004A4389"/>
    <w:rsid w:val="004A4BFB"/>
    <w:rsid w:val="004A4C0A"/>
    <w:rsid w:val="004A5097"/>
    <w:rsid w:val="004A54D3"/>
    <w:rsid w:val="004A5DC4"/>
    <w:rsid w:val="004A70BB"/>
    <w:rsid w:val="004B0126"/>
    <w:rsid w:val="004B0607"/>
    <w:rsid w:val="004B0FCD"/>
    <w:rsid w:val="004B13E1"/>
    <w:rsid w:val="004B235E"/>
    <w:rsid w:val="004B2525"/>
    <w:rsid w:val="004B2605"/>
    <w:rsid w:val="004B3A66"/>
    <w:rsid w:val="004B416E"/>
    <w:rsid w:val="004B43D1"/>
    <w:rsid w:val="004B446A"/>
    <w:rsid w:val="004B653B"/>
    <w:rsid w:val="004C049C"/>
    <w:rsid w:val="004C06CA"/>
    <w:rsid w:val="004C0854"/>
    <w:rsid w:val="004C08F1"/>
    <w:rsid w:val="004C09C5"/>
    <w:rsid w:val="004C286D"/>
    <w:rsid w:val="004C30B4"/>
    <w:rsid w:val="004C384D"/>
    <w:rsid w:val="004C3853"/>
    <w:rsid w:val="004C3AE5"/>
    <w:rsid w:val="004C404B"/>
    <w:rsid w:val="004C4207"/>
    <w:rsid w:val="004C4EFC"/>
    <w:rsid w:val="004C5406"/>
    <w:rsid w:val="004C6AD8"/>
    <w:rsid w:val="004C783B"/>
    <w:rsid w:val="004C7AB1"/>
    <w:rsid w:val="004C7B23"/>
    <w:rsid w:val="004D08E1"/>
    <w:rsid w:val="004D145E"/>
    <w:rsid w:val="004D1A7F"/>
    <w:rsid w:val="004D57C6"/>
    <w:rsid w:val="004D59F0"/>
    <w:rsid w:val="004D5C6F"/>
    <w:rsid w:val="004D5E5E"/>
    <w:rsid w:val="004D6F61"/>
    <w:rsid w:val="004D704C"/>
    <w:rsid w:val="004D793E"/>
    <w:rsid w:val="004D7DEC"/>
    <w:rsid w:val="004E002E"/>
    <w:rsid w:val="004E02E6"/>
    <w:rsid w:val="004E093D"/>
    <w:rsid w:val="004E0AEE"/>
    <w:rsid w:val="004E0B12"/>
    <w:rsid w:val="004E16E8"/>
    <w:rsid w:val="004E1AFB"/>
    <w:rsid w:val="004E1C8D"/>
    <w:rsid w:val="004E1D78"/>
    <w:rsid w:val="004E1DE4"/>
    <w:rsid w:val="004E26DF"/>
    <w:rsid w:val="004E2DCE"/>
    <w:rsid w:val="004E3489"/>
    <w:rsid w:val="004E3503"/>
    <w:rsid w:val="004E39DF"/>
    <w:rsid w:val="004E3A89"/>
    <w:rsid w:val="004E6330"/>
    <w:rsid w:val="004E65A5"/>
    <w:rsid w:val="004E6E38"/>
    <w:rsid w:val="004E735C"/>
    <w:rsid w:val="004E7693"/>
    <w:rsid w:val="004F0754"/>
    <w:rsid w:val="004F2946"/>
    <w:rsid w:val="004F2BFC"/>
    <w:rsid w:val="004F4029"/>
    <w:rsid w:val="004F4424"/>
    <w:rsid w:val="004F44DF"/>
    <w:rsid w:val="004F4AAD"/>
    <w:rsid w:val="004F4FFF"/>
    <w:rsid w:val="004F5725"/>
    <w:rsid w:val="004F586C"/>
    <w:rsid w:val="004F5E29"/>
    <w:rsid w:val="004F6892"/>
    <w:rsid w:val="004F6AAE"/>
    <w:rsid w:val="0050151D"/>
    <w:rsid w:val="0050186D"/>
    <w:rsid w:val="005020DE"/>
    <w:rsid w:val="00503F4A"/>
    <w:rsid w:val="00505B7B"/>
    <w:rsid w:val="00505F72"/>
    <w:rsid w:val="005060F4"/>
    <w:rsid w:val="0050680C"/>
    <w:rsid w:val="00506A97"/>
    <w:rsid w:val="00506C54"/>
    <w:rsid w:val="00507C13"/>
    <w:rsid w:val="00510B51"/>
    <w:rsid w:val="00512337"/>
    <w:rsid w:val="00512375"/>
    <w:rsid w:val="00512432"/>
    <w:rsid w:val="00512890"/>
    <w:rsid w:val="00513047"/>
    <w:rsid w:val="005131EC"/>
    <w:rsid w:val="00513A5F"/>
    <w:rsid w:val="00513E31"/>
    <w:rsid w:val="005141AD"/>
    <w:rsid w:val="005155C8"/>
    <w:rsid w:val="00515CE8"/>
    <w:rsid w:val="00516583"/>
    <w:rsid w:val="0051696F"/>
    <w:rsid w:val="00520EFF"/>
    <w:rsid w:val="00521424"/>
    <w:rsid w:val="00522744"/>
    <w:rsid w:val="00522EBB"/>
    <w:rsid w:val="00523335"/>
    <w:rsid w:val="005233A5"/>
    <w:rsid w:val="005234C5"/>
    <w:rsid w:val="00523C19"/>
    <w:rsid w:val="00523CDA"/>
    <w:rsid w:val="00523D28"/>
    <w:rsid w:val="005243EF"/>
    <w:rsid w:val="00524D39"/>
    <w:rsid w:val="00526748"/>
    <w:rsid w:val="005269B2"/>
    <w:rsid w:val="00526F00"/>
    <w:rsid w:val="0052707C"/>
    <w:rsid w:val="005273B2"/>
    <w:rsid w:val="00527C51"/>
    <w:rsid w:val="0053037F"/>
    <w:rsid w:val="00530DF6"/>
    <w:rsid w:val="005312E0"/>
    <w:rsid w:val="00531305"/>
    <w:rsid w:val="00531B82"/>
    <w:rsid w:val="005321D9"/>
    <w:rsid w:val="005330C5"/>
    <w:rsid w:val="00533529"/>
    <w:rsid w:val="0053365D"/>
    <w:rsid w:val="005341A1"/>
    <w:rsid w:val="00534973"/>
    <w:rsid w:val="00534A83"/>
    <w:rsid w:val="00535132"/>
    <w:rsid w:val="00535D6C"/>
    <w:rsid w:val="00536706"/>
    <w:rsid w:val="00536B15"/>
    <w:rsid w:val="00536CE2"/>
    <w:rsid w:val="00536E9E"/>
    <w:rsid w:val="0053747D"/>
    <w:rsid w:val="00540722"/>
    <w:rsid w:val="00541013"/>
    <w:rsid w:val="005410D6"/>
    <w:rsid w:val="005411BE"/>
    <w:rsid w:val="0054167E"/>
    <w:rsid w:val="0054185A"/>
    <w:rsid w:val="00542309"/>
    <w:rsid w:val="00542843"/>
    <w:rsid w:val="00542868"/>
    <w:rsid w:val="00542998"/>
    <w:rsid w:val="0054445C"/>
    <w:rsid w:val="0054465C"/>
    <w:rsid w:val="00544909"/>
    <w:rsid w:val="0054582F"/>
    <w:rsid w:val="005464AE"/>
    <w:rsid w:val="005469DF"/>
    <w:rsid w:val="00546FDA"/>
    <w:rsid w:val="00547185"/>
    <w:rsid w:val="005473FC"/>
    <w:rsid w:val="0054790F"/>
    <w:rsid w:val="00547D05"/>
    <w:rsid w:val="00547DAF"/>
    <w:rsid w:val="00550350"/>
    <w:rsid w:val="00550654"/>
    <w:rsid w:val="005515EE"/>
    <w:rsid w:val="005519C6"/>
    <w:rsid w:val="00552AB4"/>
    <w:rsid w:val="00552E1F"/>
    <w:rsid w:val="00552EDB"/>
    <w:rsid w:val="00553712"/>
    <w:rsid w:val="00553A90"/>
    <w:rsid w:val="00553B0E"/>
    <w:rsid w:val="005541A8"/>
    <w:rsid w:val="00554A08"/>
    <w:rsid w:val="00554CB5"/>
    <w:rsid w:val="00554F3B"/>
    <w:rsid w:val="00554FC9"/>
    <w:rsid w:val="00557390"/>
    <w:rsid w:val="00557CF9"/>
    <w:rsid w:val="00557D67"/>
    <w:rsid w:val="00557F46"/>
    <w:rsid w:val="00560B5F"/>
    <w:rsid w:val="005616EE"/>
    <w:rsid w:val="005618FC"/>
    <w:rsid w:val="00562984"/>
    <w:rsid w:val="00564C0F"/>
    <w:rsid w:val="005650BC"/>
    <w:rsid w:val="00565922"/>
    <w:rsid w:val="00566F3C"/>
    <w:rsid w:val="00567AAE"/>
    <w:rsid w:val="00567FFD"/>
    <w:rsid w:val="005718E9"/>
    <w:rsid w:val="00571EB8"/>
    <w:rsid w:val="0057298E"/>
    <w:rsid w:val="00572EB6"/>
    <w:rsid w:val="005738A0"/>
    <w:rsid w:val="00573EB9"/>
    <w:rsid w:val="00574253"/>
    <w:rsid w:val="0057463E"/>
    <w:rsid w:val="005752E0"/>
    <w:rsid w:val="00575423"/>
    <w:rsid w:val="00575692"/>
    <w:rsid w:val="00575C2B"/>
    <w:rsid w:val="00577270"/>
    <w:rsid w:val="00577C72"/>
    <w:rsid w:val="00580F1F"/>
    <w:rsid w:val="005822A1"/>
    <w:rsid w:val="005824E7"/>
    <w:rsid w:val="005824F0"/>
    <w:rsid w:val="00582961"/>
    <w:rsid w:val="00582E5F"/>
    <w:rsid w:val="00582FA5"/>
    <w:rsid w:val="005840F4"/>
    <w:rsid w:val="0058428F"/>
    <w:rsid w:val="0058436F"/>
    <w:rsid w:val="005843D7"/>
    <w:rsid w:val="00584D78"/>
    <w:rsid w:val="00590BCE"/>
    <w:rsid w:val="00591739"/>
    <w:rsid w:val="005921CA"/>
    <w:rsid w:val="00592789"/>
    <w:rsid w:val="00592922"/>
    <w:rsid w:val="00592961"/>
    <w:rsid w:val="00593B90"/>
    <w:rsid w:val="00593FD1"/>
    <w:rsid w:val="005940BF"/>
    <w:rsid w:val="00594B00"/>
    <w:rsid w:val="00595D62"/>
    <w:rsid w:val="00596A7E"/>
    <w:rsid w:val="00596F62"/>
    <w:rsid w:val="00596F75"/>
    <w:rsid w:val="00597518"/>
    <w:rsid w:val="00597DB8"/>
    <w:rsid w:val="005A0839"/>
    <w:rsid w:val="005A0D4B"/>
    <w:rsid w:val="005A1253"/>
    <w:rsid w:val="005A1753"/>
    <w:rsid w:val="005A25D4"/>
    <w:rsid w:val="005A2F8B"/>
    <w:rsid w:val="005A337F"/>
    <w:rsid w:val="005A46EF"/>
    <w:rsid w:val="005A5529"/>
    <w:rsid w:val="005A58B6"/>
    <w:rsid w:val="005A5E89"/>
    <w:rsid w:val="005A695D"/>
    <w:rsid w:val="005A6F91"/>
    <w:rsid w:val="005A7440"/>
    <w:rsid w:val="005A7B72"/>
    <w:rsid w:val="005B00F1"/>
    <w:rsid w:val="005B0183"/>
    <w:rsid w:val="005B1B8C"/>
    <w:rsid w:val="005B1D32"/>
    <w:rsid w:val="005B22C5"/>
    <w:rsid w:val="005B2E6A"/>
    <w:rsid w:val="005B5B77"/>
    <w:rsid w:val="005B6E79"/>
    <w:rsid w:val="005B73DA"/>
    <w:rsid w:val="005C071D"/>
    <w:rsid w:val="005C1444"/>
    <w:rsid w:val="005C254F"/>
    <w:rsid w:val="005C3703"/>
    <w:rsid w:val="005C3ACA"/>
    <w:rsid w:val="005C3B5B"/>
    <w:rsid w:val="005C43EE"/>
    <w:rsid w:val="005C4651"/>
    <w:rsid w:val="005C4A9E"/>
    <w:rsid w:val="005C4FDA"/>
    <w:rsid w:val="005C50E7"/>
    <w:rsid w:val="005C58D3"/>
    <w:rsid w:val="005C5D6E"/>
    <w:rsid w:val="005C613E"/>
    <w:rsid w:val="005C65A9"/>
    <w:rsid w:val="005C6B94"/>
    <w:rsid w:val="005C6F53"/>
    <w:rsid w:val="005C70A8"/>
    <w:rsid w:val="005C7A2F"/>
    <w:rsid w:val="005C7B43"/>
    <w:rsid w:val="005D0E2D"/>
    <w:rsid w:val="005D0F00"/>
    <w:rsid w:val="005D135E"/>
    <w:rsid w:val="005D3249"/>
    <w:rsid w:val="005D3A66"/>
    <w:rsid w:val="005D3CBB"/>
    <w:rsid w:val="005D3FF5"/>
    <w:rsid w:val="005D4324"/>
    <w:rsid w:val="005D50BD"/>
    <w:rsid w:val="005D561D"/>
    <w:rsid w:val="005D5EFD"/>
    <w:rsid w:val="005D6881"/>
    <w:rsid w:val="005D68AC"/>
    <w:rsid w:val="005D6A5D"/>
    <w:rsid w:val="005D6B7A"/>
    <w:rsid w:val="005D6F48"/>
    <w:rsid w:val="005D7673"/>
    <w:rsid w:val="005D774C"/>
    <w:rsid w:val="005D79C3"/>
    <w:rsid w:val="005E021B"/>
    <w:rsid w:val="005E046A"/>
    <w:rsid w:val="005E2B16"/>
    <w:rsid w:val="005E3AAD"/>
    <w:rsid w:val="005E3AF7"/>
    <w:rsid w:val="005E3C7E"/>
    <w:rsid w:val="005E5710"/>
    <w:rsid w:val="005E5A58"/>
    <w:rsid w:val="005E5F3E"/>
    <w:rsid w:val="005F00DD"/>
    <w:rsid w:val="005F06FA"/>
    <w:rsid w:val="005F0BBD"/>
    <w:rsid w:val="005F28E3"/>
    <w:rsid w:val="005F3271"/>
    <w:rsid w:val="005F35FD"/>
    <w:rsid w:val="005F377F"/>
    <w:rsid w:val="005F3C07"/>
    <w:rsid w:val="005F3F3D"/>
    <w:rsid w:val="005F5A60"/>
    <w:rsid w:val="005F6254"/>
    <w:rsid w:val="005F660C"/>
    <w:rsid w:val="005F6676"/>
    <w:rsid w:val="005F676A"/>
    <w:rsid w:val="005F67D3"/>
    <w:rsid w:val="005F6DDA"/>
    <w:rsid w:val="006003A4"/>
    <w:rsid w:val="006010AE"/>
    <w:rsid w:val="0060296D"/>
    <w:rsid w:val="00603FB0"/>
    <w:rsid w:val="006043EB"/>
    <w:rsid w:val="00604471"/>
    <w:rsid w:val="00605380"/>
    <w:rsid w:val="00606AFA"/>
    <w:rsid w:val="00606E86"/>
    <w:rsid w:val="00607E2C"/>
    <w:rsid w:val="00610238"/>
    <w:rsid w:val="00610B9C"/>
    <w:rsid w:val="00610C54"/>
    <w:rsid w:val="006110DB"/>
    <w:rsid w:val="0061179A"/>
    <w:rsid w:val="00611979"/>
    <w:rsid w:val="00612AFF"/>
    <w:rsid w:val="006132C4"/>
    <w:rsid w:val="006134D7"/>
    <w:rsid w:val="00613E69"/>
    <w:rsid w:val="00613F6E"/>
    <w:rsid w:val="006141F1"/>
    <w:rsid w:val="006165DF"/>
    <w:rsid w:val="00616ADE"/>
    <w:rsid w:val="006213D7"/>
    <w:rsid w:val="006217AA"/>
    <w:rsid w:val="006217AD"/>
    <w:rsid w:val="006217ED"/>
    <w:rsid w:val="00621C4B"/>
    <w:rsid w:val="006228F6"/>
    <w:rsid w:val="006232EA"/>
    <w:rsid w:val="006234CE"/>
    <w:rsid w:val="006237F0"/>
    <w:rsid w:val="00623CF6"/>
    <w:rsid w:val="00623EB0"/>
    <w:rsid w:val="0062468F"/>
    <w:rsid w:val="00624BCD"/>
    <w:rsid w:val="00624D8A"/>
    <w:rsid w:val="0062503A"/>
    <w:rsid w:val="006256ED"/>
    <w:rsid w:val="006259B9"/>
    <w:rsid w:val="00625CC7"/>
    <w:rsid w:val="00626297"/>
    <w:rsid w:val="006275FB"/>
    <w:rsid w:val="00627763"/>
    <w:rsid w:val="00627AE6"/>
    <w:rsid w:val="0063122D"/>
    <w:rsid w:val="00631238"/>
    <w:rsid w:val="006314FE"/>
    <w:rsid w:val="00631544"/>
    <w:rsid w:val="00632F36"/>
    <w:rsid w:val="00633A04"/>
    <w:rsid w:val="0063403D"/>
    <w:rsid w:val="0063475C"/>
    <w:rsid w:val="00635CBD"/>
    <w:rsid w:val="00636CB4"/>
    <w:rsid w:val="0063799C"/>
    <w:rsid w:val="00637E40"/>
    <w:rsid w:val="0064001A"/>
    <w:rsid w:val="006400BF"/>
    <w:rsid w:val="0064035A"/>
    <w:rsid w:val="006406CF"/>
    <w:rsid w:val="00641F3B"/>
    <w:rsid w:val="00642B5E"/>
    <w:rsid w:val="00643C79"/>
    <w:rsid w:val="0064505F"/>
    <w:rsid w:val="00645156"/>
    <w:rsid w:val="006451CD"/>
    <w:rsid w:val="0064544C"/>
    <w:rsid w:val="00645848"/>
    <w:rsid w:val="00645D1F"/>
    <w:rsid w:val="00645FD3"/>
    <w:rsid w:val="006475A4"/>
    <w:rsid w:val="006501B0"/>
    <w:rsid w:val="006501C1"/>
    <w:rsid w:val="00652186"/>
    <w:rsid w:val="00652793"/>
    <w:rsid w:val="006527FB"/>
    <w:rsid w:val="00653273"/>
    <w:rsid w:val="00653D18"/>
    <w:rsid w:val="00653D65"/>
    <w:rsid w:val="00654A67"/>
    <w:rsid w:val="00654F26"/>
    <w:rsid w:val="0065542F"/>
    <w:rsid w:val="00656472"/>
    <w:rsid w:val="00656D8C"/>
    <w:rsid w:val="00657089"/>
    <w:rsid w:val="00657467"/>
    <w:rsid w:val="0065788F"/>
    <w:rsid w:val="00657A2F"/>
    <w:rsid w:val="006606AF"/>
    <w:rsid w:val="0066072E"/>
    <w:rsid w:val="00661059"/>
    <w:rsid w:val="00662690"/>
    <w:rsid w:val="00662756"/>
    <w:rsid w:val="00662783"/>
    <w:rsid w:val="00662D6B"/>
    <w:rsid w:val="00664B6D"/>
    <w:rsid w:val="00664E48"/>
    <w:rsid w:val="00665197"/>
    <w:rsid w:val="00665528"/>
    <w:rsid w:val="00665807"/>
    <w:rsid w:val="00665E2F"/>
    <w:rsid w:val="006660AF"/>
    <w:rsid w:val="006661B6"/>
    <w:rsid w:val="006669EC"/>
    <w:rsid w:val="00670669"/>
    <w:rsid w:val="006709B1"/>
    <w:rsid w:val="0067111B"/>
    <w:rsid w:val="00671604"/>
    <w:rsid w:val="00671E1A"/>
    <w:rsid w:val="006742CE"/>
    <w:rsid w:val="00676991"/>
    <w:rsid w:val="00676B1F"/>
    <w:rsid w:val="00676B8F"/>
    <w:rsid w:val="00676FC1"/>
    <w:rsid w:val="006813F7"/>
    <w:rsid w:val="00682227"/>
    <w:rsid w:val="00683807"/>
    <w:rsid w:val="006849CF"/>
    <w:rsid w:val="00684CD7"/>
    <w:rsid w:val="00684DF2"/>
    <w:rsid w:val="00684EBC"/>
    <w:rsid w:val="006850F8"/>
    <w:rsid w:val="00686092"/>
    <w:rsid w:val="0068662C"/>
    <w:rsid w:val="00687462"/>
    <w:rsid w:val="00687D9D"/>
    <w:rsid w:val="006904C0"/>
    <w:rsid w:val="00691282"/>
    <w:rsid w:val="00692499"/>
    <w:rsid w:val="006927BF"/>
    <w:rsid w:val="006928FA"/>
    <w:rsid w:val="00693792"/>
    <w:rsid w:val="00693FE6"/>
    <w:rsid w:val="006952E1"/>
    <w:rsid w:val="006959A9"/>
    <w:rsid w:val="00696372"/>
    <w:rsid w:val="00696EB5"/>
    <w:rsid w:val="006A00B5"/>
    <w:rsid w:val="006A0AB8"/>
    <w:rsid w:val="006A14CD"/>
    <w:rsid w:val="006A1DD1"/>
    <w:rsid w:val="006A25B4"/>
    <w:rsid w:val="006A2DFF"/>
    <w:rsid w:val="006A34A9"/>
    <w:rsid w:val="006A3CF3"/>
    <w:rsid w:val="006A3DD5"/>
    <w:rsid w:val="006A3EF5"/>
    <w:rsid w:val="006A3FC0"/>
    <w:rsid w:val="006A473E"/>
    <w:rsid w:val="006A5153"/>
    <w:rsid w:val="006A698B"/>
    <w:rsid w:val="006A7B4E"/>
    <w:rsid w:val="006B0485"/>
    <w:rsid w:val="006B1171"/>
    <w:rsid w:val="006B1986"/>
    <w:rsid w:val="006B1A5F"/>
    <w:rsid w:val="006B2534"/>
    <w:rsid w:val="006B2EE6"/>
    <w:rsid w:val="006B3C21"/>
    <w:rsid w:val="006B4FCF"/>
    <w:rsid w:val="006B5385"/>
    <w:rsid w:val="006B55C1"/>
    <w:rsid w:val="006B609B"/>
    <w:rsid w:val="006B61F0"/>
    <w:rsid w:val="006B6269"/>
    <w:rsid w:val="006B6B38"/>
    <w:rsid w:val="006B6C37"/>
    <w:rsid w:val="006B74B7"/>
    <w:rsid w:val="006B773F"/>
    <w:rsid w:val="006B7C76"/>
    <w:rsid w:val="006C0B80"/>
    <w:rsid w:val="006C1DD8"/>
    <w:rsid w:val="006C22FE"/>
    <w:rsid w:val="006C2345"/>
    <w:rsid w:val="006C2488"/>
    <w:rsid w:val="006C28F9"/>
    <w:rsid w:val="006C3234"/>
    <w:rsid w:val="006C4798"/>
    <w:rsid w:val="006C4D92"/>
    <w:rsid w:val="006C4FB5"/>
    <w:rsid w:val="006C5C35"/>
    <w:rsid w:val="006C5C63"/>
    <w:rsid w:val="006C5D9D"/>
    <w:rsid w:val="006C5DDC"/>
    <w:rsid w:val="006C6535"/>
    <w:rsid w:val="006C6659"/>
    <w:rsid w:val="006C6ACD"/>
    <w:rsid w:val="006C76B3"/>
    <w:rsid w:val="006C791E"/>
    <w:rsid w:val="006D002F"/>
    <w:rsid w:val="006D01F5"/>
    <w:rsid w:val="006D041B"/>
    <w:rsid w:val="006D0656"/>
    <w:rsid w:val="006D06E4"/>
    <w:rsid w:val="006D0A8E"/>
    <w:rsid w:val="006D0CD9"/>
    <w:rsid w:val="006D1227"/>
    <w:rsid w:val="006D1384"/>
    <w:rsid w:val="006D1444"/>
    <w:rsid w:val="006D34ED"/>
    <w:rsid w:val="006D3746"/>
    <w:rsid w:val="006D4717"/>
    <w:rsid w:val="006D4870"/>
    <w:rsid w:val="006D4D14"/>
    <w:rsid w:val="006D5336"/>
    <w:rsid w:val="006D53F9"/>
    <w:rsid w:val="006D54FB"/>
    <w:rsid w:val="006D55A6"/>
    <w:rsid w:val="006D604C"/>
    <w:rsid w:val="006D6798"/>
    <w:rsid w:val="006D68C7"/>
    <w:rsid w:val="006D6BA8"/>
    <w:rsid w:val="006D6E1D"/>
    <w:rsid w:val="006D7E28"/>
    <w:rsid w:val="006E07F8"/>
    <w:rsid w:val="006E0878"/>
    <w:rsid w:val="006E12C2"/>
    <w:rsid w:val="006E43A3"/>
    <w:rsid w:val="006E4938"/>
    <w:rsid w:val="006E4FA0"/>
    <w:rsid w:val="006E5547"/>
    <w:rsid w:val="006E61B8"/>
    <w:rsid w:val="006E693E"/>
    <w:rsid w:val="006F09CC"/>
    <w:rsid w:val="006F0BCE"/>
    <w:rsid w:val="006F11A9"/>
    <w:rsid w:val="006F2129"/>
    <w:rsid w:val="006F262B"/>
    <w:rsid w:val="006F2DA6"/>
    <w:rsid w:val="006F2DA8"/>
    <w:rsid w:val="006F2E69"/>
    <w:rsid w:val="006F37EF"/>
    <w:rsid w:val="006F3D16"/>
    <w:rsid w:val="006F3E5E"/>
    <w:rsid w:val="006F6282"/>
    <w:rsid w:val="006F6713"/>
    <w:rsid w:val="006F760B"/>
    <w:rsid w:val="006F774C"/>
    <w:rsid w:val="006F7B65"/>
    <w:rsid w:val="006F7BCE"/>
    <w:rsid w:val="00700496"/>
    <w:rsid w:val="00700514"/>
    <w:rsid w:val="00700F34"/>
    <w:rsid w:val="007012AB"/>
    <w:rsid w:val="00701696"/>
    <w:rsid w:val="007026D0"/>
    <w:rsid w:val="00702B7B"/>
    <w:rsid w:val="007031F2"/>
    <w:rsid w:val="00704518"/>
    <w:rsid w:val="00704908"/>
    <w:rsid w:val="00704F30"/>
    <w:rsid w:val="00705438"/>
    <w:rsid w:val="00705F97"/>
    <w:rsid w:val="00706506"/>
    <w:rsid w:val="00706CEE"/>
    <w:rsid w:val="00706CF2"/>
    <w:rsid w:val="007076FE"/>
    <w:rsid w:val="00707942"/>
    <w:rsid w:val="00707966"/>
    <w:rsid w:val="00707D1B"/>
    <w:rsid w:val="00707DA7"/>
    <w:rsid w:val="007101C1"/>
    <w:rsid w:val="00710603"/>
    <w:rsid w:val="007113CB"/>
    <w:rsid w:val="007120A9"/>
    <w:rsid w:val="007124B1"/>
    <w:rsid w:val="00712A2D"/>
    <w:rsid w:val="007149AD"/>
    <w:rsid w:val="00714A89"/>
    <w:rsid w:val="00714F11"/>
    <w:rsid w:val="00714F1C"/>
    <w:rsid w:val="00715270"/>
    <w:rsid w:val="007156F3"/>
    <w:rsid w:val="00716011"/>
    <w:rsid w:val="0071641F"/>
    <w:rsid w:val="007164D4"/>
    <w:rsid w:val="007171FA"/>
    <w:rsid w:val="00721085"/>
    <w:rsid w:val="00721FEC"/>
    <w:rsid w:val="007220B7"/>
    <w:rsid w:val="0072374E"/>
    <w:rsid w:val="007247E1"/>
    <w:rsid w:val="00724CE2"/>
    <w:rsid w:val="00725158"/>
    <w:rsid w:val="00726509"/>
    <w:rsid w:val="007269CF"/>
    <w:rsid w:val="00726CB2"/>
    <w:rsid w:val="0072790D"/>
    <w:rsid w:val="00727FA5"/>
    <w:rsid w:val="00730545"/>
    <w:rsid w:val="0073099D"/>
    <w:rsid w:val="00732198"/>
    <w:rsid w:val="00732556"/>
    <w:rsid w:val="00732EE3"/>
    <w:rsid w:val="007342CD"/>
    <w:rsid w:val="007347B9"/>
    <w:rsid w:val="00734BD2"/>
    <w:rsid w:val="00735346"/>
    <w:rsid w:val="00735DF8"/>
    <w:rsid w:val="007365BD"/>
    <w:rsid w:val="0073695A"/>
    <w:rsid w:val="00740E27"/>
    <w:rsid w:val="00740F06"/>
    <w:rsid w:val="00741222"/>
    <w:rsid w:val="0074156B"/>
    <w:rsid w:val="00741A30"/>
    <w:rsid w:val="00741A9E"/>
    <w:rsid w:val="00742188"/>
    <w:rsid w:val="00742DD8"/>
    <w:rsid w:val="00743081"/>
    <w:rsid w:val="00743D61"/>
    <w:rsid w:val="00745917"/>
    <w:rsid w:val="00746344"/>
    <w:rsid w:val="00746E88"/>
    <w:rsid w:val="007474E0"/>
    <w:rsid w:val="0075010E"/>
    <w:rsid w:val="0075027C"/>
    <w:rsid w:val="007517C1"/>
    <w:rsid w:val="00751EE1"/>
    <w:rsid w:val="00752973"/>
    <w:rsid w:val="00753ABA"/>
    <w:rsid w:val="0075488E"/>
    <w:rsid w:val="00754B54"/>
    <w:rsid w:val="00754E1D"/>
    <w:rsid w:val="00754F80"/>
    <w:rsid w:val="00755CDC"/>
    <w:rsid w:val="00756950"/>
    <w:rsid w:val="00756FEC"/>
    <w:rsid w:val="0076003C"/>
    <w:rsid w:val="00761144"/>
    <w:rsid w:val="007614A6"/>
    <w:rsid w:val="00761746"/>
    <w:rsid w:val="00761B6C"/>
    <w:rsid w:val="00761FE0"/>
    <w:rsid w:val="0076211B"/>
    <w:rsid w:val="007622A2"/>
    <w:rsid w:val="00762ADC"/>
    <w:rsid w:val="00762B82"/>
    <w:rsid w:val="00762E8B"/>
    <w:rsid w:val="00762F03"/>
    <w:rsid w:val="00763688"/>
    <w:rsid w:val="00763F4F"/>
    <w:rsid w:val="007641CC"/>
    <w:rsid w:val="0076481B"/>
    <w:rsid w:val="00764912"/>
    <w:rsid w:val="00765864"/>
    <w:rsid w:val="00765DF8"/>
    <w:rsid w:val="0076610A"/>
    <w:rsid w:val="007662CB"/>
    <w:rsid w:val="00766F17"/>
    <w:rsid w:val="00770468"/>
    <w:rsid w:val="0077108C"/>
    <w:rsid w:val="0077127E"/>
    <w:rsid w:val="00771661"/>
    <w:rsid w:val="0077231E"/>
    <w:rsid w:val="00773205"/>
    <w:rsid w:val="00775688"/>
    <w:rsid w:val="00776FBA"/>
    <w:rsid w:val="0077722B"/>
    <w:rsid w:val="00780157"/>
    <w:rsid w:val="0078038A"/>
    <w:rsid w:val="007804DE"/>
    <w:rsid w:val="007814B0"/>
    <w:rsid w:val="00781E00"/>
    <w:rsid w:val="0078211E"/>
    <w:rsid w:val="007824A5"/>
    <w:rsid w:val="00782964"/>
    <w:rsid w:val="00783833"/>
    <w:rsid w:val="00783879"/>
    <w:rsid w:val="00783A03"/>
    <w:rsid w:val="00783B44"/>
    <w:rsid w:val="00783B8A"/>
    <w:rsid w:val="00783D8A"/>
    <w:rsid w:val="0078412C"/>
    <w:rsid w:val="007842D8"/>
    <w:rsid w:val="00784400"/>
    <w:rsid w:val="0078481D"/>
    <w:rsid w:val="00784BAC"/>
    <w:rsid w:val="007851DE"/>
    <w:rsid w:val="007854E9"/>
    <w:rsid w:val="007863FB"/>
    <w:rsid w:val="007870F6"/>
    <w:rsid w:val="00787C96"/>
    <w:rsid w:val="007900F3"/>
    <w:rsid w:val="00790EAD"/>
    <w:rsid w:val="007937CC"/>
    <w:rsid w:val="00793F02"/>
    <w:rsid w:val="00794188"/>
    <w:rsid w:val="007948E2"/>
    <w:rsid w:val="00797CEB"/>
    <w:rsid w:val="007A08D3"/>
    <w:rsid w:val="007A0C19"/>
    <w:rsid w:val="007A136D"/>
    <w:rsid w:val="007A1CFD"/>
    <w:rsid w:val="007A284F"/>
    <w:rsid w:val="007A3C15"/>
    <w:rsid w:val="007A4059"/>
    <w:rsid w:val="007A4C79"/>
    <w:rsid w:val="007A56A0"/>
    <w:rsid w:val="007A57FE"/>
    <w:rsid w:val="007A6433"/>
    <w:rsid w:val="007A68C6"/>
    <w:rsid w:val="007A6DFE"/>
    <w:rsid w:val="007A72FB"/>
    <w:rsid w:val="007A7BE4"/>
    <w:rsid w:val="007B0687"/>
    <w:rsid w:val="007B0E91"/>
    <w:rsid w:val="007B0F9A"/>
    <w:rsid w:val="007B1615"/>
    <w:rsid w:val="007B1DF1"/>
    <w:rsid w:val="007B2B91"/>
    <w:rsid w:val="007B3BD9"/>
    <w:rsid w:val="007B4563"/>
    <w:rsid w:val="007B46DE"/>
    <w:rsid w:val="007B4F40"/>
    <w:rsid w:val="007B66C7"/>
    <w:rsid w:val="007B6CD0"/>
    <w:rsid w:val="007B6E73"/>
    <w:rsid w:val="007C0089"/>
    <w:rsid w:val="007C044F"/>
    <w:rsid w:val="007C04D4"/>
    <w:rsid w:val="007C07EB"/>
    <w:rsid w:val="007C3227"/>
    <w:rsid w:val="007C3D11"/>
    <w:rsid w:val="007C3FC0"/>
    <w:rsid w:val="007C547D"/>
    <w:rsid w:val="007C5736"/>
    <w:rsid w:val="007C591D"/>
    <w:rsid w:val="007C5D13"/>
    <w:rsid w:val="007C6445"/>
    <w:rsid w:val="007C68E8"/>
    <w:rsid w:val="007C7024"/>
    <w:rsid w:val="007C75AB"/>
    <w:rsid w:val="007C79F6"/>
    <w:rsid w:val="007D0052"/>
    <w:rsid w:val="007D0AFD"/>
    <w:rsid w:val="007D1503"/>
    <w:rsid w:val="007D1F44"/>
    <w:rsid w:val="007D2B59"/>
    <w:rsid w:val="007D3645"/>
    <w:rsid w:val="007D3A44"/>
    <w:rsid w:val="007D3FD5"/>
    <w:rsid w:val="007D43B9"/>
    <w:rsid w:val="007D4ECD"/>
    <w:rsid w:val="007D5206"/>
    <w:rsid w:val="007D5A88"/>
    <w:rsid w:val="007D5B26"/>
    <w:rsid w:val="007D74A5"/>
    <w:rsid w:val="007E02AB"/>
    <w:rsid w:val="007E0529"/>
    <w:rsid w:val="007E07D8"/>
    <w:rsid w:val="007E09B5"/>
    <w:rsid w:val="007E17C5"/>
    <w:rsid w:val="007E184E"/>
    <w:rsid w:val="007E2F58"/>
    <w:rsid w:val="007E3231"/>
    <w:rsid w:val="007E3985"/>
    <w:rsid w:val="007E3BD4"/>
    <w:rsid w:val="007E446D"/>
    <w:rsid w:val="007E5A22"/>
    <w:rsid w:val="007E6414"/>
    <w:rsid w:val="007E6833"/>
    <w:rsid w:val="007E6DFC"/>
    <w:rsid w:val="007E7B21"/>
    <w:rsid w:val="007F01D7"/>
    <w:rsid w:val="007F1C65"/>
    <w:rsid w:val="007F2380"/>
    <w:rsid w:val="007F2FE8"/>
    <w:rsid w:val="007F329E"/>
    <w:rsid w:val="007F32AA"/>
    <w:rsid w:val="007F38C9"/>
    <w:rsid w:val="007F394A"/>
    <w:rsid w:val="007F3DB9"/>
    <w:rsid w:val="007F4A55"/>
    <w:rsid w:val="007F4F47"/>
    <w:rsid w:val="007F6192"/>
    <w:rsid w:val="007F68BD"/>
    <w:rsid w:val="007F70E8"/>
    <w:rsid w:val="007F7672"/>
    <w:rsid w:val="007F76DF"/>
    <w:rsid w:val="00800145"/>
    <w:rsid w:val="008001AB"/>
    <w:rsid w:val="00800285"/>
    <w:rsid w:val="00801390"/>
    <w:rsid w:val="008013B1"/>
    <w:rsid w:val="00801413"/>
    <w:rsid w:val="00801AC9"/>
    <w:rsid w:val="00802055"/>
    <w:rsid w:val="0080260A"/>
    <w:rsid w:val="00804116"/>
    <w:rsid w:val="008055FC"/>
    <w:rsid w:val="00805F84"/>
    <w:rsid w:val="00806A40"/>
    <w:rsid w:val="00806B60"/>
    <w:rsid w:val="00806FA5"/>
    <w:rsid w:val="008072EC"/>
    <w:rsid w:val="00807ABD"/>
    <w:rsid w:val="00807D25"/>
    <w:rsid w:val="00811463"/>
    <w:rsid w:val="00812C0C"/>
    <w:rsid w:val="00812C33"/>
    <w:rsid w:val="008134AB"/>
    <w:rsid w:val="00813651"/>
    <w:rsid w:val="00813E16"/>
    <w:rsid w:val="008144CB"/>
    <w:rsid w:val="00814CC0"/>
    <w:rsid w:val="00815708"/>
    <w:rsid w:val="0081598C"/>
    <w:rsid w:val="00815AFC"/>
    <w:rsid w:val="00815EC7"/>
    <w:rsid w:val="00816175"/>
    <w:rsid w:val="0081651F"/>
    <w:rsid w:val="008203F0"/>
    <w:rsid w:val="00820C20"/>
    <w:rsid w:val="00820E97"/>
    <w:rsid w:val="00821931"/>
    <w:rsid w:val="00821EDC"/>
    <w:rsid w:val="008223EC"/>
    <w:rsid w:val="00822B1B"/>
    <w:rsid w:val="00822C66"/>
    <w:rsid w:val="00823238"/>
    <w:rsid w:val="0082412A"/>
    <w:rsid w:val="00824658"/>
    <w:rsid w:val="00825BBF"/>
    <w:rsid w:val="00826C31"/>
    <w:rsid w:val="008277B4"/>
    <w:rsid w:val="00827B0C"/>
    <w:rsid w:val="00827DA5"/>
    <w:rsid w:val="008301D4"/>
    <w:rsid w:val="00830F68"/>
    <w:rsid w:val="0083146F"/>
    <w:rsid w:val="008317FD"/>
    <w:rsid w:val="00831BB4"/>
    <w:rsid w:val="00831ED2"/>
    <w:rsid w:val="0083233B"/>
    <w:rsid w:val="0083377C"/>
    <w:rsid w:val="00833EC1"/>
    <w:rsid w:val="00833F5F"/>
    <w:rsid w:val="008342C6"/>
    <w:rsid w:val="00834E81"/>
    <w:rsid w:val="008358D0"/>
    <w:rsid w:val="008362DB"/>
    <w:rsid w:val="00836673"/>
    <w:rsid w:val="00836761"/>
    <w:rsid w:val="0083790E"/>
    <w:rsid w:val="00837C75"/>
    <w:rsid w:val="008405F0"/>
    <w:rsid w:val="0084080B"/>
    <w:rsid w:val="0084095A"/>
    <w:rsid w:val="00841246"/>
    <w:rsid w:val="0084291D"/>
    <w:rsid w:val="00842CDD"/>
    <w:rsid w:val="00843696"/>
    <w:rsid w:val="008436EC"/>
    <w:rsid w:val="00843B25"/>
    <w:rsid w:val="00843D8A"/>
    <w:rsid w:val="00843DC4"/>
    <w:rsid w:val="00843E20"/>
    <w:rsid w:val="00844380"/>
    <w:rsid w:val="0084450C"/>
    <w:rsid w:val="0084509B"/>
    <w:rsid w:val="0084535B"/>
    <w:rsid w:val="00845413"/>
    <w:rsid w:val="00846F3D"/>
    <w:rsid w:val="00847B4C"/>
    <w:rsid w:val="0085000C"/>
    <w:rsid w:val="00850043"/>
    <w:rsid w:val="00850425"/>
    <w:rsid w:val="00850600"/>
    <w:rsid w:val="00851989"/>
    <w:rsid w:val="00851AC1"/>
    <w:rsid w:val="00851EED"/>
    <w:rsid w:val="00852E5A"/>
    <w:rsid w:val="00853698"/>
    <w:rsid w:val="00853BC3"/>
    <w:rsid w:val="008542AE"/>
    <w:rsid w:val="00854F35"/>
    <w:rsid w:val="00856751"/>
    <w:rsid w:val="00857DD8"/>
    <w:rsid w:val="00857E42"/>
    <w:rsid w:val="00861346"/>
    <w:rsid w:val="00863C22"/>
    <w:rsid w:val="00864B5A"/>
    <w:rsid w:val="00864C1D"/>
    <w:rsid w:val="00864EEC"/>
    <w:rsid w:val="00865580"/>
    <w:rsid w:val="008656BD"/>
    <w:rsid w:val="00865768"/>
    <w:rsid w:val="0086579C"/>
    <w:rsid w:val="0086601D"/>
    <w:rsid w:val="00866D1F"/>
    <w:rsid w:val="00867FCF"/>
    <w:rsid w:val="00870854"/>
    <w:rsid w:val="00870BEA"/>
    <w:rsid w:val="00871989"/>
    <w:rsid w:val="00872CED"/>
    <w:rsid w:val="00872DF1"/>
    <w:rsid w:val="008736DF"/>
    <w:rsid w:val="00873792"/>
    <w:rsid w:val="008746AC"/>
    <w:rsid w:val="00874B1F"/>
    <w:rsid w:val="00875405"/>
    <w:rsid w:val="00875703"/>
    <w:rsid w:val="00876152"/>
    <w:rsid w:val="00877014"/>
    <w:rsid w:val="00877474"/>
    <w:rsid w:val="00877ADE"/>
    <w:rsid w:val="00877C7F"/>
    <w:rsid w:val="00877DCE"/>
    <w:rsid w:val="008801E6"/>
    <w:rsid w:val="00880479"/>
    <w:rsid w:val="0088059E"/>
    <w:rsid w:val="00880D62"/>
    <w:rsid w:val="00881280"/>
    <w:rsid w:val="00881CEE"/>
    <w:rsid w:val="008822F3"/>
    <w:rsid w:val="008839AA"/>
    <w:rsid w:val="00884096"/>
    <w:rsid w:val="00884E66"/>
    <w:rsid w:val="008853D1"/>
    <w:rsid w:val="00885C44"/>
    <w:rsid w:val="008861C4"/>
    <w:rsid w:val="0088621E"/>
    <w:rsid w:val="008863A1"/>
    <w:rsid w:val="0088683F"/>
    <w:rsid w:val="008869F2"/>
    <w:rsid w:val="00887107"/>
    <w:rsid w:val="008904C8"/>
    <w:rsid w:val="008905DA"/>
    <w:rsid w:val="00890720"/>
    <w:rsid w:val="008907C1"/>
    <w:rsid w:val="00890A29"/>
    <w:rsid w:val="00891190"/>
    <w:rsid w:val="008911CB"/>
    <w:rsid w:val="00891930"/>
    <w:rsid w:val="00891FA4"/>
    <w:rsid w:val="00893279"/>
    <w:rsid w:val="00893305"/>
    <w:rsid w:val="00895B33"/>
    <w:rsid w:val="00895C53"/>
    <w:rsid w:val="00896326"/>
    <w:rsid w:val="008979B3"/>
    <w:rsid w:val="00897DE2"/>
    <w:rsid w:val="008A0D59"/>
    <w:rsid w:val="008A1AD6"/>
    <w:rsid w:val="008A266B"/>
    <w:rsid w:val="008A3551"/>
    <w:rsid w:val="008A41EF"/>
    <w:rsid w:val="008A43C4"/>
    <w:rsid w:val="008A4E47"/>
    <w:rsid w:val="008A5045"/>
    <w:rsid w:val="008A5FE2"/>
    <w:rsid w:val="008A69A7"/>
    <w:rsid w:val="008A74B5"/>
    <w:rsid w:val="008A7648"/>
    <w:rsid w:val="008B00BF"/>
    <w:rsid w:val="008B0341"/>
    <w:rsid w:val="008B049D"/>
    <w:rsid w:val="008B14DA"/>
    <w:rsid w:val="008B23AE"/>
    <w:rsid w:val="008B2482"/>
    <w:rsid w:val="008B29B8"/>
    <w:rsid w:val="008B3005"/>
    <w:rsid w:val="008B370D"/>
    <w:rsid w:val="008B3AC7"/>
    <w:rsid w:val="008B3E61"/>
    <w:rsid w:val="008B4CDC"/>
    <w:rsid w:val="008B5041"/>
    <w:rsid w:val="008B5C16"/>
    <w:rsid w:val="008B64FB"/>
    <w:rsid w:val="008B6C08"/>
    <w:rsid w:val="008B6DCA"/>
    <w:rsid w:val="008B6EFE"/>
    <w:rsid w:val="008B6F5F"/>
    <w:rsid w:val="008B7064"/>
    <w:rsid w:val="008C0335"/>
    <w:rsid w:val="008C0635"/>
    <w:rsid w:val="008C0A0D"/>
    <w:rsid w:val="008C0D30"/>
    <w:rsid w:val="008C0FC7"/>
    <w:rsid w:val="008C1526"/>
    <w:rsid w:val="008C16F5"/>
    <w:rsid w:val="008C1854"/>
    <w:rsid w:val="008C1B0D"/>
    <w:rsid w:val="008C2B07"/>
    <w:rsid w:val="008C32F4"/>
    <w:rsid w:val="008C34C0"/>
    <w:rsid w:val="008C5A2B"/>
    <w:rsid w:val="008C5FB1"/>
    <w:rsid w:val="008C6875"/>
    <w:rsid w:val="008C7803"/>
    <w:rsid w:val="008C7807"/>
    <w:rsid w:val="008C7A5C"/>
    <w:rsid w:val="008D0AFB"/>
    <w:rsid w:val="008D0D33"/>
    <w:rsid w:val="008D1244"/>
    <w:rsid w:val="008D1D06"/>
    <w:rsid w:val="008D1FEC"/>
    <w:rsid w:val="008D2957"/>
    <w:rsid w:val="008D29AE"/>
    <w:rsid w:val="008D3766"/>
    <w:rsid w:val="008D44F0"/>
    <w:rsid w:val="008D5744"/>
    <w:rsid w:val="008D5B43"/>
    <w:rsid w:val="008D5D57"/>
    <w:rsid w:val="008D6936"/>
    <w:rsid w:val="008D7F1E"/>
    <w:rsid w:val="008E0007"/>
    <w:rsid w:val="008E032D"/>
    <w:rsid w:val="008E106C"/>
    <w:rsid w:val="008E19B2"/>
    <w:rsid w:val="008E1DFD"/>
    <w:rsid w:val="008E1EF2"/>
    <w:rsid w:val="008E275F"/>
    <w:rsid w:val="008E3ECA"/>
    <w:rsid w:val="008E4640"/>
    <w:rsid w:val="008E4E83"/>
    <w:rsid w:val="008E50C1"/>
    <w:rsid w:val="008E534E"/>
    <w:rsid w:val="008E56CE"/>
    <w:rsid w:val="008E5DA0"/>
    <w:rsid w:val="008E790A"/>
    <w:rsid w:val="008F1281"/>
    <w:rsid w:val="008F1C3A"/>
    <w:rsid w:val="008F1D94"/>
    <w:rsid w:val="008F23B1"/>
    <w:rsid w:val="008F23D5"/>
    <w:rsid w:val="008F3B79"/>
    <w:rsid w:val="008F538A"/>
    <w:rsid w:val="008F59FD"/>
    <w:rsid w:val="008F699F"/>
    <w:rsid w:val="008F69BC"/>
    <w:rsid w:val="008F70AA"/>
    <w:rsid w:val="008F7673"/>
    <w:rsid w:val="008F7AA5"/>
    <w:rsid w:val="008F7AFD"/>
    <w:rsid w:val="008F7C74"/>
    <w:rsid w:val="00901104"/>
    <w:rsid w:val="00901B4F"/>
    <w:rsid w:val="00901D87"/>
    <w:rsid w:val="0090223F"/>
    <w:rsid w:val="009029F6"/>
    <w:rsid w:val="00902F4D"/>
    <w:rsid w:val="009030FB"/>
    <w:rsid w:val="00904660"/>
    <w:rsid w:val="00904E8A"/>
    <w:rsid w:val="00905237"/>
    <w:rsid w:val="009054C3"/>
    <w:rsid w:val="00906693"/>
    <w:rsid w:val="00906B8E"/>
    <w:rsid w:val="00906E88"/>
    <w:rsid w:val="00907368"/>
    <w:rsid w:val="00907C75"/>
    <w:rsid w:val="00907F98"/>
    <w:rsid w:val="0091007B"/>
    <w:rsid w:val="0091099A"/>
    <w:rsid w:val="00910CFB"/>
    <w:rsid w:val="009121E3"/>
    <w:rsid w:val="00912D41"/>
    <w:rsid w:val="0091301E"/>
    <w:rsid w:val="00913070"/>
    <w:rsid w:val="00913697"/>
    <w:rsid w:val="00913D5D"/>
    <w:rsid w:val="009140F5"/>
    <w:rsid w:val="0091410D"/>
    <w:rsid w:val="009152CB"/>
    <w:rsid w:val="00915328"/>
    <w:rsid w:val="009158F5"/>
    <w:rsid w:val="00915E79"/>
    <w:rsid w:val="00916608"/>
    <w:rsid w:val="009169D2"/>
    <w:rsid w:val="00920152"/>
    <w:rsid w:val="00922248"/>
    <w:rsid w:val="009231B3"/>
    <w:rsid w:val="009235E0"/>
    <w:rsid w:val="00923F64"/>
    <w:rsid w:val="00923FF2"/>
    <w:rsid w:val="009253BA"/>
    <w:rsid w:val="009256C6"/>
    <w:rsid w:val="00925911"/>
    <w:rsid w:val="00925A50"/>
    <w:rsid w:val="00926591"/>
    <w:rsid w:val="009266CE"/>
    <w:rsid w:val="0092674A"/>
    <w:rsid w:val="00926B12"/>
    <w:rsid w:val="00926B77"/>
    <w:rsid w:val="00927696"/>
    <w:rsid w:val="00927ADA"/>
    <w:rsid w:val="00927F85"/>
    <w:rsid w:val="00930484"/>
    <w:rsid w:val="009306D0"/>
    <w:rsid w:val="009314B0"/>
    <w:rsid w:val="00931AE5"/>
    <w:rsid w:val="00932055"/>
    <w:rsid w:val="0093218E"/>
    <w:rsid w:val="009328E9"/>
    <w:rsid w:val="00934034"/>
    <w:rsid w:val="00934863"/>
    <w:rsid w:val="009348C8"/>
    <w:rsid w:val="0093490A"/>
    <w:rsid w:val="00935CB6"/>
    <w:rsid w:val="009371E0"/>
    <w:rsid w:val="00937489"/>
    <w:rsid w:val="009402EB"/>
    <w:rsid w:val="0094088D"/>
    <w:rsid w:val="00940A13"/>
    <w:rsid w:val="00940F53"/>
    <w:rsid w:val="009411A7"/>
    <w:rsid w:val="00941DA0"/>
    <w:rsid w:val="00941E8B"/>
    <w:rsid w:val="009423EF"/>
    <w:rsid w:val="009436C2"/>
    <w:rsid w:val="00943C13"/>
    <w:rsid w:val="00944821"/>
    <w:rsid w:val="00944EEB"/>
    <w:rsid w:val="0094586D"/>
    <w:rsid w:val="0094588E"/>
    <w:rsid w:val="00945F49"/>
    <w:rsid w:val="00947060"/>
    <w:rsid w:val="00947949"/>
    <w:rsid w:val="00947B40"/>
    <w:rsid w:val="00950860"/>
    <w:rsid w:val="00950903"/>
    <w:rsid w:val="00950948"/>
    <w:rsid w:val="0095190A"/>
    <w:rsid w:val="00952119"/>
    <w:rsid w:val="00952B49"/>
    <w:rsid w:val="00953E24"/>
    <w:rsid w:val="00955248"/>
    <w:rsid w:val="009556E9"/>
    <w:rsid w:val="009566EE"/>
    <w:rsid w:val="009567E4"/>
    <w:rsid w:val="00957509"/>
    <w:rsid w:val="009577AF"/>
    <w:rsid w:val="009608AC"/>
    <w:rsid w:val="00962E1E"/>
    <w:rsid w:val="00963464"/>
    <w:rsid w:val="00963A11"/>
    <w:rsid w:val="00963E43"/>
    <w:rsid w:val="00964C0A"/>
    <w:rsid w:val="00964ECD"/>
    <w:rsid w:val="009651BA"/>
    <w:rsid w:val="009659F4"/>
    <w:rsid w:val="00965AF7"/>
    <w:rsid w:val="00965C94"/>
    <w:rsid w:val="00965DED"/>
    <w:rsid w:val="00966486"/>
    <w:rsid w:val="009667F9"/>
    <w:rsid w:val="009676FA"/>
    <w:rsid w:val="009677AB"/>
    <w:rsid w:val="00967884"/>
    <w:rsid w:val="00967D05"/>
    <w:rsid w:val="00970383"/>
    <w:rsid w:val="009706FE"/>
    <w:rsid w:val="00970FE1"/>
    <w:rsid w:val="00971F6C"/>
    <w:rsid w:val="00972761"/>
    <w:rsid w:val="00972E44"/>
    <w:rsid w:val="0097310E"/>
    <w:rsid w:val="00974205"/>
    <w:rsid w:val="00974218"/>
    <w:rsid w:val="00975C39"/>
    <w:rsid w:val="00976ECF"/>
    <w:rsid w:val="009777F5"/>
    <w:rsid w:val="00977859"/>
    <w:rsid w:val="00977FFC"/>
    <w:rsid w:val="0098084B"/>
    <w:rsid w:val="00980CDB"/>
    <w:rsid w:val="0098125E"/>
    <w:rsid w:val="00981277"/>
    <w:rsid w:val="009812A4"/>
    <w:rsid w:val="00981BF4"/>
    <w:rsid w:val="009824BF"/>
    <w:rsid w:val="00982552"/>
    <w:rsid w:val="009827A7"/>
    <w:rsid w:val="00982D62"/>
    <w:rsid w:val="00983DC6"/>
    <w:rsid w:val="0098451E"/>
    <w:rsid w:val="00985001"/>
    <w:rsid w:val="009862E8"/>
    <w:rsid w:val="0098656D"/>
    <w:rsid w:val="00986DA5"/>
    <w:rsid w:val="00986E2E"/>
    <w:rsid w:val="0098729B"/>
    <w:rsid w:val="00987861"/>
    <w:rsid w:val="00987C42"/>
    <w:rsid w:val="00987FC3"/>
    <w:rsid w:val="009910BC"/>
    <w:rsid w:val="0099159A"/>
    <w:rsid w:val="0099171C"/>
    <w:rsid w:val="00991799"/>
    <w:rsid w:val="00991C75"/>
    <w:rsid w:val="00995229"/>
    <w:rsid w:val="009955F6"/>
    <w:rsid w:val="00995BF6"/>
    <w:rsid w:val="0099625A"/>
    <w:rsid w:val="009A0479"/>
    <w:rsid w:val="009A07FC"/>
    <w:rsid w:val="009A0AA6"/>
    <w:rsid w:val="009A0C3B"/>
    <w:rsid w:val="009A0D63"/>
    <w:rsid w:val="009A1161"/>
    <w:rsid w:val="009A186B"/>
    <w:rsid w:val="009A278C"/>
    <w:rsid w:val="009A4453"/>
    <w:rsid w:val="009A4F9D"/>
    <w:rsid w:val="009A57A4"/>
    <w:rsid w:val="009A6208"/>
    <w:rsid w:val="009A7360"/>
    <w:rsid w:val="009A76FC"/>
    <w:rsid w:val="009B0C55"/>
    <w:rsid w:val="009B1A46"/>
    <w:rsid w:val="009B20ED"/>
    <w:rsid w:val="009B2B65"/>
    <w:rsid w:val="009B2D98"/>
    <w:rsid w:val="009B2E65"/>
    <w:rsid w:val="009B374D"/>
    <w:rsid w:val="009B435C"/>
    <w:rsid w:val="009B50D6"/>
    <w:rsid w:val="009B5B1D"/>
    <w:rsid w:val="009B5E67"/>
    <w:rsid w:val="009B5F91"/>
    <w:rsid w:val="009B669A"/>
    <w:rsid w:val="009B6BA8"/>
    <w:rsid w:val="009B7EA6"/>
    <w:rsid w:val="009C07CE"/>
    <w:rsid w:val="009C0AF8"/>
    <w:rsid w:val="009C0BC4"/>
    <w:rsid w:val="009C112C"/>
    <w:rsid w:val="009C11C6"/>
    <w:rsid w:val="009C17EA"/>
    <w:rsid w:val="009C233C"/>
    <w:rsid w:val="009C2400"/>
    <w:rsid w:val="009C26F8"/>
    <w:rsid w:val="009C317B"/>
    <w:rsid w:val="009C3256"/>
    <w:rsid w:val="009C3985"/>
    <w:rsid w:val="009C5503"/>
    <w:rsid w:val="009C5539"/>
    <w:rsid w:val="009C5F32"/>
    <w:rsid w:val="009C6A22"/>
    <w:rsid w:val="009C73EC"/>
    <w:rsid w:val="009C7884"/>
    <w:rsid w:val="009C7AF6"/>
    <w:rsid w:val="009C7D7C"/>
    <w:rsid w:val="009D09AD"/>
    <w:rsid w:val="009D0EE7"/>
    <w:rsid w:val="009D134C"/>
    <w:rsid w:val="009D14E4"/>
    <w:rsid w:val="009D1E6C"/>
    <w:rsid w:val="009D2AA6"/>
    <w:rsid w:val="009D2D62"/>
    <w:rsid w:val="009D31D3"/>
    <w:rsid w:val="009D3F77"/>
    <w:rsid w:val="009D4D19"/>
    <w:rsid w:val="009D4E64"/>
    <w:rsid w:val="009D520E"/>
    <w:rsid w:val="009D5255"/>
    <w:rsid w:val="009D6D97"/>
    <w:rsid w:val="009D7263"/>
    <w:rsid w:val="009D72A1"/>
    <w:rsid w:val="009D75BA"/>
    <w:rsid w:val="009D766A"/>
    <w:rsid w:val="009E0EE0"/>
    <w:rsid w:val="009E1A76"/>
    <w:rsid w:val="009E205F"/>
    <w:rsid w:val="009E2275"/>
    <w:rsid w:val="009E2291"/>
    <w:rsid w:val="009E3934"/>
    <w:rsid w:val="009E46A8"/>
    <w:rsid w:val="009E5873"/>
    <w:rsid w:val="009E60B8"/>
    <w:rsid w:val="009E662A"/>
    <w:rsid w:val="009E678A"/>
    <w:rsid w:val="009E71B3"/>
    <w:rsid w:val="009E7729"/>
    <w:rsid w:val="009E7C70"/>
    <w:rsid w:val="009F016B"/>
    <w:rsid w:val="009F03DE"/>
    <w:rsid w:val="009F12A7"/>
    <w:rsid w:val="009F1C9C"/>
    <w:rsid w:val="009F1D3C"/>
    <w:rsid w:val="009F2171"/>
    <w:rsid w:val="009F2B6A"/>
    <w:rsid w:val="009F2C35"/>
    <w:rsid w:val="009F4064"/>
    <w:rsid w:val="009F41B6"/>
    <w:rsid w:val="009F4587"/>
    <w:rsid w:val="009F63DD"/>
    <w:rsid w:val="009F6863"/>
    <w:rsid w:val="009F72EA"/>
    <w:rsid w:val="009F730A"/>
    <w:rsid w:val="009F7A3F"/>
    <w:rsid w:val="009F7FD7"/>
    <w:rsid w:val="00A004BA"/>
    <w:rsid w:val="00A004D7"/>
    <w:rsid w:val="00A01832"/>
    <w:rsid w:val="00A03F2C"/>
    <w:rsid w:val="00A04C17"/>
    <w:rsid w:val="00A06479"/>
    <w:rsid w:val="00A07220"/>
    <w:rsid w:val="00A07C67"/>
    <w:rsid w:val="00A07E25"/>
    <w:rsid w:val="00A07E6E"/>
    <w:rsid w:val="00A07EB6"/>
    <w:rsid w:val="00A10FD5"/>
    <w:rsid w:val="00A118E5"/>
    <w:rsid w:val="00A12681"/>
    <w:rsid w:val="00A136A0"/>
    <w:rsid w:val="00A141D5"/>
    <w:rsid w:val="00A143BC"/>
    <w:rsid w:val="00A14A84"/>
    <w:rsid w:val="00A1585C"/>
    <w:rsid w:val="00A158AD"/>
    <w:rsid w:val="00A15CF9"/>
    <w:rsid w:val="00A160B0"/>
    <w:rsid w:val="00A165A5"/>
    <w:rsid w:val="00A166AE"/>
    <w:rsid w:val="00A1676A"/>
    <w:rsid w:val="00A1742B"/>
    <w:rsid w:val="00A21F27"/>
    <w:rsid w:val="00A23286"/>
    <w:rsid w:val="00A23419"/>
    <w:rsid w:val="00A23A16"/>
    <w:rsid w:val="00A2412A"/>
    <w:rsid w:val="00A254EB"/>
    <w:rsid w:val="00A25D9F"/>
    <w:rsid w:val="00A25EB9"/>
    <w:rsid w:val="00A26FE0"/>
    <w:rsid w:val="00A27C62"/>
    <w:rsid w:val="00A3040D"/>
    <w:rsid w:val="00A30414"/>
    <w:rsid w:val="00A3047A"/>
    <w:rsid w:val="00A3063C"/>
    <w:rsid w:val="00A30C73"/>
    <w:rsid w:val="00A31006"/>
    <w:rsid w:val="00A324C2"/>
    <w:rsid w:val="00A326E5"/>
    <w:rsid w:val="00A327E0"/>
    <w:rsid w:val="00A32863"/>
    <w:rsid w:val="00A33B23"/>
    <w:rsid w:val="00A34AED"/>
    <w:rsid w:val="00A369E4"/>
    <w:rsid w:val="00A377A4"/>
    <w:rsid w:val="00A379B5"/>
    <w:rsid w:val="00A403FD"/>
    <w:rsid w:val="00A40555"/>
    <w:rsid w:val="00A4169C"/>
    <w:rsid w:val="00A41721"/>
    <w:rsid w:val="00A41FC9"/>
    <w:rsid w:val="00A42598"/>
    <w:rsid w:val="00A43510"/>
    <w:rsid w:val="00A435FA"/>
    <w:rsid w:val="00A44471"/>
    <w:rsid w:val="00A44862"/>
    <w:rsid w:val="00A44A18"/>
    <w:rsid w:val="00A44C91"/>
    <w:rsid w:val="00A451FF"/>
    <w:rsid w:val="00A4584D"/>
    <w:rsid w:val="00A4632B"/>
    <w:rsid w:val="00A46BA5"/>
    <w:rsid w:val="00A4723E"/>
    <w:rsid w:val="00A50496"/>
    <w:rsid w:val="00A50801"/>
    <w:rsid w:val="00A5112A"/>
    <w:rsid w:val="00A51BE5"/>
    <w:rsid w:val="00A523CE"/>
    <w:rsid w:val="00A525CD"/>
    <w:rsid w:val="00A52CA4"/>
    <w:rsid w:val="00A52F2D"/>
    <w:rsid w:val="00A52FCC"/>
    <w:rsid w:val="00A5351D"/>
    <w:rsid w:val="00A5367B"/>
    <w:rsid w:val="00A54CC1"/>
    <w:rsid w:val="00A551A1"/>
    <w:rsid w:val="00A5564F"/>
    <w:rsid w:val="00A5620A"/>
    <w:rsid w:val="00A56400"/>
    <w:rsid w:val="00A5676B"/>
    <w:rsid w:val="00A56AAD"/>
    <w:rsid w:val="00A57DD2"/>
    <w:rsid w:val="00A57F08"/>
    <w:rsid w:val="00A6099F"/>
    <w:rsid w:val="00A613F1"/>
    <w:rsid w:val="00A616D1"/>
    <w:rsid w:val="00A62BEF"/>
    <w:rsid w:val="00A62DD9"/>
    <w:rsid w:val="00A631EE"/>
    <w:rsid w:val="00A641F5"/>
    <w:rsid w:val="00A64506"/>
    <w:rsid w:val="00A64802"/>
    <w:rsid w:val="00A64C0D"/>
    <w:rsid w:val="00A64CCD"/>
    <w:rsid w:val="00A64E75"/>
    <w:rsid w:val="00A64F3B"/>
    <w:rsid w:val="00A65341"/>
    <w:rsid w:val="00A6593B"/>
    <w:rsid w:val="00A660D3"/>
    <w:rsid w:val="00A66193"/>
    <w:rsid w:val="00A66ECC"/>
    <w:rsid w:val="00A6790F"/>
    <w:rsid w:val="00A67A3B"/>
    <w:rsid w:val="00A67D90"/>
    <w:rsid w:val="00A70AEF"/>
    <w:rsid w:val="00A711CB"/>
    <w:rsid w:val="00A7129D"/>
    <w:rsid w:val="00A715D8"/>
    <w:rsid w:val="00A71801"/>
    <w:rsid w:val="00A73189"/>
    <w:rsid w:val="00A740F3"/>
    <w:rsid w:val="00A74700"/>
    <w:rsid w:val="00A749F5"/>
    <w:rsid w:val="00A75441"/>
    <w:rsid w:val="00A7569F"/>
    <w:rsid w:val="00A7638C"/>
    <w:rsid w:val="00A76616"/>
    <w:rsid w:val="00A76DBF"/>
    <w:rsid w:val="00A774F7"/>
    <w:rsid w:val="00A778B7"/>
    <w:rsid w:val="00A77CCF"/>
    <w:rsid w:val="00A77E8C"/>
    <w:rsid w:val="00A77FBC"/>
    <w:rsid w:val="00A80004"/>
    <w:rsid w:val="00A81558"/>
    <w:rsid w:val="00A81A2B"/>
    <w:rsid w:val="00A81A3C"/>
    <w:rsid w:val="00A821C4"/>
    <w:rsid w:val="00A82793"/>
    <w:rsid w:val="00A83E15"/>
    <w:rsid w:val="00A846C5"/>
    <w:rsid w:val="00A85E18"/>
    <w:rsid w:val="00A85E23"/>
    <w:rsid w:val="00A86275"/>
    <w:rsid w:val="00A86556"/>
    <w:rsid w:val="00A879FA"/>
    <w:rsid w:val="00A90400"/>
    <w:rsid w:val="00A9139B"/>
    <w:rsid w:val="00A9183D"/>
    <w:rsid w:val="00A91A8B"/>
    <w:rsid w:val="00A920F9"/>
    <w:rsid w:val="00A922E9"/>
    <w:rsid w:val="00A92477"/>
    <w:rsid w:val="00A939CD"/>
    <w:rsid w:val="00A94294"/>
    <w:rsid w:val="00A95782"/>
    <w:rsid w:val="00A961E4"/>
    <w:rsid w:val="00A9655F"/>
    <w:rsid w:val="00A9678D"/>
    <w:rsid w:val="00A96FE0"/>
    <w:rsid w:val="00A973EF"/>
    <w:rsid w:val="00A97F37"/>
    <w:rsid w:val="00AA033A"/>
    <w:rsid w:val="00AA120F"/>
    <w:rsid w:val="00AA151A"/>
    <w:rsid w:val="00AA1A48"/>
    <w:rsid w:val="00AA26A9"/>
    <w:rsid w:val="00AA2DC0"/>
    <w:rsid w:val="00AA35A1"/>
    <w:rsid w:val="00AA39CC"/>
    <w:rsid w:val="00AA524E"/>
    <w:rsid w:val="00AA67F9"/>
    <w:rsid w:val="00AA76DE"/>
    <w:rsid w:val="00AA7A22"/>
    <w:rsid w:val="00AA7B24"/>
    <w:rsid w:val="00AA7D5A"/>
    <w:rsid w:val="00AA7F7E"/>
    <w:rsid w:val="00AB042D"/>
    <w:rsid w:val="00AB0BDD"/>
    <w:rsid w:val="00AB179D"/>
    <w:rsid w:val="00AB1A92"/>
    <w:rsid w:val="00AB1C1E"/>
    <w:rsid w:val="00AB21FA"/>
    <w:rsid w:val="00AB29F2"/>
    <w:rsid w:val="00AB2AAE"/>
    <w:rsid w:val="00AB2B6E"/>
    <w:rsid w:val="00AB3253"/>
    <w:rsid w:val="00AB3E34"/>
    <w:rsid w:val="00AB4010"/>
    <w:rsid w:val="00AB429A"/>
    <w:rsid w:val="00AB45CF"/>
    <w:rsid w:val="00AB4CB2"/>
    <w:rsid w:val="00AB5072"/>
    <w:rsid w:val="00AB508A"/>
    <w:rsid w:val="00AB5498"/>
    <w:rsid w:val="00AB6052"/>
    <w:rsid w:val="00AB6372"/>
    <w:rsid w:val="00AB77BD"/>
    <w:rsid w:val="00AC0136"/>
    <w:rsid w:val="00AC0B16"/>
    <w:rsid w:val="00AC0CDF"/>
    <w:rsid w:val="00AC0EA7"/>
    <w:rsid w:val="00AC12BE"/>
    <w:rsid w:val="00AC1538"/>
    <w:rsid w:val="00AC1D1D"/>
    <w:rsid w:val="00AC384D"/>
    <w:rsid w:val="00AC3982"/>
    <w:rsid w:val="00AC39FC"/>
    <w:rsid w:val="00AC3A37"/>
    <w:rsid w:val="00AC4479"/>
    <w:rsid w:val="00AC4861"/>
    <w:rsid w:val="00AC4F52"/>
    <w:rsid w:val="00AC5FE4"/>
    <w:rsid w:val="00AC68A8"/>
    <w:rsid w:val="00AC69BD"/>
    <w:rsid w:val="00AC724E"/>
    <w:rsid w:val="00AC774C"/>
    <w:rsid w:val="00AC7864"/>
    <w:rsid w:val="00AD0AB4"/>
    <w:rsid w:val="00AD0BC1"/>
    <w:rsid w:val="00AD11D1"/>
    <w:rsid w:val="00AD1EAA"/>
    <w:rsid w:val="00AD1F87"/>
    <w:rsid w:val="00AD28A3"/>
    <w:rsid w:val="00AD3A71"/>
    <w:rsid w:val="00AD4586"/>
    <w:rsid w:val="00AD4EAF"/>
    <w:rsid w:val="00AD50E4"/>
    <w:rsid w:val="00AD572C"/>
    <w:rsid w:val="00AD6006"/>
    <w:rsid w:val="00AD6E7D"/>
    <w:rsid w:val="00AD6F17"/>
    <w:rsid w:val="00AE0CD0"/>
    <w:rsid w:val="00AE13A7"/>
    <w:rsid w:val="00AE1612"/>
    <w:rsid w:val="00AE193C"/>
    <w:rsid w:val="00AE1D90"/>
    <w:rsid w:val="00AE24D4"/>
    <w:rsid w:val="00AE28E1"/>
    <w:rsid w:val="00AE34C1"/>
    <w:rsid w:val="00AE3569"/>
    <w:rsid w:val="00AE38F5"/>
    <w:rsid w:val="00AE3D12"/>
    <w:rsid w:val="00AE3F3E"/>
    <w:rsid w:val="00AE4893"/>
    <w:rsid w:val="00AE5510"/>
    <w:rsid w:val="00AE5D2A"/>
    <w:rsid w:val="00AE5DB1"/>
    <w:rsid w:val="00AE612D"/>
    <w:rsid w:val="00AE7271"/>
    <w:rsid w:val="00AF1380"/>
    <w:rsid w:val="00AF16C7"/>
    <w:rsid w:val="00AF28AC"/>
    <w:rsid w:val="00AF2EE0"/>
    <w:rsid w:val="00AF315A"/>
    <w:rsid w:val="00AF3F0B"/>
    <w:rsid w:val="00AF52AA"/>
    <w:rsid w:val="00AF594B"/>
    <w:rsid w:val="00AF700A"/>
    <w:rsid w:val="00AF7DC7"/>
    <w:rsid w:val="00B015B4"/>
    <w:rsid w:val="00B01696"/>
    <w:rsid w:val="00B0171F"/>
    <w:rsid w:val="00B01ADA"/>
    <w:rsid w:val="00B02EF5"/>
    <w:rsid w:val="00B034C7"/>
    <w:rsid w:val="00B04710"/>
    <w:rsid w:val="00B0488D"/>
    <w:rsid w:val="00B04F39"/>
    <w:rsid w:val="00B051B9"/>
    <w:rsid w:val="00B054AE"/>
    <w:rsid w:val="00B0676B"/>
    <w:rsid w:val="00B06C55"/>
    <w:rsid w:val="00B0701B"/>
    <w:rsid w:val="00B072DE"/>
    <w:rsid w:val="00B07E57"/>
    <w:rsid w:val="00B07EDF"/>
    <w:rsid w:val="00B10A7B"/>
    <w:rsid w:val="00B10DB2"/>
    <w:rsid w:val="00B127C5"/>
    <w:rsid w:val="00B13025"/>
    <w:rsid w:val="00B132E5"/>
    <w:rsid w:val="00B1335E"/>
    <w:rsid w:val="00B1403C"/>
    <w:rsid w:val="00B14415"/>
    <w:rsid w:val="00B1530C"/>
    <w:rsid w:val="00B1533C"/>
    <w:rsid w:val="00B15D05"/>
    <w:rsid w:val="00B16D8C"/>
    <w:rsid w:val="00B17AF5"/>
    <w:rsid w:val="00B2162D"/>
    <w:rsid w:val="00B21B4E"/>
    <w:rsid w:val="00B220EA"/>
    <w:rsid w:val="00B22726"/>
    <w:rsid w:val="00B234DF"/>
    <w:rsid w:val="00B23714"/>
    <w:rsid w:val="00B239E9"/>
    <w:rsid w:val="00B23B90"/>
    <w:rsid w:val="00B24D0B"/>
    <w:rsid w:val="00B2522D"/>
    <w:rsid w:val="00B258EF"/>
    <w:rsid w:val="00B25C70"/>
    <w:rsid w:val="00B2664B"/>
    <w:rsid w:val="00B26926"/>
    <w:rsid w:val="00B27AFD"/>
    <w:rsid w:val="00B303CB"/>
    <w:rsid w:val="00B31283"/>
    <w:rsid w:val="00B316A2"/>
    <w:rsid w:val="00B316A5"/>
    <w:rsid w:val="00B31D64"/>
    <w:rsid w:val="00B32195"/>
    <w:rsid w:val="00B3224A"/>
    <w:rsid w:val="00B32C49"/>
    <w:rsid w:val="00B32CD5"/>
    <w:rsid w:val="00B332E1"/>
    <w:rsid w:val="00B33937"/>
    <w:rsid w:val="00B33A94"/>
    <w:rsid w:val="00B342CE"/>
    <w:rsid w:val="00B34486"/>
    <w:rsid w:val="00B346E1"/>
    <w:rsid w:val="00B346FE"/>
    <w:rsid w:val="00B353AE"/>
    <w:rsid w:val="00B353D0"/>
    <w:rsid w:val="00B359EB"/>
    <w:rsid w:val="00B35ABA"/>
    <w:rsid w:val="00B36E16"/>
    <w:rsid w:val="00B37AB3"/>
    <w:rsid w:val="00B406AD"/>
    <w:rsid w:val="00B41D9B"/>
    <w:rsid w:val="00B431C6"/>
    <w:rsid w:val="00B43AF7"/>
    <w:rsid w:val="00B44514"/>
    <w:rsid w:val="00B44BC8"/>
    <w:rsid w:val="00B45225"/>
    <w:rsid w:val="00B45729"/>
    <w:rsid w:val="00B458C4"/>
    <w:rsid w:val="00B45B0A"/>
    <w:rsid w:val="00B45FA5"/>
    <w:rsid w:val="00B46DD2"/>
    <w:rsid w:val="00B46E95"/>
    <w:rsid w:val="00B472C9"/>
    <w:rsid w:val="00B50E50"/>
    <w:rsid w:val="00B5196B"/>
    <w:rsid w:val="00B524E2"/>
    <w:rsid w:val="00B526A5"/>
    <w:rsid w:val="00B530DC"/>
    <w:rsid w:val="00B53B2F"/>
    <w:rsid w:val="00B53FE7"/>
    <w:rsid w:val="00B5408B"/>
    <w:rsid w:val="00B54ADF"/>
    <w:rsid w:val="00B54CB2"/>
    <w:rsid w:val="00B54CC6"/>
    <w:rsid w:val="00B55F82"/>
    <w:rsid w:val="00B56738"/>
    <w:rsid w:val="00B56C40"/>
    <w:rsid w:val="00B57197"/>
    <w:rsid w:val="00B576C5"/>
    <w:rsid w:val="00B600A6"/>
    <w:rsid w:val="00B6098B"/>
    <w:rsid w:val="00B61461"/>
    <w:rsid w:val="00B61D4A"/>
    <w:rsid w:val="00B624DF"/>
    <w:rsid w:val="00B63F8C"/>
    <w:rsid w:val="00B64115"/>
    <w:rsid w:val="00B64591"/>
    <w:rsid w:val="00B64BA9"/>
    <w:rsid w:val="00B66270"/>
    <w:rsid w:val="00B663DF"/>
    <w:rsid w:val="00B70E2C"/>
    <w:rsid w:val="00B70F43"/>
    <w:rsid w:val="00B72066"/>
    <w:rsid w:val="00B723DE"/>
    <w:rsid w:val="00B72C00"/>
    <w:rsid w:val="00B736E6"/>
    <w:rsid w:val="00B73AE4"/>
    <w:rsid w:val="00B73CF9"/>
    <w:rsid w:val="00B747C5"/>
    <w:rsid w:val="00B74E55"/>
    <w:rsid w:val="00B7568D"/>
    <w:rsid w:val="00B7588E"/>
    <w:rsid w:val="00B76249"/>
    <w:rsid w:val="00B76EED"/>
    <w:rsid w:val="00B770CA"/>
    <w:rsid w:val="00B772F4"/>
    <w:rsid w:val="00B77387"/>
    <w:rsid w:val="00B81E36"/>
    <w:rsid w:val="00B839CF"/>
    <w:rsid w:val="00B83C32"/>
    <w:rsid w:val="00B83CBE"/>
    <w:rsid w:val="00B83EF3"/>
    <w:rsid w:val="00B83F6F"/>
    <w:rsid w:val="00B8513A"/>
    <w:rsid w:val="00B8549D"/>
    <w:rsid w:val="00B855C7"/>
    <w:rsid w:val="00B8598F"/>
    <w:rsid w:val="00B860DD"/>
    <w:rsid w:val="00B865F2"/>
    <w:rsid w:val="00B86CD7"/>
    <w:rsid w:val="00B86E6D"/>
    <w:rsid w:val="00B874FF"/>
    <w:rsid w:val="00B875E6"/>
    <w:rsid w:val="00B879D6"/>
    <w:rsid w:val="00B908F5"/>
    <w:rsid w:val="00B90F11"/>
    <w:rsid w:val="00B914E9"/>
    <w:rsid w:val="00B924EF"/>
    <w:rsid w:val="00B927C0"/>
    <w:rsid w:val="00B942D1"/>
    <w:rsid w:val="00B94649"/>
    <w:rsid w:val="00B94870"/>
    <w:rsid w:val="00B94FB0"/>
    <w:rsid w:val="00B957E3"/>
    <w:rsid w:val="00B96CA3"/>
    <w:rsid w:val="00B96EE8"/>
    <w:rsid w:val="00B97030"/>
    <w:rsid w:val="00B97053"/>
    <w:rsid w:val="00B97944"/>
    <w:rsid w:val="00B97B03"/>
    <w:rsid w:val="00B97B82"/>
    <w:rsid w:val="00BA0238"/>
    <w:rsid w:val="00BA024F"/>
    <w:rsid w:val="00BA0487"/>
    <w:rsid w:val="00BA073C"/>
    <w:rsid w:val="00BA0AC6"/>
    <w:rsid w:val="00BA1648"/>
    <w:rsid w:val="00BA175C"/>
    <w:rsid w:val="00BA177B"/>
    <w:rsid w:val="00BA2600"/>
    <w:rsid w:val="00BA2B9B"/>
    <w:rsid w:val="00BA2CFB"/>
    <w:rsid w:val="00BA31BD"/>
    <w:rsid w:val="00BA3788"/>
    <w:rsid w:val="00BA467C"/>
    <w:rsid w:val="00BA4740"/>
    <w:rsid w:val="00BA6187"/>
    <w:rsid w:val="00BA6BC1"/>
    <w:rsid w:val="00BA6F8A"/>
    <w:rsid w:val="00BA7379"/>
    <w:rsid w:val="00BA7835"/>
    <w:rsid w:val="00BA7DE7"/>
    <w:rsid w:val="00BA7E70"/>
    <w:rsid w:val="00BB072D"/>
    <w:rsid w:val="00BB089C"/>
    <w:rsid w:val="00BB0D52"/>
    <w:rsid w:val="00BB132B"/>
    <w:rsid w:val="00BB1458"/>
    <w:rsid w:val="00BB28EC"/>
    <w:rsid w:val="00BB2BEA"/>
    <w:rsid w:val="00BB3276"/>
    <w:rsid w:val="00BB3342"/>
    <w:rsid w:val="00BB47A3"/>
    <w:rsid w:val="00BB606E"/>
    <w:rsid w:val="00BB7285"/>
    <w:rsid w:val="00BB76D3"/>
    <w:rsid w:val="00BB7B62"/>
    <w:rsid w:val="00BB7E2D"/>
    <w:rsid w:val="00BC0381"/>
    <w:rsid w:val="00BC2568"/>
    <w:rsid w:val="00BC25BB"/>
    <w:rsid w:val="00BC2786"/>
    <w:rsid w:val="00BC35E4"/>
    <w:rsid w:val="00BC4130"/>
    <w:rsid w:val="00BC5988"/>
    <w:rsid w:val="00BC5BD3"/>
    <w:rsid w:val="00BC5C82"/>
    <w:rsid w:val="00BC66A7"/>
    <w:rsid w:val="00BC6747"/>
    <w:rsid w:val="00BC6D64"/>
    <w:rsid w:val="00BC7326"/>
    <w:rsid w:val="00BD08E0"/>
    <w:rsid w:val="00BD09D5"/>
    <w:rsid w:val="00BD0C4B"/>
    <w:rsid w:val="00BD1347"/>
    <w:rsid w:val="00BD1F11"/>
    <w:rsid w:val="00BD1FE2"/>
    <w:rsid w:val="00BD2CF6"/>
    <w:rsid w:val="00BD2DE5"/>
    <w:rsid w:val="00BD3227"/>
    <w:rsid w:val="00BD3742"/>
    <w:rsid w:val="00BD3C2F"/>
    <w:rsid w:val="00BD3D21"/>
    <w:rsid w:val="00BD3E82"/>
    <w:rsid w:val="00BD4AE1"/>
    <w:rsid w:val="00BD52B3"/>
    <w:rsid w:val="00BD5354"/>
    <w:rsid w:val="00BD5788"/>
    <w:rsid w:val="00BD607A"/>
    <w:rsid w:val="00BD6493"/>
    <w:rsid w:val="00BD67F9"/>
    <w:rsid w:val="00BE1180"/>
    <w:rsid w:val="00BE1C9C"/>
    <w:rsid w:val="00BE2E9D"/>
    <w:rsid w:val="00BE2F9E"/>
    <w:rsid w:val="00BE34EB"/>
    <w:rsid w:val="00BE38CE"/>
    <w:rsid w:val="00BE3999"/>
    <w:rsid w:val="00BE5834"/>
    <w:rsid w:val="00BE5BC8"/>
    <w:rsid w:val="00BE6518"/>
    <w:rsid w:val="00BE78F2"/>
    <w:rsid w:val="00BE7A81"/>
    <w:rsid w:val="00BE7B71"/>
    <w:rsid w:val="00BE7E42"/>
    <w:rsid w:val="00BE7FC3"/>
    <w:rsid w:val="00BF0138"/>
    <w:rsid w:val="00BF016F"/>
    <w:rsid w:val="00BF0502"/>
    <w:rsid w:val="00BF10BB"/>
    <w:rsid w:val="00BF23D3"/>
    <w:rsid w:val="00BF3AFB"/>
    <w:rsid w:val="00BF3F19"/>
    <w:rsid w:val="00BF4373"/>
    <w:rsid w:val="00BF450F"/>
    <w:rsid w:val="00BF5227"/>
    <w:rsid w:val="00BF5B96"/>
    <w:rsid w:val="00BF5D3E"/>
    <w:rsid w:val="00BF6798"/>
    <w:rsid w:val="00BF7463"/>
    <w:rsid w:val="00BF7558"/>
    <w:rsid w:val="00BF7E38"/>
    <w:rsid w:val="00C0062A"/>
    <w:rsid w:val="00C0280E"/>
    <w:rsid w:val="00C02E34"/>
    <w:rsid w:val="00C034BE"/>
    <w:rsid w:val="00C040D9"/>
    <w:rsid w:val="00C05614"/>
    <w:rsid w:val="00C059D9"/>
    <w:rsid w:val="00C05D45"/>
    <w:rsid w:val="00C063CC"/>
    <w:rsid w:val="00C06758"/>
    <w:rsid w:val="00C068C1"/>
    <w:rsid w:val="00C07901"/>
    <w:rsid w:val="00C07B22"/>
    <w:rsid w:val="00C11228"/>
    <w:rsid w:val="00C11FC5"/>
    <w:rsid w:val="00C12D5A"/>
    <w:rsid w:val="00C13615"/>
    <w:rsid w:val="00C14089"/>
    <w:rsid w:val="00C14BE5"/>
    <w:rsid w:val="00C1529C"/>
    <w:rsid w:val="00C15825"/>
    <w:rsid w:val="00C15AA9"/>
    <w:rsid w:val="00C15D80"/>
    <w:rsid w:val="00C15FB2"/>
    <w:rsid w:val="00C16296"/>
    <w:rsid w:val="00C1688C"/>
    <w:rsid w:val="00C16BF4"/>
    <w:rsid w:val="00C17135"/>
    <w:rsid w:val="00C172D9"/>
    <w:rsid w:val="00C176EC"/>
    <w:rsid w:val="00C20091"/>
    <w:rsid w:val="00C20292"/>
    <w:rsid w:val="00C206CE"/>
    <w:rsid w:val="00C20BA5"/>
    <w:rsid w:val="00C210DD"/>
    <w:rsid w:val="00C21128"/>
    <w:rsid w:val="00C21487"/>
    <w:rsid w:val="00C2176E"/>
    <w:rsid w:val="00C2211F"/>
    <w:rsid w:val="00C221C8"/>
    <w:rsid w:val="00C22611"/>
    <w:rsid w:val="00C2297D"/>
    <w:rsid w:val="00C22A1D"/>
    <w:rsid w:val="00C22B44"/>
    <w:rsid w:val="00C23FED"/>
    <w:rsid w:val="00C24928"/>
    <w:rsid w:val="00C249F7"/>
    <w:rsid w:val="00C24EB4"/>
    <w:rsid w:val="00C25939"/>
    <w:rsid w:val="00C25CE9"/>
    <w:rsid w:val="00C2670C"/>
    <w:rsid w:val="00C26F36"/>
    <w:rsid w:val="00C27157"/>
    <w:rsid w:val="00C27470"/>
    <w:rsid w:val="00C301C3"/>
    <w:rsid w:val="00C302A7"/>
    <w:rsid w:val="00C30344"/>
    <w:rsid w:val="00C30B3E"/>
    <w:rsid w:val="00C30F79"/>
    <w:rsid w:val="00C3144F"/>
    <w:rsid w:val="00C31992"/>
    <w:rsid w:val="00C32166"/>
    <w:rsid w:val="00C32603"/>
    <w:rsid w:val="00C326A3"/>
    <w:rsid w:val="00C32CE2"/>
    <w:rsid w:val="00C3336D"/>
    <w:rsid w:val="00C3401E"/>
    <w:rsid w:val="00C34E1B"/>
    <w:rsid w:val="00C353FD"/>
    <w:rsid w:val="00C356D7"/>
    <w:rsid w:val="00C35F0E"/>
    <w:rsid w:val="00C3623A"/>
    <w:rsid w:val="00C3634B"/>
    <w:rsid w:val="00C37726"/>
    <w:rsid w:val="00C40B68"/>
    <w:rsid w:val="00C414D7"/>
    <w:rsid w:val="00C41543"/>
    <w:rsid w:val="00C41B00"/>
    <w:rsid w:val="00C41C7C"/>
    <w:rsid w:val="00C41ECA"/>
    <w:rsid w:val="00C42286"/>
    <w:rsid w:val="00C4369B"/>
    <w:rsid w:val="00C45454"/>
    <w:rsid w:val="00C45665"/>
    <w:rsid w:val="00C460C2"/>
    <w:rsid w:val="00C50552"/>
    <w:rsid w:val="00C5099F"/>
    <w:rsid w:val="00C51947"/>
    <w:rsid w:val="00C5264F"/>
    <w:rsid w:val="00C530DC"/>
    <w:rsid w:val="00C5337A"/>
    <w:rsid w:val="00C53556"/>
    <w:rsid w:val="00C553E2"/>
    <w:rsid w:val="00C55472"/>
    <w:rsid w:val="00C55493"/>
    <w:rsid w:val="00C56B45"/>
    <w:rsid w:val="00C56DA7"/>
    <w:rsid w:val="00C57FEB"/>
    <w:rsid w:val="00C6003A"/>
    <w:rsid w:val="00C60400"/>
    <w:rsid w:val="00C607D5"/>
    <w:rsid w:val="00C60FA6"/>
    <w:rsid w:val="00C61195"/>
    <w:rsid w:val="00C6193C"/>
    <w:rsid w:val="00C61A18"/>
    <w:rsid w:val="00C622BF"/>
    <w:rsid w:val="00C63509"/>
    <w:rsid w:val="00C63649"/>
    <w:rsid w:val="00C63BC8"/>
    <w:rsid w:val="00C64005"/>
    <w:rsid w:val="00C64756"/>
    <w:rsid w:val="00C6482E"/>
    <w:rsid w:val="00C64E7A"/>
    <w:rsid w:val="00C65C83"/>
    <w:rsid w:val="00C65D0C"/>
    <w:rsid w:val="00C65DA8"/>
    <w:rsid w:val="00C665CB"/>
    <w:rsid w:val="00C66BB3"/>
    <w:rsid w:val="00C66C46"/>
    <w:rsid w:val="00C675C8"/>
    <w:rsid w:val="00C67D9B"/>
    <w:rsid w:val="00C72126"/>
    <w:rsid w:val="00C72479"/>
    <w:rsid w:val="00C72A0B"/>
    <w:rsid w:val="00C733EB"/>
    <w:rsid w:val="00C73975"/>
    <w:rsid w:val="00C73A27"/>
    <w:rsid w:val="00C73BC5"/>
    <w:rsid w:val="00C7403F"/>
    <w:rsid w:val="00C741EC"/>
    <w:rsid w:val="00C74DE7"/>
    <w:rsid w:val="00C7513F"/>
    <w:rsid w:val="00C75231"/>
    <w:rsid w:val="00C7525C"/>
    <w:rsid w:val="00C758E4"/>
    <w:rsid w:val="00C75A68"/>
    <w:rsid w:val="00C76E82"/>
    <w:rsid w:val="00C77A67"/>
    <w:rsid w:val="00C81141"/>
    <w:rsid w:val="00C81CCA"/>
    <w:rsid w:val="00C81DAC"/>
    <w:rsid w:val="00C8277D"/>
    <w:rsid w:val="00C842C1"/>
    <w:rsid w:val="00C843F3"/>
    <w:rsid w:val="00C8485E"/>
    <w:rsid w:val="00C84E2B"/>
    <w:rsid w:val="00C84EB9"/>
    <w:rsid w:val="00C8516D"/>
    <w:rsid w:val="00C85225"/>
    <w:rsid w:val="00C85345"/>
    <w:rsid w:val="00C854FA"/>
    <w:rsid w:val="00C85BEB"/>
    <w:rsid w:val="00C8624B"/>
    <w:rsid w:val="00C864AF"/>
    <w:rsid w:val="00C8663A"/>
    <w:rsid w:val="00C8674B"/>
    <w:rsid w:val="00C86905"/>
    <w:rsid w:val="00C86F20"/>
    <w:rsid w:val="00C875B5"/>
    <w:rsid w:val="00C87A50"/>
    <w:rsid w:val="00C87B4D"/>
    <w:rsid w:val="00C87F90"/>
    <w:rsid w:val="00C90508"/>
    <w:rsid w:val="00C90AE0"/>
    <w:rsid w:val="00C90D06"/>
    <w:rsid w:val="00C90DF2"/>
    <w:rsid w:val="00C91B39"/>
    <w:rsid w:val="00C9239C"/>
    <w:rsid w:val="00C92583"/>
    <w:rsid w:val="00C92620"/>
    <w:rsid w:val="00C92C67"/>
    <w:rsid w:val="00C92D07"/>
    <w:rsid w:val="00C92DF2"/>
    <w:rsid w:val="00C9364A"/>
    <w:rsid w:val="00C93FC0"/>
    <w:rsid w:val="00C94119"/>
    <w:rsid w:val="00C948DB"/>
    <w:rsid w:val="00C94EB7"/>
    <w:rsid w:val="00C95A00"/>
    <w:rsid w:val="00C95B38"/>
    <w:rsid w:val="00C968AE"/>
    <w:rsid w:val="00C96ACD"/>
    <w:rsid w:val="00C975FB"/>
    <w:rsid w:val="00C97AD0"/>
    <w:rsid w:val="00C97E9A"/>
    <w:rsid w:val="00CA138A"/>
    <w:rsid w:val="00CA13C2"/>
    <w:rsid w:val="00CA1D19"/>
    <w:rsid w:val="00CA3360"/>
    <w:rsid w:val="00CA3746"/>
    <w:rsid w:val="00CA576F"/>
    <w:rsid w:val="00CA5C90"/>
    <w:rsid w:val="00CA6AD1"/>
    <w:rsid w:val="00CA6FDF"/>
    <w:rsid w:val="00CA780A"/>
    <w:rsid w:val="00CB0132"/>
    <w:rsid w:val="00CB1794"/>
    <w:rsid w:val="00CB26AD"/>
    <w:rsid w:val="00CB2AB0"/>
    <w:rsid w:val="00CB3EB1"/>
    <w:rsid w:val="00CB3F8B"/>
    <w:rsid w:val="00CB44A0"/>
    <w:rsid w:val="00CB4AFB"/>
    <w:rsid w:val="00CB4F52"/>
    <w:rsid w:val="00CB5794"/>
    <w:rsid w:val="00CB5920"/>
    <w:rsid w:val="00CB599E"/>
    <w:rsid w:val="00CB5A93"/>
    <w:rsid w:val="00CB5EA6"/>
    <w:rsid w:val="00CB5F28"/>
    <w:rsid w:val="00CB6251"/>
    <w:rsid w:val="00CC01E2"/>
    <w:rsid w:val="00CC02FE"/>
    <w:rsid w:val="00CC18D3"/>
    <w:rsid w:val="00CC2124"/>
    <w:rsid w:val="00CC2EA1"/>
    <w:rsid w:val="00CC304D"/>
    <w:rsid w:val="00CC33A7"/>
    <w:rsid w:val="00CC394B"/>
    <w:rsid w:val="00CC3D6E"/>
    <w:rsid w:val="00CC40D8"/>
    <w:rsid w:val="00CC49BC"/>
    <w:rsid w:val="00CC4ECA"/>
    <w:rsid w:val="00CC58A7"/>
    <w:rsid w:val="00CC662F"/>
    <w:rsid w:val="00CC73F4"/>
    <w:rsid w:val="00CC7EBE"/>
    <w:rsid w:val="00CD06BE"/>
    <w:rsid w:val="00CD0D84"/>
    <w:rsid w:val="00CD0E8F"/>
    <w:rsid w:val="00CD1CE3"/>
    <w:rsid w:val="00CD20CB"/>
    <w:rsid w:val="00CD22BE"/>
    <w:rsid w:val="00CD25BC"/>
    <w:rsid w:val="00CD2F34"/>
    <w:rsid w:val="00CD3E32"/>
    <w:rsid w:val="00CD4191"/>
    <w:rsid w:val="00CD57A9"/>
    <w:rsid w:val="00CD6006"/>
    <w:rsid w:val="00CD6FA6"/>
    <w:rsid w:val="00CD709E"/>
    <w:rsid w:val="00CD7488"/>
    <w:rsid w:val="00CD77EA"/>
    <w:rsid w:val="00CD78AD"/>
    <w:rsid w:val="00CD7EB3"/>
    <w:rsid w:val="00CE00BC"/>
    <w:rsid w:val="00CE02CB"/>
    <w:rsid w:val="00CE0413"/>
    <w:rsid w:val="00CE0F82"/>
    <w:rsid w:val="00CE140F"/>
    <w:rsid w:val="00CE14BB"/>
    <w:rsid w:val="00CE1A8D"/>
    <w:rsid w:val="00CE1C68"/>
    <w:rsid w:val="00CE2CB0"/>
    <w:rsid w:val="00CE2D44"/>
    <w:rsid w:val="00CE35FA"/>
    <w:rsid w:val="00CE4BA7"/>
    <w:rsid w:val="00CE4D1D"/>
    <w:rsid w:val="00CE6136"/>
    <w:rsid w:val="00CE6714"/>
    <w:rsid w:val="00CE6F74"/>
    <w:rsid w:val="00CE7D75"/>
    <w:rsid w:val="00CF152E"/>
    <w:rsid w:val="00CF1FF6"/>
    <w:rsid w:val="00CF28BD"/>
    <w:rsid w:val="00CF465E"/>
    <w:rsid w:val="00CF5177"/>
    <w:rsid w:val="00CF5E64"/>
    <w:rsid w:val="00CF5F94"/>
    <w:rsid w:val="00CF663A"/>
    <w:rsid w:val="00CF6A8C"/>
    <w:rsid w:val="00CF6C7D"/>
    <w:rsid w:val="00CF6DC1"/>
    <w:rsid w:val="00D00644"/>
    <w:rsid w:val="00D00659"/>
    <w:rsid w:val="00D00983"/>
    <w:rsid w:val="00D00BDE"/>
    <w:rsid w:val="00D00C97"/>
    <w:rsid w:val="00D019F6"/>
    <w:rsid w:val="00D01AE5"/>
    <w:rsid w:val="00D029E3"/>
    <w:rsid w:val="00D0367B"/>
    <w:rsid w:val="00D0394A"/>
    <w:rsid w:val="00D0425F"/>
    <w:rsid w:val="00D04CBB"/>
    <w:rsid w:val="00D0697A"/>
    <w:rsid w:val="00D06C02"/>
    <w:rsid w:val="00D07577"/>
    <w:rsid w:val="00D104C2"/>
    <w:rsid w:val="00D105B9"/>
    <w:rsid w:val="00D105CD"/>
    <w:rsid w:val="00D10F2F"/>
    <w:rsid w:val="00D119D9"/>
    <w:rsid w:val="00D11C90"/>
    <w:rsid w:val="00D12535"/>
    <w:rsid w:val="00D12EA3"/>
    <w:rsid w:val="00D1436E"/>
    <w:rsid w:val="00D151B0"/>
    <w:rsid w:val="00D151C6"/>
    <w:rsid w:val="00D16B5E"/>
    <w:rsid w:val="00D16F49"/>
    <w:rsid w:val="00D200DD"/>
    <w:rsid w:val="00D204AE"/>
    <w:rsid w:val="00D2051F"/>
    <w:rsid w:val="00D2083D"/>
    <w:rsid w:val="00D21343"/>
    <w:rsid w:val="00D21348"/>
    <w:rsid w:val="00D2240A"/>
    <w:rsid w:val="00D22773"/>
    <w:rsid w:val="00D22838"/>
    <w:rsid w:val="00D22DF9"/>
    <w:rsid w:val="00D237CB"/>
    <w:rsid w:val="00D24C3E"/>
    <w:rsid w:val="00D25263"/>
    <w:rsid w:val="00D261D7"/>
    <w:rsid w:val="00D2691B"/>
    <w:rsid w:val="00D26B8E"/>
    <w:rsid w:val="00D27421"/>
    <w:rsid w:val="00D2794F"/>
    <w:rsid w:val="00D279C9"/>
    <w:rsid w:val="00D30226"/>
    <w:rsid w:val="00D3044E"/>
    <w:rsid w:val="00D30521"/>
    <w:rsid w:val="00D31514"/>
    <w:rsid w:val="00D318C7"/>
    <w:rsid w:val="00D31A0E"/>
    <w:rsid w:val="00D329F4"/>
    <w:rsid w:val="00D32FAA"/>
    <w:rsid w:val="00D33318"/>
    <w:rsid w:val="00D33F25"/>
    <w:rsid w:val="00D340EF"/>
    <w:rsid w:val="00D34498"/>
    <w:rsid w:val="00D371C7"/>
    <w:rsid w:val="00D37959"/>
    <w:rsid w:val="00D37EEB"/>
    <w:rsid w:val="00D40001"/>
    <w:rsid w:val="00D40108"/>
    <w:rsid w:val="00D409A7"/>
    <w:rsid w:val="00D40A1E"/>
    <w:rsid w:val="00D429C1"/>
    <w:rsid w:val="00D437E7"/>
    <w:rsid w:val="00D43BF4"/>
    <w:rsid w:val="00D43E94"/>
    <w:rsid w:val="00D445F8"/>
    <w:rsid w:val="00D447DD"/>
    <w:rsid w:val="00D4569D"/>
    <w:rsid w:val="00D4596C"/>
    <w:rsid w:val="00D45A41"/>
    <w:rsid w:val="00D4600E"/>
    <w:rsid w:val="00D46053"/>
    <w:rsid w:val="00D463D0"/>
    <w:rsid w:val="00D464A1"/>
    <w:rsid w:val="00D473C0"/>
    <w:rsid w:val="00D47919"/>
    <w:rsid w:val="00D47B4A"/>
    <w:rsid w:val="00D513DB"/>
    <w:rsid w:val="00D51D4B"/>
    <w:rsid w:val="00D5292E"/>
    <w:rsid w:val="00D52DFC"/>
    <w:rsid w:val="00D53592"/>
    <w:rsid w:val="00D53BA2"/>
    <w:rsid w:val="00D53D12"/>
    <w:rsid w:val="00D551C4"/>
    <w:rsid w:val="00D55C54"/>
    <w:rsid w:val="00D55D6A"/>
    <w:rsid w:val="00D56128"/>
    <w:rsid w:val="00D56D19"/>
    <w:rsid w:val="00D57058"/>
    <w:rsid w:val="00D573CE"/>
    <w:rsid w:val="00D5765A"/>
    <w:rsid w:val="00D60563"/>
    <w:rsid w:val="00D63142"/>
    <w:rsid w:val="00D637C8"/>
    <w:rsid w:val="00D642B2"/>
    <w:rsid w:val="00D6568D"/>
    <w:rsid w:val="00D66C1C"/>
    <w:rsid w:val="00D67282"/>
    <w:rsid w:val="00D675F8"/>
    <w:rsid w:val="00D67A2A"/>
    <w:rsid w:val="00D67EAA"/>
    <w:rsid w:val="00D70544"/>
    <w:rsid w:val="00D70884"/>
    <w:rsid w:val="00D71044"/>
    <w:rsid w:val="00D7188A"/>
    <w:rsid w:val="00D72519"/>
    <w:rsid w:val="00D72747"/>
    <w:rsid w:val="00D72D74"/>
    <w:rsid w:val="00D74DDF"/>
    <w:rsid w:val="00D75129"/>
    <w:rsid w:val="00D7676E"/>
    <w:rsid w:val="00D7786A"/>
    <w:rsid w:val="00D81AE4"/>
    <w:rsid w:val="00D81B7D"/>
    <w:rsid w:val="00D81F02"/>
    <w:rsid w:val="00D8200D"/>
    <w:rsid w:val="00D83213"/>
    <w:rsid w:val="00D83D2D"/>
    <w:rsid w:val="00D84032"/>
    <w:rsid w:val="00D84114"/>
    <w:rsid w:val="00D84D49"/>
    <w:rsid w:val="00D853BB"/>
    <w:rsid w:val="00D85516"/>
    <w:rsid w:val="00D85A61"/>
    <w:rsid w:val="00D85CF4"/>
    <w:rsid w:val="00D86364"/>
    <w:rsid w:val="00D86D32"/>
    <w:rsid w:val="00D87683"/>
    <w:rsid w:val="00D87A6E"/>
    <w:rsid w:val="00D87DA7"/>
    <w:rsid w:val="00D90B40"/>
    <w:rsid w:val="00D91435"/>
    <w:rsid w:val="00D91941"/>
    <w:rsid w:val="00D9204D"/>
    <w:rsid w:val="00D93287"/>
    <w:rsid w:val="00D9367F"/>
    <w:rsid w:val="00D93B7B"/>
    <w:rsid w:val="00D94091"/>
    <w:rsid w:val="00D94403"/>
    <w:rsid w:val="00D94C16"/>
    <w:rsid w:val="00D95603"/>
    <w:rsid w:val="00D959E2"/>
    <w:rsid w:val="00D96001"/>
    <w:rsid w:val="00D96BEF"/>
    <w:rsid w:val="00D97724"/>
    <w:rsid w:val="00D977E7"/>
    <w:rsid w:val="00D97F28"/>
    <w:rsid w:val="00DA0995"/>
    <w:rsid w:val="00DA108A"/>
    <w:rsid w:val="00DA108C"/>
    <w:rsid w:val="00DA139E"/>
    <w:rsid w:val="00DA13B2"/>
    <w:rsid w:val="00DA2618"/>
    <w:rsid w:val="00DA2EF4"/>
    <w:rsid w:val="00DA37EA"/>
    <w:rsid w:val="00DA3A97"/>
    <w:rsid w:val="00DA3E32"/>
    <w:rsid w:val="00DA48A3"/>
    <w:rsid w:val="00DA4E28"/>
    <w:rsid w:val="00DA5FB7"/>
    <w:rsid w:val="00DA61FD"/>
    <w:rsid w:val="00DA6305"/>
    <w:rsid w:val="00DA6465"/>
    <w:rsid w:val="00DA6726"/>
    <w:rsid w:val="00DA76FF"/>
    <w:rsid w:val="00DA7E29"/>
    <w:rsid w:val="00DB064B"/>
    <w:rsid w:val="00DB2038"/>
    <w:rsid w:val="00DB399E"/>
    <w:rsid w:val="00DB3E38"/>
    <w:rsid w:val="00DB4A64"/>
    <w:rsid w:val="00DB5072"/>
    <w:rsid w:val="00DB50DB"/>
    <w:rsid w:val="00DB557D"/>
    <w:rsid w:val="00DB5ADD"/>
    <w:rsid w:val="00DB67F5"/>
    <w:rsid w:val="00DB748B"/>
    <w:rsid w:val="00DB77CC"/>
    <w:rsid w:val="00DC1AF8"/>
    <w:rsid w:val="00DC1B09"/>
    <w:rsid w:val="00DC1B1F"/>
    <w:rsid w:val="00DC4220"/>
    <w:rsid w:val="00DC48D5"/>
    <w:rsid w:val="00DC6631"/>
    <w:rsid w:val="00DC6DA7"/>
    <w:rsid w:val="00DC782C"/>
    <w:rsid w:val="00DD08AA"/>
    <w:rsid w:val="00DD0CF9"/>
    <w:rsid w:val="00DD109F"/>
    <w:rsid w:val="00DD19F6"/>
    <w:rsid w:val="00DD23DA"/>
    <w:rsid w:val="00DD2474"/>
    <w:rsid w:val="00DD2694"/>
    <w:rsid w:val="00DD2BF0"/>
    <w:rsid w:val="00DD2C57"/>
    <w:rsid w:val="00DD32DA"/>
    <w:rsid w:val="00DD33FF"/>
    <w:rsid w:val="00DD396E"/>
    <w:rsid w:val="00DD3FDD"/>
    <w:rsid w:val="00DD4347"/>
    <w:rsid w:val="00DD47D8"/>
    <w:rsid w:val="00DD4A1C"/>
    <w:rsid w:val="00DD4B5C"/>
    <w:rsid w:val="00DD4F05"/>
    <w:rsid w:val="00DD5C06"/>
    <w:rsid w:val="00DD6009"/>
    <w:rsid w:val="00DD6B4A"/>
    <w:rsid w:val="00DD6BDB"/>
    <w:rsid w:val="00DD719E"/>
    <w:rsid w:val="00DD784A"/>
    <w:rsid w:val="00DE0628"/>
    <w:rsid w:val="00DE1544"/>
    <w:rsid w:val="00DE1B39"/>
    <w:rsid w:val="00DE2373"/>
    <w:rsid w:val="00DE2673"/>
    <w:rsid w:val="00DE2E76"/>
    <w:rsid w:val="00DE428C"/>
    <w:rsid w:val="00DE42E8"/>
    <w:rsid w:val="00DE439D"/>
    <w:rsid w:val="00DE48CD"/>
    <w:rsid w:val="00DE4E1E"/>
    <w:rsid w:val="00DE5870"/>
    <w:rsid w:val="00DE5FF7"/>
    <w:rsid w:val="00DE646D"/>
    <w:rsid w:val="00DE651C"/>
    <w:rsid w:val="00DE6547"/>
    <w:rsid w:val="00DE79B2"/>
    <w:rsid w:val="00DF0A20"/>
    <w:rsid w:val="00DF0E09"/>
    <w:rsid w:val="00DF11FF"/>
    <w:rsid w:val="00DF1DA1"/>
    <w:rsid w:val="00DF1F6C"/>
    <w:rsid w:val="00DF21A9"/>
    <w:rsid w:val="00DF30A8"/>
    <w:rsid w:val="00DF3567"/>
    <w:rsid w:val="00DF415E"/>
    <w:rsid w:val="00E00357"/>
    <w:rsid w:val="00E0124A"/>
    <w:rsid w:val="00E017DD"/>
    <w:rsid w:val="00E02E31"/>
    <w:rsid w:val="00E03F08"/>
    <w:rsid w:val="00E0644B"/>
    <w:rsid w:val="00E06611"/>
    <w:rsid w:val="00E06703"/>
    <w:rsid w:val="00E06A7B"/>
    <w:rsid w:val="00E07B3B"/>
    <w:rsid w:val="00E07ECA"/>
    <w:rsid w:val="00E10F86"/>
    <w:rsid w:val="00E11138"/>
    <w:rsid w:val="00E117DA"/>
    <w:rsid w:val="00E11FD9"/>
    <w:rsid w:val="00E12547"/>
    <w:rsid w:val="00E12C27"/>
    <w:rsid w:val="00E12F19"/>
    <w:rsid w:val="00E130D4"/>
    <w:rsid w:val="00E14BC4"/>
    <w:rsid w:val="00E14D68"/>
    <w:rsid w:val="00E15438"/>
    <w:rsid w:val="00E1590F"/>
    <w:rsid w:val="00E15DB3"/>
    <w:rsid w:val="00E167ED"/>
    <w:rsid w:val="00E201CE"/>
    <w:rsid w:val="00E2072F"/>
    <w:rsid w:val="00E21D42"/>
    <w:rsid w:val="00E22CF8"/>
    <w:rsid w:val="00E23CA5"/>
    <w:rsid w:val="00E24344"/>
    <w:rsid w:val="00E24630"/>
    <w:rsid w:val="00E254A7"/>
    <w:rsid w:val="00E26A38"/>
    <w:rsid w:val="00E27EE5"/>
    <w:rsid w:val="00E30647"/>
    <w:rsid w:val="00E30EAB"/>
    <w:rsid w:val="00E317E4"/>
    <w:rsid w:val="00E33959"/>
    <w:rsid w:val="00E344F3"/>
    <w:rsid w:val="00E35091"/>
    <w:rsid w:val="00E35397"/>
    <w:rsid w:val="00E35B00"/>
    <w:rsid w:val="00E35C6F"/>
    <w:rsid w:val="00E3694F"/>
    <w:rsid w:val="00E37F9E"/>
    <w:rsid w:val="00E40E7B"/>
    <w:rsid w:val="00E41066"/>
    <w:rsid w:val="00E41B79"/>
    <w:rsid w:val="00E41E5F"/>
    <w:rsid w:val="00E4216C"/>
    <w:rsid w:val="00E4242D"/>
    <w:rsid w:val="00E42F82"/>
    <w:rsid w:val="00E42FB1"/>
    <w:rsid w:val="00E430DD"/>
    <w:rsid w:val="00E43F86"/>
    <w:rsid w:val="00E44A95"/>
    <w:rsid w:val="00E44CB6"/>
    <w:rsid w:val="00E44E90"/>
    <w:rsid w:val="00E45258"/>
    <w:rsid w:val="00E46A5A"/>
    <w:rsid w:val="00E4731A"/>
    <w:rsid w:val="00E47646"/>
    <w:rsid w:val="00E502BB"/>
    <w:rsid w:val="00E50629"/>
    <w:rsid w:val="00E511D2"/>
    <w:rsid w:val="00E51F75"/>
    <w:rsid w:val="00E51FED"/>
    <w:rsid w:val="00E52309"/>
    <w:rsid w:val="00E5367D"/>
    <w:rsid w:val="00E54018"/>
    <w:rsid w:val="00E541FA"/>
    <w:rsid w:val="00E5488F"/>
    <w:rsid w:val="00E54C93"/>
    <w:rsid w:val="00E5523D"/>
    <w:rsid w:val="00E55412"/>
    <w:rsid w:val="00E55FC6"/>
    <w:rsid w:val="00E5648C"/>
    <w:rsid w:val="00E566B6"/>
    <w:rsid w:val="00E577BE"/>
    <w:rsid w:val="00E57CBB"/>
    <w:rsid w:val="00E603A7"/>
    <w:rsid w:val="00E6058B"/>
    <w:rsid w:val="00E607C0"/>
    <w:rsid w:val="00E60EEB"/>
    <w:rsid w:val="00E615B0"/>
    <w:rsid w:val="00E61E7D"/>
    <w:rsid w:val="00E61EAB"/>
    <w:rsid w:val="00E62BCD"/>
    <w:rsid w:val="00E6397B"/>
    <w:rsid w:val="00E642EF"/>
    <w:rsid w:val="00E64A68"/>
    <w:rsid w:val="00E65B29"/>
    <w:rsid w:val="00E65E7F"/>
    <w:rsid w:val="00E67E0D"/>
    <w:rsid w:val="00E703A4"/>
    <w:rsid w:val="00E70C6A"/>
    <w:rsid w:val="00E72089"/>
    <w:rsid w:val="00E72C59"/>
    <w:rsid w:val="00E7375E"/>
    <w:rsid w:val="00E73CD1"/>
    <w:rsid w:val="00E73EFA"/>
    <w:rsid w:val="00E745AE"/>
    <w:rsid w:val="00E7498C"/>
    <w:rsid w:val="00E75106"/>
    <w:rsid w:val="00E75163"/>
    <w:rsid w:val="00E75C8F"/>
    <w:rsid w:val="00E76952"/>
    <w:rsid w:val="00E76E93"/>
    <w:rsid w:val="00E76EB1"/>
    <w:rsid w:val="00E77E26"/>
    <w:rsid w:val="00E80FE9"/>
    <w:rsid w:val="00E81014"/>
    <w:rsid w:val="00E81689"/>
    <w:rsid w:val="00E83266"/>
    <w:rsid w:val="00E83409"/>
    <w:rsid w:val="00E834AC"/>
    <w:rsid w:val="00E838DF"/>
    <w:rsid w:val="00E84420"/>
    <w:rsid w:val="00E849AA"/>
    <w:rsid w:val="00E85B40"/>
    <w:rsid w:val="00E8682C"/>
    <w:rsid w:val="00E871DA"/>
    <w:rsid w:val="00E90059"/>
    <w:rsid w:val="00E90979"/>
    <w:rsid w:val="00E91CBE"/>
    <w:rsid w:val="00E92454"/>
    <w:rsid w:val="00E92A9F"/>
    <w:rsid w:val="00E92C5D"/>
    <w:rsid w:val="00E92F27"/>
    <w:rsid w:val="00E93319"/>
    <w:rsid w:val="00E93DDE"/>
    <w:rsid w:val="00E94816"/>
    <w:rsid w:val="00E95A5A"/>
    <w:rsid w:val="00E95AA6"/>
    <w:rsid w:val="00E95CF6"/>
    <w:rsid w:val="00E96E7B"/>
    <w:rsid w:val="00E9796F"/>
    <w:rsid w:val="00E97BE3"/>
    <w:rsid w:val="00EA0FB4"/>
    <w:rsid w:val="00EA1752"/>
    <w:rsid w:val="00EA1DD3"/>
    <w:rsid w:val="00EA2EAF"/>
    <w:rsid w:val="00EA3D92"/>
    <w:rsid w:val="00EA430B"/>
    <w:rsid w:val="00EA476E"/>
    <w:rsid w:val="00EA477C"/>
    <w:rsid w:val="00EA48BC"/>
    <w:rsid w:val="00EA4A46"/>
    <w:rsid w:val="00EA4B09"/>
    <w:rsid w:val="00EA5982"/>
    <w:rsid w:val="00EA60BC"/>
    <w:rsid w:val="00EA646D"/>
    <w:rsid w:val="00EA67A2"/>
    <w:rsid w:val="00EA717C"/>
    <w:rsid w:val="00EB13D2"/>
    <w:rsid w:val="00EB24FC"/>
    <w:rsid w:val="00EB25CB"/>
    <w:rsid w:val="00EB318E"/>
    <w:rsid w:val="00EB41EC"/>
    <w:rsid w:val="00EB47DC"/>
    <w:rsid w:val="00EB6316"/>
    <w:rsid w:val="00EB6422"/>
    <w:rsid w:val="00EB70EA"/>
    <w:rsid w:val="00EB79A6"/>
    <w:rsid w:val="00EB7A84"/>
    <w:rsid w:val="00EB7C2B"/>
    <w:rsid w:val="00EC0202"/>
    <w:rsid w:val="00EC069D"/>
    <w:rsid w:val="00EC1F99"/>
    <w:rsid w:val="00EC333E"/>
    <w:rsid w:val="00EC4222"/>
    <w:rsid w:val="00EC4261"/>
    <w:rsid w:val="00EC4443"/>
    <w:rsid w:val="00EC4713"/>
    <w:rsid w:val="00EC4C17"/>
    <w:rsid w:val="00EC505C"/>
    <w:rsid w:val="00EC5782"/>
    <w:rsid w:val="00EC6091"/>
    <w:rsid w:val="00EC6098"/>
    <w:rsid w:val="00EC63AF"/>
    <w:rsid w:val="00EC65CD"/>
    <w:rsid w:val="00EC6676"/>
    <w:rsid w:val="00EC6CDB"/>
    <w:rsid w:val="00EC6F6A"/>
    <w:rsid w:val="00EC71F4"/>
    <w:rsid w:val="00EC72F1"/>
    <w:rsid w:val="00EC7B85"/>
    <w:rsid w:val="00EC7CF4"/>
    <w:rsid w:val="00EC7FA6"/>
    <w:rsid w:val="00ED0EE0"/>
    <w:rsid w:val="00ED1A08"/>
    <w:rsid w:val="00ED1B99"/>
    <w:rsid w:val="00ED22ED"/>
    <w:rsid w:val="00ED2A28"/>
    <w:rsid w:val="00ED30CB"/>
    <w:rsid w:val="00ED4617"/>
    <w:rsid w:val="00ED4EA5"/>
    <w:rsid w:val="00ED5968"/>
    <w:rsid w:val="00ED5E4A"/>
    <w:rsid w:val="00ED6F8C"/>
    <w:rsid w:val="00ED7AF5"/>
    <w:rsid w:val="00EE001D"/>
    <w:rsid w:val="00EE03EF"/>
    <w:rsid w:val="00EE07D6"/>
    <w:rsid w:val="00EE0944"/>
    <w:rsid w:val="00EE0B10"/>
    <w:rsid w:val="00EE157A"/>
    <w:rsid w:val="00EE1F5E"/>
    <w:rsid w:val="00EE2374"/>
    <w:rsid w:val="00EE30A9"/>
    <w:rsid w:val="00EE3399"/>
    <w:rsid w:val="00EE3D86"/>
    <w:rsid w:val="00EE3D8B"/>
    <w:rsid w:val="00EE41CB"/>
    <w:rsid w:val="00EE4DFA"/>
    <w:rsid w:val="00EE4FBA"/>
    <w:rsid w:val="00EE506B"/>
    <w:rsid w:val="00EE5FF5"/>
    <w:rsid w:val="00EE6779"/>
    <w:rsid w:val="00EE6E42"/>
    <w:rsid w:val="00EE70A5"/>
    <w:rsid w:val="00EE7420"/>
    <w:rsid w:val="00EE7934"/>
    <w:rsid w:val="00EE79E9"/>
    <w:rsid w:val="00EF00FA"/>
    <w:rsid w:val="00EF0203"/>
    <w:rsid w:val="00EF1EF2"/>
    <w:rsid w:val="00EF2209"/>
    <w:rsid w:val="00EF2837"/>
    <w:rsid w:val="00EF2ED8"/>
    <w:rsid w:val="00EF3A3C"/>
    <w:rsid w:val="00EF3E08"/>
    <w:rsid w:val="00EF3E5E"/>
    <w:rsid w:val="00EF5040"/>
    <w:rsid w:val="00EF61F1"/>
    <w:rsid w:val="00EF62D3"/>
    <w:rsid w:val="00EF7E16"/>
    <w:rsid w:val="00F0009F"/>
    <w:rsid w:val="00F02AAD"/>
    <w:rsid w:val="00F03576"/>
    <w:rsid w:val="00F04B2D"/>
    <w:rsid w:val="00F04CD1"/>
    <w:rsid w:val="00F051A0"/>
    <w:rsid w:val="00F052AD"/>
    <w:rsid w:val="00F0548E"/>
    <w:rsid w:val="00F05556"/>
    <w:rsid w:val="00F06E3D"/>
    <w:rsid w:val="00F071BC"/>
    <w:rsid w:val="00F07BC4"/>
    <w:rsid w:val="00F108DC"/>
    <w:rsid w:val="00F112F4"/>
    <w:rsid w:val="00F114E3"/>
    <w:rsid w:val="00F13805"/>
    <w:rsid w:val="00F141B8"/>
    <w:rsid w:val="00F1492D"/>
    <w:rsid w:val="00F14B28"/>
    <w:rsid w:val="00F15526"/>
    <w:rsid w:val="00F159A3"/>
    <w:rsid w:val="00F15ECF"/>
    <w:rsid w:val="00F16D28"/>
    <w:rsid w:val="00F16F35"/>
    <w:rsid w:val="00F1756A"/>
    <w:rsid w:val="00F17AB9"/>
    <w:rsid w:val="00F17DFE"/>
    <w:rsid w:val="00F20828"/>
    <w:rsid w:val="00F20BBF"/>
    <w:rsid w:val="00F20EA6"/>
    <w:rsid w:val="00F21083"/>
    <w:rsid w:val="00F21447"/>
    <w:rsid w:val="00F2156E"/>
    <w:rsid w:val="00F21A3A"/>
    <w:rsid w:val="00F2205D"/>
    <w:rsid w:val="00F22810"/>
    <w:rsid w:val="00F22FDA"/>
    <w:rsid w:val="00F23228"/>
    <w:rsid w:val="00F23791"/>
    <w:rsid w:val="00F238EB"/>
    <w:rsid w:val="00F2446A"/>
    <w:rsid w:val="00F257E7"/>
    <w:rsid w:val="00F260AC"/>
    <w:rsid w:val="00F26212"/>
    <w:rsid w:val="00F26E84"/>
    <w:rsid w:val="00F2711E"/>
    <w:rsid w:val="00F271D5"/>
    <w:rsid w:val="00F273C0"/>
    <w:rsid w:val="00F27639"/>
    <w:rsid w:val="00F27E22"/>
    <w:rsid w:val="00F3094E"/>
    <w:rsid w:val="00F30AC9"/>
    <w:rsid w:val="00F317F9"/>
    <w:rsid w:val="00F3196D"/>
    <w:rsid w:val="00F321F6"/>
    <w:rsid w:val="00F3222E"/>
    <w:rsid w:val="00F326CA"/>
    <w:rsid w:val="00F326CD"/>
    <w:rsid w:val="00F32FFC"/>
    <w:rsid w:val="00F34E76"/>
    <w:rsid w:val="00F35615"/>
    <w:rsid w:val="00F35768"/>
    <w:rsid w:val="00F35C21"/>
    <w:rsid w:val="00F36420"/>
    <w:rsid w:val="00F36F75"/>
    <w:rsid w:val="00F4040A"/>
    <w:rsid w:val="00F4186A"/>
    <w:rsid w:val="00F41FF5"/>
    <w:rsid w:val="00F425C5"/>
    <w:rsid w:val="00F42A4E"/>
    <w:rsid w:val="00F435FC"/>
    <w:rsid w:val="00F4370F"/>
    <w:rsid w:val="00F43869"/>
    <w:rsid w:val="00F442B1"/>
    <w:rsid w:val="00F442F8"/>
    <w:rsid w:val="00F450A8"/>
    <w:rsid w:val="00F453F5"/>
    <w:rsid w:val="00F456A6"/>
    <w:rsid w:val="00F45E2B"/>
    <w:rsid w:val="00F4620F"/>
    <w:rsid w:val="00F465EB"/>
    <w:rsid w:val="00F4687A"/>
    <w:rsid w:val="00F46E64"/>
    <w:rsid w:val="00F47A67"/>
    <w:rsid w:val="00F50421"/>
    <w:rsid w:val="00F512B3"/>
    <w:rsid w:val="00F518D6"/>
    <w:rsid w:val="00F51D7E"/>
    <w:rsid w:val="00F52687"/>
    <w:rsid w:val="00F5298A"/>
    <w:rsid w:val="00F5409B"/>
    <w:rsid w:val="00F54B48"/>
    <w:rsid w:val="00F54F63"/>
    <w:rsid w:val="00F56911"/>
    <w:rsid w:val="00F5738D"/>
    <w:rsid w:val="00F57BE9"/>
    <w:rsid w:val="00F61BA7"/>
    <w:rsid w:val="00F61CED"/>
    <w:rsid w:val="00F644E6"/>
    <w:rsid w:val="00F64BC9"/>
    <w:rsid w:val="00F65533"/>
    <w:rsid w:val="00F65A0F"/>
    <w:rsid w:val="00F65BCC"/>
    <w:rsid w:val="00F66525"/>
    <w:rsid w:val="00F6657A"/>
    <w:rsid w:val="00F71207"/>
    <w:rsid w:val="00F7148A"/>
    <w:rsid w:val="00F71CA3"/>
    <w:rsid w:val="00F71CDD"/>
    <w:rsid w:val="00F7215D"/>
    <w:rsid w:val="00F72848"/>
    <w:rsid w:val="00F72E85"/>
    <w:rsid w:val="00F72F51"/>
    <w:rsid w:val="00F72F79"/>
    <w:rsid w:val="00F7333C"/>
    <w:rsid w:val="00F73493"/>
    <w:rsid w:val="00F7491A"/>
    <w:rsid w:val="00F7522B"/>
    <w:rsid w:val="00F76126"/>
    <w:rsid w:val="00F76254"/>
    <w:rsid w:val="00F766E8"/>
    <w:rsid w:val="00F7762E"/>
    <w:rsid w:val="00F77E7E"/>
    <w:rsid w:val="00F8077F"/>
    <w:rsid w:val="00F809DA"/>
    <w:rsid w:val="00F80BA9"/>
    <w:rsid w:val="00F80C5E"/>
    <w:rsid w:val="00F82FED"/>
    <w:rsid w:val="00F837A9"/>
    <w:rsid w:val="00F83A84"/>
    <w:rsid w:val="00F83AE9"/>
    <w:rsid w:val="00F85B6A"/>
    <w:rsid w:val="00F8663F"/>
    <w:rsid w:val="00F86993"/>
    <w:rsid w:val="00F86BCE"/>
    <w:rsid w:val="00F8703C"/>
    <w:rsid w:val="00F872D5"/>
    <w:rsid w:val="00F90035"/>
    <w:rsid w:val="00F90968"/>
    <w:rsid w:val="00F91CFE"/>
    <w:rsid w:val="00F923B4"/>
    <w:rsid w:val="00F940E1"/>
    <w:rsid w:val="00F941C5"/>
    <w:rsid w:val="00F944D5"/>
    <w:rsid w:val="00F945DE"/>
    <w:rsid w:val="00F946E3"/>
    <w:rsid w:val="00F958A5"/>
    <w:rsid w:val="00F95B09"/>
    <w:rsid w:val="00F965FF"/>
    <w:rsid w:val="00F96D10"/>
    <w:rsid w:val="00FA0A2F"/>
    <w:rsid w:val="00FA0AF7"/>
    <w:rsid w:val="00FA0CAE"/>
    <w:rsid w:val="00FA12DF"/>
    <w:rsid w:val="00FA1B41"/>
    <w:rsid w:val="00FA2509"/>
    <w:rsid w:val="00FA284A"/>
    <w:rsid w:val="00FA37CC"/>
    <w:rsid w:val="00FA3F10"/>
    <w:rsid w:val="00FA4148"/>
    <w:rsid w:val="00FA4636"/>
    <w:rsid w:val="00FA56C9"/>
    <w:rsid w:val="00FA6164"/>
    <w:rsid w:val="00FA72A5"/>
    <w:rsid w:val="00FA798A"/>
    <w:rsid w:val="00FB01FD"/>
    <w:rsid w:val="00FB0824"/>
    <w:rsid w:val="00FB1536"/>
    <w:rsid w:val="00FB1659"/>
    <w:rsid w:val="00FB1A4D"/>
    <w:rsid w:val="00FB1E1B"/>
    <w:rsid w:val="00FB2E13"/>
    <w:rsid w:val="00FB2E2A"/>
    <w:rsid w:val="00FB4206"/>
    <w:rsid w:val="00FB5114"/>
    <w:rsid w:val="00FB55DE"/>
    <w:rsid w:val="00FB5823"/>
    <w:rsid w:val="00FB5895"/>
    <w:rsid w:val="00FB62E8"/>
    <w:rsid w:val="00FB643A"/>
    <w:rsid w:val="00FB672A"/>
    <w:rsid w:val="00FB6B0B"/>
    <w:rsid w:val="00FB7284"/>
    <w:rsid w:val="00FB76D7"/>
    <w:rsid w:val="00FC0111"/>
    <w:rsid w:val="00FC067A"/>
    <w:rsid w:val="00FC0C80"/>
    <w:rsid w:val="00FC11C9"/>
    <w:rsid w:val="00FC1470"/>
    <w:rsid w:val="00FC1C58"/>
    <w:rsid w:val="00FC2093"/>
    <w:rsid w:val="00FC2499"/>
    <w:rsid w:val="00FC2F6F"/>
    <w:rsid w:val="00FC36EB"/>
    <w:rsid w:val="00FC5173"/>
    <w:rsid w:val="00FC5506"/>
    <w:rsid w:val="00FC61A7"/>
    <w:rsid w:val="00FC68A8"/>
    <w:rsid w:val="00FC701B"/>
    <w:rsid w:val="00FC77B9"/>
    <w:rsid w:val="00FD0244"/>
    <w:rsid w:val="00FD0ADA"/>
    <w:rsid w:val="00FD0ED4"/>
    <w:rsid w:val="00FD1915"/>
    <w:rsid w:val="00FD1A00"/>
    <w:rsid w:val="00FD21B5"/>
    <w:rsid w:val="00FD27CA"/>
    <w:rsid w:val="00FD32D7"/>
    <w:rsid w:val="00FD3983"/>
    <w:rsid w:val="00FD42A6"/>
    <w:rsid w:val="00FD448C"/>
    <w:rsid w:val="00FD467A"/>
    <w:rsid w:val="00FD4A9C"/>
    <w:rsid w:val="00FD6231"/>
    <w:rsid w:val="00FD7A32"/>
    <w:rsid w:val="00FD7E72"/>
    <w:rsid w:val="00FE03AF"/>
    <w:rsid w:val="00FE15DC"/>
    <w:rsid w:val="00FE1BF7"/>
    <w:rsid w:val="00FE247E"/>
    <w:rsid w:val="00FE2895"/>
    <w:rsid w:val="00FE29CF"/>
    <w:rsid w:val="00FE3F24"/>
    <w:rsid w:val="00FE421E"/>
    <w:rsid w:val="00FE4242"/>
    <w:rsid w:val="00FE4408"/>
    <w:rsid w:val="00FE443F"/>
    <w:rsid w:val="00FE44BF"/>
    <w:rsid w:val="00FE492A"/>
    <w:rsid w:val="00FE4E88"/>
    <w:rsid w:val="00FE4F1D"/>
    <w:rsid w:val="00FE53D2"/>
    <w:rsid w:val="00FE53FF"/>
    <w:rsid w:val="00FE5CEA"/>
    <w:rsid w:val="00FE6429"/>
    <w:rsid w:val="00FE65C0"/>
    <w:rsid w:val="00FE68B3"/>
    <w:rsid w:val="00FE6F7C"/>
    <w:rsid w:val="00FE7396"/>
    <w:rsid w:val="00FE7D95"/>
    <w:rsid w:val="00FF0C99"/>
    <w:rsid w:val="00FF1236"/>
    <w:rsid w:val="00FF1AEE"/>
    <w:rsid w:val="00FF2A11"/>
    <w:rsid w:val="00FF2C9E"/>
    <w:rsid w:val="00FF3A3B"/>
    <w:rsid w:val="00FF4E0D"/>
    <w:rsid w:val="00FF512F"/>
    <w:rsid w:val="00FF5C79"/>
    <w:rsid w:val="00FF6B79"/>
    <w:rsid w:val="00FF6F8F"/>
    <w:rsid w:val="00FF76F4"/>
    <w:rsid w:val="03433F84"/>
    <w:rsid w:val="03970D94"/>
    <w:rsid w:val="03981C5C"/>
    <w:rsid w:val="03EE2336"/>
    <w:rsid w:val="03F77F39"/>
    <w:rsid w:val="040E43B5"/>
    <w:rsid w:val="04C81B17"/>
    <w:rsid w:val="04FD31CE"/>
    <w:rsid w:val="05FC3F93"/>
    <w:rsid w:val="066E57BB"/>
    <w:rsid w:val="07460A55"/>
    <w:rsid w:val="08200168"/>
    <w:rsid w:val="08395955"/>
    <w:rsid w:val="0842480A"/>
    <w:rsid w:val="08743908"/>
    <w:rsid w:val="088B1B5D"/>
    <w:rsid w:val="088F37C7"/>
    <w:rsid w:val="089D7576"/>
    <w:rsid w:val="08A1787D"/>
    <w:rsid w:val="095B61D8"/>
    <w:rsid w:val="099D6404"/>
    <w:rsid w:val="0A622F41"/>
    <w:rsid w:val="0B994F7B"/>
    <w:rsid w:val="0C5113C3"/>
    <w:rsid w:val="0D2A0832"/>
    <w:rsid w:val="0DAB4BFF"/>
    <w:rsid w:val="0F372BB1"/>
    <w:rsid w:val="0F7C2CF7"/>
    <w:rsid w:val="10305890"/>
    <w:rsid w:val="106A6D8A"/>
    <w:rsid w:val="11A976A8"/>
    <w:rsid w:val="125E4936"/>
    <w:rsid w:val="12C40536"/>
    <w:rsid w:val="132A70A4"/>
    <w:rsid w:val="134032AD"/>
    <w:rsid w:val="1376760D"/>
    <w:rsid w:val="13AC16D1"/>
    <w:rsid w:val="13AD4DEB"/>
    <w:rsid w:val="14B14FFE"/>
    <w:rsid w:val="14E86739"/>
    <w:rsid w:val="168F0987"/>
    <w:rsid w:val="16C17241"/>
    <w:rsid w:val="16DE4297"/>
    <w:rsid w:val="17442FCA"/>
    <w:rsid w:val="17895171"/>
    <w:rsid w:val="17FF44C5"/>
    <w:rsid w:val="18860C9B"/>
    <w:rsid w:val="19056777"/>
    <w:rsid w:val="19C32E65"/>
    <w:rsid w:val="1A136006"/>
    <w:rsid w:val="1A8E701D"/>
    <w:rsid w:val="1ABA5CC1"/>
    <w:rsid w:val="1B4E25DC"/>
    <w:rsid w:val="1C14134C"/>
    <w:rsid w:val="1C226873"/>
    <w:rsid w:val="1C60153D"/>
    <w:rsid w:val="1C731A53"/>
    <w:rsid w:val="1DBA1D2D"/>
    <w:rsid w:val="1E032835"/>
    <w:rsid w:val="1E9C2BD2"/>
    <w:rsid w:val="1EC11B21"/>
    <w:rsid w:val="1EF00019"/>
    <w:rsid w:val="1F5917C5"/>
    <w:rsid w:val="1F871A02"/>
    <w:rsid w:val="1FBA3FC9"/>
    <w:rsid w:val="1FF43DAE"/>
    <w:rsid w:val="206D21E8"/>
    <w:rsid w:val="20FB7A02"/>
    <w:rsid w:val="217C1966"/>
    <w:rsid w:val="21A12149"/>
    <w:rsid w:val="221832A0"/>
    <w:rsid w:val="22265D64"/>
    <w:rsid w:val="22D236F9"/>
    <w:rsid w:val="23A106E4"/>
    <w:rsid w:val="23A44173"/>
    <w:rsid w:val="23C51BBE"/>
    <w:rsid w:val="24E71883"/>
    <w:rsid w:val="25D927B4"/>
    <w:rsid w:val="26844FA4"/>
    <w:rsid w:val="27466F3A"/>
    <w:rsid w:val="278857B8"/>
    <w:rsid w:val="27BD5803"/>
    <w:rsid w:val="28397C40"/>
    <w:rsid w:val="28702626"/>
    <w:rsid w:val="2879797C"/>
    <w:rsid w:val="289E6748"/>
    <w:rsid w:val="29001E4B"/>
    <w:rsid w:val="29606D8E"/>
    <w:rsid w:val="29B449E4"/>
    <w:rsid w:val="2A3C1140"/>
    <w:rsid w:val="2A73664D"/>
    <w:rsid w:val="2A7F14C7"/>
    <w:rsid w:val="2AA333D6"/>
    <w:rsid w:val="2B01054F"/>
    <w:rsid w:val="2B440C9A"/>
    <w:rsid w:val="2B556E6F"/>
    <w:rsid w:val="2BA14AC6"/>
    <w:rsid w:val="2BC453B2"/>
    <w:rsid w:val="2C1A663D"/>
    <w:rsid w:val="2C3A2981"/>
    <w:rsid w:val="2C5B1034"/>
    <w:rsid w:val="2CD81986"/>
    <w:rsid w:val="2DB4223F"/>
    <w:rsid w:val="2E0D3667"/>
    <w:rsid w:val="2E291E44"/>
    <w:rsid w:val="2E2A1718"/>
    <w:rsid w:val="2E2E745B"/>
    <w:rsid w:val="2E6052DD"/>
    <w:rsid w:val="2ED32F23"/>
    <w:rsid w:val="2EE144CD"/>
    <w:rsid w:val="2F9257C7"/>
    <w:rsid w:val="3022375B"/>
    <w:rsid w:val="307750E9"/>
    <w:rsid w:val="314350F7"/>
    <w:rsid w:val="320C2DDF"/>
    <w:rsid w:val="32384404"/>
    <w:rsid w:val="32452FC5"/>
    <w:rsid w:val="327619D7"/>
    <w:rsid w:val="329D695D"/>
    <w:rsid w:val="32B55A55"/>
    <w:rsid w:val="32EB08B8"/>
    <w:rsid w:val="32EE6157"/>
    <w:rsid w:val="3341378C"/>
    <w:rsid w:val="334D6E52"/>
    <w:rsid w:val="33DE5A31"/>
    <w:rsid w:val="342C7F98"/>
    <w:rsid w:val="34533777"/>
    <w:rsid w:val="354220CE"/>
    <w:rsid w:val="361F1526"/>
    <w:rsid w:val="372D5F5A"/>
    <w:rsid w:val="377C2FE5"/>
    <w:rsid w:val="37A4253C"/>
    <w:rsid w:val="37A97B52"/>
    <w:rsid w:val="37D03331"/>
    <w:rsid w:val="382F41EB"/>
    <w:rsid w:val="384A5C7F"/>
    <w:rsid w:val="385F4153"/>
    <w:rsid w:val="38D72A04"/>
    <w:rsid w:val="39801AB6"/>
    <w:rsid w:val="3BB645EB"/>
    <w:rsid w:val="3C5D483B"/>
    <w:rsid w:val="3D8B7DB9"/>
    <w:rsid w:val="3DB42DAD"/>
    <w:rsid w:val="3DBC05DF"/>
    <w:rsid w:val="3E393E87"/>
    <w:rsid w:val="3E6F2664"/>
    <w:rsid w:val="3E923FE9"/>
    <w:rsid w:val="3EE01D9D"/>
    <w:rsid w:val="3F314B61"/>
    <w:rsid w:val="3F9260DA"/>
    <w:rsid w:val="3F9410E8"/>
    <w:rsid w:val="408E08DA"/>
    <w:rsid w:val="40C829D5"/>
    <w:rsid w:val="41E84D4D"/>
    <w:rsid w:val="42772D26"/>
    <w:rsid w:val="42EF6D61"/>
    <w:rsid w:val="436C6603"/>
    <w:rsid w:val="437978CA"/>
    <w:rsid w:val="439B7E87"/>
    <w:rsid w:val="43F16B09"/>
    <w:rsid w:val="440F3FE7"/>
    <w:rsid w:val="44ED5DE7"/>
    <w:rsid w:val="45034D45"/>
    <w:rsid w:val="45CF1C33"/>
    <w:rsid w:val="46965745"/>
    <w:rsid w:val="47573C81"/>
    <w:rsid w:val="48FA3896"/>
    <w:rsid w:val="499A72FA"/>
    <w:rsid w:val="4B160EB1"/>
    <w:rsid w:val="4BC93ADF"/>
    <w:rsid w:val="4C7F348C"/>
    <w:rsid w:val="4C8644B5"/>
    <w:rsid w:val="4D903FFE"/>
    <w:rsid w:val="4DC25072"/>
    <w:rsid w:val="4DEB77F2"/>
    <w:rsid w:val="4EF56C95"/>
    <w:rsid w:val="4F7E41DA"/>
    <w:rsid w:val="503C3D5C"/>
    <w:rsid w:val="50492262"/>
    <w:rsid w:val="50B36CB9"/>
    <w:rsid w:val="513B30AA"/>
    <w:rsid w:val="5151508A"/>
    <w:rsid w:val="518E40DE"/>
    <w:rsid w:val="51932FAD"/>
    <w:rsid w:val="51BF1F00"/>
    <w:rsid w:val="51DC7F7D"/>
    <w:rsid w:val="52DF274B"/>
    <w:rsid w:val="53253909"/>
    <w:rsid w:val="537132FC"/>
    <w:rsid w:val="53D81A15"/>
    <w:rsid w:val="543C118A"/>
    <w:rsid w:val="55B4160E"/>
    <w:rsid w:val="568C5F33"/>
    <w:rsid w:val="575F3656"/>
    <w:rsid w:val="576F0018"/>
    <w:rsid w:val="5927122C"/>
    <w:rsid w:val="5943350B"/>
    <w:rsid w:val="595C45CC"/>
    <w:rsid w:val="5A275F1F"/>
    <w:rsid w:val="5AC8544A"/>
    <w:rsid w:val="5B165364"/>
    <w:rsid w:val="5B57504B"/>
    <w:rsid w:val="5C283570"/>
    <w:rsid w:val="5C3229E8"/>
    <w:rsid w:val="5D066F65"/>
    <w:rsid w:val="5D38456E"/>
    <w:rsid w:val="5DA51B17"/>
    <w:rsid w:val="5DFD0FED"/>
    <w:rsid w:val="5E250A50"/>
    <w:rsid w:val="5E766130"/>
    <w:rsid w:val="5F906D7E"/>
    <w:rsid w:val="60065405"/>
    <w:rsid w:val="607B6CF1"/>
    <w:rsid w:val="60A70823"/>
    <w:rsid w:val="60EB69F2"/>
    <w:rsid w:val="61C41CD1"/>
    <w:rsid w:val="61F7437F"/>
    <w:rsid w:val="61F82EA9"/>
    <w:rsid w:val="62BE310D"/>
    <w:rsid w:val="631677AE"/>
    <w:rsid w:val="633C1B4F"/>
    <w:rsid w:val="63544514"/>
    <w:rsid w:val="635D166D"/>
    <w:rsid w:val="637013A0"/>
    <w:rsid w:val="63ED29F1"/>
    <w:rsid w:val="651D4188"/>
    <w:rsid w:val="673E5311"/>
    <w:rsid w:val="676264A1"/>
    <w:rsid w:val="67D87514"/>
    <w:rsid w:val="685636ED"/>
    <w:rsid w:val="690D143F"/>
    <w:rsid w:val="694F1A58"/>
    <w:rsid w:val="6A240B5F"/>
    <w:rsid w:val="6BF40694"/>
    <w:rsid w:val="6C1121B0"/>
    <w:rsid w:val="6C3B62C3"/>
    <w:rsid w:val="6D0531A3"/>
    <w:rsid w:val="6D747CDF"/>
    <w:rsid w:val="6D91263F"/>
    <w:rsid w:val="6D94212F"/>
    <w:rsid w:val="6DE60902"/>
    <w:rsid w:val="6E0250D6"/>
    <w:rsid w:val="6E4E2CB6"/>
    <w:rsid w:val="6F1426C1"/>
    <w:rsid w:val="6F501113"/>
    <w:rsid w:val="6F653D83"/>
    <w:rsid w:val="6FA34E3E"/>
    <w:rsid w:val="70094E60"/>
    <w:rsid w:val="70351FA2"/>
    <w:rsid w:val="70C808F6"/>
    <w:rsid w:val="713A7C5F"/>
    <w:rsid w:val="721135A2"/>
    <w:rsid w:val="72A20E4A"/>
    <w:rsid w:val="730C2768"/>
    <w:rsid w:val="7395503C"/>
    <w:rsid w:val="73F226EE"/>
    <w:rsid w:val="73F63B5B"/>
    <w:rsid w:val="7487654A"/>
    <w:rsid w:val="75271ADB"/>
    <w:rsid w:val="755F1275"/>
    <w:rsid w:val="758D5DE2"/>
    <w:rsid w:val="75B96B45"/>
    <w:rsid w:val="760560D8"/>
    <w:rsid w:val="76E25CB9"/>
    <w:rsid w:val="772269FE"/>
    <w:rsid w:val="777F5FFA"/>
    <w:rsid w:val="77CB499F"/>
    <w:rsid w:val="77D47CF8"/>
    <w:rsid w:val="780F4F04"/>
    <w:rsid w:val="78BB0EB8"/>
    <w:rsid w:val="79110AD8"/>
    <w:rsid w:val="793547C6"/>
    <w:rsid w:val="79A149AA"/>
    <w:rsid w:val="7A63107E"/>
    <w:rsid w:val="7AB20098"/>
    <w:rsid w:val="7AB655F4"/>
    <w:rsid w:val="7BF5648F"/>
    <w:rsid w:val="7C933BEE"/>
    <w:rsid w:val="7D307BB8"/>
    <w:rsid w:val="7DBC3708"/>
    <w:rsid w:val="7DD144C7"/>
    <w:rsid w:val="7E4B4A2D"/>
    <w:rsid w:val="7E9975A5"/>
    <w:rsid w:val="7EB77A2B"/>
    <w:rsid w:val="7ED52EA3"/>
    <w:rsid w:val="7F9D305D"/>
    <w:rsid w:val="7FD615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4">
    <w:name w:val="heading 1"/>
    <w:basedOn w:val="1"/>
    <w:next w:val="1"/>
    <w:link w:val="39"/>
    <w:qFormat/>
    <w:uiPriority w:val="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5"/>
    <w:qFormat/>
    <w:uiPriority w:val="0"/>
    <w:pPr>
      <w:widowControl/>
      <w:snapToGrid w:val="0"/>
      <w:spacing w:before="60" w:after="160" w:line="259" w:lineRule="auto"/>
      <w:ind w:right="113"/>
    </w:pPr>
    <w:rPr>
      <w:kern w:val="0"/>
      <w:sz w:val="18"/>
      <w:szCs w:val="20"/>
    </w:rPr>
  </w:style>
  <w:style w:type="paragraph" w:styleId="3">
    <w:name w:val="Body Text 2"/>
    <w:basedOn w:val="1"/>
    <w:next w:val="2"/>
    <w:qFormat/>
    <w:uiPriority w:val="0"/>
    <w:pPr>
      <w:spacing w:after="120" w:line="480" w:lineRule="auto"/>
    </w:pPr>
    <w:rPr>
      <w:sz w:val="28"/>
    </w:rPr>
  </w:style>
  <w:style w:type="paragraph" w:styleId="6">
    <w:name w:val="Normal Indent"/>
    <w:basedOn w:val="1"/>
    <w:link w:val="43"/>
    <w:qFormat/>
    <w:uiPriority w:val="0"/>
    <w:pPr>
      <w:ind w:firstLine="420"/>
    </w:pPr>
    <w:rPr>
      <w:sz w:val="28"/>
      <w:szCs w:val="20"/>
    </w:rPr>
  </w:style>
  <w:style w:type="paragraph" w:styleId="7">
    <w:name w:val="caption"/>
    <w:basedOn w:val="1"/>
    <w:next w:val="1"/>
    <w:qFormat/>
    <w:uiPriority w:val="0"/>
    <w:pPr>
      <w:adjustRightInd w:val="0"/>
      <w:snapToGrid w:val="0"/>
      <w:spacing w:line="360" w:lineRule="exact"/>
      <w:ind w:firstLine="200" w:firstLineChars="200"/>
      <w:textAlignment w:val="baseline"/>
    </w:pPr>
    <w:rPr>
      <w:b/>
      <w:kern w:val="0"/>
      <w:szCs w:val="20"/>
    </w:rPr>
  </w:style>
  <w:style w:type="paragraph" w:styleId="8">
    <w:name w:val="Document Map"/>
    <w:basedOn w:val="1"/>
    <w:link w:val="24"/>
    <w:qFormat/>
    <w:uiPriority w:val="0"/>
    <w:rPr>
      <w:rFonts w:ascii="宋体"/>
      <w:sz w:val="18"/>
      <w:szCs w:val="18"/>
    </w:rPr>
  </w:style>
  <w:style w:type="paragraph" w:styleId="9">
    <w:name w:val="annotation text"/>
    <w:basedOn w:val="1"/>
    <w:qFormat/>
    <w:uiPriority w:val="0"/>
    <w:pPr>
      <w:jc w:val="left"/>
    </w:pPr>
    <w:rPr>
      <w:kern w:val="0"/>
      <w:szCs w:val="20"/>
    </w:rPr>
  </w:style>
  <w:style w:type="paragraph" w:styleId="10">
    <w:name w:val="Body Text Indent"/>
    <w:basedOn w:val="1"/>
    <w:next w:val="2"/>
    <w:link w:val="56"/>
    <w:qFormat/>
    <w:uiPriority w:val="0"/>
    <w:pPr>
      <w:spacing w:after="120" w:line="460" w:lineRule="exact"/>
      <w:ind w:left="420" w:leftChars="200" w:firstLine="200" w:firstLineChars="200"/>
    </w:pPr>
  </w:style>
  <w:style w:type="paragraph" w:styleId="11">
    <w:name w:val="Block Text"/>
    <w:basedOn w:val="1"/>
    <w:qFormat/>
    <w:uiPriority w:val="0"/>
    <w:pPr>
      <w:spacing w:line="408" w:lineRule="auto"/>
      <w:ind w:left="-113" w:right="-510" w:firstLine="510"/>
    </w:pPr>
  </w:style>
  <w:style w:type="paragraph" w:styleId="12">
    <w:name w:val="Plain Text"/>
    <w:basedOn w:val="1"/>
    <w:link w:val="36"/>
    <w:qFormat/>
    <w:uiPriority w:val="0"/>
    <w:rPr>
      <w:rFonts w:ascii="宋体" w:hAnsi="Courier New" w:cs="Courier New"/>
      <w:sz w:val="21"/>
      <w:szCs w:val="21"/>
    </w:rPr>
  </w:style>
  <w:style w:type="paragraph" w:styleId="13">
    <w:name w:val="Balloon Text"/>
    <w:basedOn w:val="1"/>
    <w:link w:val="67"/>
    <w:qFormat/>
    <w:uiPriority w:val="99"/>
    <w:rPr>
      <w:rFonts w:ascii="Calibri" w:hAnsi="Calibri" w:cs="Calibri"/>
      <w:sz w:val="18"/>
      <w:szCs w:val="18"/>
    </w:rPr>
  </w:style>
  <w:style w:type="paragraph" w:styleId="14">
    <w:name w:val="footer"/>
    <w:basedOn w:val="1"/>
    <w:link w:val="42"/>
    <w:qFormat/>
    <w:uiPriority w:val="99"/>
    <w:pPr>
      <w:tabs>
        <w:tab w:val="center" w:pos="4153"/>
        <w:tab w:val="right" w:pos="8306"/>
      </w:tabs>
      <w:snapToGrid w:val="0"/>
      <w:jc w:val="left"/>
    </w:pPr>
    <w:rPr>
      <w:kern w:val="0"/>
      <w:sz w:val="18"/>
      <w:szCs w:val="20"/>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Normal (Web)"/>
    <w:basedOn w:val="1"/>
    <w:link w:val="50"/>
    <w:qFormat/>
    <w:uiPriority w:val="99"/>
    <w:pPr>
      <w:widowControl/>
      <w:spacing w:before="100" w:beforeAutospacing="1" w:after="100" w:afterAutospacing="1"/>
      <w:jc w:val="left"/>
    </w:pPr>
    <w:rPr>
      <w:rFonts w:ascii="宋体" w:hAnsi="宋体"/>
      <w:kern w:val="0"/>
      <w:szCs w:val="20"/>
    </w:rPr>
  </w:style>
  <w:style w:type="paragraph" w:styleId="17">
    <w:name w:val="Body Text First Indent 2"/>
    <w:basedOn w:val="10"/>
    <w:next w:val="1"/>
    <w:link w:val="57"/>
    <w:qFormat/>
    <w:uiPriority w:val="0"/>
    <w:pPr>
      <w:ind w:firstLine="420"/>
    </w:p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qFormat/>
    <w:uiPriority w:val="0"/>
  </w:style>
  <w:style w:type="character" w:styleId="23">
    <w:name w:val="annotation reference"/>
    <w:qFormat/>
    <w:uiPriority w:val="0"/>
    <w:rPr>
      <w:sz w:val="21"/>
    </w:rPr>
  </w:style>
  <w:style w:type="character" w:customStyle="1" w:styleId="24">
    <w:name w:val="文档结构图 字符"/>
    <w:link w:val="8"/>
    <w:qFormat/>
    <w:uiPriority w:val="0"/>
    <w:rPr>
      <w:rFonts w:ascii="宋体"/>
      <w:kern w:val="2"/>
      <w:sz w:val="18"/>
      <w:szCs w:val="18"/>
    </w:rPr>
  </w:style>
  <w:style w:type="character" w:customStyle="1" w:styleId="25">
    <w:name w:val="正文文本 字符"/>
    <w:link w:val="2"/>
    <w:qFormat/>
    <w:locked/>
    <w:uiPriority w:val="0"/>
    <w:rPr>
      <w:sz w:val="18"/>
    </w:rPr>
  </w:style>
  <w:style w:type="paragraph" w:customStyle="1" w:styleId="26">
    <w:name w:val="鸿达表加粗"/>
    <w:basedOn w:val="1"/>
    <w:qFormat/>
    <w:uiPriority w:val="0"/>
    <w:pPr>
      <w:jc w:val="center"/>
    </w:pPr>
    <w:rPr>
      <w:rFonts w:cs="宋体"/>
      <w:b/>
      <w:color w:val="000000"/>
      <w:szCs w:val="20"/>
    </w:rPr>
  </w:style>
  <w:style w:type="paragraph" w:customStyle="1" w:styleId="27">
    <w:name w:val="鸿达表格段落"/>
    <w:basedOn w:val="1"/>
    <w:qFormat/>
    <w:uiPriority w:val="0"/>
    <w:pPr>
      <w:adjustRightInd w:val="0"/>
      <w:snapToGrid w:val="0"/>
      <w:ind w:firstLine="100" w:firstLineChars="100"/>
      <w:jc w:val="left"/>
    </w:pPr>
    <w:rPr>
      <w:rFonts w:ascii="宋体" w:hAnsi="Calibri" w:cs="Calibri"/>
      <w:kern w:val="0"/>
    </w:rPr>
  </w:style>
  <w:style w:type="paragraph" w:customStyle="1" w:styleId="28">
    <w:name w:val="鸿达表格文字"/>
    <w:basedOn w:val="1"/>
    <w:link w:val="45"/>
    <w:qFormat/>
    <w:uiPriority w:val="0"/>
    <w:pPr>
      <w:contextualSpacing/>
      <w:jc w:val="center"/>
      <w:textAlignment w:val="baseline"/>
    </w:pPr>
    <w:rPr>
      <w:kern w:val="0"/>
      <w:szCs w:val="21"/>
    </w:rPr>
  </w:style>
  <w:style w:type="paragraph" w:customStyle="1" w:styleId="29">
    <w:name w:val="表格"/>
    <w:basedOn w:val="1"/>
    <w:next w:val="1"/>
    <w:link w:val="44"/>
    <w:qFormat/>
    <w:uiPriority w:val="0"/>
    <w:pPr>
      <w:adjustRightInd w:val="0"/>
      <w:snapToGrid w:val="0"/>
      <w:spacing w:beforeLines="10" w:afterLines="10" w:line="259" w:lineRule="auto"/>
      <w:jc w:val="center"/>
    </w:pPr>
    <w:rPr>
      <w:rFonts w:ascii="宋体"/>
      <w:kern w:val="0"/>
      <w:szCs w:val="20"/>
    </w:rPr>
  </w:style>
  <w:style w:type="paragraph" w:customStyle="1" w:styleId="30">
    <w:name w:val="表格文字"/>
    <w:basedOn w:val="1"/>
    <w:qFormat/>
    <w:uiPriority w:val="0"/>
    <w:pPr>
      <w:spacing w:line="320" w:lineRule="exact"/>
      <w:jc w:val="center"/>
    </w:pPr>
    <w:rPr>
      <w:sz w:val="21"/>
    </w:rPr>
  </w:style>
  <w:style w:type="character" w:customStyle="1" w:styleId="31">
    <w:name w:val="文档结构图 Char"/>
    <w:qFormat/>
    <w:uiPriority w:val="0"/>
    <w:rPr>
      <w:rFonts w:ascii="宋体"/>
      <w:kern w:val="2"/>
      <w:sz w:val="18"/>
      <w:szCs w:val="18"/>
    </w:rPr>
  </w:style>
  <w:style w:type="character" w:customStyle="1" w:styleId="32">
    <w:name w:val="正文文本 Char"/>
    <w:qFormat/>
    <w:uiPriority w:val="0"/>
    <w:rPr>
      <w:kern w:val="2"/>
      <w:sz w:val="24"/>
      <w:szCs w:val="24"/>
    </w:rPr>
  </w:style>
  <w:style w:type="paragraph" w:customStyle="1" w:styleId="33">
    <w:name w:val="1.正文"/>
    <w:basedOn w:val="1"/>
    <w:link w:val="51"/>
    <w:qFormat/>
    <w:uiPriority w:val="0"/>
    <w:pPr>
      <w:spacing w:line="460" w:lineRule="exact"/>
      <w:ind w:firstLine="200" w:firstLineChars="200"/>
    </w:pPr>
    <w:rPr>
      <w:rFonts w:cs="宋体"/>
      <w:szCs w:val="20"/>
    </w:rPr>
  </w:style>
  <w:style w:type="character" w:customStyle="1" w:styleId="34">
    <w:name w:val="段落 Char"/>
    <w:link w:val="35"/>
    <w:qFormat/>
    <w:uiPriority w:val="99"/>
    <w:rPr>
      <w:kern w:val="2"/>
      <w:sz w:val="28"/>
      <w:szCs w:val="24"/>
    </w:rPr>
  </w:style>
  <w:style w:type="paragraph" w:customStyle="1" w:styleId="35">
    <w:name w:val="段落"/>
    <w:basedOn w:val="12"/>
    <w:link w:val="34"/>
    <w:qFormat/>
    <w:uiPriority w:val="99"/>
    <w:pPr>
      <w:spacing w:line="500" w:lineRule="exact"/>
      <w:ind w:firstLine="578"/>
    </w:pPr>
    <w:rPr>
      <w:rFonts w:ascii="Times New Roman" w:hAnsi="Times New Roman" w:cs="Times New Roman"/>
      <w:sz w:val="28"/>
      <w:szCs w:val="24"/>
    </w:rPr>
  </w:style>
  <w:style w:type="character" w:customStyle="1" w:styleId="36">
    <w:name w:val="纯文本 字符"/>
    <w:link w:val="12"/>
    <w:qFormat/>
    <w:uiPriority w:val="0"/>
    <w:rPr>
      <w:rFonts w:ascii="宋体" w:hAnsi="Courier New" w:cs="Courier New"/>
      <w:kern w:val="2"/>
      <w:sz w:val="21"/>
      <w:szCs w:val="21"/>
    </w:rPr>
  </w:style>
  <w:style w:type="paragraph" w:customStyle="1" w:styleId="37">
    <w:name w:val="鸿达正文"/>
    <w:basedOn w:val="1"/>
    <w:link w:val="38"/>
    <w:qFormat/>
    <w:uiPriority w:val="0"/>
    <w:pPr>
      <w:adjustRightInd w:val="0"/>
      <w:snapToGrid w:val="0"/>
      <w:spacing w:line="520" w:lineRule="exact"/>
      <w:ind w:firstLine="480" w:firstLineChars="200"/>
      <w:textAlignment w:val="baseline"/>
    </w:pPr>
    <w:rPr>
      <w:rFonts w:cs="宋体"/>
      <w:kern w:val="0"/>
      <w:szCs w:val="20"/>
    </w:rPr>
  </w:style>
  <w:style w:type="character" w:customStyle="1" w:styleId="38">
    <w:name w:val="鸿达正文 Char"/>
    <w:link w:val="37"/>
    <w:qFormat/>
    <w:uiPriority w:val="0"/>
    <w:rPr>
      <w:rFonts w:cs="宋体"/>
      <w:sz w:val="24"/>
    </w:rPr>
  </w:style>
  <w:style w:type="character" w:customStyle="1" w:styleId="39">
    <w:name w:val="标题 1 字符"/>
    <w:link w:val="4"/>
    <w:qFormat/>
    <w:uiPriority w:val="9"/>
    <w:rPr>
      <w:rFonts w:eastAsia="黑体"/>
      <w:b/>
      <w:bCs/>
      <w:color w:val="000000"/>
      <w:kern w:val="44"/>
      <w:sz w:val="30"/>
      <w:szCs w:val="30"/>
    </w:rPr>
  </w:style>
  <w:style w:type="character" w:customStyle="1" w:styleId="40">
    <w:name w:val="表格内容 样式 Char"/>
    <w:link w:val="41"/>
    <w:qFormat/>
    <w:locked/>
    <w:uiPriority w:val="0"/>
    <w:rPr>
      <w:bCs/>
      <w:color w:val="000000"/>
      <w:kern w:val="2"/>
      <w:sz w:val="21"/>
      <w:szCs w:val="21"/>
    </w:rPr>
  </w:style>
  <w:style w:type="paragraph" w:customStyle="1" w:styleId="41">
    <w:name w:val="表格内容 样式"/>
    <w:basedOn w:val="1"/>
    <w:link w:val="40"/>
    <w:qFormat/>
    <w:uiPriority w:val="0"/>
    <w:pPr>
      <w:adjustRightInd w:val="0"/>
      <w:snapToGrid w:val="0"/>
      <w:spacing w:line="360" w:lineRule="exact"/>
      <w:jc w:val="center"/>
    </w:pPr>
    <w:rPr>
      <w:bCs/>
      <w:color w:val="000000"/>
      <w:sz w:val="21"/>
      <w:szCs w:val="21"/>
    </w:rPr>
  </w:style>
  <w:style w:type="character" w:customStyle="1" w:styleId="42">
    <w:name w:val="页脚 字符"/>
    <w:basedOn w:val="20"/>
    <w:link w:val="14"/>
    <w:qFormat/>
    <w:uiPriority w:val="99"/>
    <w:rPr>
      <w:sz w:val="18"/>
    </w:rPr>
  </w:style>
  <w:style w:type="character" w:customStyle="1" w:styleId="43">
    <w:name w:val="正文缩进 字符"/>
    <w:basedOn w:val="20"/>
    <w:link w:val="6"/>
    <w:qFormat/>
    <w:uiPriority w:val="0"/>
    <w:rPr>
      <w:kern w:val="2"/>
      <w:sz w:val="28"/>
    </w:rPr>
  </w:style>
  <w:style w:type="character" w:customStyle="1" w:styleId="44">
    <w:name w:val="表格 Char"/>
    <w:link w:val="29"/>
    <w:qFormat/>
    <w:uiPriority w:val="0"/>
    <w:rPr>
      <w:rFonts w:ascii="宋体"/>
      <w:sz w:val="24"/>
    </w:rPr>
  </w:style>
  <w:style w:type="character" w:customStyle="1" w:styleId="45">
    <w:name w:val="鸿达表格文字 Char"/>
    <w:link w:val="28"/>
    <w:qFormat/>
    <w:uiPriority w:val="0"/>
    <w:rPr>
      <w:sz w:val="24"/>
      <w:szCs w:val="21"/>
    </w:rPr>
  </w:style>
  <w:style w:type="paragraph" w:customStyle="1" w:styleId="46">
    <w:name w:val="表格内"/>
    <w:basedOn w:val="1"/>
    <w:link w:val="47"/>
    <w:qFormat/>
    <w:uiPriority w:val="0"/>
    <w:pPr>
      <w:jc w:val="center"/>
    </w:pPr>
    <w:rPr>
      <w:rFonts w:cstheme="minorBidi"/>
      <w:sz w:val="21"/>
      <w:szCs w:val="21"/>
    </w:rPr>
  </w:style>
  <w:style w:type="character" w:customStyle="1" w:styleId="47">
    <w:name w:val="表格内 字符"/>
    <w:basedOn w:val="20"/>
    <w:link w:val="46"/>
    <w:qFormat/>
    <w:uiPriority w:val="0"/>
    <w:rPr>
      <w:rFonts w:cstheme="minorBidi"/>
      <w:kern w:val="2"/>
      <w:sz w:val="21"/>
      <w:szCs w:val="21"/>
    </w:rPr>
  </w:style>
  <w:style w:type="paragraph" w:styleId="48">
    <w:name w:val="Quote"/>
    <w:basedOn w:val="1"/>
    <w:next w:val="1"/>
    <w:link w:val="49"/>
    <w:qFormat/>
    <w:uiPriority w:val="29"/>
    <w:pPr>
      <w:spacing w:before="160" w:after="160"/>
      <w:jc w:val="center"/>
    </w:pPr>
    <w:rPr>
      <w:rFonts w:asciiTheme="minorHAnsi" w:hAnsiTheme="minorHAnsi" w:eastAsiaTheme="minorEastAsia" w:cstheme="minorBidi"/>
      <w:i/>
      <w:iCs/>
      <w:color w:val="404040" w:themeColor="text1" w:themeTint="BF"/>
      <w:sz w:val="21"/>
      <w:szCs w:val="22"/>
      <w14:textFill>
        <w14:solidFill>
          <w14:schemeClr w14:val="tx1">
            <w14:lumMod w14:val="75000"/>
            <w14:lumOff w14:val="25000"/>
          </w14:schemeClr>
        </w14:solidFill>
      </w14:textFill>
    </w:rPr>
  </w:style>
  <w:style w:type="character" w:customStyle="1" w:styleId="49">
    <w:name w:val="引用 字符"/>
    <w:basedOn w:val="20"/>
    <w:link w:val="48"/>
    <w:qFormat/>
    <w:uiPriority w:val="2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50">
    <w:name w:val="普通(网站) 字符"/>
    <w:link w:val="16"/>
    <w:qFormat/>
    <w:locked/>
    <w:uiPriority w:val="0"/>
    <w:rPr>
      <w:rFonts w:ascii="宋体" w:hAnsi="宋体"/>
      <w:sz w:val="24"/>
    </w:rPr>
  </w:style>
  <w:style w:type="character" w:customStyle="1" w:styleId="51">
    <w:name w:val="1.正文 字符"/>
    <w:basedOn w:val="20"/>
    <w:link w:val="33"/>
    <w:qFormat/>
    <w:uiPriority w:val="0"/>
    <w:rPr>
      <w:rFonts w:cs="宋体"/>
      <w:kern w:val="2"/>
      <w:sz w:val="24"/>
    </w:rPr>
  </w:style>
  <w:style w:type="paragraph" w:customStyle="1" w:styleId="52">
    <w:name w:val="表头"/>
    <w:basedOn w:val="1"/>
    <w:link w:val="69"/>
    <w:qFormat/>
    <w:uiPriority w:val="0"/>
    <w:pPr>
      <w:spacing w:line="460" w:lineRule="exact"/>
      <w:ind w:firstLine="200" w:firstLineChars="200"/>
    </w:pPr>
    <w:rPr>
      <w:rFonts w:eastAsia="黑体"/>
    </w:rPr>
  </w:style>
  <w:style w:type="character" w:customStyle="1" w:styleId="53">
    <w:name w:val="表格里文字 字符"/>
    <w:link w:val="54"/>
    <w:qFormat/>
    <w:locked/>
    <w:uiPriority w:val="0"/>
    <w:rPr>
      <w:bCs/>
      <w:color w:val="000000"/>
      <w:kern w:val="2"/>
      <w:sz w:val="21"/>
      <w:szCs w:val="21"/>
    </w:rPr>
  </w:style>
  <w:style w:type="paragraph" w:customStyle="1" w:styleId="54">
    <w:name w:val="表格里文字"/>
    <w:basedOn w:val="1"/>
    <w:link w:val="53"/>
    <w:qFormat/>
    <w:uiPriority w:val="0"/>
    <w:pPr>
      <w:adjustRightInd w:val="0"/>
      <w:snapToGrid w:val="0"/>
      <w:jc w:val="center"/>
    </w:pPr>
    <w:rPr>
      <w:bCs/>
      <w:color w:val="000000"/>
      <w:sz w:val="21"/>
      <w:szCs w:val="21"/>
    </w:rPr>
  </w:style>
  <w:style w:type="character" w:customStyle="1" w:styleId="55">
    <w:name w:val="fontstyle61"/>
    <w:qFormat/>
    <w:uiPriority w:val="99"/>
    <w:rPr>
      <w:rFonts w:ascii="宋体" w:hAnsi="宋体" w:eastAsia="宋体" w:cs="宋体"/>
      <w:color w:val="000000"/>
      <w:sz w:val="28"/>
      <w:szCs w:val="28"/>
    </w:rPr>
  </w:style>
  <w:style w:type="character" w:customStyle="1" w:styleId="56">
    <w:name w:val="正文文本缩进 字符"/>
    <w:basedOn w:val="20"/>
    <w:link w:val="10"/>
    <w:qFormat/>
    <w:uiPriority w:val="0"/>
    <w:rPr>
      <w:kern w:val="2"/>
      <w:sz w:val="24"/>
      <w:szCs w:val="24"/>
    </w:rPr>
  </w:style>
  <w:style w:type="character" w:customStyle="1" w:styleId="57">
    <w:name w:val="正文首行缩进 2 字符"/>
    <w:basedOn w:val="56"/>
    <w:link w:val="17"/>
    <w:qFormat/>
    <w:uiPriority w:val="0"/>
    <w:rPr>
      <w:kern w:val="2"/>
      <w:sz w:val="24"/>
      <w:szCs w:val="24"/>
    </w:rPr>
  </w:style>
  <w:style w:type="paragraph" w:customStyle="1" w:styleId="58">
    <w:name w:val="报告表表格文字"/>
    <w:basedOn w:val="1"/>
    <w:qFormat/>
    <w:uiPriority w:val="0"/>
    <w:pPr>
      <w:autoSpaceDE w:val="0"/>
      <w:autoSpaceDN w:val="0"/>
      <w:adjustRightInd w:val="0"/>
      <w:snapToGrid w:val="0"/>
      <w:spacing w:line="460" w:lineRule="exact"/>
      <w:ind w:firstLine="200" w:firstLineChars="200"/>
      <w:jc w:val="center"/>
    </w:pPr>
    <w:rPr>
      <w:color w:val="000000"/>
      <w:kern w:val="0"/>
      <w:sz w:val="21"/>
      <w:szCs w:val="21"/>
    </w:rPr>
  </w:style>
  <w:style w:type="character" w:customStyle="1" w:styleId="59">
    <w:name w:val="普通(网站) 字符1"/>
    <w:qFormat/>
    <w:locked/>
    <w:uiPriority w:val="0"/>
    <w:rPr>
      <w:rFonts w:ascii="宋体" w:hAnsi="宋体" w:eastAsia="宋体"/>
      <w:sz w:val="24"/>
    </w:rPr>
  </w:style>
  <w:style w:type="character" w:customStyle="1" w:styleId="60">
    <w:name w:val="页脚 字符1"/>
    <w:qFormat/>
    <w:locked/>
    <w:uiPriority w:val="99"/>
    <w:rPr>
      <w:sz w:val="18"/>
    </w:rPr>
  </w:style>
  <w:style w:type="paragraph" w:styleId="61">
    <w:name w:val="List Paragraph"/>
    <w:basedOn w:val="1"/>
    <w:qFormat/>
    <w:uiPriority w:val="99"/>
    <w:pPr>
      <w:spacing w:line="460" w:lineRule="exact"/>
      <w:ind w:firstLine="420" w:firstLineChars="200"/>
    </w:pPr>
  </w:style>
  <w:style w:type="character" w:styleId="62">
    <w:name w:val="Placeholder Text"/>
    <w:basedOn w:val="20"/>
    <w:unhideWhenUsed/>
    <w:qFormat/>
    <w:uiPriority w:val="99"/>
    <w:rPr>
      <w:color w:val="666666"/>
    </w:rPr>
  </w:style>
  <w:style w:type="paragraph" w:customStyle="1" w:styleId="63">
    <w:name w:val="鸿达公式"/>
    <w:basedOn w:val="1"/>
    <w:autoRedefine/>
    <w:qFormat/>
    <w:uiPriority w:val="0"/>
    <w:pPr>
      <w:wordWrap w:val="0"/>
      <w:overflowPunct w:val="0"/>
      <w:snapToGrid w:val="0"/>
      <w:spacing w:beforeLines="100" w:afterLines="50"/>
      <w:jc w:val="center"/>
    </w:pPr>
    <w:rPr>
      <w:bCs/>
      <w:snapToGrid w:val="0"/>
      <w:szCs w:val="28"/>
    </w:rPr>
  </w:style>
  <w:style w:type="character" w:customStyle="1" w:styleId="64">
    <w:name w:val="title_black_141"/>
    <w:basedOn w:val="20"/>
    <w:qFormat/>
    <w:uiPriority w:val="0"/>
    <w:rPr>
      <w:color w:val="000000"/>
      <w:sz w:val="21"/>
      <w:szCs w:val="21"/>
      <w:u w:val="none"/>
    </w:rPr>
  </w:style>
  <w:style w:type="character" w:customStyle="1" w:styleId="65">
    <w:name w:val="font21"/>
    <w:basedOn w:val="20"/>
    <w:qFormat/>
    <w:uiPriority w:val="0"/>
    <w:rPr>
      <w:rFonts w:ascii="Calibri" w:hAnsi="Calibri" w:cs="Calibri"/>
      <w:color w:val="000000"/>
      <w:sz w:val="21"/>
      <w:szCs w:val="21"/>
      <w:u w:val="none"/>
    </w:rPr>
  </w:style>
  <w:style w:type="character" w:customStyle="1" w:styleId="66">
    <w:name w:val="font11"/>
    <w:basedOn w:val="20"/>
    <w:qFormat/>
    <w:uiPriority w:val="0"/>
    <w:rPr>
      <w:rFonts w:hint="eastAsia" w:ascii="宋体" w:hAnsi="宋体" w:eastAsia="宋体" w:cs="宋体"/>
      <w:color w:val="000000"/>
      <w:sz w:val="21"/>
      <w:szCs w:val="21"/>
      <w:u w:val="none"/>
    </w:rPr>
  </w:style>
  <w:style w:type="character" w:customStyle="1" w:styleId="67">
    <w:name w:val="批注框文本 字符"/>
    <w:basedOn w:val="20"/>
    <w:link w:val="13"/>
    <w:qFormat/>
    <w:uiPriority w:val="99"/>
    <w:rPr>
      <w:rFonts w:ascii="Calibri" w:hAnsi="Calibri" w:cs="Calibri"/>
      <w:kern w:val="2"/>
      <w:sz w:val="18"/>
      <w:szCs w:val="18"/>
    </w:rPr>
  </w:style>
  <w:style w:type="paragraph" w:customStyle="1" w:styleId="68">
    <w:name w:val="图片下"/>
    <w:basedOn w:val="52"/>
    <w:link w:val="70"/>
    <w:qFormat/>
    <w:uiPriority w:val="0"/>
    <w:pPr>
      <w:ind w:firstLine="0" w:firstLineChars="0"/>
      <w:jc w:val="center"/>
    </w:pPr>
  </w:style>
  <w:style w:type="character" w:customStyle="1" w:styleId="69">
    <w:name w:val="表头 字符"/>
    <w:basedOn w:val="20"/>
    <w:link w:val="52"/>
    <w:qFormat/>
    <w:uiPriority w:val="0"/>
    <w:rPr>
      <w:rFonts w:eastAsia="黑体"/>
      <w:kern w:val="2"/>
      <w:sz w:val="24"/>
      <w:szCs w:val="24"/>
    </w:rPr>
  </w:style>
  <w:style w:type="character" w:customStyle="1" w:styleId="70">
    <w:name w:val="图片下 字符"/>
    <w:basedOn w:val="69"/>
    <w:link w:val="68"/>
    <w:qFormat/>
    <w:uiPriority w:val="0"/>
    <w:rPr>
      <w:rFonts w:eastAsia="黑体"/>
      <w:kern w:val="2"/>
      <w:sz w:val="24"/>
      <w:szCs w:val="24"/>
    </w:rPr>
  </w:style>
  <w:style w:type="character" w:customStyle="1" w:styleId="71">
    <w:name w:val="font241"/>
    <w:qFormat/>
    <w:uiPriority w:val="0"/>
    <w:rPr>
      <w:rFonts w:hint="eastAsia" w:ascii="宋体" w:hAnsi="宋体" w:eastAsia="宋体" w:cs="宋体"/>
      <w:color w:val="000000"/>
      <w:sz w:val="24"/>
      <w:szCs w:val="24"/>
      <w:u w:val="none"/>
    </w:rPr>
  </w:style>
  <w:style w:type="character" w:customStyle="1" w:styleId="72">
    <w:name w:val="font261"/>
    <w:qFormat/>
    <w:uiPriority w:val="0"/>
    <w:rPr>
      <w:rFonts w:hint="eastAsia" w:ascii="宋体" w:hAnsi="宋体" w:eastAsia="宋体" w:cs="宋体"/>
      <w:color w:val="000000"/>
      <w:sz w:val="24"/>
      <w:szCs w:val="24"/>
      <w:u w:val="none"/>
    </w:rPr>
  </w:style>
  <w:style w:type="paragraph" w:customStyle="1" w:styleId="73">
    <w:name w:val="00正文"/>
    <w:basedOn w:val="1"/>
    <w:link w:val="74"/>
    <w:qFormat/>
    <w:uiPriority w:val="0"/>
    <w:pPr>
      <w:spacing w:line="520" w:lineRule="exact"/>
      <w:ind w:firstLine="480" w:firstLineChars="200"/>
    </w:pPr>
    <w:rPr>
      <w:color w:val="000000"/>
    </w:rPr>
  </w:style>
  <w:style w:type="character" w:customStyle="1" w:styleId="74">
    <w:name w:val="00正文 字符"/>
    <w:link w:val="73"/>
    <w:qFormat/>
    <w:uiPriority w:val="0"/>
    <w:rPr>
      <w:color w:val="000000"/>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6" Type="http://schemas.openxmlformats.org/officeDocument/2006/relationships/fontTable" Target="fontTable.xml"/><Relationship Id="rId45" Type="http://schemas.openxmlformats.org/officeDocument/2006/relationships/customXml" Target="../customXml/item2.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footer" Target="footer2.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jpeg"/><Relationship Id="rId33" Type="http://schemas.openxmlformats.org/officeDocument/2006/relationships/image" Target="media/image25.jpe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jpeg"/><Relationship Id="rId3" Type="http://schemas.openxmlformats.org/officeDocument/2006/relationships/footer" Target="footer1.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png"/><Relationship Id="rId24" Type="http://schemas.openxmlformats.org/officeDocument/2006/relationships/image" Target="media/image16.jpe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emf"/><Relationship Id="rId18" Type="http://schemas.openxmlformats.org/officeDocument/2006/relationships/package" Target="embeddings/Microsoft_Visio___2.vsdx"/><Relationship Id="rId17" Type="http://schemas.openxmlformats.org/officeDocument/2006/relationships/image" Target="media/image10.emf"/><Relationship Id="rId16" Type="http://schemas.openxmlformats.org/officeDocument/2006/relationships/package" Target="embeddings/Microsoft_Visio___1.vsdx"/><Relationship Id="rId15" Type="http://schemas.openxmlformats.org/officeDocument/2006/relationships/image" Target="media/image9.emf"/><Relationship Id="rId14" Type="http://schemas.openxmlformats.org/officeDocument/2006/relationships/oleObject" Target="embeddings/oleObject1.bin"/><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025A6B-DBA6-45E2-9C20-A33A137EA9FE}">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88</Pages>
  <Words>52</Words>
  <Characters>55</Characters>
  <Lines>331</Lines>
  <Paragraphs>93</Paragraphs>
  <TotalTime>13</TotalTime>
  <ScaleCrop>false</ScaleCrop>
  <LinksUpToDate>false</LinksUpToDate>
  <CharactersWithSpaces>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2025-07-11T07:45:00Z</dcterms:created>
  <dc:creator>Administrator</dc:creator>
  <cp:lastModifiedBy>向东</cp:lastModifiedBy>
  <cp:lastPrinted>2023-11-13T08:05:00Z</cp:lastPrinted>
  <dcterms:modified xsi:type="dcterms:W3CDTF">2026-06-25T06:48:37Z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50D2A5479F454B40B615E0157BAA1790_13</vt:lpwstr>
  </property>
  <property fmtid="{D5CDD505-2E9C-101B-9397-08002B2CF9AE}" pid="4" name="KSOTemplateDocerSaveRecord">
    <vt:lpwstr>eyJoZGlkIjoiNzc1Y2VkNmE2NzkwOTg3OTU2NzFiNGU4NTQzZmJhMDIiLCJ1c2VySWQiOiI0NDEyMzYxMzUifQ==</vt:lpwstr>
  </property>
</Properties>
</file>